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16600">
      <w:pPr>
        <w:widowControl w:val="0"/>
        <w:adjustRightInd w:val="0"/>
        <w:snapToGrid w:val="0"/>
        <w:spacing w:after="0" w:line="490" w:lineRule="exact"/>
        <w:jc w:val="both"/>
        <w:rPr>
          <w:rFonts w:ascii="Times New Roman" w:hAnsi="Times New Roman" w:eastAsia="宋体" w:cs="宋体"/>
          <w:color w:val="auto"/>
          <w:sz w:val="28"/>
          <w:szCs w:val="28"/>
        </w:rPr>
      </w:pPr>
      <w:bookmarkStart w:id="907" w:name="_GoBack"/>
      <w:bookmarkEnd w:id="907"/>
      <w:r>
        <w:rPr>
          <w:rFonts w:hint="eastAsia" w:ascii="Times New Roman" w:hAnsi="Times New Roman" w:eastAsia="宋体" w:cs="宋体"/>
          <w:color w:val="auto"/>
          <w:sz w:val="28"/>
          <w:szCs w:val="28"/>
        </w:rPr>
        <w:t xml:space="preserve"> </w:t>
      </w:r>
    </w:p>
    <w:p w14:paraId="49B2F9BF">
      <w:pPr>
        <w:widowControl w:val="0"/>
        <w:adjustRightInd w:val="0"/>
        <w:snapToGrid w:val="0"/>
        <w:spacing w:after="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7223F5DE">
      <w:pPr>
        <w:jc w:val="center"/>
        <w:rPr>
          <w:rFonts w:ascii="宋体" w:hAnsi="宋体" w:eastAsia="宋体" w:cs="宋体"/>
          <w:color w:val="auto"/>
          <w:sz w:val="32"/>
          <w:szCs w:val="32"/>
        </w:rPr>
      </w:pPr>
      <w:r>
        <w:rPr>
          <w:rFonts w:hint="eastAsia" w:ascii="宋体" w:hAnsi="宋体" w:eastAsia="宋体" w:cs="宋体"/>
          <w:color w:val="auto"/>
          <w:sz w:val="32"/>
          <w:szCs w:val="32"/>
          <w:u w:val="single"/>
        </w:rPr>
        <w:t>大石桥市西部农村供水工程（一期）</w:t>
      </w:r>
      <w:r>
        <w:rPr>
          <w:rFonts w:hint="eastAsia" w:ascii="宋体" w:hAnsi="宋体" w:eastAsia="宋体" w:cs="宋体"/>
          <w:color w:val="auto"/>
          <w:sz w:val="32"/>
          <w:szCs w:val="32"/>
        </w:rPr>
        <w:t>（项目名称）</w:t>
      </w:r>
    </w:p>
    <w:p w14:paraId="689C2B8C">
      <w:pPr>
        <w:jc w:val="center"/>
        <w:rPr>
          <w:rFonts w:ascii="宋体" w:hAnsi="宋体" w:eastAsia="宋体" w:cs="宋体"/>
          <w:color w:val="auto"/>
          <w:sz w:val="32"/>
          <w:szCs w:val="32"/>
        </w:rPr>
      </w:pPr>
      <w:r>
        <w:rPr>
          <w:rFonts w:hint="eastAsia" w:ascii="宋体" w:hAnsi="宋体" w:eastAsia="宋体" w:cs="宋体"/>
          <w:color w:val="auto"/>
          <w:sz w:val="32"/>
          <w:szCs w:val="32"/>
        </w:rPr>
        <w:t>NB-IOT远控物联网水表(DN20)购置（二）（标段名称）</w:t>
      </w:r>
    </w:p>
    <w:p w14:paraId="4A3F9B43">
      <w:pPr>
        <w:spacing w:line="288" w:lineRule="auto"/>
        <w:jc w:val="center"/>
        <w:rPr>
          <w:rFonts w:ascii="Times New Roman" w:hAnsi="Times New Roman" w:eastAsia="宋体" w:cs="宋体"/>
          <w:b/>
          <w:bCs/>
          <w:color w:val="auto"/>
          <w:szCs w:val="52"/>
        </w:rPr>
      </w:pPr>
    </w:p>
    <w:p w14:paraId="0534276B">
      <w:pPr>
        <w:spacing w:line="288" w:lineRule="auto"/>
        <w:jc w:val="center"/>
        <w:rPr>
          <w:rFonts w:ascii="Times New Roman" w:hAnsi="Times New Roman" w:eastAsia="宋体" w:cs="宋体"/>
          <w:b/>
          <w:bCs/>
          <w:color w:val="auto"/>
          <w:szCs w:val="52"/>
        </w:rPr>
      </w:pPr>
    </w:p>
    <w:p w14:paraId="3CD8F1B0">
      <w:pPr>
        <w:spacing w:line="288" w:lineRule="auto"/>
        <w:jc w:val="center"/>
        <w:rPr>
          <w:rFonts w:ascii="Times New Roman" w:hAnsi="Times New Roman" w:eastAsia="宋体" w:cs="宋体"/>
          <w:b/>
          <w:bCs/>
          <w:color w:val="auto"/>
          <w:szCs w:val="52"/>
        </w:rPr>
      </w:pPr>
    </w:p>
    <w:p w14:paraId="69BCC128">
      <w:pPr>
        <w:jc w:val="center"/>
        <w:rPr>
          <w:rFonts w:ascii="Times New Roman" w:hAnsi="Times New Roman" w:eastAsia="宋体" w:cs="宋体"/>
          <w:b/>
          <w:bCs/>
          <w:color w:val="auto"/>
          <w:sz w:val="72"/>
          <w:szCs w:val="72"/>
        </w:rPr>
      </w:pPr>
      <w:r>
        <w:rPr>
          <w:rFonts w:hint="eastAsia" w:ascii="Times New Roman" w:hAnsi="Times New Roman" w:eastAsia="宋体" w:cs="宋体"/>
          <w:b/>
          <w:bCs/>
          <w:color w:val="auto"/>
          <w:sz w:val="72"/>
          <w:szCs w:val="72"/>
        </w:rPr>
        <w:t>招 标 文 件</w:t>
      </w:r>
    </w:p>
    <w:p w14:paraId="094AFBAB">
      <w:pPr>
        <w:spacing w:line="600" w:lineRule="exact"/>
        <w:jc w:val="center"/>
        <w:rPr>
          <w:rFonts w:ascii="Times New Roman" w:hAnsi="Times New Roman" w:eastAsia="宋体" w:cs="宋体"/>
          <w:b/>
          <w:bCs/>
          <w:color w:val="auto"/>
          <w:sz w:val="72"/>
          <w:szCs w:val="72"/>
          <w:highlight w:val="none"/>
        </w:rPr>
      </w:pPr>
    </w:p>
    <w:p w14:paraId="1CA58453">
      <w:pPr>
        <w:jc w:val="center"/>
        <w:rPr>
          <w:rFonts w:ascii="Times New Roman" w:hAnsi="Times New Roman" w:eastAsia="宋体" w:cs="宋体"/>
          <w:b/>
          <w:bCs/>
          <w:color w:val="auto"/>
          <w:sz w:val="28"/>
          <w:szCs w:val="28"/>
          <w:highlight w:val="none"/>
        </w:rPr>
      </w:pPr>
      <w:r>
        <w:rPr>
          <w:rFonts w:hint="eastAsia" w:ascii="Times New Roman" w:hAnsi="Times New Roman" w:eastAsia="宋体" w:cs="宋体"/>
          <w:b/>
          <w:bCs/>
          <w:color w:val="auto"/>
          <w:sz w:val="28"/>
          <w:szCs w:val="28"/>
          <w:highlight w:val="none"/>
        </w:rPr>
        <w:t>（标段编号：LNJYGC2025092400200100</w:t>
      </w:r>
      <w:r>
        <w:rPr>
          <w:rFonts w:hint="eastAsia" w:ascii="Times New Roman" w:hAnsi="Times New Roman" w:eastAsia="宋体" w:cs="宋体"/>
          <w:b/>
          <w:bCs/>
          <w:color w:val="auto"/>
          <w:sz w:val="28"/>
          <w:szCs w:val="28"/>
          <w:highlight w:val="none"/>
          <w:lang w:val="en-US" w:eastAsia="zh-CN"/>
        </w:rPr>
        <w:t>3</w:t>
      </w:r>
      <w:r>
        <w:rPr>
          <w:rFonts w:hint="eastAsia" w:ascii="Times New Roman" w:hAnsi="Times New Roman" w:eastAsia="宋体" w:cs="宋体"/>
          <w:b/>
          <w:bCs/>
          <w:color w:val="auto"/>
          <w:sz w:val="28"/>
          <w:szCs w:val="28"/>
          <w:highlight w:val="none"/>
        </w:rPr>
        <w:t>）</w:t>
      </w:r>
    </w:p>
    <w:p w14:paraId="14D21648">
      <w:pPr>
        <w:spacing w:line="600" w:lineRule="exact"/>
        <w:jc w:val="center"/>
        <w:rPr>
          <w:rFonts w:ascii="Times New Roman" w:hAnsi="Times New Roman" w:eastAsia="宋体" w:cs="宋体"/>
          <w:b/>
          <w:bCs/>
          <w:color w:val="auto"/>
          <w:sz w:val="72"/>
          <w:szCs w:val="72"/>
        </w:rPr>
      </w:pPr>
    </w:p>
    <w:p w14:paraId="5AAD8F7D">
      <w:pPr>
        <w:spacing w:line="600" w:lineRule="exact"/>
        <w:jc w:val="center"/>
        <w:rPr>
          <w:rFonts w:ascii="Times New Roman" w:hAnsi="Times New Roman" w:eastAsia="宋体" w:cs="宋体"/>
          <w:b/>
          <w:bCs/>
          <w:color w:val="auto"/>
          <w:sz w:val="72"/>
          <w:szCs w:val="72"/>
        </w:rPr>
      </w:pPr>
    </w:p>
    <w:p w14:paraId="4F668540">
      <w:pPr>
        <w:spacing w:line="600" w:lineRule="exact"/>
        <w:jc w:val="center"/>
        <w:rPr>
          <w:rFonts w:ascii="Times New Roman" w:hAnsi="Times New Roman" w:eastAsia="宋体" w:cs="宋体"/>
          <w:b/>
          <w:bCs/>
          <w:color w:val="auto"/>
          <w:sz w:val="72"/>
          <w:szCs w:val="72"/>
        </w:rPr>
      </w:pPr>
    </w:p>
    <w:p w14:paraId="2B12D619">
      <w:pPr>
        <w:spacing w:line="600" w:lineRule="exact"/>
        <w:jc w:val="center"/>
        <w:rPr>
          <w:rFonts w:ascii="Times New Roman" w:hAnsi="Times New Roman" w:eastAsia="宋体" w:cs="宋体"/>
          <w:b/>
          <w:bCs/>
          <w:color w:val="auto"/>
          <w:sz w:val="72"/>
          <w:szCs w:val="72"/>
        </w:rPr>
      </w:pPr>
    </w:p>
    <w:p w14:paraId="0CAC3B80"/>
    <w:p w14:paraId="46735CBD">
      <w:pPr>
        <w:spacing w:line="800" w:lineRule="exact"/>
        <w:ind w:firstLine="2184" w:firstLineChars="780"/>
        <w:rPr>
          <w:rFonts w:ascii="Times New Roman" w:hAnsi="Times New Roman" w:eastAsia="宋体" w:cs="宋体"/>
          <w:bCs/>
          <w:color w:val="auto"/>
          <w:kern w:val="0"/>
          <w:sz w:val="28"/>
          <w:szCs w:val="28"/>
          <w:u w:val="single"/>
        </w:rPr>
      </w:pPr>
      <w:r>
        <w:rPr>
          <w:rFonts w:hint="eastAsia" w:ascii="Times New Roman" w:hAnsi="Times New Roman" w:eastAsia="宋体" w:cs="宋体"/>
          <w:bCs/>
          <w:color w:val="auto"/>
          <w:kern w:val="0"/>
          <w:sz w:val="28"/>
          <w:szCs w:val="28"/>
        </w:rPr>
        <w:t>招  标  人：</w:t>
      </w:r>
      <w:r>
        <w:rPr>
          <w:rFonts w:hint="eastAsia" w:ascii="Times New Roman" w:hAnsi="Times New Roman" w:eastAsia="宋体" w:cs="宋体"/>
          <w:bCs/>
          <w:color w:val="auto"/>
          <w:kern w:val="0"/>
          <w:sz w:val="28"/>
          <w:szCs w:val="28"/>
          <w:u w:val="single"/>
        </w:rPr>
        <w:t>大石桥市清源水务建设有限公司</w:t>
      </w:r>
    </w:p>
    <w:p w14:paraId="52B9A430">
      <w:pPr>
        <w:spacing w:line="800" w:lineRule="exact"/>
        <w:ind w:firstLine="2184" w:firstLineChars="780"/>
        <w:rPr>
          <w:rFonts w:ascii="Times New Roman" w:hAnsi="Times New Roman" w:eastAsia="宋体" w:cs="宋体"/>
          <w:bCs/>
          <w:color w:val="auto"/>
          <w:kern w:val="0"/>
          <w:sz w:val="28"/>
          <w:szCs w:val="28"/>
        </w:rPr>
      </w:pPr>
      <w:r>
        <w:rPr>
          <w:rFonts w:hint="eastAsia" w:ascii="Times New Roman" w:hAnsi="Times New Roman" w:eastAsia="宋体" w:cs="宋体"/>
          <w:bCs/>
          <w:color w:val="auto"/>
          <w:kern w:val="0"/>
          <w:sz w:val="28"/>
          <w:szCs w:val="28"/>
        </w:rPr>
        <w:t>招标代理机构：</w:t>
      </w:r>
      <w:r>
        <w:rPr>
          <w:rFonts w:hint="eastAsia" w:ascii="Times New Roman" w:hAnsi="Times New Roman" w:eastAsia="宋体" w:cs="宋体"/>
          <w:bCs/>
          <w:color w:val="auto"/>
          <w:kern w:val="0"/>
          <w:sz w:val="28"/>
          <w:szCs w:val="28"/>
          <w:u w:val="single"/>
        </w:rPr>
        <w:t>中招国际招标有限公司</w:t>
      </w:r>
    </w:p>
    <w:p w14:paraId="36DCA3FF">
      <w:pPr>
        <w:spacing w:after="0" w:line="800" w:lineRule="exact"/>
        <w:jc w:val="center"/>
        <w:rPr>
          <w:rFonts w:ascii="Times New Roman" w:hAnsi="Times New Roman" w:eastAsia="宋体" w:cs="宋体"/>
          <w:b/>
          <w:color w:val="auto"/>
          <w:sz w:val="28"/>
          <w:szCs w:val="28"/>
          <w:highlight w:val="none"/>
        </w:rPr>
      </w:pPr>
      <w:r>
        <w:rPr>
          <w:rFonts w:hint="eastAsia" w:ascii="Times New Roman" w:hAnsi="Times New Roman" w:eastAsia="宋体" w:cs="宋体"/>
          <w:bCs/>
          <w:color w:val="auto"/>
          <w:sz w:val="28"/>
          <w:szCs w:val="28"/>
          <w:highlight w:val="none"/>
          <w:u w:val="single"/>
        </w:rPr>
        <w:t>2025</w:t>
      </w:r>
      <w:r>
        <w:rPr>
          <w:rFonts w:hint="eastAsia" w:ascii="Times New Roman" w:hAnsi="Times New Roman" w:eastAsia="宋体" w:cs="宋体"/>
          <w:bCs/>
          <w:color w:val="auto"/>
          <w:sz w:val="28"/>
          <w:szCs w:val="28"/>
          <w:highlight w:val="none"/>
        </w:rPr>
        <w:t>年</w:t>
      </w:r>
      <w:r>
        <w:rPr>
          <w:rFonts w:hint="eastAsia" w:ascii="Times New Roman" w:hAnsi="Times New Roman" w:eastAsia="宋体" w:cs="宋体"/>
          <w:bCs/>
          <w:color w:val="auto"/>
          <w:sz w:val="28"/>
          <w:szCs w:val="28"/>
          <w:highlight w:val="none"/>
          <w:u w:val="single"/>
          <w:lang w:val="en-US" w:eastAsia="zh-CN"/>
        </w:rPr>
        <w:t>9</w:t>
      </w:r>
      <w:r>
        <w:rPr>
          <w:rFonts w:hint="eastAsia" w:ascii="Times New Roman" w:hAnsi="Times New Roman" w:eastAsia="宋体" w:cs="宋体"/>
          <w:bCs/>
          <w:color w:val="auto"/>
          <w:sz w:val="28"/>
          <w:szCs w:val="28"/>
          <w:highlight w:val="none"/>
        </w:rPr>
        <w:t>月</w:t>
      </w:r>
      <w:r>
        <w:rPr>
          <w:rFonts w:hint="eastAsia" w:ascii="Times New Roman" w:hAnsi="Times New Roman" w:eastAsia="宋体" w:cs="宋体"/>
          <w:bCs/>
          <w:color w:val="auto"/>
          <w:sz w:val="28"/>
          <w:szCs w:val="28"/>
          <w:highlight w:val="none"/>
          <w:u w:val="single"/>
          <w:lang w:val="en-US" w:eastAsia="zh-CN"/>
        </w:rPr>
        <w:t>28</w:t>
      </w:r>
      <w:r>
        <w:rPr>
          <w:rFonts w:hint="eastAsia" w:ascii="Times New Roman" w:hAnsi="Times New Roman" w:eastAsia="宋体" w:cs="宋体"/>
          <w:bCs/>
          <w:color w:val="auto"/>
          <w:sz w:val="28"/>
          <w:szCs w:val="28"/>
          <w:highlight w:val="none"/>
        </w:rPr>
        <w:t>日</w:t>
      </w:r>
    </w:p>
    <w:p w14:paraId="498C5051">
      <w:pPr>
        <w:widowControl w:val="0"/>
        <w:adjustRightInd w:val="0"/>
        <w:snapToGrid w:val="0"/>
        <w:spacing w:after="0"/>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  </w:t>
      </w:r>
    </w:p>
    <w:p w14:paraId="26F215BC">
      <w:pPr>
        <w:widowControl w:val="0"/>
        <w:adjustRightInd w:val="0"/>
        <w:snapToGrid w:val="0"/>
        <w:spacing w:after="0" w:line="265" w:lineRule="auto"/>
        <w:ind w:hanging="10"/>
        <w:jc w:val="center"/>
        <w:rPr>
          <w:rFonts w:ascii="Times New Roman" w:hAnsi="Times New Roman" w:eastAsia="宋体" w:cs="宋体"/>
          <w:b/>
          <w:color w:val="auto"/>
          <w:sz w:val="28"/>
        </w:rPr>
      </w:pPr>
      <w:r>
        <w:rPr>
          <w:rFonts w:hint="eastAsia" w:ascii="Times New Roman" w:hAnsi="Times New Roman" w:eastAsia="宋体" w:cs="宋体"/>
          <w:b/>
          <w:color w:val="auto"/>
          <w:sz w:val="28"/>
        </w:rPr>
        <w:br w:type="page"/>
      </w:r>
    </w:p>
    <w:p w14:paraId="30388CC3">
      <w:pPr>
        <w:widowControl w:val="0"/>
        <w:adjustRightInd w:val="0"/>
        <w:snapToGrid w:val="0"/>
        <w:spacing w:after="0" w:line="265" w:lineRule="auto"/>
        <w:ind w:hanging="10"/>
        <w:jc w:val="center"/>
        <w:rPr>
          <w:rFonts w:ascii="Times New Roman" w:hAnsi="Times New Roman" w:eastAsia="宋体" w:cs="宋体"/>
          <w:b/>
          <w:bCs/>
          <w:color w:val="auto"/>
          <w:sz w:val="36"/>
          <w:szCs w:val="36"/>
        </w:rPr>
      </w:pPr>
      <w:r>
        <w:rPr>
          <w:rFonts w:hint="eastAsia" w:ascii="Times New Roman" w:hAnsi="Times New Roman" w:eastAsia="宋体" w:cs="宋体"/>
          <w:b/>
          <w:bCs/>
          <w:color w:val="auto"/>
          <w:sz w:val="36"/>
          <w:szCs w:val="36"/>
        </w:rPr>
        <w:t xml:space="preserve">目  录 </w:t>
      </w:r>
    </w:p>
    <w:p w14:paraId="047CE8EA">
      <w:pPr>
        <w:widowControl w:val="0"/>
        <w:adjustRightInd w:val="0"/>
        <w:snapToGrid w:val="0"/>
        <w:spacing w:after="0" w:line="265" w:lineRule="auto"/>
        <w:ind w:hanging="10"/>
        <w:jc w:val="center"/>
        <w:rPr>
          <w:rFonts w:ascii="Times New Roman" w:hAnsi="Times New Roman" w:eastAsia="宋体" w:cs="宋体"/>
          <w:b/>
          <w:bCs/>
          <w:color w:val="auto"/>
          <w:sz w:val="36"/>
          <w:szCs w:val="36"/>
        </w:rPr>
      </w:pPr>
    </w:p>
    <w:p w14:paraId="0A067764">
      <w:pPr>
        <w:pStyle w:val="11"/>
        <w:tabs>
          <w:tab w:val="right" w:leader="dot" w:pos="9070"/>
        </w:tabs>
      </w:pPr>
      <w:r>
        <w:rPr>
          <w:rFonts w:hint="eastAsia" w:ascii="Times New Roman" w:hAnsi="Times New Roman" w:eastAsia="宋体" w:cs="宋体"/>
          <w:color w:val="auto"/>
          <w:sz w:val="24"/>
          <w:szCs w:val="24"/>
        </w:rPr>
        <w:fldChar w:fldCharType="begin"/>
      </w:r>
      <w:r>
        <w:rPr>
          <w:rFonts w:hint="eastAsia" w:ascii="Times New Roman" w:hAnsi="Times New Roman" w:eastAsia="宋体" w:cs="宋体"/>
          <w:color w:val="auto"/>
          <w:sz w:val="24"/>
          <w:szCs w:val="24"/>
        </w:rPr>
        <w:instrText xml:space="preserve"> TOC \o "1-2" \h \z \u </w:instrText>
      </w:r>
      <w:r>
        <w:rPr>
          <w:rFonts w:hint="eastAsia" w:ascii="Times New Roman" w:hAnsi="Times New Roman" w:eastAsia="宋体" w:cs="宋体"/>
          <w:color w:val="auto"/>
          <w:sz w:val="24"/>
          <w:szCs w:val="24"/>
        </w:rPr>
        <w:fldChar w:fldCharType="separate"/>
      </w: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_Toc15491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第一卷</w:t>
      </w:r>
      <w:r>
        <w:tab/>
      </w:r>
      <w:r>
        <w:fldChar w:fldCharType="begin"/>
      </w:r>
      <w:r>
        <w:instrText xml:space="preserve"> PAGEREF _Toc15491 \h </w:instrText>
      </w:r>
      <w:r>
        <w:fldChar w:fldCharType="separate"/>
      </w:r>
      <w:r>
        <w:t>5</w:t>
      </w:r>
      <w:r>
        <w:fldChar w:fldCharType="end"/>
      </w:r>
      <w:r>
        <w:rPr>
          <w:rFonts w:hint="eastAsia" w:ascii="Times New Roman" w:hAnsi="Times New Roman" w:eastAsia="宋体" w:cs="宋体"/>
          <w:color w:val="auto"/>
          <w:szCs w:val="24"/>
        </w:rPr>
        <w:fldChar w:fldCharType="end"/>
      </w:r>
    </w:p>
    <w:p w14:paraId="5A0185FE">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_Toc14682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招标公告</w:t>
      </w:r>
      <w:r>
        <w:tab/>
      </w:r>
      <w:r>
        <w:fldChar w:fldCharType="begin"/>
      </w:r>
      <w:r>
        <w:instrText xml:space="preserve"> PAGEREF _Toc14682 \h </w:instrText>
      </w:r>
      <w:r>
        <w:fldChar w:fldCharType="separate"/>
      </w:r>
      <w:r>
        <w:t>6</w:t>
      </w:r>
      <w:r>
        <w:fldChar w:fldCharType="end"/>
      </w:r>
      <w:r>
        <w:rPr>
          <w:rFonts w:hint="eastAsia" w:ascii="Times New Roman" w:hAnsi="Times New Roman" w:eastAsia="宋体" w:cs="宋体"/>
          <w:color w:val="auto"/>
          <w:szCs w:val="24"/>
        </w:rPr>
        <w:fldChar w:fldCharType="end"/>
      </w:r>
    </w:p>
    <w:p w14:paraId="67715F5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_Toc1744 </w:instrText>
      </w:r>
      <w:r>
        <w:rPr>
          <w:rFonts w:hint="eastAsia" w:ascii="Times New Roman" w:hAnsi="Times New Roman" w:eastAsia="宋体" w:cs="宋体"/>
          <w:szCs w:val="24"/>
        </w:rPr>
        <w:fldChar w:fldCharType="separate"/>
      </w:r>
      <w:r>
        <w:rPr>
          <w:rFonts w:hint="eastAsia" w:ascii="Times New Roman" w:hAnsi="Times New Roman" w:cs="宋体"/>
          <w:szCs w:val="28"/>
        </w:rPr>
        <w:t>1.招标条件</w:t>
      </w:r>
      <w:r>
        <w:tab/>
      </w:r>
      <w:r>
        <w:fldChar w:fldCharType="begin"/>
      </w:r>
      <w:r>
        <w:instrText xml:space="preserve"> PAGEREF _Toc1744 \h </w:instrText>
      </w:r>
      <w:r>
        <w:fldChar w:fldCharType="separate"/>
      </w:r>
      <w:r>
        <w:t>6</w:t>
      </w:r>
      <w:r>
        <w:fldChar w:fldCharType="end"/>
      </w:r>
      <w:r>
        <w:rPr>
          <w:rFonts w:hint="eastAsia" w:ascii="Times New Roman" w:hAnsi="Times New Roman" w:eastAsia="宋体" w:cs="宋体"/>
          <w:color w:val="auto"/>
          <w:szCs w:val="24"/>
        </w:rPr>
        <w:fldChar w:fldCharType="end"/>
      </w:r>
    </w:p>
    <w:p w14:paraId="5A52EBC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_Toc15017 </w:instrText>
      </w:r>
      <w:r>
        <w:rPr>
          <w:rFonts w:hint="eastAsia" w:ascii="Times New Roman" w:hAnsi="Times New Roman" w:eastAsia="宋体" w:cs="宋体"/>
          <w:szCs w:val="24"/>
        </w:rPr>
        <w:fldChar w:fldCharType="separate"/>
      </w:r>
      <w:r>
        <w:rPr>
          <w:rFonts w:hint="eastAsia" w:ascii="Times New Roman" w:hAnsi="Times New Roman" w:cs="宋体"/>
          <w:szCs w:val="28"/>
        </w:rPr>
        <w:t>2.项目概况与招标范围</w:t>
      </w:r>
      <w:r>
        <w:tab/>
      </w:r>
      <w:r>
        <w:fldChar w:fldCharType="begin"/>
      </w:r>
      <w:r>
        <w:instrText xml:space="preserve"> PAGEREF _Toc15017 \h </w:instrText>
      </w:r>
      <w:r>
        <w:fldChar w:fldCharType="separate"/>
      </w:r>
      <w:r>
        <w:t>6</w:t>
      </w:r>
      <w:r>
        <w:fldChar w:fldCharType="end"/>
      </w:r>
      <w:r>
        <w:rPr>
          <w:rFonts w:hint="eastAsia" w:ascii="Times New Roman" w:hAnsi="Times New Roman" w:eastAsia="宋体" w:cs="宋体"/>
          <w:color w:val="auto"/>
          <w:szCs w:val="24"/>
        </w:rPr>
        <w:fldChar w:fldCharType="end"/>
      </w:r>
    </w:p>
    <w:p w14:paraId="0FAB850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_Toc20958 </w:instrText>
      </w:r>
      <w:r>
        <w:rPr>
          <w:rFonts w:hint="eastAsia" w:ascii="Times New Roman" w:hAnsi="Times New Roman" w:eastAsia="宋体" w:cs="宋体"/>
          <w:szCs w:val="24"/>
        </w:rPr>
        <w:fldChar w:fldCharType="separate"/>
      </w:r>
      <w:r>
        <w:rPr>
          <w:rFonts w:hint="eastAsia" w:ascii="Times New Roman" w:hAnsi="Times New Roman" w:cs="宋体"/>
          <w:szCs w:val="28"/>
        </w:rPr>
        <w:t>3.投标人资格要求</w:t>
      </w:r>
      <w:r>
        <w:tab/>
      </w:r>
      <w:r>
        <w:fldChar w:fldCharType="begin"/>
      </w:r>
      <w:r>
        <w:instrText xml:space="preserve"> PAGEREF _Toc20958 \h </w:instrText>
      </w:r>
      <w:r>
        <w:fldChar w:fldCharType="separate"/>
      </w:r>
      <w:r>
        <w:t>7</w:t>
      </w:r>
      <w:r>
        <w:fldChar w:fldCharType="end"/>
      </w:r>
      <w:r>
        <w:rPr>
          <w:rFonts w:hint="eastAsia" w:ascii="Times New Roman" w:hAnsi="Times New Roman" w:eastAsia="宋体" w:cs="宋体"/>
          <w:color w:val="auto"/>
          <w:szCs w:val="24"/>
        </w:rPr>
        <w:fldChar w:fldCharType="end"/>
      </w:r>
    </w:p>
    <w:p w14:paraId="40112E1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_Toc7602 </w:instrText>
      </w:r>
      <w:r>
        <w:rPr>
          <w:rFonts w:hint="eastAsia" w:ascii="Times New Roman" w:hAnsi="Times New Roman" w:eastAsia="宋体" w:cs="宋体"/>
          <w:szCs w:val="24"/>
        </w:rPr>
        <w:fldChar w:fldCharType="separate"/>
      </w:r>
      <w:r>
        <w:rPr>
          <w:rFonts w:hint="eastAsia" w:ascii="Times New Roman" w:hAnsi="Times New Roman" w:cs="宋体"/>
          <w:szCs w:val="28"/>
        </w:rPr>
        <w:t>4.投标人入库须知</w:t>
      </w:r>
      <w:r>
        <w:tab/>
      </w:r>
      <w:r>
        <w:fldChar w:fldCharType="begin"/>
      </w:r>
      <w:r>
        <w:instrText xml:space="preserve"> PAGEREF _Toc7602 \h </w:instrText>
      </w:r>
      <w:r>
        <w:fldChar w:fldCharType="separate"/>
      </w:r>
      <w:r>
        <w:t>8</w:t>
      </w:r>
      <w:r>
        <w:fldChar w:fldCharType="end"/>
      </w:r>
      <w:r>
        <w:rPr>
          <w:rFonts w:hint="eastAsia" w:ascii="Times New Roman" w:hAnsi="Times New Roman" w:eastAsia="宋体" w:cs="宋体"/>
          <w:color w:val="auto"/>
          <w:szCs w:val="24"/>
        </w:rPr>
        <w:fldChar w:fldCharType="end"/>
      </w:r>
    </w:p>
    <w:p w14:paraId="67AD56D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_Toc18635 </w:instrText>
      </w:r>
      <w:r>
        <w:rPr>
          <w:rFonts w:hint="eastAsia" w:ascii="Times New Roman" w:hAnsi="Times New Roman" w:eastAsia="宋体" w:cs="宋体"/>
          <w:szCs w:val="24"/>
        </w:rPr>
        <w:fldChar w:fldCharType="separate"/>
      </w:r>
      <w:r>
        <w:rPr>
          <w:rFonts w:hint="eastAsia" w:ascii="Times New Roman" w:hAnsi="Times New Roman" w:cs="宋体"/>
          <w:szCs w:val="28"/>
        </w:rPr>
        <w:t>5.招标文件的</w:t>
      </w:r>
      <w:r>
        <w:rPr>
          <w:rFonts w:hint="eastAsia" w:ascii="Times New Roman" w:hAnsi="Times New Roman" w:cs="宋体"/>
          <w:szCs w:val="28"/>
          <w:highlight w:val="none"/>
        </w:rPr>
        <w:t>获取及修改、澄清答疑发布</w:t>
      </w:r>
      <w:r>
        <w:tab/>
      </w:r>
      <w:r>
        <w:fldChar w:fldCharType="begin"/>
      </w:r>
      <w:r>
        <w:instrText xml:space="preserve"> PAGEREF _Toc18635 \h </w:instrText>
      </w:r>
      <w:r>
        <w:fldChar w:fldCharType="separate"/>
      </w:r>
      <w:r>
        <w:t>8</w:t>
      </w:r>
      <w:r>
        <w:fldChar w:fldCharType="end"/>
      </w:r>
      <w:r>
        <w:rPr>
          <w:rFonts w:hint="eastAsia" w:ascii="Times New Roman" w:hAnsi="Times New Roman" w:eastAsia="宋体" w:cs="宋体"/>
          <w:color w:val="auto"/>
          <w:szCs w:val="24"/>
        </w:rPr>
        <w:fldChar w:fldCharType="end"/>
      </w:r>
    </w:p>
    <w:p w14:paraId="56AAF68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_Toc4851 </w:instrText>
      </w:r>
      <w:r>
        <w:rPr>
          <w:rFonts w:hint="eastAsia" w:ascii="Times New Roman" w:hAnsi="Times New Roman" w:eastAsia="宋体" w:cs="宋体"/>
          <w:szCs w:val="24"/>
        </w:rPr>
        <w:fldChar w:fldCharType="separate"/>
      </w:r>
      <w:r>
        <w:rPr>
          <w:rFonts w:hint="eastAsia" w:ascii="Times New Roman" w:hAnsi="Times New Roman" w:cs="宋体"/>
          <w:szCs w:val="28"/>
          <w:highlight w:val="none"/>
        </w:rPr>
        <w:t>6.投标文件的递交</w:t>
      </w:r>
      <w:r>
        <w:tab/>
      </w:r>
      <w:r>
        <w:fldChar w:fldCharType="begin"/>
      </w:r>
      <w:r>
        <w:instrText xml:space="preserve"> PAGEREF _Toc4851 \h </w:instrText>
      </w:r>
      <w:r>
        <w:fldChar w:fldCharType="separate"/>
      </w:r>
      <w:r>
        <w:t>8</w:t>
      </w:r>
      <w:r>
        <w:fldChar w:fldCharType="end"/>
      </w:r>
      <w:r>
        <w:rPr>
          <w:rFonts w:hint="eastAsia" w:ascii="Times New Roman" w:hAnsi="Times New Roman" w:eastAsia="宋体" w:cs="宋体"/>
          <w:color w:val="auto"/>
          <w:szCs w:val="24"/>
        </w:rPr>
        <w:fldChar w:fldCharType="end"/>
      </w:r>
    </w:p>
    <w:p w14:paraId="52B34CB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_Toc11407 </w:instrText>
      </w:r>
      <w:r>
        <w:rPr>
          <w:rFonts w:hint="eastAsia" w:ascii="Times New Roman" w:hAnsi="Times New Roman" w:eastAsia="宋体" w:cs="宋体"/>
          <w:szCs w:val="24"/>
        </w:rPr>
        <w:fldChar w:fldCharType="separate"/>
      </w:r>
      <w:r>
        <w:rPr>
          <w:rFonts w:hint="eastAsia" w:ascii="Times New Roman" w:hAnsi="Times New Roman" w:cs="宋体"/>
          <w:szCs w:val="28"/>
        </w:rPr>
        <w:t>7.资格审查与评标办法</w:t>
      </w:r>
      <w:r>
        <w:tab/>
      </w:r>
      <w:r>
        <w:fldChar w:fldCharType="begin"/>
      </w:r>
      <w:r>
        <w:instrText xml:space="preserve"> PAGEREF _Toc11407 \h </w:instrText>
      </w:r>
      <w:r>
        <w:fldChar w:fldCharType="separate"/>
      </w:r>
      <w:r>
        <w:t>9</w:t>
      </w:r>
      <w:r>
        <w:fldChar w:fldCharType="end"/>
      </w:r>
      <w:r>
        <w:rPr>
          <w:rFonts w:hint="eastAsia" w:ascii="Times New Roman" w:hAnsi="Times New Roman" w:eastAsia="宋体" w:cs="宋体"/>
          <w:color w:val="auto"/>
          <w:szCs w:val="24"/>
        </w:rPr>
        <w:fldChar w:fldCharType="end"/>
      </w:r>
    </w:p>
    <w:p w14:paraId="5EB1652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_Toc10287 </w:instrText>
      </w:r>
      <w:r>
        <w:rPr>
          <w:rFonts w:hint="eastAsia" w:ascii="Times New Roman" w:hAnsi="Times New Roman" w:eastAsia="宋体" w:cs="宋体"/>
          <w:szCs w:val="24"/>
        </w:rPr>
        <w:fldChar w:fldCharType="separate"/>
      </w:r>
      <w:r>
        <w:rPr>
          <w:rFonts w:hint="eastAsia" w:ascii="Times New Roman" w:hAnsi="Times New Roman" w:cs="宋体"/>
          <w:szCs w:val="28"/>
        </w:rPr>
        <w:t>8.发布公告的媒介</w:t>
      </w:r>
      <w:r>
        <w:tab/>
      </w:r>
      <w:r>
        <w:fldChar w:fldCharType="begin"/>
      </w:r>
      <w:r>
        <w:instrText xml:space="preserve"> PAGEREF _Toc10287 \h </w:instrText>
      </w:r>
      <w:r>
        <w:fldChar w:fldCharType="separate"/>
      </w:r>
      <w:r>
        <w:t>9</w:t>
      </w:r>
      <w:r>
        <w:fldChar w:fldCharType="end"/>
      </w:r>
      <w:r>
        <w:rPr>
          <w:rFonts w:hint="eastAsia" w:ascii="Times New Roman" w:hAnsi="Times New Roman" w:eastAsia="宋体" w:cs="宋体"/>
          <w:color w:val="auto"/>
          <w:szCs w:val="24"/>
        </w:rPr>
        <w:fldChar w:fldCharType="end"/>
      </w:r>
    </w:p>
    <w:p w14:paraId="5DCAAC1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_Toc2535 </w:instrText>
      </w:r>
      <w:r>
        <w:rPr>
          <w:rFonts w:hint="eastAsia" w:ascii="Times New Roman" w:hAnsi="Times New Roman" w:eastAsia="宋体" w:cs="宋体"/>
          <w:szCs w:val="24"/>
        </w:rPr>
        <w:fldChar w:fldCharType="separate"/>
      </w:r>
      <w:r>
        <w:rPr>
          <w:rFonts w:hint="eastAsia" w:ascii="Times New Roman" w:hAnsi="Times New Roman" w:cs="宋体"/>
          <w:szCs w:val="28"/>
        </w:rPr>
        <w:t>9.行政监督</w:t>
      </w:r>
      <w:r>
        <w:tab/>
      </w:r>
      <w:r>
        <w:fldChar w:fldCharType="begin"/>
      </w:r>
      <w:r>
        <w:instrText xml:space="preserve"> PAGEREF _Toc2535 \h </w:instrText>
      </w:r>
      <w:r>
        <w:fldChar w:fldCharType="separate"/>
      </w:r>
      <w:r>
        <w:t>9</w:t>
      </w:r>
      <w:r>
        <w:fldChar w:fldCharType="end"/>
      </w:r>
      <w:r>
        <w:rPr>
          <w:rFonts w:hint="eastAsia" w:ascii="Times New Roman" w:hAnsi="Times New Roman" w:eastAsia="宋体" w:cs="宋体"/>
          <w:color w:val="auto"/>
          <w:szCs w:val="24"/>
        </w:rPr>
        <w:fldChar w:fldCharType="end"/>
      </w:r>
    </w:p>
    <w:p w14:paraId="47D9552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_Toc7463 </w:instrText>
      </w:r>
      <w:r>
        <w:rPr>
          <w:rFonts w:hint="eastAsia" w:ascii="Times New Roman" w:hAnsi="Times New Roman" w:eastAsia="宋体" w:cs="宋体"/>
          <w:szCs w:val="24"/>
        </w:rPr>
        <w:fldChar w:fldCharType="separate"/>
      </w:r>
      <w:r>
        <w:rPr>
          <w:rFonts w:hint="eastAsia" w:ascii="Times New Roman" w:hAnsi="Times New Roman" w:cs="宋体"/>
          <w:szCs w:val="28"/>
        </w:rPr>
        <w:t>10. 联系方式</w:t>
      </w:r>
      <w:r>
        <w:tab/>
      </w:r>
      <w:r>
        <w:fldChar w:fldCharType="begin"/>
      </w:r>
      <w:r>
        <w:instrText xml:space="preserve"> PAGEREF _Toc7463 \h </w:instrText>
      </w:r>
      <w:r>
        <w:fldChar w:fldCharType="separate"/>
      </w:r>
      <w:r>
        <w:t>10</w:t>
      </w:r>
      <w:r>
        <w:fldChar w:fldCharType="end"/>
      </w:r>
      <w:r>
        <w:rPr>
          <w:rFonts w:hint="eastAsia" w:ascii="Times New Roman" w:hAnsi="Times New Roman" w:eastAsia="宋体" w:cs="宋体"/>
          <w:color w:val="auto"/>
          <w:szCs w:val="24"/>
        </w:rPr>
        <w:fldChar w:fldCharType="end"/>
      </w:r>
    </w:p>
    <w:p w14:paraId="07CEECF9">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_Toc22431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第二章  投标人须知</w:t>
      </w:r>
      <w:r>
        <w:tab/>
      </w:r>
      <w:r>
        <w:fldChar w:fldCharType="begin"/>
      </w:r>
      <w:r>
        <w:instrText xml:space="preserve"> PAGEREF _Toc22431 \h </w:instrText>
      </w:r>
      <w:r>
        <w:fldChar w:fldCharType="separate"/>
      </w:r>
      <w:r>
        <w:t>11</w:t>
      </w:r>
      <w:r>
        <w:fldChar w:fldCharType="end"/>
      </w:r>
      <w:r>
        <w:rPr>
          <w:rFonts w:hint="eastAsia" w:ascii="Times New Roman" w:hAnsi="Times New Roman" w:eastAsia="宋体" w:cs="宋体"/>
          <w:color w:val="auto"/>
          <w:szCs w:val="24"/>
        </w:rPr>
        <w:fldChar w:fldCharType="end"/>
      </w:r>
    </w:p>
    <w:p w14:paraId="602A023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_Toc13124 </w:instrText>
      </w:r>
      <w:r>
        <w:rPr>
          <w:rFonts w:hint="eastAsia" w:ascii="Times New Roman" w:hAnsi="Times New Roman" w:eastAsia="宋体" w:cs="宋体"/>
          <w:szCs w:val="24"/>
        </w:rPr>
        <w:fldChar w:fldCharType="separate"/>
      </w:r>
      <w:r>
        <w:rPr>
          <w:rFonts w:hint="eastAsia" w:ascii="Times New Roman" w:hAnsi="Times New Roman" w:cs="宋体"/>
          <w:bCs/>
        </w:rPr>
        <w:t>投标人须知前附表</w:t>
      </w:r>
      <w:r>
        <w:tab/>
      </w:r>
      <w:r>
        <w:fldChar w:fldCharType="begin"/>
      </w:r>
      <w:r>
        <w:instrText xml:space="preserve"> PAGEREF _Toc13124 \h </w:instrText>
      </w:r>
      <w:r>
        <w:fldChar w:fldCharType="separate"/>
      </w:r>
      <w:r>
        <w:t>11</w:t>
      </w:r>
      <w:r>
        <w:fldChar w:fldCharType="end"/>
      </w:r>
      <w:r>
        <w:rPr>
          <w:rFonts w:hint="eastAsia" w:ascii="Times New Roman" w:hAnsi="Times New Roman" w:eastAsia="宋体" w:cs="宋体"/>
          <w:color w:val="auto"/>
          <w:szCs w:val="24"/>
        </w:rPr>
        <w:fldChar w:fldCharType="end"/>
      </w:r>
    </w:p>
    <w:p w14:paraId="29454AC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_Toc2076 </w:instrText>
      </w:r>
      <w:r>
        <w:rPr>
          <w:rFonts w:hint="eastAsia" w:ascii="Times New Roman" w:hAnsi="Times New Roman" w:eastAsia="宋体" w:cs="宋体"/>
          <w:szCs w:val="24"/>
        </w:rPr>
        <w:fldChar w:fldCharType="separate"/>
      </w:r>
      <w:r>
        <w:rPr>
          <w:rFonts w:hint="eastAsia" w:ascii="Times New Roman" w:hAnsi="Times New Roman" w:cs="宋体"/>
          <w:szCs w:val="28"/>
        </w:rPr>
        <w:t>1.总则</w:t>
      </w:r>
      <w:r>
        <w:tab/>
      </w:r>
      <w:r>
        <w:fldChar w:fldCharType="begin"/>
      </w:r>
      <w:r>
        <w:instrText xml:space="preserve"> PAGEREF _Toc2076 \h </w:instrText>
      </w:r>
      <w:r>
        <w:fldChar w:fldCharType="separate"/>
      </w:r>
      <w:r>
        <w:t>20</w:t>
      </w:r>
      <w:r>
        <w:fldChar w:fldCharType="end"/>
      </w:r>
      <w:r>
        <w:rPr>
          <w:rFonts w:hint="eastAsia" w:ascii="Times New Roman" w:hAnsi="Times New Roman" w:eastAsia="宋体" w:cs="宋体"/>
          <w:color w:val="auto"/>
          <w:szCs w:val="24"/>
        </w:rPr>
        <w:fldChar w:fldCharType="end"/>
      </w:r>
    </w:p>
    <w:p w14:paraId="3D0A4AD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_Toc30574 </w:instrText>
      </w:r>
      <w:r>
        <w:rPr>
          <w:rFonts w:hint="eastAsia" w:ascii="Times New Roman" w:hAnsi="Times New Roman" w:eastAsia="宋体" w:cs="宋体"/>
          <w:szCs w:val="24"/>
        </w:rPr>
        <w:fldChar w:fldCharType="separate"/>
      </w:r>
      <w:r>
        <w:rPr>
          <w:rFonts w:hint="eastAsia" w:ascii="Times New Roman" w:hAnsi="Times New Roman" w:cs="宋体"/>
          <w:szCs w:val="28"/>
        </w:rPr>
        <w:t>2.招标文件</w:t>
      </w:r>
      <w:r>
        <w:tab/>
      </w:r>
      <w:r>
        <w:fldChar w:fldCharType="begin"/>
      </w:r>
      <w:r>
        <w:instrText xml:space="preserve"> PAGEREF _Toc30574 \h </w:instrText>
      </w:r>
      <w:r>
        <w:fldChar w:fldCharType="separate"/>
      </w:r>
      <w:r>
        <w:t>24</w:t>
      </w:r>
      <w:r>
        <w:fldChar w:fldCharType="end"/>
      </w:r>
      <w:r>
        <w:rPr>
          <w:rFonts w:hint="eastAsia" w:ascii="Times New Roman" w:hAnsi="Times New Roman" w:eastAsia="宋体" w:cs="宋体"/>
          <w:color w:val="auto"/>
          <w:szCs w:val="24"/>
        </w:rPr>
        <w:fldChar w:fldCharType="end"/>
      </w:r>
    </w:p>
    <w:p w14:paraId="76969FC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_Toc12378 </w:instrText>
      </w:r>
      <w:r>
        <w:rPr>
          <w:rFonts w:hint="eastAsia" w:ascii="Times New Roman" w:hAnsi="Times New Roman" w:eastAsia="宋体" w:cs="宋体"/>
          <w:szCs w:val="24"/>
        </w:rPr>
        <w:fldChar w:fldCharType="separate"/>
      </w:r>
      <w:r>
        <w:rPr>
          <w:rFonts w:hint="eastAsia" w:ascii="Times New Roman" w:hAnsi="Times New Roman" w:cs="宋体"/>
          <w:szCs w:val="28"/>
        </w:rPr>
        <w:t>3.投标文件</w:t>
      </w:r>
      <w:r>
        <w:tab/>
      </w:r>
      <w:r>
        <w:fldChar w:fldCharType="begin"/>
      </w:r>
      <w:r>
        <w:instrText xml:space="preserve"> PAGEREF _Toc12378 \h </w:instrText>
      </w:r>
      <w:r>
        <w:fldChar w:fldCharType="separate"/>
      </w:r>
      <w:r>
        <w:t>25</w:t>
      </w:r>
      <w:r>
        <w:fldChar w:fldCharType="end"/>
      </w:r>
      <w:r>
        <w:rPr>
          <w:rFonts w:hint="eastAsia" w:ascii="Times New Roman" w:hAnsi="Times New Roman" w:eastAsia="宋体" w:cs="宋体"/>
          <w:color w:val="auto"/>
          <w:szCs w:val="24"/>
        </w:rPr>
        <w:fldChar w:fldCharType="end"/>
      </w:r>
    </w:p>
    <w:p w14:paraId="40FF7CC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_Toc16283 </w:instrText>
      </w:r>
      <w:r>
        <w:rPr>
          <w:rFonts w:hint="eastAsia" w:ascii="Times New Roman" w:hAnsi="Times New Roman" w:eastAsia="宋体" w:cs="宋体"/>
          <w:szCs w:val="24"/>
        </w:rPr>
        <w:fldChar w:fldCharType="separate"/>
      </w:r>
      <w:r>
        <w:rPr>
          <w:rFonts w:hint="eastAsia" w:ascii="Times New Roman" w:hAnsi="Times New Roman" w:cs="宋体"/>
          <w:szCs w:val="28"/>
        </w:rPr>
        <w:t>4.投标</w:t>
      </w:r>
      <w:r>
        <w:tab/>
      </w:r>
      <w:r>
        <w:fldChar w:fldCharType="begin"/>
      </w:r>
      <w:r>
        <w:instrText xml:space="preserve"> PAGEREF _Toc16283 \h </w:instrText>
      </w:r>
      <w:r>
        <w:fldChar w:fldCharType="separate"/>
      </w:r>
      <w:r>
        <w:t>29</w:t>
      </w:r>
      <w:r>
        <w:fldChar w:fldCharType="end"/>
      </w:r>
      <w:r>
        <w:rPr>
          <w:rFonts w:hint="eastAsia" w:ascii="Times New Roman" w:hAnsi="Times New Roman" w:eastAsia="宋体" w:cs="宋体"/>
          <w:color w:val="auto"/>
          <w:szCs w:val="24"/>
        </w:rPr>
        <w:fldChar w:fldCharType="end"/>
      </w:r>
    </w:p>
    <w:p w14:paraId="0CF2D27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_Toc14268 </w:instrText>
      </w:r>
      <w:r>
        <w:rPr>
          <w:rFonts w:hint="eastAsia" w:ascii="Times New Roman" w:hAnsi="Times New Roman" w:eastAsia="宋体" w:cs="宋体"/>
          <w:szCs w:val="24"/>
        </w:rPr>
        <w:fldChar w:fldCharType="separate"/>
      </w:r>
      <w:r>
        <w:rPr>
          <w:rFonts w:hint="eastAsia" w:ascii="Times New Roman" w:hAnsi="Times New Roman" w:cs="宋体"/>
          <w:szCs w:val="28"/>
        </w:rPr>
        <w:t>5.开标</w:t>
      </w:r>
      <w:r>
        <w:tab/>
      </w:r>
      <w:r>
        <w:fldChar w:fldCharType="begin"/>
      </w:r>
      <w:r>
        <w:instrText xml:space="preserve"> PAGEREF _Toc14268 \h </w:instrText>
      </w:r>
      <w:r>
        <w:fldChar w:fldCharType="separate"/>
      </w:r>
      <w:r>
        <w:t>30</w:t>
      </w:r>
      <w:r>
        <w:fldChar w:fldCharType="end"/>
      </w:r>
      <w:r>
        <w:rPr>
          <w:rFonts w:hint="eastAsia" w:ascii="Times New Roman" w:hAnsi="Times New Roman" w:eastAsia="宋体" w:cs="宋体"/>
          <w:color w:val="auto"/>
          <w:szCs w:val="24"/>
        </w:rPr>
        <w:fldChar w:fldCharType="end"/>
      </w:r>
    </w:p>
    <w:p w14:paraId="66BE0CD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_Toc8670 </w:instrText>
      </w:r>
      <w:r>
        <w:rPr>
          <w:rFonts w:hint="eastAsia" w:ascii="Times New Roman" w:hAnsi="Times New Roman" w:eastAsia="宋体" w:cs="宋体"/>
          <w:szCs w:val="24"/>
        </w:rPr>
        <w:fldChar w:fldCharType="separate"/>
      </w:r>
      <w:r>
        <w:rPr>
          <w:rFonts w:hint="eastAsia" w:ascii="Times New Roman" w:hAnsi="Times New Roman" w:cs="宋体"/>
          <w:szCs w:val="28"/>
        </w:rPr>
        <w:t>6.评标</w:t>
      </w:r>
      <w:r>
        <w:tab/>
      </w:r>
      <w:r>
        <w:fldChar w:fldCharType="begin"/>
      </w:r>
      <w:r>
        <w:instrText xml:space="preserve"> PAGEREF _Toc8670 \h </w:instrText>
      </w:r>
      <w:r>
        <w:fldChar w:fldCharType="separate"/>
      </w:r>
      <w:r>
        <w:t>30</w:t>
      </w:r>
      <w:r>
        <w:fldChar w:fldCharType="end"/>
      </w:r>
      <w:r>
        <w:rPr>
          <w:rFonts w:hint="eastAsia" w:ascii="Times New Roman" w:hAnsi="Times New Roman" w:eastAsia="宋体" w:cs="宋体"/>
          <w:color w:val="auto"/>
          <w:szCs w:val="24"/>
        </w:rPr>
        <w:fldChar w:fldCharType="end"/>
      </w:r>
    </w:p>
    <w:p w14:paraId="43132E3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_Toc24405 </w:instrText>
      </w:r>
      <w:r>
        <w:rPr>
          <w:rFonts w:hint="eastAsia" w:ascii="Times New Roman" w:hAnsi="Times New Roman" w:eastAsia="宋体" w:cs="宋体"/>
          <w:szCs w:val="24"/>
        </w:rPr>
        <w:fldChar w:fldCharType="separate"/>
      </w:r>
      <w:r>
        <w:rPr>
          <w:rFonts w:hint="eastAsia" w:ascii="Times New Roman" w:hAnsi="Times New Roman" w:cs="宋体"/>
          <w:szCs w:val="28"/>
        </w:rPr>
        <w:t>7.合同授予</w:t>
      </w:r>
      <w:r>
        <w:tab/>
      </w:r>
      <w:r>
        <w:fldChar w:fldCharType="begin"/>
      </w:r>
      <w:r>
        <w:instrText xml:space="preserve"> PAGEREF _Toc24405 \h </w:instrText>
      </w:r>
      <w:r>
        <w:fldChar w:fldCharType="separate"/>
      </w:r>
      <w:r>
        <w:t>31</w:t>
      </w:r>
      <w:r>
        <w:fldChar w:fldCharType="end"/>
      </w:r>
      <w:r>
        <w:rPr>
          <w:rFonts w:hint="eastAsia" w:ascii="Times New Roman" w:hAnsi="Times New Roman" w:eastAsia="宋体" w:cs="宋体"/>
          <w:color w:val="auto"/>
          <w:szCs w:val="24"/>
        </w:rPr>
        <w:fldChar w:fldCharType="end"/>
      </w:r>
    </w:p>
    <w:p w14:paraId="6ABD983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_Toc6407 </w:instrText>
      </w:r>
      <w:r>
        <w:rPr>
          <w:rFonts w:hint="eastAsia" w:ascii="Times New Roman" w:hAnsi="Times New Roman" w:eastAsia="宋体" w:cs="宋体"/>
          <w:szCs w:val="24"/>
        </w:rPr>
        <w:fldChar w:fldCharType="separate"/>
      </w:r>
      <w:r>
        <w:rPr>
          <w:rFonts w:hint="eastAsia" w:ascii="Times New Roman" w:hAnsi="Times New Roman" w:cs="宋体"/>
          <w:szCs w:val="28"/>
        </w:rPr>
        <w:t>8.纪律和监督</w:t>
      </w:r>
      <w:r>
        <w:tab/>
      </w:r>
      <w:r>
        <w:fldChar w:fldCharType="begin"/>
      </w:r>
      <w:r>
        <w:instrText xml:space="preserve"> PAGEREF _Toc6407 \h </w:instrText>
      </w:r>
      <w:r>
        <w:fldChar w:fldCharType="separate"/>
      </w:r>
      <w:r>
        <w:t>33</w:t>
      </w:r>
      <w:r>
        <w:fldChar w:fldCharType="end"/>
      </w:r>
      <w:r>
        <w:rPr>
          <w:rFonts w:hint="eastAsia" w:ascii="Times New Roman" w:hAnsi="Times New Roman" w:eastAsia="宋体" w:cs="宋体"/>
          <w:color w:val="auto"/>
          <w:szCs w:val="24"/>
        </w:rPr>
        <w:fldChar w:fldCharType="end"/>
      </w:r>
    </w:p>
    <w:p w14:paraId="45A92EC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_Toc9374 </w:instrText>
      </w:r>
      <w:r>
        <w:rPr>
          <w:rFonts w:hint="eastAsia" w:ascii="Times New Roman" w:hAnsi="Times New Roman" w:eastAsia="宋体" w:cs="宋体"/>
          <w:szCs w:val="24"/>
        </w:rPr>
        <w:fldChar w:fldCharType="separate"/>
      </w:r>
      <w:r>
        <w:rPr>
          <w:rFonts w:hint="eastAsia" w:ascii="Times New Roman" w:hAnsi="Times New Roman" w:cs="宋体"/>
          <w:szCs w:val="28"/>
        </w:rPr>
        <w:t>9.需要补充的其他内容</w:t>
      </w:r>
      <w:r>
        <w:tab/>
      </w:r>
      <w:r>
        <w:fldChar w:fldCharType="begin"/>
      </w:r>
      <w:r>
        <w:instrText xml:space="preserve"> PAGEREF _Toc9374 \h </w:instrText>
      </w:r>
      <w:r>
        <w:fldChar w:fldCharType="separate"/>
      </w:r>
      <w:r>
        <w:t>34</w:t>
      </w:r>
      <w:r>
        <w:fldChar w:fldCharType="end"/>
      </w:r>
      <w:r>
        <w:rPr>
          <w:rFonts w:hint="eastAsia" w:ascii="Times New Roman" w:hAnsi="Times New Roman" w:eastAsia="宋体" w:cs="宋体"/>
          <w:color w:val="auto"/>
          <w:szCs w:val="24"/>
        </w:rPr>
        <w:fldChar w:fldCharType="end"/>
      </w:r>
    </w:p>
    <w:p w14:paraId="2872AF4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_Toc27399 </w:instrText>
      </w:r>
      <w:r>
        <w:rPr>
          <w:rFonts w:hint="eastAsia" w:ascii="Times New Roman" w:hAnsi="Times New Roman" w:eastAsia="宋体" w:cs="宋体"/>
          <w:szCs w:val="24"/>
        </w:rPr>
        <w:fldChar w:fldCharType="separate"/>
      </w:r>
      <w:r>
        <w:rPr>
          <w:rFonts w:hint="eastAsia" w:ascii="宋体" w:hAnsi="宋体" w:cs="宋体"/>
          <w:szCs w:val="20"/>
        </w:rPr>
        <w:t>附件一：招标文件澄清申请函</w:t>
      </w:r>
      <w:r>
        <w:tab/>
      </w:r>
      <w:r>
        <w:fldChar w:fldCharType="begin"/>
      </w:r>
      <w:r>
        <w:instrText xml:space="preserve"> PAGEREF _Toc27399 \h </w:instrText>
      </w:r>
      <w:r>
        <w:fldChar w:fldCharType="separate"/>
      </w:r>
      <w:r>
        <w:t>35</w:t>
      </w:r>
      <w:r>
        <w:fldChar w:fldCharType="end"/>
      </w:r>
      <w:r>
        <w:rPr>
          <w:rFonts w:hint="eastAsia" w:ascii="Times New Roman" w:hAnsi="Times New Roman" w:eastAsia="宋体" w:cs="宋体"/>
          <w:color w:val="auto"/>
          <w:szCs w:val="24"/>
        </w:rPr>
        <w:fldChar w:fldCharType="end"/>
      </w:r>
    </w:p>
    <w:p w14:paraId="58A60A2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_Toc25264 </w:instrText>
      </w:r>
      <w:r>
        <w:rPr>
          <w:rFonts w:hint="eastAsia" w:ascii="Times New Roman" w:hAnsi="Times New Roman" w:eastAsia="宋体" w:cs="宋体"/>
          <w:szCs w:val="24"/>
        </w:rPr>
        <w:fldChar w:fldCharType="separate"/>
      </w:r>
      <w:r>
        <w:rPr>
          <w:szCs w:val="20"/>
        </w:rPr>
        <w:t>附件二</w:t>
      </w:r>
      <w:r>
        <w:rPr>
          <w:rFonts w:hint="eastAsia"/>
          <w:szCs w:val="20"/>
        </w:rPr>
        <w:t>：招标文件澄清通知</w:t>
      </w:r>
      <w:r>
        <w:tab/>
      </w:r>
      <w:r>
        <w:fldChar w:fldCharType="begin"/>
      </w:r>
      <w:r>
        <w:instrText xml:space="preserve"> PAGEREF _Toc25264 \h </w:instrText>
      </w:r>
      <w:r>
        <w:fldChar w:fldCharType="separate"/>
      </w:r>
      <w:r>
        <w:t>36</w:t>
      </w:r>
      <w:r>
        <w:fldChar w:fldCharType="end"/>
      </w:r>
      <w:r>
        <w:rPr>
          <w:rFonts w:hint="eastAsia" w:ascii="Times New Roman" w:hAnsi="Times New Roman" w:eastAsia="宋体" w:cs="宋体"/>
          <w:color w:val="auto"/>
          <w:szCs w:val="24"/>
        </w:rPr>
        <w:fldChar w:fldCharType="end"/>
      </w:r>
    </w:p>
    <w:p w14:paraId="33CF057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_Toc18362 </w:instrText>
      </w:r>
      <w:r>
        <w:rPr>
          <w:rFonts w:hint="eastAsia" w:ascii="Times New Roman" w:hAnsi="Times New Roman" w:eastAsia="宋体" w:cs="宋体"/>
          <w:szCs w:val="24"/>
        </w:rPr>
        <w:fldChar w:fldCharType="separate"/>
      </w:r>
      <w:r>
        <w:rPr>
          <w:szCs w:val="20"/>
        </w:rPr>
        <w:t>附件三</w:t>
      </w:r>
      <w:r>
        <w:rPr>
          <w:rFonts w:hint="eastAsia"/>
          <w:szCs w:val="20"/>
        </w:rPr>
        <w:t>：招标文件修改通知</w:t>
      </w:r>
      <w:r>
        <w:tab/>
      </w:r>
      <w:r>
        <w:fldChar w:fldCharType="begin"/>
      </w:r>
      <w:r>
        <w:instrText xml:space="preserve"> PAGEREF _Toc18362 \h </w:instrText>
      </w:r>
      <w:r>
        <w:fldChar w:fldCharType="separate"/>
      </w:r>
      <w:r>
        <w:t>37</w:t>
      </w:r>
      <w:r>
        <w:fldChar w:fldCharType="end"/>
      </w:r>
      <w:r>
        <w:rPr>
          <w:rFonts w:hint="eastAsia" w:ascii="Times New Roman" w:hAnsi="Times New Roman" w:eastAsia="宋体" w:cs="宋体"/>
          <w:color w:val="auto"/>
          <w:szCs w:val="24"/>
        </w:rPr>
        <w:fldChar w:fldCharType="end"/>
      </w:r>
    </w:p>
    <w:p w14:paraId="7D9F4A7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_Toc28284 </w:instrText>
      </w:r>
      <w:r>
        <w:rPr>
          <w:rFonts w:hint="eastAsia" w:ascii="Times New Roman" w:hAnsi="Times New Roman" w:eastAsia="宋体" w:cs="宋体"/>
          <w:szCs w:val="24"/>
        </w:rPr>
        <w:fldChar w:fldCharType="separate"/>
      </w:r>
      <w:r>
        <w:rPr>
          <w:rFonts w:hint="eastAsia"/>
          <w:szCs w:val="20"/>
        </w:rPr>
        <w:t>附件四：开标记录表</w:t>
      </w:r>
      <w:r>
        <w:tab/>
      </w:r>
      <w:r>
        <w:fldChar w:fldCharType="begin"/>
      </w:r>
      <w:r>
        <w:instrText xml:space="preserve"> PAGEREF _Toc28284 \h </w:instrText>
      </w:r>
      <w:r>
        <w:fldChar w:fldCharType="separate"/>
      </w:r>
      <w:r>
        <w:t>38</w:t>
      </w:r>
      <w:r>
        <w:fldChar w:fldCharType="end"/>
      </w:r>
      <w:r>
        <w:rPr>
          <w:rFonts w:hint="eastAsia" w:ascii="Times New Roman" w:hAnsi="Times New Roman" w:eastAsia="宋体" w:cs="宋体"/>
          <w:color w:val="auto"/>
          <w:szCs w:val="24"/>
        </w:rPr>
        <w:fldChar w:fldCharType="end"/>
      </w:r>
    </w:p>
    <w:p w14:paraId="6452873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_Toc2760 </w:instrText>
      </w:r>
      <w:r>
        <w:rPr>
          <w:rFonts w:hint="eastAsia" w:ascii="Times New Roman" w:hAnsi="Times New Roman" w:eastAsia="宋体" w:cs="宋体"/>
          <w:szCs w:val="24"/>
        </w:rPr>
        <w:fldChar w:fldCharType="separate"/>
      </w:r>
      <w:r>
        <w:rPr>
          <w:rFonts w:hint="eastAsia"/>
          <w:szCs w:val="20"/>
        </w:rPr>
        <w:t>附件五：定标决定</w:t>
      </w:r>
      <w:r>
        <w:tab/>
      </w:r>
      <w:r>
        <w:fldChar w:fldCharType="begin"/>
      </w:r>
      <w:r>
        <w:instrText xml:space="preserve"> PAGEREF _Toc2760 \h </w:instrText>
      </w:r>
      <w:r>
        <w:fldChar w:fldCharType="separate"/>
      </w:r>
      <w:r>
        <w:t>39</w:t>
      </w:r>
      <w:r>
        <w:fldChar w:fldCharType="end"/>
      </w:r>
      <w:r>
        <w:rPr>
          <w:rFonts w:hint="eastAsia" w:ascii="Times New Roman" w:hAnsi="Times New Roman" w:eastAsia="宋体" w:cs="宋体"/>
          <w:color w:val="auto"/>
          <w:szCs w:val="24"/>
        </w:rPr>
        <w:fldChar w:fldCharType="end"/>
      </w:r>
    </w:p>
    <w:p w14:paraId="66D85F0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_Toc3481 </w:instrText>
      </w:r>
      <w:r>
        <w:rPr>
          <w:rFonts w:hint="eastAsia" w:ascii="Times New Roman" w:hAnsi="Times New Roman" w:eastAsia="宋体" w:cs="宋体"/>
          <w:szCs w:val="24"/>
        </w:rPr>
        <w:fldChar w:fldCharType="separate"/>
      </w:r>
      <w:r>
        <w:rPr>
          <w:rFonts w:hint="eastAsia"/>
        </w:rPr>
        <w:t>附件六：中标通知书</w:t>
      </w:r>
      <w:r>
        <w:tab/>
      </w:r>
      <w:r>
        <w:fldChar w:fldCharType="begin"/>
      </w:r>
      <w:r>
        <w:instrText xml:space="preserve"> PAGEREF _Toc3481 \h </w:instrText>
      </w:r>
      <w:r>
        <w:fldChar w:fldCharType="separate"/>
      </w:r>
      <w:r>
        <w:t>40</w:t>
      </w:r>
      <w:r>
        <w:fldChar w:fldCharType="end"/>
      </w:r>
      <w:r>
        <w:rPr>
          <w:rFonts w:hint="eastAsia" w:ascii="Times New Roman" w:hAnsi="Times New Roman" w:eastAsia="宋体" w:cs="宋体"/>
          <w:color w:val="auto"/>
          <w:szCs w:val="24"/>
        </w:rPr>
        <w:fldChar w:fldCharType="end"/>
      </w:r>
    </w:p>
    <w:p w14:paraId="7F7CCE0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_Toc8632 </w:instrText>
      </w:r>
      <w:r>
        <w:rPr>
          <w:rFonts w:hint="eastAsia" w:ascii="Times New Roman" w:hAnsi="Times New Roman" w:eastAsia="宋体" w:cs="宋体"/>
          <w:szCs w:val="24"/>
        </w:rPr>
        <w:fldChar w:fldCharType="separate"/>
      </w:r>
      <w:r>
        <w:t>附件</w:t>
      </w:r>
      <w:r>
        <w:rPr>
          <w:rFonts w:hint="eastAsia"/>
        </w:rPr>
        <w:t>七：中标结果通知书</w:t>
      </w:r>
      <w:r>
        <w:tab/>
      </w:r>
      <w:r>
        <w:fldChar w:fldCharType="begin"/>
      </w:r>
      <w:r>
        <w:instrText xml:space="preserve"> PAGEREF _Toc8632 \h </w:instrText>
      </w:r>
      <w:r>
        <w:fldChar w:fldCharType="separate"/>
      </w:r>
      <w:r>
        <w:t>41</w:t>
      </w:r>
      <w:r>
        <w:fldChar w:fldCharType="end"/>
      </w:r>
      <w:r>
        <w:rPr>
          <w:rFonts w:hint="eastAsia" w:ascii="Times New Roman" w:hAnsi="Times New Roman" w:eastAsia="宋体" w:cs="宋体"/>
          <w:color w:val="auto"/>
          <w:szCs w:val="24"/>
        </w:rPr>
        <w:fldChar w:fldCharType="end"/>
      </w:r>
    </w:p>
    <w:p w14:paraId="2B67E5A8">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_Toc25754 </w:instrText>
      </w:r>
      <w:r>
        <w:rPr>
          <w:rFonts w:hint="eastAsia" w:ascii="Times New Roman" w:hAnsi="Times New Roman" w:eastAsia="宋体" w:cs="宋体"/>
          <w:szCs w:val="24"/>
        </w:rPr>
        <w:fldChar w:fldCharType="separate"/>
      </w:r>
      <w:r>
        <w:rPr>
          <w:rFonts w:hint="eastAsia" w:ascii="Times New Roman" w:hAnsi="Times New Roman" w:eastAsia="宋体" w:cs="Times New Roman"/>
          <w:bCs/>
          <w:szCs w:val="44"/>
        </w:rPr>
        <w:t>第三章 评标办法（综合评估法）</w:t>
      </w:r>
      <w:r>
        <w:tab/>
      </w:r>
      <w:r>
        <w:fldChar w:fldCharType="begin"/>
      </w:r>
      <w:r>
        <w:instrText xml:space="preserve"> PAGEREF _Toc25754 \h </w:instrText>
      </w:r>
      <w:r>
        <w:fldChar w:fldCharType="separate"/>
      </w:r>
      <w:r>
        <w:t>42</w:t>
      </w:r>
      <w:r>
        <w:fldChar w:fldCharType="end"/>
      </w:r>
      <w:r>
        <w:rPr>
          <w:rFonts w:hint="eastAsia" w:ascii="Times New Roman" w:hAnsi="Times New Roman" w:eastAsia="宋体" w:cs="宋体"/>
          <w:color w:val="auto"/>
          <w:szCs w:val="24"/>
        </w:rPr>
        <w:fldChar w:fldCharType="end"/>
      </w:r>
    </w:p>
    <w:p w14:paraId="3D18C92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_Toc24424 </w:instrText>
      </w:r>
      <w:r>
        <w:rPr>
          <w:rFonts w:hint="eastAsia" w:ascii="Times New Roman" w:hAnsi="Times New Roman" w:eastAsia="宋体" w:cs="宋体"/>
          <w:szCs w:val="24"/>
        </w:rPr>
        <w:fldChar w:fldCharType="separate"/>
      </w:r>
      <w:r>
        <w:rPr>
          <w:rFonts w:hint="eastAsia"/>
        </w:rPr>
        <w:t>评标办法前附表</w:t>
      </w:r>
      <w:r>
        <w:tab/>
      </w:r>
      <w:r>
        <w:fldChar w:fldCharType="begin"/>
      </w:r>
      <w:r>
        <w:instrText xml:space="preserve"> PAGEREF _Toc24424 \h </w:instrText>
      </w:r>
      <w:r>
        <w:fldChar w:fldCharType="separate"/>
      </w:r>
      <w:r>
        <w:t>42</w:t>
      </w:r>
      <w:r>
        <w:fldChar w:fldCharType="end"/>
      </w:r>
      <w:r>
        <w:rPr>
          <w:rFonts w:hint="eastAsia" w:ascii="Times New Roman" w:hAnsi="Times New Roman" w:eastAsia="宋体" w:cs="宋体"/>
          <w:color w:val="auto"/>
          <w:szCs w:val="24"/>
        </w:rPr>
        <w:fldChar w:fldCharType="end"/>
      </w:r>
    </w:p>
    <w:p w14:paraId="12DAF83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_Toc8465 </w:instrText>
      </w:r>
      <w:r>
        <w:rPr>
          <w:rFonts w:hint="eastAsia" w:ascii="Times New Roman" w:hAnsi="Times New Roman" w:eastAsia="宋体" w:cs="宋体"/>
          <w:szCs w:val="24"/>
        </w:rPr>
        <w:fldChar w:fldCharType="separate"/>
      </w:r>
      <w:r>
        <w:rPr>
          <w:rFonts w:hint="eastAsia" w:ascii="Times New Roman" w:hAnsi="Times New Roman" w:cs="宋体"/>
          <w:bCs/>
          <w:szCs w:val="21"/>
        </w:rPr>
        <w:t>1.评标办法</w:t>
      </w:r>
      <w:r>
        <w:tab/>
      </w:r>
      <w:r>
        <w:fldChar w:fldCharType="begin"/>
      </w:r>
      <w:r>
        <w:instrText xml:space="preserve"> PAGEREF _Toc8465 \h </w:instrText>
      </w:r>
      <w:r>
        <w:fldChar w:fldCharType="separate"/>
      </w:r>
      <w:r>
        <w:t>46</w:t>
      </w:r>
      <w:r>
        <w:fldChar w:fldCharType="end"/>
      </w:r>
      <w:r>
        <w:rPr>
          <w:rFonts w:hint="eastAsia" w:ascii="Times New Roman" w:hAnsi="Times New Roman" w:eastAsia="宋体" w:cs="宋体"/>
          <w:color w:val="auto"/>
          <w:szCs w:val="24"/>
        </w:rPr>
        <w:fldChar w:fldCharType="end"/>
      </w:r>
    </w:p>
    <w:p w14:paraId="274568B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_Toc4235 </w:instrText>
      </w:r>
      <w:r>
        <w:rPr>
          <w:rFonts w:hint="eastAsia" w:ascii="Times New Roman" w:hAnsi="Times New Roman" w:eastAsia="宋体" w:cs="宋体"/>
          <w:szCs w:val="24"/>
        </w:rPr>
        <w:fldChar w:fldCharType="separate"/>
      </w:r>
      <w:r>
        <w:rPr>
          <w:rFonts w:ascii="Times New Roman" w:hAnsi="Times New Roman" w:cs="宋体"/>
          <w:bCs/>
          <w:szCs w:val="21"/>
        </w:rPr>
        <w:t>2</w:t>
      </w:r>
      <w:r>
        <w:rPr>
          <w:rFonts w:hint="eastAsia" w:ascii="Times New Roman" w:hAnsi="Times New Roman" w:cs="宋体"/>
          <w:bCs/>
          <w:szCs w:val="21"/>
        </w:rPr>
        <w:t>.评审标准</w:t>
      </w:r>
      <w:r>
        <w:rPr>
          <w:rFonts w:ascii="Times New Roman" w:hAnsi="Times New Roman" w:cs="宋体"/>
          <w:bCs/>
          <w:szCs w:val="21"/>
        </w:rPr>
        <w:t xml:space="preserve"> </w:t>
      </w:r>
      <w:r>
        <w:tab/>
      </w:r>
      <w:r>
        <w:fldChar w:fldCharType="begin"/>
      </w:r>
      <w:r>
        <w:instrText xml:space="preserve"> PAGEREF _Toc4235 \h </w:instrText>
      </w:r>
      <w:r>
        <w:fldChar w:fldCharType="separate"/>
      </w:r>
      <w:r>
        <w:t>46</w:t>
      </w:r>
      <w:r>
        <w:fldChar w:fldCharType="end"/>
      </w:r>
      <w:r>
        <w:rPr>
          <w:rFonts w:hint="eastAsia" w:ascii="Times New Roman" w:hAnsi="Times New Roman" w:eastAsia="宋体" w:cs="宋体"/>
          <w:color w:val="auto"/>
          <w:szCs w:val="24"/>
        </w:rPr>
        <w:fldChar w:fldCharType="end"/>
      </w:r>
    </w:p>
    <w:p w14:paraId="3DB6701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_Toc1192 </w:instrText>
      </w:r>
      <w:r>
        <w:rPr>
          <w:rFonts w:hint="eastAsia" w:ascii="Times New Roman" w:hAnsi="Times New Roman" w:eastAsia="宋体" w:cs="宋体"/>
          <w:szCs w:val="24"/>
        </w:rPr>
        <w:fldChar w:fldCharType="separate"/>
      </w:r>
      <w:r>
        <w:rPr>
          <w:rFonts w:ascii="Times New Roman" w:hAnsi="Times New Roman" w:cs="宋体"/>
          <w:bCs/>
          <w:szCs w:val="21"/>
        </w:rPr>
        <w:t>3.</w:t>
      </w:r>
      <w:r>
        <w:rPr>
          <w:rFonts w:hint="eastAsia" w:ascii="Times New Roman" w:hAnsi="Times New Roman" w:cs="宋体"/>
          <w:bCs/>
          <w:szCs w:val="21"/>
        </w:rPr>
        <w:t>评标程序</w:t>
      </w:r>
      <w:r>
        <w:rPr>
          <w:rFonts w:ascii="Times New Roman" w:hAnsi="Times New Roman" w:cs="宋体"/>
          <w:bCs/>
          <w:szCs w:val="21"/>
        </w:rPr>
        <w:t xml:space="preserve"> </w:t>
      </w:r>
      <w:r>
        <w:tab/>
      </w:r>
      <w:r>
        <w:fldChar w:fldCharType="begin"/>
      </w:r>
      <w:r>
        <w:instrText xml:space="preserve"> PAGEREF _Toc1192 \h </w:instrText>
      </w:r>
      <w:r>
        <w:fldChar w:fldCharType="separate"/>
      </w:r>
      <w:r>
        <w:t>47</w:t>
      </w:r>
      <w:r>
        <w:fldChar w:fldCharType="end"/>
      </w:r>
      <w:r>
        <w:rPr>
          <w:rFonts w:hint="eastAsia" w:ascii="Times New Roman" w:hAnsi="Times New Roman" w:eastAsia="宋体" w:cs="宋体"/>
          <w:color w:val="auto"/>
          <w:szCs w:val="24"/>
        </w:rPr>
        <w:fldChar w:fldCharType="end"/>
      </w:r>
    </w:p>
    <w:p w14:paraId="2AD55AEC">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_Toc225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44"/>
        </w:rPr>
        <w:t>第四章  合同条款及格式</w:t>
      </w:r>
      <w:r>
        <w:tab/>
      </w:r>
      <w:r>
        <w:fldChar w:fldCharType="begin"/>
      </w:r>
      <w:r>
        <w:instrText xml:space="preserve"> PAGEREF _Toc225 \h </w:instrText>
      </w:r>
      <w:r>
        <w:fldChar w:fldCharType="separate"/>
      </w:r>
      <w:r>
        <w:t>50</w:t>
      </w:r>
      <w:r>
        <w:fldChar w:fldCharType="end"/>
      </w:r>
      <w:r>
        <w:rPr>
          <w:rFonts w:hint="eastAsia" w:ascii="Times New Roman" w:hAnsi="Times New Roman" w:eastAsia="宋体" w:cs="宋体"/>
          <w:color w:val="auto"/>
          <w:szCs w:val="24"/>
        </w:rPr>
        <w:fldChar w:fldCharType="end"/>
      </w:r>
    </w:p>
    <w:p w14:paraId="25A77C0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_Toc25075 </w:instrText>
      </w:r>
      <w:r>
        <w:rPr>
          <w:rFonts w:hint="eastAsia" w:ascii="Times New Roman" w:hAnsi="Times New Roman" w:eastAsia="宋体" w:cs="宋体"/>
          <w:szCs w:val="24"/>
        </w:rPr>
        <w:fldChar w:fldCharType="separate"/>
      </w:r>
      <w:r>
        <w:rPr>
          <w:rFonts w:hint="eastAsia"/>
        </w:rPr>
        <w:t>（以实际签订的合同为准）</w:t>
      </w:r>
      <w:r>
        <w:tab/>
      </w:r>
      <w:r>
        <w:fldChar w:fldCharType="begin"/>
      </w:r>
      <w:r>
        <w:instrText xml:space="preserve"> PAGEREF _Toc25075 \h </w:instrText>
      </w:r>
      <w:r>
        <w:fldChar w:fldCharType="separate"/>
      </w:r>
      <w:r>
        <w:t>50</w:t>
      </w:r>
      <w:r>
        <w:fldChar w:fldCharType="end"/>
      </w:r>
      <w:r>
        <w:rPr>
          <w:rFonts w:hint="eastAsia" w:ascii="Times New Roman" w:hAnsi="Times New Roman" w:eastAsia="宋体" w:cs="宋体"/>
          <w:color w:val="auto"/>
          <w:szCs w:val="24"/>
        </w:rPr>
        <w:fldChar w:fldCharType="end"/>
      </w:r>
    </w:p>
    <w:p w14:paraId="544B5E4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_Toc24376 </w:instrText>
      </w:r>
      <w:r>
        <w:rPr>
          <w:rFonts w:hint="eastAsia" w:ascii="Times New Roman" w:hAnsi="Times New Roman" w:eastAsia="宋体" w:cs="宋体"/>
          <w:szCs w:val="24"/>
        </w:rPr>
        <w:fldChar w:fldCharType="separate"/>
      </w:r>
      <w:r>
        <w:rPr>
          <w:rFonts w:hint="eastAsia"/>
        </w:rPr>
        <w:t>第一节 通用合同条款</w:t>
      </w:r>
      <w:r>
        <w:tab/>
      </w:r>
      <w:r>
        <w:fldChar w:fldCharType="begin"/>
      </w:r>
      <w:r>
        <w:instrText xml:space="preserve"> PAGEREF _Toc24376 \h </w:instrText>
      </w:r>
      <w:r>
        <w:fldChar w:fldCharType="separate"/>
      </w:r>
      <w:r>
        <w:t>50</w:t>
      </w:r>
      <w:r>
        <w:fldChar w:fldCharType="end"/>
      </w:r>
      <w:r>
        <w:rPr>
          <w:rFonts w:hint="eastAsia" w:ascii="Times New Roman" w:hAnsi="Times New Roman" w:eastAsia="宋体" w:cs="宋体"/>
          <w:color w:val="auto"/>
          <w:szCs w:val="24"/>
        </w:rPr>
        <w:fldChar w:fldCharType="end"/>
      </w:r>
    </w:p>
    <w:p w14:paraId="2AA229B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_Toc24810 </w:instrText>
      </w:r>
      <w:r>
        <w:rPr>
          <w:rFonts w:hint="eastAsia" w:ascii="Times New Roman" w:hAnsi="Times New Roman" w:eastAsia="宋体" w:cs="宋体"/>
          <w:szCs w:val="24"/>
        </w:rPr>
        <w:fldChar w:fldCharType="separate"/>
      </w:r>
      <w:r>
        <w:rPr>
          <w:rFonts w:hint="eastAsia" w:ascii="Times New Roman" w:hAnsi="Times New Roman" w:cs="宋体"/>
          <w:bCs/>
          <w:szCs w:val="24"/>
        </w:rPr>
        <w:t>1.一般约定</w:t>
      </w:r>
      <w:r>
        <w:tab/>
      </w:r>
      <w:r>
        <w:fldChar w:fldCharType="begin"/>
      </w:r>
      <w:r>
        <w:instrText xml:space="preserve"> PAGEREF _Toc24810 \h </w:instrText>
      </w:r>
      <w:r>
        <w:fldChar w:fldCharType="separate"/>
      </w:r>
      <w:r>
        <w:t>50</w:t>
      </w:r>
      <w:r>
        <w:fldChar w:fldCharType="end"/>
      </w:r>
      <w:r>
        <w:rPr>
          <w:rFonts w:hint="eastAsia" w:ascii="Times New Roman" w:hAnsi="Times New Roman" w:eastAsia="宋体" w:cs="宋体"/>
          <w:color w:val="auto"/>
          <w:szCs w:val="24"/>
        </w:rPr>
        <w:fldChar w:fldCharType="end"/>
      </w:r>
    </w:p>
    <w:p w14:paraId="1822569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_Toc7807 </w:instrText>
      </w:r>
      <w:r>
        <w:rPr>
          <w:rFonts w:hint="eastAsia" w:ascii="Times New Roman" w:hAnsi="Times New Roman" w:eastAsia="宋体" w:cs="宋体"/>
          <w:szCs w:val="24"/>
        </w:rPr>
        <w:fldChar w:fldCharType="separate"/>
      </w:r>
      <w:r>
        <w:rPr>
          <w:rFonts w:hint="eastAsia" w:ascii="Times New Roman" w:hAnsi="Times New Roman" w:cs="宋体"/>
          <w:bCs/>
          <w:szCs w:val="24"/>
        </w:rPr>
        <w:t>2.合同范围</w:t>
      </w:r>
      <w:r>
        <w:tab/>
      </w:r>
      <w:r>
        <w:fldChar w:fldCharType="begin"/>
      </w:r>
      <w:r>
        <w:instrText xml:space="preserve"> PAGEREF _Toc7807 \h </w:instrText>
      </w:r>
      <w:r>
        <w:fldChar w:fldCharType="separate"/>
      </w:r>
      <w:r>
        <w:t>53</w:t>
      </w:r>
      <w:r>
        <w:fldChar w:fldCharType="end"/>
      </w:r>
      <w:r>
        <w:rPr>
          <w:rFonts w:hint="eastAsia" w:ascii="Times New Roman" w:hAnsi="Times New Roman" w:eastAsia="宋体" w:cs="宋体"/>
          <w:color w:val="auto"/>
          <w:szCs w:val="24"/>
        </w:rPr>
        <w:fldChar w:fldCharType="end"/>
      </w:r>
    </w:p>
    <w:p w14:paraId="3272169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_Toc20530 </w:instrText>
      </w:r>
      <w:r>
        <w:rPr>
          <w:rFonts w:hint="eastAsia" w:ascii="Times New Roman" w:hAnsi="Times New Roman" w:eastAsia="宋体" w:cs="宋体"/>
          <w:szCs w:val="24"/>
        </w:rPr>
        <w:fldChar w:fldCharType="separate"/>
      </w:r>
      <w:r>
        <w:rPr>
          <w:rFonts w:hint="eastAsia" w:ascii="Times New Roman" w:hAnsi="Times New Roman" w:cs="宋体"/>
          <w:szCs w:val="24"/>
        </w:rPr>
        <w:t>3.合同价格与支付</w:t>
      </w:r>
      <w:r>
        <w:tab/>
      </w:r>
      <w:r>
        <w:fldChar w:fldCharType="begin"/>
      </w:r>
      <w:r>
        <w:instrText xml:space="preserve"> PAGEREF _Toc20530 \h </w:instrText>
      </w:r>
      <w:r>
        <w:fldChar w:fldCharType="separate"/>
      </w:r>
      <w:r>
        <w:t>53</w:t>
      </w:r>
      <w:r>
        <w:fldChar w:fldCharType="end"/>
      </w:r>
      <w:r>
        <w:rPr>
          <w:rFonts w:hint="eastAsia" w:ascii="Times New Roman" w:hAnsi="Times New Roman" w:eastAsia="宋体" w:cs="宋体"/>
          <w:color w:val="auto"/>
          <w:szCs w:val="24"/>
        </w:rPr>
        <w:fldChar w:fldCharType="end"/>
      </w:r>
    </w:p>
    <w:p w14:paraId="179761E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_Toc9331 </w:instrText>
      </w:r>
      <w:r>
        <w:rPr>
          <w:rFonts w:hint="eastAsia" w:ascii="Times New Roman" w:hAnsi="Times New Roman" w:eastAsia="宋体" w:cs="宋体"/>
          <w:szCs w:val="24"/>
        </w:rPr>
        <w:fldChar w:fldCharType="separate"/>
      </w:r>
      <w:r>
        <w:rPr>
          <w:rFonts w:hint="eastAsia" w:ascii="Times New Roman" w:hAnsi="Times New Roman" w:cs="宋体"/>
          <w:szCs w:val="24"/>
        </w:rPr>
        <w:t>4.监造及交货前检验</w:t>
      </w:r>
      <w:r>
        <w:tab/>
      </w:r>
      <w:r>
        <w:fldChar w:fldCharType="begin"/>
      </w:r>
      <w:r>
        <w:instrText xml:space="preserve"> PAGEREF _Toc9331 \h </w:instrText>
      </w:r>
      <w:r>
        <w:fldChar w:fldCharType="separate"/>
      </w:r>
      <w:r>
        <w:t>54</w:t>
      </w:r>
      <w:r>
        <w:fldChar w:fldCharType="end"/>
      </w:r>
      <w:r>
        <w:rPr>
          <w:rFonts w:hint="eastAsia" w:ascii="Times New Roman" w:hAnsi="Times New Roman" w:eastAsia="宋体" w:cs="宋体"/>
          <w:color w:val="auto"/>
          <w:szCs w:val="24"/>
        </w:rPr>
        <w:fldChar w:fldCharType="end"/>
      </w:r>
    </w:p>
    <w:p w14:paraId="7EEE657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_Toc12694 </w:instrText>
      </w:r>
      <w:r>
        <w:rPr>
          <w:rFonts w:hint="eastAsia" w:ascii="Times New Roman" w:hAnsi="Times New Roman" w:eastAsia="宋体" w:cs="宋体"/>
          <w:szCs w:val="24"/>
        </w:rPr>
        <w:fldChar w:fldCharType="separate"/>
      </w:r>
      <w:r>
        <w:rPr>
          <w:rFonts w:hint="eastAsia" w:ascii="Times New Roman" w:hAnsi="Times New Roman" w:cs="宋体"/>
          <w:szCs w:val="24"/>
        </w:rPr>
        <w:t>5.包装、标记、运输和交付</w:t>
      </w:r>
      <w:r>
        <w:tab/>
      </w:r>
      <w:r>
        <w:fldChar w:fldCharType="begin"/>
      </w:r>
      <w:r>
        <w:instrText xml:space="preserve"> PAGEREF _Toc12694 \h </w:instrText>
      </w:r>
      <w:r>
        <w:fldChar w:fldCharType="separate"/>
      </w:r>
      <w:r>
        <w:t>55</w:t>
      </w:r>
      <w:r>
        <w:fldChar w:fldCharType="end"/>
      </w:r>
      <w:r>
        <w:rPr>
          <w:rFonts w:hint="eastAsia" w:ascii="Times New Roman" w:hAnsi="Times New Roman" w:eastAsia="宋体" w:cs="宋体"/>
          <w:color w:val="auto"/>
          <w:szCs w:val="24"/>
        </w:rPr>
        <w:fldChar w:fldCharType="end"/>
      </w:r>
    </w:p>
    <w:p w14:paraId="392A7C3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_Toc23210 </w:instrText>
      </w:r>
      <w:r>
        <w:rPr>
          <w:rFonts w:hint="eastAsia" w:ascii="Times New Roman" w:hAnsi="Times New Roman" w:eastAsia="宋体" w:cs="宋体"/>
          <w:szCs w:val="24"/>
        </w:rPr>
        <w:fldChar w:fldCharType="separate"/>
      </w:r>
      <w:r>
        <w:rPr>
          <w:rFonts w:hint="eastAsia" w:ascii="Times New Roman" w:hAnsi="Times New Roman" w:cs="宋体"/>
          <w:szCs w:val="24"/>
        </w:rPr>
        <w:t>6.开箱检验、安装、调试、考核、验收</w:t>
      </w:r>
      <w:r>
        <w:tab/>
      </w:r>
      <w:r>
        <w:fldChar w:fldCharType="begin"/>
      </w:r>
      <w:r>
        <w:instrText xml:space="preserve"> PAGEREF _Toc23210 \h </w:instrText>
      </w:r>
      <w:r>
        <w:fldChar w:fldCharType="separate"/>
      </w:r>
      <w:r>
        <w:t>57</w:t>
      </w:r>
      <w:r>
        <w:fldChar w:fldCharType="end"/>
      </w:r>
      <w:r>
        <w:rPr>
          <w:rFonts w:hint="eastAsia" w:ascii="Times New Roman" w:hAnsi="Times New Roman" w:eastAsia="宋体" w:cs="宋体"/>
          <w:color w:val="auto"/>
          <w:szCs w:val="24"/>
        </w:rPr>
        <w:fldChar w:fldCharType="end"/>
      </w:r>
    </w:p>
    <w:p w14:paraId="4F65B8C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_Toc25442 </w:instrText>
      </w:r>
      <w:r>
        <w:rPr>
          <w:rFonts w:hint="eastAsia" w:ascii="Times New Roman" w:hAnsi="Times New Roman" w:eastAsia="宋体" w:cs="宋体"/>
          <w:szCs w:val="24"/>
        </w:rPr>
        <w:fldChar w:fldCharType="separate"/>
      </w:r>
      <w:r>
        <w:rPr>
          <w:rFonts w:hint="eastAsia" w:ascii="Times New Roman" w:hAnsi="Times New Roman" w:cs="宋体"/>
          <w:szCs w:val="24"/>
        </w:rPr>
        <w:t>7.技术服务</w:t>
      </w:r>
      <w:r>
        <w:tab/>
      </w:r>
      <w:r>
        <w:fldChar w:fldCharType="begin"/>
      </w:r>
      <w:r>
        <w:instrText xml:space="preserve"> PAGEREF _Toc25442 \h </w:instrText>
      </w:r>
      <w:r>
        <w:fldChar w:fldCharType="separate"/>
      </w:r>
      <w:r>
        <w:t>60</w:t>
      </w:r>
      <w:r>
        <w:fldChar w:fldCharType="end"/>
      </w:r>
      <w:r>
        <w:rPr>
          <w:rFonts w:hint="eastAsia" w:ascii="Times New Roman" w:hAnsi="Times New Roman" w:eastAsia="宋体" w:cs="宋体"/>
          <w:color w:val="auto"/>
          <w:szCs w:val="24"/>
        </w:rPr>
        <w:fldChar w:fldCharType="end"/>
      </w:r>
    </w:p>
    <w:p w14:paraId="695436A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_Toc7439 </w:instrText>
      </w:r>
      <w:r>
        <w:rPr>
          <w:rFonts w:hint="eastAsia" w:ascii="Times New Roman" w:hAnsi="Times New Roman" w:eastAsia="宋体" w:cs="宋体"/>
          <w:szCs w:val="24"/>
        </w:rPr>
        <w:fldChar w:fldCharType="separate"/>
      </w:r>
      <w:r>
        <w:rPr>
          <w:rFonts w:hint="eastAsia" w:ascii="Times New Roman" w:hAnsi="Times New Roman" w:cs="宋体"/>
          <w:szCs w:val="24"/>
        </w:rPr>
        <w:t>8.质量保证期</w:t>
      </w:r>
      <w:r>
        <w:tab/>
      </w:r>
      <w:r>
        <w:fldChar w:fldCharType="begin"/>
      </w:r>
      <w:r>
        <w:instrText xml:space="preserve"> PAGEREF _Toc7439 \h </w:instrText>
      </w:r>
      <w:r>
        <w:fldChar w:fldCharType="separate"/>
      </w:r>
      <w:r>
        <w:t>61</w:t>
      </w:r>
      <w:r>
        <w:fldChar w:fldCharType="end"/>
      </w:r>
      <w:r>
        <w:rPr>
          <w:rFonts w:hint="eastAsia" w:ascii="Times New Roman" w:hAnsi="Times New Roman" w:eastAsia="宋体" w:cs="宋体"/>
          <w:color w:val="auto"/>
          <w:szCs w:val="24"/>
        </w:rPr>
        <w:fldChar w:fldCharType="end"/>
      </w:r>
    </w:p>
    <w:p w14:paraId="7BD9F8D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_Toc5502 </w:instrText>
      </w:r>
      <w:r>
        <w:rPr>
          <w:rFonts w:hint="eastAsia" w:ascii="Times New Roman" w:hAnsi="Times New Roman" w:eastAsia="宋体" w:cs="宋体"/>
          <w:szCs w:val="24"/>
        </w:rPr>
        <w:fldChar w:fldCharType="separate"/>
      </w:r>
      <w:r>
        <w:rPr>
          <w:rFonts w:hint="eastAsia" w:ascii="Times New Roman" w:hAnsi="Times New Roman" w:cs="宋体"/>
          <w:szCs w:val="24"/>
        </w:rPr>
        <w:t>9.质保期服务</w:t>
      </w:r>
      <w:r>
        <w:tab/>
      </w:r>
      <w:r>
        <w:fldChar w:fldCharType="begin"/>
      </w:r>
      <w:r>
        <w:instrText xml:space="preserve"> PAGEREF _Toc5502 \h </w:instrText>
      </w:r>
      <w:r>
        <w:fldChar w:fldCharType="separate"/>
      </w:r>
      <w:r>
        <w:t>61</w:t>
      </w:r>
      <w:r>
        <w:fldChar w:fldCharType="end"/>
      </w:r>
      <w:r>
        <w:rPr>
          <w:rFonts w:hint="eastAsia" w:ascii="Times New Roman" w:hAnsi="Times New Roman" w:eastAsia="宋体" w:cs="宋体"/>
          <w:color w:val="auto"/>
          <w:szCs w:val="24"/>
        </w:rPr>
        <w:fldChar w:fldCharType="end"/>
      </w:r>
    </w:p>
    <w:p w14:paraId="394F539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_Toc6400 </w:instrText>
      </w:r>
      <w:r>
        <w:rPr>
          <w:rFonts w:hint="eastAsia" w:ascii="Times New Roman" w:hAnsi="Times New Roman" w:eastAsia="宋体" w:cs="宋体"/>
          <w:szCs w:val="24"/>
        </w:rPr>
        <w:fldChar w:fldCharType="separate"/>
      </w:r>
      <w:r>
        <w:rPr>
          <w:rFonts w:hint="eastAsia" w:ascii="Times New Roman" w:hAnsi="Times New Roman" w:cs="宋体"/>
          <w:szCs w:val="24"/>
        </w:rPr>
        <w:t>10.履约保证金</w:t>
      </w:r>
      <w:r>
        <w:tab/>
      </w:r>
      <w:r>
        <w:fldChar w:fldCharType="begin"/>
      </w:r>
      <w:r>
        <w:instrText xml:space="preserve"> PAGEREF _Toc6400 \h </w:instrText>
      </w:r>
      <w:r>
        <w:fldChar w:fldCharType="separate"/>
      </w:r>
      <w:r>
        <w:t>62</w:t>
      </w:r>
      <w:r>
        <w:fldChar w:fldCharType="end"/>
      </w:r>
      <w:r>
        <w:rPr>
          <w:rFonts w:hint="eastAsia" w:ascii="Times New Roman" w:hAnsi="Times New Roman" w:eastAsia="宋体" w:cs="宋体"/>
          <w:color w:val="auto"/>
          <w:szCs w:val="24"/>
        </w:rPr>
        <w:fldChar w:fldCharType="end"/>
      </w:r>
    </w:p>
    <w:p w14:paraId="73C94DF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_Toc28794 </w:instrText>
      </w:r>
      <w:r>
        <w:rPr>
          <w:rFonts w:hint="eastAsia" w:ascii="Times New Roman" w:hAnsi="Times New Roman" w:eastAsia="宋体" w:cs="宋体"/>
          <w:szCs w:val="24"/>
        </w:rPr>
        <w:fldChar w:fldCharType="separate"/>
      </w:r>
      <w:r>
        <w:rPr>
          <w:rFonts w:hint="eastAsia" w:ascii="Times New Roman" w:hAnsi="Times New Roman" w:cs="宋体"/>
          <w:szCs w:val="24"/>
        </w:rPr>
        <w:t>11.保证</w:t>
      </w:r>
      <w:r>
        <w:tab/>
      </w:r>
      <w:r>
        <w:fldChar w:fldCharType="begin"/>
      </w:r>
      <w:r>
        <w:instrText xml:space="preserve"> PAGEREF _Toc28794 \h </w:instrText>
      </w:r>
      <w:r>
        <w:fldChar w:fldCharType="separate"/>
      </w:r>
      <w:r>
        <w:t>62</w:t>
      </w:r>
      <w:r>
        <w:fldChar w:fldCharType="end"/>
      </w:r>
      <w:r>
        <w:rPr>
          <w:rFonts w:hint="eastAsia" w:ascii="Times New Roman" w:hAnsi="Times New Roman" w:eastAsia="宋体" w:cs="宋体"/>
          <w:color w:val="auto"/>
          <w:szCs w:val="24"/>
        </w:rPr>
        <w:fldChar w:fldCharType="end"/>
      </w:r>
    </w:p>
    <w:p w14:paraId="101335D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_Toc2744 </w:instrText>
      </w:r>
      <w:r>
        <w:rPr>
          <w:rFonts w:hint="eastAsia" w:ascii="Times New Roman" w:hAnsi="Times New Roman" w:eastAsia="宋体" w:cs="宋体"/>
          <w:szCs w:val="24"/>
        </w:rPr>
        <w:fldChar w:fldCharType="separate"/>
      </w:r>
      <w:r>
        <w:rPr>
          <w:rFonts w:hint="eastAsia" w:ascii="Times New Roman" w:hAnsi="Times New Roman" w:cs="宋体"/>
          <w:szCs w:val="24"/>
        </w:rPr>
        <w:t>12.知识产权</w:t>
      </w:r>
      <w:r>
        <w:tab/>
      </w:r>
      <w:r>
        <w:fldChar w:fldCharType="begin"/>
      </w:r>
      <w:r>
        <w:instrText xml:space="preserve"> PAGEREF _Toc2744 \h </w:instrText>
      </w:r>
      <w:r>
        <w:fldChar w:fldCharType="separate"/>
      </w:r>
      <w:r>
        <w:t>63</w:t>
      </w:r>
      <w:r>
        <w:fldChar w:fldCharType="end"/>
      </w:r>
      <w:r>
        <w:rPr>
          <w:rFonts w:hint="eastAsia" w:ascii="Times New Roman" w:hAnsi="Times New Roman" w:eastAsia="宋体" w:cs="宋体"/>
          <w:color w:val="auto"/>
          <w:szCs w:val="24"/>
        </w:rPr>
        <w:fldChar w:fldCharType="end"/>
      </w:r>
    </w:p>
    <w:p w14:paraId="724FDDD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_Toc17902 </w:instrText>
      </w:r>
      <w:r>
        <w:rPr>
          <w:rFonts w:hint="eastAsia" w:ascii="Times New Roman" w:hAnsi="Times New Roman" w:eastAsia="宋体" w:cs="宋体"/>
          <w:szCs w:val="24"/>
        </w:rPr>
        <w:fldChar w:fldCharType="separate"/>
      </w:r>
      <w:r>
        <w:rPr>
          <w:rFonts w:hint="eastAsia" w:ascii="Times New Roman" w:hAnsi="Times New Roman" w:cs="宋体"/>
          <w:szCs w:val="24"/>
        </w:rPr>
        <w:t>13.保密</w:t>
      </w:r>
      <w:r>
        <w:tab/>
      </w:r>
      <w:r>
        <w:fldChar w:fldCharType="begin"/>
      </w:r>
      <w:r>
        <w:instrText xml:space="preserve"> PAGEREF _Toc17902 \h </w:instrText>
      </w:r>
      <w:r>
        <w:fldChar w:fldCharType="separate"/>
      </w:r>
      <w:r>
        <w:t>64</w:t>
      </w:r>
      <w:r>
        <w:fldChar w:fldCharType="end"/>
      </w:r>
      <w:r>
        <w:rPr>
          <w:rFonts w:hint="eastAsia" w:ascii="Times New Roman" w:hAnsi="Times New Roman" w:eastAsia="宋体" w:cs="宋体"/>
          <w:color w:val="auto"/>
          <w:szCs w:val="24"/>
        </w:rPr>
        <w:fldChar w:fldCharType="end"/>
      </w:r>
    </w:p>
    <w:p w14:paraId="6D0EDBF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_Toc29352 </w:instrText>
      </w:r>
      <w:r>
        <w:rPr>
          <w:rFonts w:hint="eastAsia" w:ascii="Times New Roman" w:hAnsi="Times New Roman" w:eastAsia="宋体" w:cs="宋体"/>
          <w:szCs w:val="24"/>
        </w:rPr>
        <w:fldChar w:fldCharType="separate"/>
      </w:r>
      <w:r>
        <w:rPr>
          <w:rFonts w:hint="eastAsia" w:ascii="Times New Roman" w:hAnsi="Times New Roman" w:cs="宋体"/>
          <w:szCs w:val="24"/>
        </w:rPr>
        <w:t>14.违约责任</w:t>
      </w:r>
      <w:r>
        <w:tab/>
      </w:r>
      <w:r>
        <w:fldChar w:fldCharType="begin"/>
      </w:r>
      <w:r>
        <w:instrText xml:space="preserve"> PAGEREF _Toc29352 \h </w:instrText>
      </w:r>
      <w:r>
        <w:fldChar w:fldCharType="separate"/>
      </w:r>
      <w:r>
        <w:t>64</w:t>
      </w:r>
      <w:r>
        <w:fldChar w:fldCharType="end"/>
      </w:r>
      <w:r>
        <w:rPr>
          <w:rFonts w:hint="eastAsia" w:ascii="Times New Roman" w:hAnsi="Times New Roman" w:eastAsia="宋体" w:cs="宋体"/>
          <w:color w:val="auto"/>
          <w:szCs w:val="24"/>
        </w:rPr>
        <w:fldChar w:fldCharType="end"/>
      </w:r>
    </w:p>
    <w:p w14:paraId="402CF6A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_Toc7384 </w:instrText>
      </w:r>
      <w:r>
        <w:rPr>
          <w:rFonts w:hint="eastAsia" w:ascii="Times New Roman" w:hAnsi="Times New Roman" w:eastAsia="宋体" w:cs="宋体"/>
          <w:szCs w:val="24"/>
        </w:rPr>
        <w:fldChar w:fldCharType="separate"/>
      </w:r>
      <w:r>
        <w:rPr>
          <w:rFonts w:hint="eastAsia" w:ascii="Times New Roman" w:hAnsi="Times New Roman" w:cs="宋体"/>
          <w:szCs w:val="24"/>
        </w:rPr>
        <w:t>15.合同的解除</w:t>
      </w:r>
      <w:r>
        <w:tab/>
      </w:r>
      <w:r>
        <w:fldChar w:fldCharType="begin"/>
      </w:r>
      <w:r>
        <w:instrText xml:space="preserve"> PAGEREF _Toc7384 \h </w:instrText>
      </w:r>
      <w:r>
        <w:fldChar w:fldCharType="separate"/>
      </w:r>
      <w:r>
        <w:t>65</w:t>
      </w:r>
      <w:r>
        <w:fldChar w:fldCharType="end"/>
      </w:r>
      <w:r>
        <w:rPr>
          <w:rFonts w:hint="eastAsia" w:ascii="Times New Roman" w:hAnsi="Times New Roman" w:eastAsia="宋体" w:cs="宋体"/>
          <w:color w:val="auto"/>
          <w:szCs w:val="24"/>
        </w:rPr>
        <w:fldChar w:fldCharType="end"/>
      </w:r>
    </w:p>
    <w:p w14:paraId="4126BA65">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_Toc27364 </w:instrText>
      </w:r>
      <w:r>
        <w:rPr>
          <w:rFonts w:hint="eastAsia" w:ascii="Times New Roman" w:hAnsi="Times New Roman" w:eastAsia="宋体" w:cs="宋体"/>
          <w:szCs w:val="24"/>
        </w:rPr>
        <w:fldChar w:fldCharType="separate"/>
      </w:r>
      <w:r>
        <w:rPr>
          <w:rFonts w:hint="eastAsia" w:ascii="Times New Roman" w:hAnsi="Times New Roman" w:cs="宋体"/>
          <w:szCs w:val="24"/>
        </w:rPr>
        <w:t>16.不可抗力</w:t>
      </w:r>
      <w:r>
        <w:tab/>
      </w:r>
      <w:r>
        <w:fldChar w:fldCharType="begin"/>
      </w:r>
      <w:r>
        <w:instrText xml:space="preserve"> PAGEREF _Toc27364 \h </w:instrText>
      </w:r>
      <w:r>
        <w:fldChar w:fldCharType="separate"/>
      </w:r>
      <w:r>
        <w:t>65</w:t>
      </w:r>
      <w:r>
        <w:fldChar w:fldCharType="end"/>
      </w:r>
      <w:r>
        <w:rPr>
          <w:rFonts w:hint="eastAsia" w:ascii="Times New Roman" w:hAnsi="Times New Roman" w:eastAsia="宋体" w:cs="宋体"/>
          <w:color w:val="auto"/>
          <w:szCs w:val="24"/>
        </w:rPr>
        <w:fldChar w:fldCharType="end"/>
      </w:r>
    </w:p>
    <w:p w14:paraId="61E9980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_Toc16856 </w:instrText>
      </w:r>
      <w:r>
        <w:rPr>
          <w:rFonts w:hint="eastAsia" w:ascii="Times New Roman" w:hAnsi="Times New Roman" w:eastAsia="宋体" w:cs="宋体"/>
          <w:szCs w:val="24"/>
        </w:rPr>
        <w:fldChar w:fldCharType="separate"/>
      </w:r>
      <w:r>
        <w:rPr>
          <w:rFonts w:hint="eastAsia" w:ascii="Times New Roman" w:hAnsi="Times New Roman" w:cs="宋体"/>
          <w:szCs w:val="24"/>
        </w:rPr>
        <w:t>17.争议的解决</w:t>
      </w:r>
      <w:r>
        <w:tab/>
      </w:r>
      <w:r>
        <w:fldChar w:fldCharType="begin"/>
      </w:r>
      <w:r>
        <w:instrText xml:space="preserve"> PAGEREF _Toc16856 \h </w:instrText>
      </w:r>
      <w:r>
        <w:fldChar w:fldCharType="separate"/>
      </w:r>
      <w:r>
        <w:t>66</w:t>
      </w:r>
      <w:r>
        <w:fldChar w:fldCharType="end"/>
      </w:r>
      <w:r>
        <w:rPr>
          <w:rFonts w:hint="eastAsia" w:ascii="Times New Roman" w:hAnsi="Times New Roman" w:eastAsia="宋体" w:cs="宋体"/>
          <w:color w:val="auto"/>
          <w:szCs w:val="24"/>
        </w:rPr>
        <w:fldChar w:fldCharType="end"/>
      </w:r>
    </w:p>
    <w:p w14:paraId="35CDDAA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_Toc17634 </w:instrText>
      </w:r>
      <w:r>
        <w:rPr>
          <w:rFonts w:hint="eastAsia" w:ascii="Times New Roman" w:hAnsi="Times New Roman" w:eastAsia="宋体" w:cs="宋体"/>
          <w:szCs w:val="24"/>
        </w:rPr>
        <w:fldChar w:fldCharType="separate"/>
      </w:r>
      <w:r>
        <w:rPr>
          <w:rFonts w:hint="eastAsia" w:ascii="Times New Roman" w:hAnsi="Times New Roman" w:cs="宋体"/>
          <w:bCs/>
        </w:rPr>
        <w:t>第二节  专用合同条款</w:t>
      </w:r>
      <w:r>
        <w:tab/>
      </w:r>
      <w:r>
        <w:fldChar w:fldCharType="begin"/>
      </w:r>
      <w:r>
        <w:instrText xml:space="preserve"> PAGEREF _Toc17634 \h </w:instrText>
      </w:r>
      <w:r>
        <w:fldChar w:fldCharType="separate"/>
      </w:r>
      <w:r>
        <w:t>67</w:t>
      </w:r>
      <w:r>
        <w:fldChar w:fldCharType="end"/>
      </w:r>
      <w:r>
        <w:rPr>
          <w:rFonts w:hint="eastAsia" w:ascii="Times New Roman" w:hAnsi="Times New Roman" w:eastAsia="宋体" w:cs="宋体"/>
          <w:color w:val="auto"/>
          <w:szCs w:val="24"/>
        </w:rPr>
        <w:fldChar w:fldCharType="end"/>
      </w:r>
    </w:p>
    <w:p w14:paraId="070B01E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_Toc645 </w:instrText>
      </w:r>
      <w:r>
        <w:rPr>
          <w:rFonts w:hint="eastAsia" w:ascii="Times New Roman" w:hAnsi="Times New Roman" w:eastAsia="宋体" w:cs="宋体"/>
          <w:szCs w:val="24"/>
        </w:rPr>
        <w:fldChar w:fldCharType="separate"/>
      </w:r>
      <w:r>
        <w:rPr>
          <w:rFonts w:hint="eastAsia" w:ascii="Times New Roman" w:hAnsi="Times New Roman" w:cs="宋体"/>
          <w:szCs w:val="24"/>
        </w:rPr>
        <w:t>1.一般约定</w:t>
      </w:r>
      <w:r>
        <w:tab/>
      </w:r>
      <w:r>
        <w:fldChar w:fldCharType="begin"/>
      </w:r>
      <w:r>
        <w:instrText xml:space="preserve"> PAGEREF _Toc645 \h </w:instrText>
      </w:r>
      <w:r>
        <w:fldChar w:fldCharType="separate"/>
      </w:r>
      <w:r>
        <w:t>67</w:t>
      </w:r>
      <w:r>
        <w:fldChar w:fldCharType="end"/>
      </w:r>
      <w:r>
        <w:rPr>
          <w:rFonts w:hint="eastAsia" w:ascii="Times New Roman" w:hAnsi="Times New Roman" w:eastAsia="宋体" w:cs="宋体"/>
          <w:color w:val="auto"/>
          <w:szCs w:val="24"/>
        </w:rPr>
        <w:fldChar w:fldCharType="end"/>
      </w:r>
    </w:p>
    <w:p w14:paraId="5B141A4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_Toc6663 </w:instrText>
      </w:r>
      <w:r>
        <w:rPr>
          <w:rFonts w:hint="eastAsia" w:ascii="Times New Roman" w:hAnsi="Times New Roman" w:eastAsia="宋体" w:cs="宋体"/>
          <w:szCs w:val="24"/>
        </w:rPr>
        <w:fldChar w:fldCharType="separate"/>
      </w:r>
      <w:r>
        <w:rPr>
          <w:rFonts w:hint="eastAsia" w:ascii="Times New Roman" w:hAnsi="Times New Roman" w:cs="宋体"/>
          <w:szCs w:val="24"/>
        </w:rPr>
        <w:t>3.合同价格与支付</w:t>
      </w:r>
      <w:r>
        <w:tab/>
      </w:r>
      <w:r>
        <w:fldChar w:fldCharType="begin"/>
      </w:r>
      <w:r>
        <w:instrText xml:space="preserve"> PAGEREF _Toc6663 \h </w:instrText>
      </w:r>
      <w:r>
        <w:fldChar w:fldCharType="separate"/>
      </w:r>
      <w:r>
        <w:t>67</w:t>
      </w:r>
      <w:r>
        <w:fldChar w:fldCharType="end"/>
      </w:r>
      <w:r>
        <w:rPr>
          <w:rFonts w:hint="eastAsia" w:ascii="Times New Roman" w:hAnsi="Times New Roman" w:eastAsia="宋体" w:cs="宋体"/>
          <w:color w:val="auto"/>
          <w:szCs w:val="24"/>
        </w:rPr>
        <w:fldChar w:fldCharType="end"/>
      </w:r>
    </w:p>
    <w:p w14:paraId="3ACB661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_Toc13358 </w:instrText>
      </w:r>
      <w:r>
        <w:rPr>
          <w:rFonts w:hint="eastAsia" w:ascii="Times New Roman" w:hAnsi="Times New Roman" w:eastAsia="宋体" w:cs="宋体"/>
          <w:szCs w:val="24"/>
        </w:rPr>
        <w:fldChar w:fldCharType="separate"/>
      </w:r>
      <w:r>
        <w:rPr>
          <w:rFonts w:hint="eastAsia" w:ascii="Times New Roman" w:hAnsi="Times New Roman" w:cs="宋体"/>
          <w:szCs w:val="24"/>
        </w:rPr>
        <w:t>4.监造及交货前检验</w:t>
      </w:r>
      <w:r>
        <w:tab/>
      </w:r>
      <w:r>
        <w:fldChar w:fldCharType="begin"/>
      </w:r>
      <w:r>
        <w:instrText xml:space="preserve"> PAGEREF _Toc13358 \h </w:instrText>
      </w:r>
      <w:r>
        <w:fldChar w:fldCharType="separate"/>
      </w:r>
      <w:r>
        <w:t>68</w:t>
      </w:r>
      <w:r>
        <w:fldChar w:fldCharType="end"/>
      </w:r>
      <w:r>
        <w:rPr>
          <w:rFonts w:hint="eastAsia" w:ascii="Times New Roman" w:hAnsi="Times New Roman" w:eastAsia="宋体" w:cs="宋体"/>
          <w:color w:val="auto"/>
          <w:szCs w:val="24"/>
        </w:rPr>
        <w:fldChar w:fldCharType="end"/>
      </w:r>
    </w:p>
    <w:p w14:paraId="6707E4FF">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_Toc3554 </w:instrText>
      </w:r>
      <w:r>
        <w:rPr>
          <w:rFonts w:hint="eastAsia" w:ascii="Times New Roman" w:hAnsi="Times New Roman" w:eastAsia="宋体" w:cs="宋体"/>
          <w:szCs w:val="24"/>
        </w:rPr>
        <w:fldChar w:fldCharType="separate"/>
      </w:r>
      <w:r>
        <w:rPr>
          <w:rFonts w:hint="eastAsia" w:ascii="Times New Roman" w:hAnsi="Times New Roman" w:cs="宋体"/>
          <w:szCs w:val="24"/>
        </w:rPr>
        <w:t>5.包装、标记、运输和交付</w:t>
      </w:r>
      <w:r>
        <w:tab/>
      </w:r>
      <w:r>
        <w:fldChar w:fldCharType="begin"/>
      </w:r>
      <w:r>
        <w:instrText xml:space="preserve"> PAGEREF _Toc3554 \h </w:instrText>
      </w:r>
      <w:r>
        <w:fldChar w:fldCharType="separate"/>
      </w:r>
      <w:r>
        <w:t>68</w:t>
      </w:r>
      <w:r>
        <w:fldChar w:fldCharType="end"/>
      </w:r>
      <w:r>
        <w:rPr>
          <w:rFonts w:hint="eastAsia" w:ascii="Times New Roman" w:hAnsi="Times New Roman" w:eastAsia="宋体" w:cs="宋体"/>
          <w:color w:val="auto"/>
          <w:szCs w:val="24"/>
        </w:rPr>
        <w:fldChar w:fldCharType="end"/>
      </w:r>
    </w:p>
    <w:p w14:paraId="3B581CD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_Toc27067 </w:instrText>
      </w:r>
      <w:r>
        <w:rPr>
          <w:rFonts w:hint="eastAsia" w:ascii="Times New Roman" w:hAnsi="Times New Roman" w:eastAsia="宋体" w:cs="宋体"/>
          <w:szCs w:val="24"/>
        </w:rPr>
        <w:fldChar w:fldCharType="separate"/>
      </w:r>
      <w:r>
        <w:rPr>
          <w:rFonts w:hint="eastAsia" w:ascii="Times New Roman" w:hAnsi="Times New Roman" w:cs="宋体"/>
          <w:szCs w:val="24"/>
        </w:rPr>
        <w:t>6.开箱检验、安装、调试、考核、验收</w:t>
      </w:r>
      <w:r>
        <w:tab/>
      </w:r>
      <w:r>
        <w:fldChar w:fldCharType="begin"/>
      </w:r>
      <w:r>
        <w:instrText xml:space="preserve"> PAGEREF _Toc27067 \h </w:instrText>
      </w:r>
      <w:r>
        <w:fldChar w:fldCharType="separate"/>
      </w:r>
      <w:r>
        <w:t>69</w:t>
      </w:r>
      <w:r>
        <w:fldChar w:fldCharType="end"/>
      </w:r>
      <w:r>
        <w:rPr>
          <w:rFonts w:hint="eastAsia" w:ascii="Times New Roman" w:hAnsi="Times New Roman" w:eastAsia="宋体" w:cs="宋体"/>
          <w:color w:val="auto"/>
          <w:szCs w:val="24"/>
        </w:rPr>
        <w:fldChar w:fldCharType="end"/>
      </w:r>
    </w:p>
    <w:p w14:paraId="371397E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_Toc14086 </w:instrText>
      </w:r>
      <w:r>
        <w:rPr>
          <w:rFonts w:hint="eastAsia" w:ascii="Times New Roman" w:hAnsi="Times New Roman" w:eastAsia="宋体" w:cs="宋体"/>
          <w:szCs w:val="24"/>
        </w:rPr>
        <w:fldChar w:fldCharType="separate"/>
      </w:r>
      <w:r>
        <w:rPr>
          <w:rFonts w:hint="eastAsia" w:ascii="Times New Roman" w:hAnsi="Times New Roman" w:cs="宋体"/>
          <w:szCs w:val="24"/>
        </w:rPr>
        <w:t>7.技术服务</w:t>
      </w:r>
      <w:r>
        <w:tab/>
      </w:r>
      <w:r>
        <w:fldChar w:fldCharType="begin"/>
      </w:r>
      <w:r>
        <w:instrText xml:space="preserve"> PAGEREF _Toc14086 \h </w:instrText>
      </w:r>
      <w:r>
        <w:fldChar w:fldCharType="separate"/>
      </w:r>
      <w:r>
        <w:t>70</w:t>
      </w:r>
      <w:r>
        <w:fldChar w:fldCharType="end"/>
      </w:r>
      <w:r>
        <w:rPr>
          <w:rFonts w:hint="eastAsia" w:ascii="Times New Roman" w:hAnsi="Times New Roman" w:eastAsia="宋体" w:cs="宋体"/>
          <w:color w:val="auto"/>
          <w:szCs w:val="24"/>
        </w:rPr>
        <w:fldChar w:fldCharType="end"/>
      </w:r>
    </w:p>
    <w:p w14:paraId="7087753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_Toc6544 </w:instrText>
      </w:r>
      <w:r>
        <w:rPr>
          <w:rFonts w:hint="eastAsia" w:ascii="Times New Roman" w:hAnsi="Times New Roman" w:eastAsia="宋体" w:cs="宋体"/>
          <w:szCs w:val="24"/>
        </w:rPr>
        <w:fldChar w:fldCharType="separate"/>
      </w:r>
      <w:r>
        <w:rPr>
          <w:rFonts w:hint="eastAsia" w:ascii="Times New Roman" w:hAnsi="Times New Roman" w:cs="宋体"/>
          <w:szCs w:val="24"/>
        </w:rPr>
        <w:t>8.质量保证期</w:t>
      </w:r>
      <w:r>
        <w:tab/>
      </w:r>
      <w:r>
        <w:fldChar w:fldCharType="begin"/>
      </w:r>
      <w:r>
        <w:instrText xml:space="preserve"> PAGEREF _Toc6544 \h </w:instrText>
      </w:r>
      <w:r>
        <w:fldChar w:fldCharType="separate"/>
      </w:r>
      <w:r>
        <w:t>70</w:t>
      </w:r>
      <w:r>
        <w:fldChar w:fldCharType="end"/>
      </w:r>
      <w:r>
        <w:rPr>
          <w:rFonts w:hint="eastAsia" w:ascii="Times New Roman" w:hAnsi="Times New Roman" w:eastAsia="宋体" w:cs="宋体"/>
          <w:color w:val="auto"/>
          <w:szCs w:val="24"/>
        </w:rPr>
        <w:fldChar w:fldCharType="end"/>
      </w:r>
    </w:p>
    <w:p w14:paraId="38FE392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_Toc3038 </w:instrText>
      </w:r>
      <w:r>
        <w:rPr>
          <w:rFonts w:hint="eastAsia" w:ascii="Times New Roman" w:hAnsi="Times New Roman" w:eastAsia="宋体" w:cs="宋体"/>
          <w:szCs w:val="24"/>
        </w:rPr>
        <w:fldChar w:fldCharType="separate"/>
      </w:r>
      <w:r>
        <w:rPr>
          <w:rFonts w:hint="eastAsia" w:ascii="Times New Roman" w:hAnsi="Times New Roman" w:cs="宋体"/>
          <w:szCs w:val="24"/>
        </w:rPr>
        <w:t>9.质保期服务</w:t>
      </w:r>
      <w:r>
        <w:tab/>
      </w:r>
      <w:r>
        <w:fldChar w:fldCharType="begin"/>
      </w:r>
      <w:r>
        <w:instrText xml:space="preserve"> PAGEREF _Toc3038 \h </w:instrText>
      </w:r>
      <w:r>
        <w:fldChar w:fldCharType="separate"/>
      </w:r>
      <w:r>
        <w:t>70</w:t>
      </w:r>
      <w:r>
        <w:fldChar w:fldCharType="end"/>
      </w:r>
      <w:r>
        <w:rPr>
          <w:rFonts w:hint="eastAsia" w:ascii="Times New Roman" w:hAnsi="Times New Roman" w:eastAsia="宋体" w:cs="宋体"/>
          <w:color w:val="auto"/>
          <w:szCs w:val="24"/>
        </w:rPr>
        <w:fldChar w:fldCharType="end"/>
      </w:r>
    </w:p>
    <w:p w14:paraId="2C81D47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_Toc23279 </w:instrText>
      </w:r>
      <w:r>
        <w:rPr>
          <w:rFonts w:hint="eastAsia" w:ascii="Times New Roman" w:hAnsi="Times New Roman" w:eastAsia="宋体" w:cs="宋体"/>
          <w:szCs w:val="24"/>
        </w:rPr>
        <w:fldChar w:fldCharType="separate"/>
      </w:r>
      <w:r>
        <w:rPr>
          <w:rFonts w:hint="eastAsia" w:ascii="Times New Roman" w:hAnsi="Times New Roman" w:cs="宋体"/>
          <w:szCs w:val="24"/>
        </w:rPr>
        <w:t>10.履约保证金</w:t>
      </w:r>
      <w:r>
        <w:tab/>
      </w:r>
      <w:r>
        <w:fldChar w:fldCharType="begin"/>
      </w:r>
      <w:r>
        <w:instrText xml:space="preserve"> PAGEREF _Toc23279 \h </w:instrText>
      </w:r>
      <w:r>
        <w:fldChar w:fldCharType="separate"/>
      </w:r>
      <w:r>
        <w:t>70</w:t>
      </w:r>
      <w:r>
        <w:fldChar w:fldCharType="end"/>
      </w:r>
      <w:r>
        <w:rPr>
          <w:rFonts w:hint="eastAsia" w:ascii="Times New Roman" w:hAnsi="Times New Roman" w:eastAsia="宋体" w:cs="宋体"/>
          <w:color w:val="auto"/>
          <w:szCs w:val="24"/>
        </w:rPr>
        <w:fldChar w:fldCharType="end"/>
      </w:r>
    </w:p>
    <w:p w14:paraId="6716284D">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_Toc26919 </w:instrText>
      </w:r>
      <w:r>
        <w:rPr>
          <w:rFonts w:hint="eastAsia" w:ascii="Times New Roman" w:hAnsi="Times New Roman" w:eastAsia="宋体" w:cs="宋体"/>
          <w:szCs w:val="24"/>
        </w:rPr>
        <w:fldChar w:fldCharType="separate"/>
      </w:r>
      <w:r>
        <w:rPr>
          <w:rFonts w:hint="eastAsia" w:ascii="Times New Roman" w:hAnsi="Times New Roman" w:cs="宋体"/>
          <w:szCs w:val="24"/>
        </w:rPr>
        <w:t>11.保证</w:t>
      </w:r>
      <w:r>
        <w:tab/>
      </w:r>
      <w:r>
        <w:fldChar w:fldCharType="begin"/>
      </w:r>
      <w:r>
        <w:instrText xml:space="preserve"> PAGEREF _Toc26919 \h </w:instrText>
      </w:r>
      <w:r>
        <w:fldChar w:fldCharType="separate"/>
      </w:r>
      <w:r>
        <w:t>71</w:t>
      </w:r>
      <w:r>
        <w:fldChar w:fldCharType="end"/>
      </w:r>
      <w:r>
        <w:rPr>
          <w:rFonts w:hint="eastAsia" w:ascii="Times New Roman" w:hAnsi="Times New Roman" w:eastAsia="宋体" w:cs="宋体"/>
          <w:color w:val="auto"/>
          <w:szCs w:val="24"/>
        </w:rPr>
        <w:fldChar w:fldCharType="end"/>
      </w:r>
    </w:p>
    <w:p w14:paraId="228E981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_Toc21094 </w:instrText>
      </w:r>
      <w:r>
        <w:rPr>
          <w:rFonts w:hint="eastAsia" w:ascii="Times New Roman" w:hAnsi="Times New Roman" w:eastAsia="宋体" w:cs="宋体"/>
          <w:szCs w:val="24"/>
        </w:rPr>
        <w:fldChar w:fldCharType="separate"/>
      </w:r>
      <w:r>
        <w:rPr>
          <w:rFonts w:hint="eastAsia" w:ascii="Times New Roman" w:hAnsi="Times New Roman" w:cs="宋体"/>
          <w:szCs w:val="24"/>
        </w:rPr>
        <w:t>12.知识产权</w:t>
      </w:r>
      <w:r>
        <w:tab/>
      </w:r>
      <w:r>
        <w:fldChar w:fldCharType="begin"/>
      </w:r>
      <w:r>
        <w:instrText xml:space="preserve"> PAGEREF _Toc21094 \h </w:instrText>
      </w:r>
      <w:r>
        <w:fldChar w:fldCharType="separate"/>
      </w:r>
      <w:r>
        <w:t>71</w:t>
      </w:r>
      <w:r>
        <w:fldChar w:fldCharType="end"/>
      </w:r>
      <w:r>
        <w:rPr>
          <w:rFonts w:hint="eastAsia" w:ascii="Times New Roman" w:hAnsi="Times New Roman" w:eastAsia="宋体" w:cs="宋体"/>
          <w:color w:val="auto"/>
          <w:szCs w:val="24"/>
        </w:rPr>
        <w:fldChar w:fldCharType="end"/>
      </w:r>
    </w:p>
    <w:p w14:paraId="0F0BA4E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_Toc4709 </w:instrText>
      </w:r>
      <w:r>
        <w:rPr>
          <w:rFonts w:hint="eastAsia" w:ascii="Times New Roman" w:hAnsi="Times New Roman" w:eastAsia="宋体" w:cs="宋体"/>
          <w:szCs w:val="24"/>
        </w:rPr>
        <w:fldChar w:fldCharType="separate"/>
      </w:r>
      <w:r>
        <w:rPr>
          <w:rFonts w:hint="eastAsia" w:ascii="Times New Roman" w:hAnsi="Times New Roman" w:cs="宋体"/>
          <w:szCs w:val="24"/>
        </w:rPr>
        <w:t>14.违约责任</w:t>
      </w:r>
      <w:r>
        <w:tab/>
      </w:r>
      <w:r>
        <w:fldChar w:fldCharType="begin"/>
      </w:r>
      <w:r>
        <w:instrText xml:space="preserve"> PAGEREF _Toc4709 \h </w:instrText>
      </w:r>
      <w:r>
        <w:fldChar w:fldCharType="separate"/>
      </w:r>
      <w:r>
        <w:t>71</w:t>
      </w:r>
      <w:r>
        <w:fldChar w:fldCharType="end"/>
      </w:r>
      <w:r>
        <w:rPr>
          <w:rFonts w:hint="eastAsia" w:ascii="Times New Roman" w:hAnsi="Times New Roman" w:eastAsia="宋体" w:cs="宋体"/>
          <w:color w:val="auto"/>
          <w:szCs w:val="24"/>
        </w:rPr>
        <w:fldChar w:fldCharType="end"/>
      </w:r>
    </w:p>
    <w:p w14:paraId="1FEEB1F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_Toc30951 </w:instrText>
      </w:r>
      <w:r>
        <w:rPr>
          <w:rFonts w:hint="eastAsia" w:ascii="Times New Roman" w:hAnsi="Times New Roman" w:eastAsia="宋体" w:cs="宋体"/>
          <w:szCs w:val="24"/>
        </w:rPr>
        <w:fldChar w:fldCharType="separate"/>
      </w:r>
      <w:r>
        <w:rPr>
          <w:rFonts w:hint="eastAsia" w:ascii="Times New Roman" w:hAnsi="Times New Roman" w:cs="宋体"/>
          <w:szCs w:val="24"/>
        </w:rPr>
        <w:t>15.合同的解除</w:t>
      </w:r>
      <w:r>
        <w:tab/>
      </w:r>
      <w:r>
        <w:fldChar w:fldCharType="begin"/>
      </w:r>
      <w:r>
        <w:instrText xml:space="preserve"> PAGEREF _Toc30951 \h </w:instrText>
      </w:r>
      <w:r>
        <w:fldChar w:fldCharType="separate"/>
      </w:r>
      <w:r>
        <w:t>71</w:t>
      </w:r>
      <w:r>
        <w:fldChar w:fldCharType="end"/>
      </w:r>
      <w:r>
        <w:rPr>
          <w:rFonts w:hint="eastAsia" w:ascii="Times New Roman" w:hAnsi="Times New Roman" w:eastAsia="宋体" w:cs="宋体"/>
          <w:color w:val="auto"/>
          <w:szCs w:val="24"/>
        </w:rPr>
        <w:fldChar w:fldCharType="end"/>
      </w:r>
    </w:p>
    <w:p w14:paraId="6266D5F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_Toc17617 </w:instrText>
      </w:r>
      <w:r>
        <w:rPr>
          <w:rFonts w:hint="eastAsia" w:ascii="Times New Roman" w:hAnsi="Times New Roman" w:eastAsia="宋体" w:cs="宋体"/>
          <w:szCs w:val="24"/>
        </w:rPr>
        <w:fldChar w:fldCharType="separate"/>
      </w:r>
      <w:r>
        <w:rPr>
          <w:rFonts w:hint="eastAsia" w:ascii="Times New Roman" w:hAnsi="Times New Roman" w:cs="宋体"/>
          <w:szCs w:val="24"/>
        </w:rPr>
        <w:t>16.不可抗力</w:t>
      </w:r>
      <w:r>
        <w:tab/>
      </w:r>
      <w:r>
        <w:fldChar w:fldCharType="begin"/>
      </w:r>
      <w:r>
        <w:instrText xml:space="preserve"> PAGEREF _Toc17617 \h </w:instrText>
      </w:r>
      <w:r>
        <w:fldChar w:fldCharType="separate"/>
      </w:r>
      <w:r>
        <w:t>71</w:t>
      </w:r>
      <w:r>
        <w:fldChar w:fldCharType="end"/>
      </w:r>
      <w:r>
        <w:rPr>
          <w:rFonts w:hint="eastAsia" w:ascii="Times New Roman" w:hAnsi="Times New Roman" w:eastAsia="宋体" w:cs="宋体"/>
          <w:color w:val="auto"/>
          <w:szCs w:val="24"/>
        </w:rPr>
        <w:fldChar w:fldCharType="end"/>
      </w:r>
    </w:p>
    <w:p w14:paraId="7175E6C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_Toc18932 </w:instrText>
      </w:r>
      <w:r>
        <w:rPr>
          <w:rFonts w:hint="eastAsia" w:ascii="Times New Roman" w:hAnsi="Times New Roman" w:eastAsia="宋体" w:cs="宋体"/>
          <w:szCs w:val="24"/>
        </w:rPr>
        <w:fldChar w:fldCharType="separate"/>
      </w:r>
      <w:r>
        <w:rPr>
          <w:rFonts w:hint="eastAsia" w:ascii="Times New Roman" w:hAnsi="Times New Roman" w:cs="宋体"/>
          <w:szCs w:val="24"/>
        </w:rPr>
        <w:t>17.争议的解决</w:t>
      </w:r>
      <w:r>
        <w:tab/>
      </w:r>
      <w:r>
        <w:fldChar w:fldCharType="begin"/>
      </w:r>
      <w:r>
        <w:instrText xml:space="preserve"> PAGEREF _Toc18932 \h </w:instrText>
      </w:r>
      <w:r>
        <w:fldChar w:fldCharType="separate"/>
      </w:r>
      <w:r>
        <w:t>71</w:t>
      </w:r>
      <w:r>
        <w:fldChar w:fldCharType="end"/>
      </w:r>
      <w:r>
        <w:rPr>
          <w:rFonts w:hint="eastAsia" w:ascii="Times New Roman" w:hAnsi="Times New Roman" w:eastAsia="宋体" w:cs="宋体"/>
          <w:color w:val="auto"/>
          <w:szCs w:val="24"/>
        </w:rPr>
        <w:fldChar w:fldCharType="end"/>
      </w:r>
    </w:p>
    <w:p w14:paraId="179024A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_Toc31332 </w:instrText>
      </w:r>
      <w:r>
        <w:rPr>
          <w:rFonts w:hint="eastAsia" w:ascii="Times New Roman" w:hAnsi="Times New Roman" w:eastAsia="宋体" w:cs="宋体"/>
          <w:szCs w:val="24"/>
        </w:rPr>
        <w:fldChar w:fldCharType="separate"/>
      </w:r>
      <w:r>
        <w:rPr>
          <w:rFonts w:hint="eastAsia" w:ascii="Times New Roman" w:hAnsi="Times New Roman" w:eastAsia="宋体" w:cs="宋体"/>
          <w:kern w:val="0"/>
          <w:szCs w:val="24"/>
        </w:rPr>
        <w:t>18.……（根据项目情况补充）</w:t>
      </w:r>
      <w:r>
        <w:tab/>
      </w:r>
      <w:r>
        <w:fldChar w:fldCharType="begin"/>
      </w:r>
      <w:r>
        <w:instrText xml:space="preserve"> PAGEREF _Toc31332 \h </w:instrText>
      </w:r>
      <w:r>
        <w:fldChar w:fldCharType="separate"/>
      </w:r>
      <w:r>
        <w:t>71</w:t>
      </w:r>
      <w:r>
        <w:fldChar w:fldCharType="end"/>
      </w:r>
      <w:r>
        <w:rPr>
          <w:rFonts w:hint="eastAsia" w:ascii="Times New Roman" w:hAnsi="Times New Roman" w:eastAsia="宋体" w:cs="宋体"/>
          <w:color w:val="auto"/>
          <w:szCs w:val="24"/>
        </w:rPr>
        <w:fldChar w:fldCharType="end"/>
      </w:r>
    </w:p>
    <w:p w14:paraId="1C3F2AC4">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_Toc19908 </w:instrText>
      </w:r>
      <w:r>
        <w:rPr>
          <w:rFonts w:hint="eastAsia" w:ascii="Times New Roman" w:hAnsi="Times New Roman" w:eastAsia="宋体" w:cs="宋体"/>
          <w:szCs w:val="24"/>
        </w:rPr>
        <w:fldChar w:fldCharType="separate"/>
      </w:r>
      <w:r>
        <w:rPr>
          <w:rFonts w:hint="eastAsia"/>
        </w:rPr>
        <w:t>第三节  合同附件格式</w:t>
      </w:r>
      <w:r>
        <w:tab/>
      </w:r>
      <w:r>
        <w:fldChar w:fldCharType="begin"/>
      </w:r>
      <w:r>
        <w:instrText xml:space="preserve"> PAGEREF _Toc19908 \h </w:instrText>
      </w:r>
      <w:r>
        <w:fldChar w:fldCharType="separate"/>
      </w:r>
      <w:r>
        <w:t>72</w:t>
      </w:r>
      <w:r>
        <w:fldChar w:fldCharType="end"/>
      </w:r>
      <w:r>
        <w:rPr>
          <w:rFonts w:hint="eastAsia" w:ascii="Times New Roman" w:hAnsi="Times New Roman" w:eastAsia="宋体" w:cs="宋体"/>
          <w:color w:val="auto"/>
          <w:szCs w:val="24"/>
        </w:rPr>
        <w:fldChar w:fldCharType="end"/>
      </w:r>
    </w:p>
    <w:p w14:paraId="0EEEF813">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_Toc14500 </w:instrText>
      </w:r>
      <w:r>
        <w:rPr>
          <w:rFonts w:hint="eastAsia" w:ascii="Times New Roman" w:hAnsi="Times New Roman" w:eastAsia="宋体" w:cs="宋体"/>
          <w:szCs w:val="24"/>
        </w:rPr>
        <w:fldChar w:fldCharType="separate"/>
      </w:r>
      <w:r>
        <w:rPr>
          <w:rFonts w:hint="eastAsia" w:ascii="Times New Roman" w:hAnsi="Times New Roman" w:cs="宋体"/>
        </w:rPr>
        <w:t>附件一：合同协议书</w:t>
      </w:r>
      <w:r>
        <w:tab/>
      </w:r>
      <w:r>
        <w:fldChar w:fldCharType="begin"/>
      </w:r>
      <w:r>
        <w:instrText xml:space="preserve"> PAGEREF _Toc14500 \h </w:instrText>
      </w:r>
      <w:r>
        <w:fldChar w:fldCharType="separate"/>
      </w:r>
      <w:r>
        <w:t>73</w:t>
      </w:r>
      <w:r>
        <w:fldChar w:fldCharType="end"/>
      </w:r>
      <w:r>
        <w:rPr>
          <w:rFonts w:hint="eastAsia" w:ascii="Times New Roman" w:hAnsi="Times New Roman" w:eastAsia="宋体" w:cs="宋体"/>
          <w:color w:val="auto"/>
          <w:szCs w:val="24"/>
        </w:rPr>
        <w:fldChar w:fldCharType="end"/>
      </w:r>
    </w:p>
    <w:p w14:paraId="67BD68D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_Toc27548 </w:instrText>
      </w:r>
      <w:r>
        <w:rPr>
          <w:rFonts w:hint="eastAsia" w:ascii="Times New Roman" w:hAnsi="Times New Roman" w:eastAsia="宋体" w:cs="宋体"/>
          <w:szCs w:val="24"/>
        </w:rPr>
        <w:fldChar w:fldCharType="separate"/>
      </w:r>
      <w:r>
        <w:rPr>
          <w:rFonts w:hint="eastAsia" w:ascii="Times New Roman" w:hAnsi="Times New Roman" w:cs="宋体"/>
          <w:bCs/>
        </w:rPr>
        <w:t>附件二：履约保函格式</w:t>
      </w:r>
      <w:r>
        <w:tab/>
      </w:r>
      <w:r>
        <w:fldChar w:fldCharType="begin"/>
      </w:r>
      <w:r>
        <w:instrText xml:space="preserve"> PAGEREF _Toc27548 \h </w:instrText>
      </w:r>
      <w:r>
        <w:fldChar w:fldCharType="separate"/>
      </w:r>
      <w:r>
        <w:t>75</w:t>
      </w:r>
      <w:r>
        <w:fldChar w:fldCharType="end"/>
      </w:r>
      <w:r>
        <w:rPr>
          <w:rFonts w:hint="eastAsia" w:ascii="Times New Roman" w:hAnsi="Times New Roman" w:eastAsia="宋体" w:cs="宋体"/>
          <w:color w:val="auto"/>
          <w:szCs w:val="24"/>
        </w:rPr>
        <w:fldChar w:fldCharType="end"/>
      </w:r>
    </w:p>
    <w:p w14:paraId="1661F838">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_Toc12506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第二卷</w:t>
      </w:r>
      <w:r>
        <w:tab/>
      </w:r>
      <w:r>
        <w:fldChar w:fldCharType="begin"/>
      </w:r>
      <w:r>
        <w:instrText xml:space="preserve"> PAGEREF _Toc12506 \h </w:instrText>
      </w:r>
      <w:r>
        <w:fldChar w:fldCharType="separate"/>
      </w:r>
      <w:r>
        <w:t>76</w:t>
      </w:r>
      <w:r>
        <w:fldChar w:fldCharType="end"/>
      </w:r>
      <w:r>
        <w:rPr>
          <w:rFonts w:hint="eastAsia" w:ascii="Times New Roman" w:hAnsi="Times New Roman" w:eastAsia="宋体" w:cs="宋体"/>
          <w:color w:val="auto"/>
          <w:szCs w:val="24"/>
        </w:rPr>
        <w:fldChar w:fldCharType="end"/>
      </w:r>
    </w:p>
    <w:p w14:paraId="468D4F1A">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_Toc23525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28"/>
        </w:rPr>
        <w:t>第五章  供货要求</w:t>
      </w:r>
      <w:r>
        <w:tab/>
      </w:r>
      <w:r>
        <w:fldChar w:fldCharType="begin"/>
      </w:r>
      <w:r>
        <w:instrText xml:space="preserve"> PAGEREF _Toc23525 \h </w:instrText>
      </w:r>
      <w:r>
        <w:fldChar w:fldCharType="separate"/>
      </w:r>
      <w:r>
        <w:t>77</w:t>
      </w:r>
      <w:r>
        <w:fldChar w:fldCharType="end"/>
      </w:r>
      <w:r>
        <w:rPr>
          <w:rFonts w:hint="eastAsia" w:ascii="Times New Roman" w:hAnsi="Times New Roman" w:eastAsia="宋体" w:cs="宋体"/>
          <w:color w:val="auto"/>
          <w:szCs w:val="24"/>
        </w:rPr>
        <w:fldChar w:fldCharType="end"/>
      </w:r>
    </w:p>
    <w:p w14:paraId="13726E91">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_Toc27362 </w:instrText>
      </w:r>
      <w:r>
        <w:rPr>
          <w:rFonts w:hint="eastAsia" w:ascii="Times New Roman" w:hAnsi="Times New Roman" w:eastAsia="宋体" w:cs="宋体"/>
          <w:szCs w:val="24"/>
        </w:rPr>
        <w:fldChar w:fldCharType="separate"/>
      </w:r>
      <w:r>
        <w:rPr>
          <w:rFonts w:hint="eastAsia" w:ascii="Times New Roman" w:hAnsi="Times New Roman" w:eastAsia="宋体" w:cs="宋体"/>
          <w:szCs w:val="52"/>
        </w:rPr>
        <w:t>第三卷</w:t>
      </w:r>
      <w:r>
        <w:tab/>
      </w:r>
      <w:r>
        <w:fldChar w:fldCharType="begin"/>
      </w:r>
      <w:r>
        <w:instrText xml:space="preserve"> PAGEREF _Toc27362 \h </w:instrText>
      </w:r>
      <w:r>
        <w:fldChar w:fldCharType="separate"/>
      </w:r>
      <w:r>
        <w:t>79</w:t>
      </w:r>
      <w:r>
        <w:fldChar w:fldCharType="end"/>
      </w:r>
      <w:r>
        <w:rPr>
          <w:rFonts w:hint="eastAsia" w:ascii="Times New Roman" w:hAnsi="Times New Roman" w:eastAsia="宋体" w:cs="宋体"/>
          <w:color w:val="auto"/>
          <w:szCs w:val="24"/>
        </w:rPr>
        <w:fldChar w:fldCharType="end"/>
      </w:r>
    </w:p>
    <w:p w14:paraId="33E7CA60">
      <w:pPr>
        <w:pStyle w:val="11"/>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_Toc19517 </w:instrText>
      </w:r>
      <w:r>
        <w:rPr>
          <w:rFonts w:hint="eastAsia" w:ascii="Times New Roman" w:hAnsi="Times New Roman" w:eastAsia="宋体" w:cs="宋体"/>
          <w:szCs w:val="24"/>
        </w:rPr>
        <w:fldChar w:fldCharType="separate"/>
      </w:r>
      <w:r>
        <w:rPr>
          <w:rFonts w:hint="eastAsia" w:ascii="Times New Roman" w:hAnsi="Times New Roman" w:eastAsia="宋体" w:cs="宋体"/>
          <w:bCs/>
          <w:szCs w:val="28"/>
        </w:rPr>
        <w:t>第六章  投标文件格式</w:t>
      </w:r>
      <w:r>
        <w:tab/>
      </w:r>
      <w:r>
        <w:fldChar w:fldCharType="begin"/>
      </w:r>
      <w:r>
        <w:instrText xml:space="preserve"> PAGEREF _Toc19517 \h </w:instrText>
      </w:r>
      <w:r>
        <w:fldChar w:fldCharType="separate"/>
      </w:r>
      <w:r>
        <w:t>80</w:t>
      </w:r>
      <w:r>
        <w:fldChar w:fldCharType="end"/>
      </w:r>
      <w:r>
        <w:rPr>
          <w:rFonts w:hint="eastAsia" w:ascii="Times New Roman" w:hAnsi="Times New Roman" w:eastAsia="宋体" w:cs="宋体"/>
          <w:color w:val="auto"/>
          <w:szCs w:val="24"/>
        </w:rPr>
        <w:fldChar w:fldCharType="end"/>
      </w:r>
    </w:p>
    <w:p w14:paraId="09F0F220">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_Toc300 </w:instrText>
      </w:r>
      <w:r>
        <w:rPr>
          <w:rFonts w:hint="eastAsia" w:ascii="Times New Roman" w:hAnsi="Times New Roman" w:eastAsia="宋体" w:cs="宋体"/>
          <w:szCs w:val="24"/>
        </w:rPr>
        <w:fldChar w:fldCharType="separate"/>
      </w:r>
      <w:r>
        <w:rPr>
          <w:rFonts w:hint="eastAsia" w:ascii="Times New Roman" w:hAnsi="Times New Roman" w:cs="宋体"/>
          <w:szCs w:val="28"/>
        </w:rPr>
        <w:t>目   录</w:t>
      </w:r>
      <w:r>
        <w:tab/>
      </w:r>
      <w:r>
        <w:fldChar w:fldCharType="begin"/>
      </w:r>
      <w:r>
        <w:instrText xml:space="preserve"> PAGEREF _Toc300 \h </w:instrText>
      </w:r>
      <w:r>
        <w:fldChar w:fldCharType="separate"/>
      </w:r>
      <w:r>
        <w:t>82</w:t>
      </w:r>
      <w:r>
        <w:fldChar w:fldCharType="end"/>
      </w:r>
      <w:r>
        <w:rPr>
          <w:rFonts w:hint="eastAsia" w:ascii="Times New Roman" w:hAnsi="Times New Roman" w:eastAsia="宋体" w:cs="宋体"/>
          <w:color w:val="auto"/>
          <w:szCs w:val="24"/>
        </w:rPr>
        <w:fldChar w:fldCharType="end"/>
      </w:r>
    </w:p>
    <w:p w14:paraId="1F555E6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_Toc2961 </w:instrText>
      </w:r>
      <w:r>
        <w:rPr>
          <w:rFonts w:hint="eastAsia" w:ascii="Times New Roman" w:hAnsi="Times New Roman" w:eastAsia="宋体" w:cs="宋体"/>
          <w:szCs w:val="24"/>
        </w:rPr>
        <w:fldChar w:fldCharType="separate"/>
      </w:r>
      <w:r>
        <w:rPr>
          <w:rFonts w:hint="eastAsia" w:ascii="Times New Roman" w:hAnsi="Times New Roman" w:cs="宋体"/>
          <w:bCs/>
          <w:szCs w:val="28"/>
        </w:rPr>
        <w:t>一、投标函</w:t>
      </w:r>
      <w:r>
        <w:tab/>
      </w:r>
      <w:r>
        <w:fldChar w:fldCharType="begin"/>
      </w:r>
      <w:r>
        <w:instrText xml:space="preserve"> PAGEREF _Toc2961 \h </w:instrText>
      </w:r>
      <w:r>
        <w:fldChar w:fldCharType="separate"/>
      </w:r>
      <w:r>
        <w:t>84</w:t>
      </w:r>
      <w:r>
        <w:fldChar w:fldCharType="end"/>
      </w:r>
      <w:r>
        <w:rPr>
          <w:rFonts w:hint="eastAsia" w:ascii="Times New Roman" w:hAnsi="Times New Roman" w:eastAsia="宋体" w:cs="宋体"/>
          <w:color w:val="auto"/>
          <w:szCs w:val="24"/>
        </w:rPr>
        <w:fldChar w:fldCharType="end"/>
      </w:r>
    </w:p>
    <w:p w14:paraId="12F6394A">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_Toc5179 </w:instrText>
      </w:r>
      <w:r>
        <w:rPr>
          <w:rFonts w:hint="eastAsia" w:ascii="Times New Roman" w:hAnsi="Times New Roman" w:eastAsia="宋体" w:cs="宋体"/>
          <w:szCs w:val="24"/>
        </w:rPr>
        <w:fldChar w:fldCharType="separate"/>
      </w:r>
      <w:r>
        <w:rPr>
          <w:rFonts w:hint="eastAsia" w:ascii="Times New Roman" w:hAnsi="Times New Roman" w:cs="宋体"/>
          <w:bCs/>
        </w:rPr>
        <w:t>二、法定代表人（单位负责人）身份证明</w:t>
      </w:r>
      <w:r>
        <w:tab/>
      </w:r>
      <w:r>
        <w:fldChar w:fldCharType="begin"/>
      </w:r>
      <w:r>
        <w:instrText xml:space="preserve"> PAGEREF _Toc5179 \h </w:instrText>
      </w:r>
      <w:r>
        <w:fldChar w:fldCharType="separate"/>
      </w:r>
      <w:r>
        <w:t>86</w:t>
      </w:r>
      <w:r>
        <w:fldChar w:fldCharType="end"/>
      </w:r>
      <w:r>
        <w:rPr>
          <w:rFonts w:hint="eastAsia" w:ascii="Times New Roman" w:hAnsi="Times New Roman" w:eastAsia="宋体" w:cs="宋体"/>
          <w:color w:val="auto"/>
          <w:szCs w:val="24"/>
        </w:rPr>
        <w:fldChar w:fldCharType="end"/>
      </w:r>
    </w:p>
    <w:p w14:paraId="68C9FF2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_Toc22622 </w:instrText>
      </w:r>
      <w:r>
        <w:rPr>
          <w:rFonts w:hint="eastAsia" w:ascii="Times New Roman" w:hAnsi="Times New Roman" w:eastAsia="宋体" w:cs="宋体"/>
          <w:szCs w:val="24"/>
        </w:rPr>
        <w:fldChar w:fldCharType="separate"/>
      </w:r>
      <w:r>
        <w:rPr>
          <w:rFonts w:hint="eastAsia" w:ascii="Times New Roman" w:hAnsi="Times New Roman" w:cs="宋体"/>
          <w:bCs/>
        </w:rPr>
        <w:t>二、授权委托书</w:t>
      </w:r>
      <w:r>
        <w:tab/>
      </w:r>
      <w:r>
        <w:fldChar w:fldCharType="begin"/>
      </w:r>
      <w:r>
        <w:instrText xml:space="preserve"> PAGEREF _Toc22622 \h </w:instrText>
      </w:r>
      <w:r>
        <w:fldChar w:fldCharType="separate"/>
      </w:r>
      <w:r>
        <w:t>87</w:t>
      </w:r>
      <w:r>
        <w:fldChar w:fldCharType="end"/>
      </w:r>
      <w:r>
        <w:rPr>
          <w:rFonts w:hint="eastAsia" w:ascii="Times New Roman" w:hAnsi="Times New Roman" w:eastAsia="宋体" w:cs="宋体"/>
          <w:color w:val="auto"/>
          <w:szCs w:val="24"/>
        </w:rPr>
        <w:fldChar w:fldCharType="end"/>
      </w:r>
    </w:p>
    <w:p w14:paraId="333D795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_Toc12413 </w:instrText>
      </w:r>
      <w:r>
        <w:rPr>
          <w:rFonts w:hint="eastAsia" w:ascii="Times New Roman" w:hAnsi="Times New Roman" w:eastAsia="宋体" w:cs="宋体"/>
          <w:szCs w:val="24"/>
        </w:rPr>
        <w:fldChar w:fldCharType="separate"/>
      </w:r>
      <w:r>
        <w:rPr>
          <w:rFonts w:hint="eastAsia" w:ascii="Times New Roman" w:hAnsi="Times New Roman" w:cs="宋体"/>
          <w:bCs/>
        </w:rPr>
        <w:t>三、联合体协议书（如有）</w:t>
      </w:r>
      <w:r>
        <w:tab/>
      </w:r>
      <w:r>
        <w:fldChar w:fldCharType="begin"/>
      </w:r>
      <w:r>
        <w:instrText xml:space="preserve"> PAGEREF _Toc12413 \h </w:instrText>
      </w:r>
      <w:r>
        <w:fldChar w:fldCharType="separate"/>
      </w:r>
      <w:r>
        <w:t>88</w:t>
      </w:r>
      <w:r>
        <w:fldChar w:fldCharType="end"/>
      </w:r>
      <w:r>
        <w:rPr>
          <w:rFonts w:hint="eastAsia" w:ascii="Times New Roman" w:hAnsi="Times New Roman" w:eastAsia="宋体" w:cs="宋体"/>
          <w:color w:val="auto"/>
          <w:szCs w:val="24"/>
        </w:rPr>
        <w:fldChar w:fldCharType="end"/>
      </w:r>
    </w:p>
    <w:p w14:paraId="210CE73C">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_Toc15802 </w:instrText>
      </w:r>
      <w:r>
        <w:rPr>
          <w:rFonts w:hint="eastAsia" w:ascii="Times New Roman" w:hAnsi="Times New Roman" w:eastAsia="宋体" w:cs="宋体"/>
          <w:szCs w:val="24"/>
        </w:rPr>
        <w:fldChar w:fldCharType="separate"/>
      </w:r>
      <w:r>
        <w:rPr>
          <w:rFonts w:hint="eastAsia" w:ascii="Times New Roman" w:hAnsi="Times New Roman" w:cs="宋体"/>
          <w:bCs/>
        </w:rPr>
        <w:t>四、投标保证金</w:t>
      </w:r>
      <w:r>
        <w:tab/>
      </w:r>
      <w:r>
        <w:fldChar w:fldCharType="begin"/>
      </w:r>
      <w:r>
        <w:instrText xml:space="preserve"> PAGEREF _Toc15802 \h </w:instrText>
      </w:r>
      <w:r>
        <w:fldChar w:fldCharType="separate"/>
      </w:r>
      <w:r>
        <w:t>90</w:t>
      </w:r>
      <w:r>
        <w:fldChar w:fldCharType="end"/>
      </w:r>
      <w:r>
        <w:rPr>
          <w:rFonts w:hint="eastAsia" w:ascii="Times New Roman" w:hAnsi="Times New Roman" w:eastAsia="宋体" w:cs="宋体"/>
          <w:color w:val="auto"/>
          <w:szCs w:val="24"/>
        </w:rPr>
        <w:fldChar w:fldCharType="end"/>
      </w:r>
    </w:p>
    <w:p w14:paraId="4700CB96">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_Toc2981 </w:instrText>
      </w:r>
      <w:r>
        <w:rPr>
          <w:rFonts w:hint="eastAsia" w:ascii="Times New Roman" w:hAnsi="Times New Roman" w:eastAsia="宋体" w:cs="宋体"/>
          <w:szCs w:val="24"/>
        </w:rPr>
        <w:fldChar w:fldCharType="separate"/>
      </w:r>
      <w:r>
        <w:rPr>
          <w:rFonts w:hint="eastAsia" w:ascii="Times New Roman" w:hAnsi="Times New Roman" w:cs="宋体"/>
          <w:bCs/>
        </w:rPr>
        <w:t>五、商务和技术偏差表</w:t>
      </w:r>
      <w:r>
        <w:tab/>
      </w:r>
      <w:r>
        <w:fldChar w:fldCharType="begin"/>
      </w:r>
      <w:r>
        <w:instrText xml:space="preserve"> PAGEREF _Toc2981 \h </w:instrText>
      </w:r>
      <w:r>
        <w:fldChar w:fldCharType="separate"/>
      </w:r>
      <w:r>
        <w:t>91</w:t>
      </w:r>
      <w:r>
        <w:fldChar w:fldCharType="end"/>
      </w:r>
      <w:r>
        <w:rPr>
          <w:rFonts w:hint="eastAsia" w:ascii="Times New Roman" w:hAnsi="Times New Roman" w:eastAsia="宋体" w:cs="宋体"/>
          <w:color w:val="auto"/>
          <w:szCs w:val="24"/>
        </w:rPr>
        <w:fldChar w:fldCharType="end"/>
      </w:r>
    </w:p>
    <w:p w14:paraId="53FAEF27">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_Toc23989 </w:instrText>
      </w:r>
      <w:r>
        <w:rPr>
          <w:rFonts w:hint="eastAsia" w:ascii="Times New Roman" w:hAnsi="Times New Roman" w:eastAsia="宋体" w:cs="宋体"/>
          <w:szCs w:val="24"/>
        </w:rPr>
        <w:fldChar w:fldCharType="separate"/>
      </w:r>
      <w:r>
        <w:rPr>
          <w:rFonts w:hint="eastAsia" w:ascii="Times New Roman" w:hAnsi="Times New Roman" w:cs="宋体"/>
          <w:bCs/>
        </w:rPr>
        <w:t>六、分项报价表</w:t>
      </w:r>
      <w:r>
        <w:tab/>
      </w:r>
      <w:r>
        <w:fldChar w:fldCharType="begin"/>
      </w:r>
      <w:r>
        <w:instrText xml:space="preserve"> PAGEREF _Toc23989 \h </w:instrText>
      </w:r>
      <w:r>
        <w:fldChar w:fldCharType="separate"/>
      </w:r>
      <w:r>
        <w:t>92</w:t>
      </w:r>
      <w:r>
        <w:fldChar w:fldCharType="end"/>
      </w:r>
      <w:r>
        <w:rPr>
          <w:rFonts w:hint="eastAsia" w:ascii="Times New Roman" w:hAnsi="Times New Roman" w:eastAsia="宋体" w:cs="宋体"/>
          <w:color w:val="auto"/>
          <w:szCs w:val="24"/>
        </w:rPr>
        <w:fldChar w:fldCharType="end"/>
      </w:r>
    </w:p>
    <w:p w14:paraId="1685FEB1">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_Toc7678 </w:instrText>
      </w:r>
      <w:r>
        <w:rPr>
          <w:rFonts w:hint="eastAsia" w:ascii="Times New Roman" w:hAnsi="Times New Roman" w:eastAsia="宋体" w:cs="宋体"/>
          <w:szCs w:val="24"/>
        </w:rPr>
        <w:fldChar w:fldCharType="separate"/>
      </w:r>
      <w:r>
        <w:rPr>
          <w:rFonts w:hint="eastAsia" w:ascii="Times New Roman" w:hAnsi="Times New Roman" w:cs="宋体"/>
          <w:bCs/>
        </w:rPr>
        <w:t>七、资格审查资料</w:t>
      </w:r>
      <w:r>
        <w:tab/>
      </w:r>
      <w:r>
        <w:fldChar w:fldCharType="begin"/>
      </w:r>
      <w:r>
        <w:instrText xml:space="preserve"> PAGEREF _Toc7678 \h </w:instrText>
      </w:r>
      <w:r>
        <w:fldChar w:fldCharType="separate"/>
      </w:r>
      <w:r>
        <w:t>94</w:t>
      </w:r>
      <w:r>
        <w:fldChar w:fldCharType="end"/>
      </w:r>
      <w:r>
        <w:rPr>
          <w:rFonts w:hint="eastAsia" w:ascii="Times New Roman" w:hAnsi="Times New Roman" w:eastAsia="宋体" w:cs="宋体"/>
          <w:color w:val="auto"/>
          <w:szCs w:val="24"/>
        </w:rPr>
        <w:fldChar w:fldCharType="end"/>
      </w:r>
    </w:p>
    <w:p w14:paraId="6F18129B">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_Toc15333 </w:instrText>
      </w:r>
      <w:r>
        <w:rPr>
          <w:rFonts w:hint="eastAsia" w:ascii="Times New Roman" w:hAnsi="Times New Roman" w:eastAsia="宋体" w:cs="宋体"/>
          <w:szCs w:val="24"/>
        </w:rPr>
        <w:fldChar w:fldCharType="separate"/>
      </w:r>
      <w:r>
        <w:rPr>
          <w:rFonts w:hint="eastAsia" w:ascii="Times New Roman" w:hAnsi="Times New Roman" w:cs="宋体"/>
          <w:bCs/>
        </w:rPr>
        <w:t>八、投标设备技术性能指标的详细描述</w:t>
      </w:r>
      <w:r>
        <w:tab/>
      </w:r>
      <w:r>
        <w:fldChar w:fldCharType="begin"/>
      </w:r>
      <w:r>
        <w:instrText xml:space="preserve"> PAGEREF _Toc15333 \h </w:instrText>
      </w:r>
      <w:r>
        <w:fldChar w:fldCharType="separate"/>
      </w:r>
      <w:r>
        <w:t>104</w:t>
      </w:r>
      <w:r>
        <w:fldChar w:fldCharType="end"/>
      </w:r>
      <w:r>
        <w:rPr>
          <w:rFonts w:hint="eastAsia" w:ascii="Times New Roman" w:hAnsi="Times New Roman" w:eastAsia="宋体" w:cs="宋体"/>
          <w:color w:val="auto"/>
          <w:szCs w:val="24"/>
        </w:rPr>
        <w:fldChar w:fldCharType="end"/>
      </w:r>
    </w:p>
    <w:p w14:paraId="6001754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_Toc32608 </w:instrText>
      </w:r>
      <w:r>
        <w:rPr>
          <w:rFonts w:hint="eastAsia" w:ascii="Times New Roman" w:hAnsi="Times New Roman" w:eastAsia="宋体" w:cs="宋体"/>
          <w:szCs w:val="24"/>
        </w:rPr>
        <w:fldChar w:fldCharType="separate"/>
      </w:r>
      <w:r>
        <w:rPr>
          <w:rFonts w:hint="eastAsia" w:ascii="Times New Roman" w:hAnsi="Times New Roman" w:cs="宋体"/>
          <w:bCs/>
        </w:rPr>
        <w:t>九、技术支持资料</w:t>
      </w:r>
      <w:r>
        <w:tab/>
      </w:r>
      <w:r>
        <w:fldChar w:fldCharType="begin"/>
      </w:r>
      <w:r>
        <w:instrText xml:space="preserve"> PAGEREF _Toc32608 \h </w:instrText>
      </w:r>
      <w:r>
        <w:fldChar w:fldCharType="separate"/>
      </w:r>
      <w:r>
        <w:t>105</w:t>
      </w:r>
      <w:r>
        <w:fldChar w:fldCharType="end"/>
      </w:r>
      <w:r>
        <w:rPr>
          <w:rFonts w:hint="eastAsia" w:ascii="Times New Roman" w:hAnsi="Times New Roman" w:eastAsia="宋体" w:cs="宋体"/>
          <w:color w:val="auto"/>
          <w:szCs w:val="24"/>
        </w:rPr>
        <w:fldChar w:fldCharType="end"/>
      </w:r>
    </w:p>
    <w:p w14:paraId="1F5CC43E">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_Toc28939 </w:instrText>
      </w:r>
      <w:r>
        <w:rPr>
          <w:rFonts w:hint="eastAsia" w:ascii="Times New Roman" w:hAnsi="Times New Roman" w:eastAsia="宋体" w:cs="宋体"/>
          <w:szCs w:val="24"/>
        </w:rPr>
        <w:fldChar w:fldCharType="separate"/>
      </w:r>
      <w:r>
        <w:rPr>
          <w:rFonts w:hint="eastAsia" w:ascii="Times New Roman" w:hAnsi="Times New Roman" w:cs="宋体"/>
          <w:bCs/>
        </w:rPr>
        <w:t>十、技术服务和质保期服务计划</w:t>
      </w:r>
      <w:r>
        <w:tab/>
      </w:r>
      <w:r>
        <w:fldChar w:fldCharType="begin"/>
      </w:r>
      <w:r>
        <w:instrText xml:space="preserve"> PAGEREF _Toc28939 \h </w:instrText>
      </w:r>
      <w:r>
        <w:fldChar w:fldCharType="separate"/>
      </w:r>
      <w:r>
        <w:t>106</w:t>
      </w:r>
      <w:r>
        <w:fldChar w:fldCharType="end"/>
      </w:r>
      <w:r>
        <w:rPr>
          <w:rFonts w:hint="eastAsia" w:ascii="Times New Roman" w:hAnsi="Times New Roman" w:eastAsia="宋体" w:cs="宋体"/>
          <w:color w:val="auto"/>
          <w:szCs w:val="24"/>
        </w:rPr>
        <w:fldChar w:fldCharType="end"/>
      </w:r>
    </w:p>
    <w:p w14:paraId="2A4B4998">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_Toc27812 </w:instrText>
      </w:r>
      <w:r>
        <w:rPr>
          <w:rFonts w:hint="eastAsia" w:ascii="Times New Roman" w:hAnsi="Times New Roman" w:eastAsia="宋体" w:cs="宋体"/>
          <w:szCs w:val="24"/>
        </w:rPr>
        <w:fldChar w:fldCharType="separate"/>
      </w:r>
      <w:r>
        <w:rPr>
          <w:rFonts w:hint="eastAsia" w:ascii="Times New Roman" w:hAnsi="Times New Roman" w:cs="宋体"/>
          <w:bCs/>
        </w:rPr>
        <w:t>十一、其他资料</w:t>
      </w:r>
      <w:r>
        <w:tab/>
      </w:r>
      <w:r>
        <w:fldChar w:fldCharType="begin"/>
      </w:r>
      <w:r>
        <w:instrText xml:space="preserve"> PAGEREF _Toc27812 \h </w:instrText>
      </w:r>
      <w:r>
        <w:fldChar w:fldCharType="separate"/>
      </w:r>
      <w:r>
        <w:t>108</w:t>
      </w:r>
      <w:r>
        <w:fldChar w:fldCharType="end"/>
      </w:r>
      <w:r>
        <w:rPr>
          <w:rFonts w:hint="eastAsia" w:ascii="Times New Roman" w:hAnsi="Times New Roman" w:eastAsia="宋体" w:cs="宋体"/>
          <w:color w:val="auto"/>
          <w:szCs w:val="24"/>
        </w:rPr>
        <w:fldChar w:fldCharType="end"/>
      </w:r>
    </w:p>
    <w:p w14:paraId="3BF47B29">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_Toc14651 </w:instrText>
      </w:r>
      <w:r>
        <w:rPr>
          <w:rFonts w:hint="eastAsia" w:ascii="Times New Roman" w:hAnsi="Times New Roman" w:eastAsia="宋体" w:cs="宋体"/>
          <w:szCs w:val="24"/>
        </w:rPr>
        <w:fldChar w:fldCharType="separate"/>
      </w:r>
      <w:r>
        <w:rPr>
          <w:rFonts w:hint="eastAsia" w:ascii="Times New Roman" w:hAnsi="Times New Roman" w:eastAsia="宋体" w:cs="宋体"/>
        </w:rPr>
        <w:t>（一）投标人告知承诺函</w:t>
      </w:r>
      <w:r>
        <w:tab/>
      </w:r>
      <w:r>
        <w:fldChar w:fldCharType="begin"/>
      </w:r>
      <w:r>
        <w:instrText xml:space="preserve"> PAGEREF _Toc14651 \h </w:instrText>
      </w:r>
      <w:r>
        <w:fldChar w:fldCharType="separate"/>
      </w:r>
      <w:r>
        <w:t>108</w:t>
      </w:r>
      <w:r>
        <w:fldChar w:fldCharType="end"/>
      </w:r>
      <w:r>
        <w:rPr>
          <w:rFonts w:hint="eastAsia" w:ascii="Times New Roman" w:hAnsi="Times New Roman" w:eastAsia="宋体" w:cs="宋体"/>
          <w:color w:val="auto"/>
          <w:szCs w:val="24"/>
        </w:rPr>
        <w:fldChar w:fldCharType="end"/>
      </w:r>
    </w:p>
    <w:p w14:paraId="4BCCAB82">
      <w:pPr>
        <w:pStyle w:val="13"/>
        <w:tabs>
          <w:tab w:val="right" w:leader="dot" w:pos="9070"/>
        </w:tabs>
      </w:pPr>
      <w:r>
        <w:rPr>
          <w:rFonts w:hint="eastAsia" w:ascii="Times New Roman" w:hAnsi="Times New Roman" w:eastAsia="宋体" w:cs="宋体"/>
          <w:color w:val="auto"/>
          <w:szCs w:val="24"/>
        </w:rPr>
        <w:fldChar w:fldCharType="begin"/>
      </w:r>
      <w:r>
        <w:rPr>
          <w:rFonts w:hint="eastAsia" w:ascii="Times New Roman" w:hAnsi="Times New Roman" w:eastAsia="宋体" w:cs="宋体"/>
          <w:szCs w:val="24"/>
        </w:rPr>
        <w:instrText xml:space="preserve"> HYPERLINK \l _Toc16835 </w:instrText>
      </w:r>
      <w:r>
        <w:rPr>
          <w:rFonts w:hint="eastAsia" w:ascii="Times New Roman" w:hAnsi="Times New Roman" w:eastAsia="宋体" w:cs="宋体"/>
          <w:szCs w:val="24"/>
        </w:rPr>
        <w:fldChar w:fldCharType="separate"/>
      </w:r>
      <w:r>
        <w:rPr>
          <w:rFonts w:hint="eastAsia" w:ascii="Times New Roman" w:hAnsi="Times New Roman" w:eastAsia="宋体" w:cs="宋体"/>
        </w:rPr>
        <w:t>（二） 其它</w:t>
      </w:r>
      <w:r>
        <w:tab/>
      </w:r>
      <w:r>
        <w:fldChar w:fldCharType="begin"/>
      </w:r>
      <w:r>
        <w:instrText xml:space="preserve"> PAGEREF _Toc16835 \h </w:instrText>
      </w:r>
      <w:r>
        <w:fldChar w:fldCharType="separate"/>
      </w:r>
      <w:r>
        <w:t>110</w:t>
      </w:r>
      <w:r>
        <w:fldChar w:fldCharType="end"/>
      </w:r>
      <w:r>
        <w:rPr>
          <w:rFonts w:hint="eastAsia" w:ascii="Times New Roman" w:hAnsi="Times New Roman" w:eastAsia="宋体" w:cs="宋体"/>
          <w:color w:val="auto"/>
          <w:szCs w:val="24"/>
        </w:rPr>
        <w:fldChar w:fldCharType="end"/>
      </w:r>
    </w:p>
    <w:p w14:paraId="4E0B0D77">
      <w:pPr>
        <w:widowControl w:val="0"/>
        <w:adjustRightInd w:val="0"/>
        <w:snapToGrid w:val="0"/>
        <w:spacing w:after="0" w:line="400" w:lineRule="exact"/>
        <w:rPr>
          <w:rFonts w:ascii="Times New Roman" w:hAnsi="Times New Roman" w:eastAsia="宋体" w:cs="宋体"/>
          <w:color w:val="auto"/>
          <w:sz w:val="21"/>
          <w:szCs w:val="21"/>
        </w:rPr>
      </w:pPr>
      <w:r>
        <w:rPr>
          <w:rFonts w:hint="eastAsia" w:ascii="Times New Roman" w:hAnsi="Times New Roman" w:eastAsia="宋体" w:cs="宋体"/>
          <w:color w:val="auto"/>
          <w:szCs w:val="24"/>
        </w:rPr>
        <w:fldChar w:fldCharType="end"/>
      </w:r>
    </w:p>
    <w:p w14:paraId="19107D94">
      <w:pPr>
        <w:widowControl w:val="0"/>
        <w:adjustRightInd w:val="0"/>
        <w:snapToGrid w:val="0"/>
        <w:spacing w:after="0"/>
        <w:rPr>
          <w:rFonts w:ascii="Times New Roman" w:hAnsi="Times New Roman" w:eastAsia="宋体" w:cs="宋体"/>
          <w:color w:val="auto"/>
        </w:rPr>
        <w:sectPr>
          <w:headerReference r:id="rId5" w:type="default"/>
          <w:footerReference r:id="rId6" w:type="default"/>
          <w:pgSz w:w="11906" w:h="16838"/>
          <w:pgMar w:top="1701" w:right="1418" w:bottom="1701" w:left="1418" w:header="737" w:footer="850" w:gutter="0"/>
          <w:pgNumType w:start="1"/>
          <w:cols w:space="720" w:num="1"/>
        </w:sectPr>
      </w:pPr>
    </w:p>
    <w:p w14:paraId="28AE4719">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b/>
          <w:color w:val="auto"/>
          <w:sz w:val="44"/>
        </w:rPr>
        <w:t xml:space="preserve"> </w:t>
      </w:r>
    </w:p>
    <w:p w14:paraId="40EA43A1">
      <w:pPr>
        <w:widowControl w:val="0"/>
        <w:adjustRightInd w:val="0"/>
        <w:snapToGrid w:val="0"/>
        <w:spacing w:after="0"/>
        <w:rPr>
          <w:rFonts w:ascii="Times New Roman" w:hAnsi="Times New Roman" w:eastAsia="宋体" w:cs="宋体"/>
          <w:b/>
          <w:color w:val="auto"/>
          <w:sz w:val="44"/>
        </w:rPr>
      </w:pPr>
    </w:p>
    <w:p w14:paraId="76313E25">
      <w:pPr>
        <w:widowControl w:val="0"/>
        <w:adjustRightInd w:val="0"/>
        <w:snapToGrid w:val="0"/>
        <w:spacing w:after="0"/>
        <w:rPr>
          <w:rFonts w:ascii="Times New Roman" w:hAnsi="Times New Roman" w:eastAsia="宋体" w:cs="宋体"/>
          <w:b/>
          <w:color w:val="auto"/>
          <w:sz w:val="44"/>
        </w:rPr>
      </w:pPr>
    </w:p>
    <w:p w14:paraId="5A29F64B">
      <w:pPr>
        <w:widowControl w:val="0"/>
        <w:adjustRightInd w:val="0"/>
        <w:snapToGrid w:val="0"/>
        <w:spacing w:after="0"/>
        <w:rPr>
          <w:rFonts w:ascii="Times New Roman" w:hAnsi="Times New Roman" w:eastAsia="宋体" w:cs="宋体"/>
          <w:b/>
          <w:color w:val="auto"/>
          <w:sz w:val="44"/>
        </w:rPr>
      </w:pPr>
    </w:p>
    <w:p w14:paraId="16DA87F8">
      <w:pPr>
        <w:widowControl w:val="0"/>
        <w:adjustRightInd w:val="0"/>
        <w:snapToGrid w:val="0"/>
        <w:spacing w:after="0"/>
        <w:rPr>
          <w:rFonts w:ascii="Times New Roman" w:hAnsi="Times New Roman" w:eastAsia="宋体" w:cs="宋体"/>
          <w:b/>
          <w:color w:val="auto"/>
          <w:sz w:val="44"/>
        </w:rPr>
      </w:pPr>
    </w:p>
    <w:p w14:paraId="589EFE13">
      <w:pPr>
        <w:widowControl w:val="0"/>
        <w:adjustRightInd w:val="0"/>
        <w:snapToGrid w:val="0"/>
        <w:spacing w:after="0"/>
        <w:rPr>
          <w:rFonts w:ascii="Times New Roman" w:hAnsi="Times New Roman" w:eastAsia="宋体" w:cs="宋体"/>
          <w:b/>
          <w:color w:val="auto"/>
          <w:sz w:val="44"/>
        </w:rPr>
      </w:pPr>
    </w:p>
    <w:p w14:paraId="6685F598">
      <w:pPr>
        <w:widowControl w:val="0"/>
        <w:adjustRightInd w:val="0"/>
        <w:snapToGrid w:val="0"/>
        <w:spacing w:after="0"/>
        <w:rPr>
          <w:rFonts w:ascii="Times New Roman" w:hAnsi="Times New Roman" w:eastAsia="宋体" w:cs="宋体"/>
          <w:b/>
          <w:color w:val="auto"/>
        </w:rPr>
      </w:pPr>
    </w:p>
    <w:p w14:paraId="3C2BA821">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0" w:name="_Toc15491"/>
      <w:bookmarkStart w:id="1" w:name="_Toc56792742"/>
      <w:bookmarkStart w:id="2" w:name="_Toc25646"/>
      <w:bookmarkStart w:id="3" w:name="_Toc17127"/>
      <w:bookmarkStart w:id="4" w:name="_Toc13367"/>
      <w:bookmarkStart w:id="5" w:name="_Toc2511"/>
      <w:bookmarkStart w:id="6" w:name="_Toc26641"/>
      <w:r>
        <w:rPr>
          <w:rFonts w:hint="eastAsia" w:ascii="Times New Roman" w:hAnsi="Times New Roman" w:eastAsia="宋体" w:cs="宋体"/>
          <w:b/>
          <w:color w:val="auto"/>
          <w:sz w:val="52"/>
          <w:szCs w:val="52"/>
        </w:rPr>
        <w:t>第一卷</w:t>
      </w:r>
      <w:bookmarkEnd w:id="0"/>
      <w:bookmarkEnd w:id="1"/>
    </w:p>
    <w:p w14:paraId="71DDC0A5">
      <w:pPr>
        <w:rPr>
          <w:rFonts w:ascii="Times New Roman" w:hAnsi="Times New Roman" w:eastAsia="宋体" w:cs="宋体"/>
          <w:b/>
          <w:color w:val="auto"/>
          <w:sz w:val="52"/>
          <w:szCs w:val="52"/>
        </w:rPr>
      </w:pPr>
    </w:p>
    <w:bookmarkEnd w:id="2"/>
    <w:bookmarkEnd w:id="3"/>
    <w:p w14:paraId="63345ECB">
      <w:pPr>
        <w:rPr>
          <w:color w:val="auto"/>
        </w:rPr>
        <w:sectPr>
          <w:pgSz w:w="11906" w:h="16838"/>
          <w:pgMar w:top="1440" w:right="1800" w:bottom="1440" w:left="1800" w:header="737" w:footer="850" w:gutter="0"/>
          <w:cols w:space="720" w:num="1"/>
          <w:docGrid w:type="lines" w:linePitch="312" w:charSpace="0"/>
        </w:sectPr>
      </w:pPr>
      <w:bookmarkStart w:id="7" w:name="_Toc22295"/>
      <w:bookmarkStart w:id="8" w:name="_Toc56792743"/>
      <w:bookmarkStart w:id="9" w:name="_Toc13909"/>
    </w:p>
    <w:p w14:paraId="6B257E77">
      <w:pPr>
        <w:rPr>
          <w:color w:val="auto"/>
        </w:rPr>
      </w:pPr>
    </w:p>
    <w:bookmarkEnd w:id="4"/>
    <w:bookmarkEnd w:id="5"/>
    <w:bookmarkEnd w:id="6"/>
    <w:bookmarkEnd w:id="7"/>
    <w:bookmarkEnd w:id="8"/>
    <w:bookmarkEnd w:id="9"/>
    <w:p w14:paraId="18718A94">
      <w:pPr>
        <w:pStyle w:val="2"/>
        <w:keepNext w:val="0"/>
        <w:keepLines w:val="0"/>
        <w:widowControl w:val="0"/>
        <w:adjustRightInd w:val="0"/>
        <w:snapToGrid w:val="0"/>
        <w:spacing w:after="0"/>
        <w:ind w:left="0" w:right="0"/>
        <w:rPr>
          <w:rFonts w:ascii="Times New Roman" w:hAnsi="Times New Roman" w:eastAsia="宋体" w:cs="宋体"/>
          <w:b/>
          <w:bCs/>
          <w:color w:val="auto"/>
          <w:sz w:val="36"/>
          <w:szCs w:val="44"/>
        </w:rPr>
      </w:pPr>
      <w:bookmarkStart w:id="10" w:name="_Toc14682"/>
      <w:r>
        <w:rPr>
          <w:rFonts w:hint="eastAsia" w:ascii="Times New Roman" w:hAnsi="Times New Roman" w:eastAsia="宋体" w:cs="宋体"/>
          <w:b/>
          <w:bCs/>
          <w:color w:val="auto"/>
          <w:sz w:val="36"/>
          <w:szCs w:val="44"/>
        </w:rPr>
        <w:t>招标公告</w:t>
      </w:r>
      <w:bookmarkEnd w:id="10"/>
    </w:p>
    <w:p w14:paraId="56DE003E">
      <w:pPr>
        <w:widowControl w:val="0"/>
        <w:adjustRightInd w:val="0"/>
        <w:snapToGrid w:val="0"/>
        <w:spacing w:after="0" w:line="360" w:lineRule="auto"/>
        <w:jc w:val="center"/>
        <w:rPr>
          <w:rFonts w:ascii="Times New Roman" w:hAnsi="Times New Roman" w:eastAsia="宋体" w:cs="宋体"/>
          <w:b/>
          <w:bCs/>
          <w:color w:val="auto"/>
          <w:sz w:val="32"/>
          <w:szCs w:val="32"/>
          <w:u w:val="single" w:color="000000"/>
        </w:rPr>
      </w:pPr>
    </w:p>
    <w:p w14:paraId="1A9A7DF1">
      <w:pPr>
        <w:widowControl w:val="0"/>
        <w:adjustRightInd w:val="0"/>
        <w:snapToGrid w:val="0"/>
        <w:spacing w:after="0" w:line="360" w:lineRule="auto"/>
        <w:jc w:val="center"/>
        <w:rPr>
          <w:rFonts w:hint="eastAsia" w:ascii="Times New Roman" w:hAnsi="Times New Roman" w:eastAsia="宋体" w:cs="宋体"/>
          <w:color w:val="auto"/>
          <w:sz w:val="32"/>
          <w:szCs w:val="32"/>
          <w:u w:val="single"/>
        </w:rPr>
      </w:pPr>
      <w:r>
        <w:rPr>
          <w:rFonts w:hint="eastAsia" w:ascii="Times New Roman" w:hAnsi="Times New Roman" w:eastAsia="宋体" w:cs="宋体"/>
          <w:color w:val="auto"/>
          <w:sz w:val="32"/>
          <w:szCs w:val="32"/>
          <w:u w:val="single"/>
        </w:rPr>
        <w:t>大石桥市西部农村供水工程（一期）</w:t>
      </w:r>
    </w:p>
    <w:p w14:paraId="1DBC385F">
      <w:pPr>
        <w:widowControl w:val="0"/>
        <w:adjustRightInd w:val="0"/>
        <w:snapToGrid w:val="0"/>
        <w:spacing w:after="0" w:line="360" w:lineRule="auto"/>
        <w:jc w:val="center"/>
        <w:rPr>
          <w:rFonts w:ascii="Times New Roman" w:hAnsi="Times New Roman" w:eastAsia="宋体" w:cs="宋体"/>
          <w:color w:val="auto"/>
          <w:sz w:val="24"/>
        </w:rPr>
      </w:pPr>
      <w:r>
        <w:rPr>
          <w:rFonts w:hint="eastAsia" w:ascii="Times New Roman" w:hAnsi="Times New Roman" w:eastAsia="宋体" w:cs="宋体"/>
          <w:b/>
          <w:bCs/>
          <w:color w:val="auto"/>
          <w:sz w:val="32"/>
          <w:szCs w:val="32"/>
        </w:rPr>
        <w:t>（项目名称）招标公告</w:t>
      </w:r>
      <w:r>
        <w:rPr>
          <w:rFonts w:hint="eastAsia" w:ascii="Times New Roman" w:hAnsi="Times New Roman" w:eastAsia="宋体" w:cs="宋体"/>
          <w:color w:val="auto"/>
          <w:sz w:val="21"/>
        </w:rPr>
        <w:t xml:space="preserve"> </w:t>
      </w:r>
    </w:p>
    <w:p w14:paraId="58CB52ED">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11" w:name="_Toc28319"/>
      <w:bookmarkStart w:id="12" w:name="_Toc38287090"/>
      <w:bookmarkStart w:id="13" w:name="_Toc15292"/>
      <w:bookmarkStart w:id="14" w:name="_Toc1744"/>
      <w:bookmarkStart w:id="15" w:name="_Toc56792744"/>
      <w:bookmarkStart w:id="16" w:name="_Toc22569"/>
      <w:bookmarkStart w:id="17" w:name="_Toc40274966"/>
      <w:bookmarkStart w:id="18" w:name="_Toc2863"/>
      <w:bookmarkStart w:id="19" w:name="_Toc23147"/>
      <w:bookmarkStart w:id="20" w:name="_Toc27243"/>
      <w:r>
        <w:rPr>
          <w:rFonts w:hint="eastAsia" w:ascii="Times New Roman" w:hAnsi="Times New Roman" w:cs="宋体"/>
          <w:b w:val="0"/>
          <w:color w:val="auto"/>
          <w:szCs w:val="28"/>
        </w:rPr>
        <w:t>1.招标条件</w:t>
      </w:r>
      <w:bookmarkEnd w:id="11"/>
      <w:bookmarkEnd w:id="12"/>
      <w:bookmarkEnd w:id="13"/>
      <w:bookmarkEnd w:id="14"/>
      <w:bookmarkEnd w:id="15"/>
      <w:bookmarkEnd w:id="16"/>
      <w:bookmarkEnd w:id="17"/>
      <w:bookmarkEnd w:id="18"/>
      <w:bookmarkEnd w:id="19"/>
      <w:bookmarkEnd w:id="20"/>
      <w:r>
        <w:rPr>
          <w:rFonts w:hint="eastAsia" w:ascii="Times New Roman" w:hAnsi="Times New Roman" w:cs="宋体"/>
          <w:b w:val="0"/>
          <w:color w:val="auto"/>
          <w:szCs w:val="28"/>
        </w:rPr>
        <w:t xml:space="preserve"> </w:t>
      </w:r>
    </w:p>
    <w:p w14:paraId="0B3933B4">
      <w:pPr>
        <w:spacing w:line="48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本招标项目</w:t>
      </w:r>
      <w:r>
        <w:rPr>
          <w:rFonts w:hint="eastAsia" w:ascii="Times New Roman" w:hAnsi="Times New Roman" w:eastAsia="宋体" w:cs="宋体"/>
          <w:color w:val="auto"/>
          <w:sz w:val="28"/>
          <w:szCs w:val="28"/>
          <w:u w:val="single"/>
        </w:rPr>
        <w:t>大石桥市西部农村供水工程（一期）</w:t>
      </w:r>
      <w:r>
        <w:rPr>
          <w:rFonts w:hint="eastAsia" w:ascii="Times New Roman" w:hAnsi="Times New Roman" w:eastAsia="宋体" w:cs="宋体"/>
          <w:color w:val="auto"/>
          <w:sz w:val="28"/>
          <w:szCs w:val="28"/>
        </w:rPr>
        <w:t>（项目名称）招标人为</w:t>
      </w:r>
      <w:r>
        <w:rPr>
          <w:rFonts w:hint="eastAsia" w:ascii="Times New Roman" w:hAnsi="Times New Roman" w:eastAsia="宋体" w:cs="宋体"/>
          <w:color w:val="auto"/>
          <w:sz w:val="28"/>
          <w:szCs w:val="28"/>
          <w:u w:val="single"/>
        </w:rPr>
        <w:t>大石桥市清源水务建设有限公司</w:t>
      </w:r>
      <w:r>
        <w:rPr>
          <w:rFonts w:hint="eastAsia" w:ascii="Times New Roman" w:hAnsi="Times New Roman" w:eastAsia="宋体" w:cs="宋体"/>
          <w:color w:val="auto"/>
          <w:sz w:val="28"/>
          <w:szCs w:val="28"/>
        </w:rPr>
        <w:t>。招标项目资金来自</w:t>
      </w:r>
      <w:r>
        <w:rPr>
          <w:rFonts w:hint="eastAsia" w:ascii="Times New Roman" w:hAnsi="Times New Roman" w:eastAsia="宋体" w:cs="宋体"/>
          <w:color w:val="auto"/>
          <w:sz w:val="28"/>
          <w:szCs w:val="28"/>
          <w:u w:val="single"/>
        </w:rPr>
        <w:t>省级补助、市级财政、银行贷款</w:t>
      </w:r>
      <w:r>
        <w:rPr>
          <w:rFonts w:hint="eastAsia" w:ascii="Times New Roman" w:hAnsi="Times New Roman" w:eastAsia="宋体" w:cs="宋体"/>
          <w:color w:val="auto"/>
          <w:sz w:val="28"/>
          <w:szCs w:val="28"/>
        </w:rPr>
        <w:t>（资金来源），出资比例为</w:t>
      </w:r>
      <w:r>
        <w:rPr>
          <w:rFonts w:hint="eastAsia" w:ascii="Times New Roman" w:hAnsi="Times New Roman" w:eastAsia="宋体" w:cs="宋体"/>
          <w:color w:val="auto"/>
          <w:sz w:val="28"/>
          <w:szCs w:val="28"/>
          <w:u w:val="single"/>
        </w:rPr>
        <w:t>省级补助资金40%、营口市级财政资金10%及银行贷款50%。</w:t>
      </w:r>
      <w:r>
        <w:rPr>
          <w:rFonts w:hint="eastAsia" w:ascii="Times New Roman" w:hAnsi="Times New Roman" w:eastAsia="宋体" w:cs="宋体"/>
          <w:color w:val="auto"/>
          <w:sz w:val="28"/>
          <w:szCs w:val="28"/>
        </w:rPr>
        <w:t>该项目已具备招标条件，现对</w:t>
      </w:r>
      <w:r>
        <w:rPr>
          <w:rFonts w:hint="eastAsia" w:ascii="Times New Roman" w:hAnsi="Times New Roman" w:eastAsia="宋体" w:cs="宋体"/>
          <w:color w:val="auto"/>
          <w:sz w:val="28"/>
          <w:szCs w:val="28"/>
          <w:u w:val="single"/>
        </w:rPr>
        <w:t>四标段-八标段工程设备及安装项目1~</w:t>
      </w:r>
      <w:r>
        <w:rPr>
          <w:rFonts w:ascii="Times New Roman" w:hAnsi="Times New Roman" w:eastAsia="宋体" w:cs="宋体"/>
          <w:color w:val="auto"/>
          <w:sz w:val="28"/>
          <w:szCs w:val="28"/>
          <w:u w:val="single"/>
        </w:rPr>
        <w:t>6</w:t>
      </w:r>
      <w:r>
        <w:rPr>
          <w:rFonts w:hint="eastAsia" w:ascii="Times New Roman" w:hAnsi="Times New Roman" w:eastAsia="宋体" w:cs="宋体"/>
          <w:color w:val="auto"/>
          <w:sz w:val="28"/>
          <w:szCs w:val="28"/>
          <w:u w:val="single"/>
        </w:rPr>
        <w:t>标段</w:t>
      </w:r>
      <w:r>
        <w:rPr>
          <w:rFonts w:hint="eastAsia" w:ascii="Times New Roman" w:hAnsi="Times New Roman" w:eastAsia="宋体" w:cs="宋体"/>
          <w:color w:val="auto"/>
          <w:sz w:val="28"/>
          <w:szCs w:val="28"/>
        </w:rPr>
        <w:t>采购进行公开招标。</w:t>
      </w:r>
    </w:p>
    <w:p w14:paraId="2C813F8F">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21" w:name="_Toc895"/>
      <w:bookmarkStart w:id="22" w:name="_Toc25843"/>
      <w:bookmarkStart w:id="23" w:name="_Toc40274967"/>
      <w:bookmarkStart w:id="24" w:name="_Toc4860"/>
      <w:bookmarkStart w:id="25" w:name="_Toc38287091"/>
      <w:bookmarkStart w:id="26" w:name="_Toc3133"/>
      <w:bookmarkStart w:id="27" w:name="_Toc29849"/>
      <w:bookmarkStart w:id="28" w:name="_Toc56792745"/>
      <w:bookmarkStart w:id="29" w:name="_Toc15017"/>
      <w:bookmarkStart w:id="30" w:name="_Toc14389"/>
      <w:r>
        <w:rPr>
          <w:rFonts w:hint="eastAsia" w:ascii="Times New Roman" w:hAnsi="Times New Roman" w:cs="宋体"/>
          <w:b w:val="0"/>
          <w:color w:val="auto"/>
          <w:szCs w:val="28"/>
        </w:rPr>
        <w:t>2.项目概况与招标范围</w:t>
      </w:r>
      <w:bookmarkEnd w:id="21"/>
      <w:bookmarkEnd w:id="22"/>
      <w:bookmarkEnd w:id="23"/>
      <w:bookmarkEnd w:id="24"/>
      <w:bookmarkEnd w:id="25"/>
      <w:bookmarkEnd w:id="26"/>
      <w:bookmarkEnd w:id="27"/>
      <w:bookmarkEnd w:id="28"/>
      <w:bookmarkEnd w:id="29"/>
      <w:bookmarkEnd w:id="30"/>
      <w:r>
        <w:rPr>
          <w:rFonts w:hint="eastAsia" w:ascii="Times New Roman" w:hAnsi="Times New Roman" w:cs="宋体"/>
          <w:b w:val="0"/>
          <w:color w:val="auto"/>
          <w:szCs w:val="28"/>
        </w:rPr>
        <w:t xml:space="preserve"> </w:t>
      </w:r>
    </w:p>
    <w:p w14:paraId="7570092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bookmarkStart w:id="31" w:name="_Toc32634"/>
      <w:r>
        <w:rPr>
          <w:rFonts w:hint="eastAsia" w:ascii="Times New Roman" w:hAnsi="Times New Roman" w:eastAsia="宋体" w:cs="宋体"/>
          <w:color w:val="auto"/>
          <w:sz w:val="28"/>
          <w:szCs w:val="28"/>
        </w:rPr>
        <w:t>2.1 项目概况：</w:t>
      </w:r>
      <w:r>
        <w:rPr>
          <w:rFonts w:hint="eastAsia" w:ascii="Times New Roman" w:hAnsi="Times New Roman" w:eastAsia="宋体" w:cs="宋体"/>
          <w:color w:val="auto"/>
          <w:sz w:val="28"/>
          <w:szCs w:val="28"/>
          <w:u w:val="single"/>
        </w:rPr>
        <w:t>工程涉及大石桥市西部农村供水工程（一期）四标段-八标段工程设备及安装项目涉及5个镇89个行政村，设计供水用户65780户，受益总人口197348人。设计供水规模15824.46m3/d，工程类型为Ⅰ型供水工程。主要建设内容：输水管道、净水厂、配水管网及配套设施，中途加压泵站，61个村内蓄水池及加压泵站，25个村村内及入户管线改造，自控与信息化设施及NB-IOT远控物联网水表安装</w:t>
      </w:r>
      <w:r>
        <w:rPr>
          <w:rFonts w:hint="eastAsia" w:ascii="Times New Roman" w:hAnsi="Times New Roman" w:eastAsia="宋体" w:cs="宋体"/>
          <w:color w:val="auto"/>
          <w:sz w:val="28"/>
          <w:szCs w:val="28"/>
        </w:rPr>
        <w:t>。</w:t>
      </w:r>
    </w:p>
    <w:p w14:paraId="661BB31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2.2 招标范围：</w:t>
      </w:r>
      <w:r>
        <w:rPr>
          <w:rFonts w:hint="eastAsia" w:ascii="Times New Roman" w:hAnsi="Times New Roman" w:eastAsia="宋体" w:cs="宋体"/>
          <w:color w:val="auto"/>
          <w:sz w:val="28"/>
          <w:szCs w:val="28"/>
          <w:u w:val="single"/>
        </w:rPr>
        <w:t>工程设备采购及安装</w:t>
      </w:r>
    </w:p>
    <w:bookmarkEnd w:id="31"/>
    <w:p w14:paraId="4FB38EA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2.3标段划分：</w:t>
      </w:r>
    </w:p>
    <w:p w14:paraId="3674166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（1）第一标段</w:t>
      </w:r>
    </w:p>
    <w:p w14:paraId="1E8B30D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主要采购内容：智慧水务系统等设备采购安装。</w:t>
      </w:r>
    </w:p>
    <w:p w14:paraId="5CDCE139">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（2）第二标段</w:t>
      </w:r>
    </w:p>
    <w:p w14:paraId="20B927F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w:t>
      </w:r>
      <w:r>
        <w:rPr>
          <w:rFonts w:ascii="Times New Roman" w:hAnsi="Times New Roman" w:eastAsia="宋体" w:cs="宋体"/>
          <w:color w:val="auto"/>
          <w:sz w:val="28"/>
          <w:szCs w:val="28"/>
          <w:u w:val="single"/>
        </w:rPr>
        <w:t>NB-IOT</w:t>
      </w:r>
      <w:r>
        <w:rPr>
          <w:rFonts w:hint="eastAsia" w:ascii="Times New Roman" w:hAnsi="Times New Roman" w:eastAsia="宋体" w:cs="宋体"/>
          <w:color w:val="auto"/>
          <w:sz w:val="28"/>
          <w:szCs w:val="28"/>
          <w:u w:val="single"/>
        </w:rPr>
        <w:t>远控物联网水表</w:t>
      </w:r>
      <w:r>
        <w:rPr>
          <w:rFonts w:ascii="Times New Roman" w:hAnsi="Times New Roman" w:eastAsia="宋体" w:cs="宋体"/>
          <w:color w:val="auto"/>
          <w:sz w:val="28"/>
          <w:szCs w:val="28"/>
          <w:u w:val="single"/>
        </w:rPr>
        <w:t>(DN20)</w:t>
      </w:r>
      <w:r>
        <w:rPr>
          <w:rFonts w:hint="eastAsia" w:ascii="Times New Roman" w:hAnsi="Times New Roman" w:eastAsia="宋体" w:cs="宋体"/>
          <w:color w:val="auto"/>
          <w:sz w:val="28"/>
          <w:szCs w:val="28"/>
          <w:u w:val="single"/>
        </w:rPr>
        <w:t>购置（一）。</w:t>
      </w:r>
    </w:p>
    <w:p w14:paraId="7A3FFE68">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（3）第三标段</w:t>
      </w:r>
    </w:p>
    <w:p w14:paraId="040FD26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主要采购内容：NB-IOT远控物联网水表(DN20)购置（二）。</w:t>
      </w:r>
    </w:p>
    <w:p w14:paraId="6E0734D8">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（4）第四标段</w:t>
      </w:r>
    </w:p>
    <w:p w14:paraId="25833F9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主要采购内容：水表井（钢制）购置（一）。</w:t>
      </w:r>
    </w:p>
    <w:p w14:paraId="372BB79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（5）第五标段</w:t>
      </w:r>
    </w:p>
    <w:p w14:paraId="232FAC2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主要采购内容：水表井（钢制）购置（二）。</w:t>
      </w:r>
    </w:p>
    <w:p w14:paraId="76EBE46D">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（6）第六标段</w:t>
      </w:r>
    </w:p>
    <w:p w14:paraId="52A71365">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highlight w:val="none"/>
          <w:u w:val="single"/>
        </w:rPr>
      </w:pPr>
      <w:r>
        <w:rPr>
          <w:rFonts w:hint="eastAsia" w:ascii="Times New Roman" w:hAnsi="Times New Roman" w:eastAsia="宋体" w:cs="宋体"/>
          <w:color w:val="auto"/>
          <w:sz w:val="28"/>
          <w:szCs w:val="28"/>
          <w:highlight w:val="none"/>
          <w:u w:val="single"/>
        </w:rPr>
        <w:t>主要采购内容：村内配电柜等机电设备采购及安装。</w:t>
      </w:r>
    </w:p>
    <w:p w14:paraId="7367EC59">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（注：本项目允许兼投不兼中）</w:t>
      </w:r>
    </w:p>
    <w:p w14:paraId="2CA2C8B9">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rPr>
        <w:t>2.4 交货期：</w:t>
      </w:r>
    </w:p>
    <w:p w14:paraId="206FFD00">
      <w:pPr>
        <w:widowControl w:val="0"/>
        <w:adjustRightInd w:val="0"/>
        <w:snapToGrid w:val="0"/>
        <w:spacing w:after="0" w:line="480" w:lineRule="exact"/>
        <w:ind w:firstLine="560" w:firstLineChars="200"/>
        <w:jc w:val="both"/>
        <w:rPr>
          <w:rFonts w:hint="eastAsia" w:ascii="Times New Roman" w:hAnsi="Times New Roman" w:eastAsia="宋体" w:cs="宋体"/>
          <w:color w:val="auto"/>
          <w:sz w:val="28"/>
          <w:szCs w:val="28"/>
        </w:rPr>
      </w:pPr>
      <w:r>
        <w:rPr>
          <w:rFonts w:hint="eastAsia" w:ascii="Times New Roman" w:hAnsi="Times New Roman" w:eastAsia="宋体" w:cs="宋体"/>
          <w:color w:val="auto"/>
          <w:sz w:val="28"/>
          <w:szCs w:val="28"/>
          <w:lang w:val="en-US" w:eastAsia="zh-CN"/>
        </w:rPr>
        <w:t>第一和第六标段：</w:t>
      </w:r>
      <w:r>
        <w:rPr>
          <w:rFonts w:hint="eastAsia" w:ascii="Times New Roman" w:hAnsi="Times New Roman" w:eastAsia="宋体" w:cs="宋体"/>
          <w:color w:val="auto"/>
          <w:sz w:val="28"/>
          <w:szCs w:val="28"/>
          <w:u w:val="single"/>
        </w:rPr>
        <w:t>自签订合同之日起，供货商开始备货，设备出厂具体时间由业主按项目进度决定；供货商须接到设备出厂通知7日内发货，从设备出厂到安装完成，工期为1个月（特殊情况除外）；涉及到净水厂相关设备进场时，设备供应商须与该标段土建施工方做好协调工作（具体按建设单位要求）</w:t>
      </w:r>
      <w:r>
        <w:rPr>
          <w:rFonts w:hint="eastAsia" w:ascii="Times New Roman" w:hAnsi="Times New Roman" w:eastAsia="宋体" w:cs="宋体"/>
          <w:color w:val="auto"/>
          <w:sz w:val="28"/>
          <w:szCs w:val="28"/>
        </w:rPr>
        <w:t>。</w:t>
      </w:r>
    </w:p>
    <w:p w14:paraId="196F9F8B">
      <w:pPr>
        <w:widowControl w:val="0"/>
        <w:adjustRightInd w:val="0"/>
        <w:snapToGrid w:val="0"/>
        <w:spacing w:after="0" w:line="480" w:lineRule="exact"/>
        <w:ind w:firstLine="560" w:firstLineChars="200"/>
        <w:jc w:val="left"/>
        <w:rPr>
          <w:rFonts w:hint="default" w:ascii="Times New Roman" w:hAnsi="Times New Roman" w:eastAsia="宋体" w:cs="宋体"/>
          <w:color w:val="auto"/>
          <w:sz w:val="28"/>
          <w:szCs w:val="28"/>
          <w:u w:val="single"/>
          <w:lang w:val="en-US" w:eastAsia="zh-CN"/>
        </w:rPr>
      </w:pPr>
      <w:r>
        <w:rPr>
          <w:rFonts w:hint="eastAsia" w:ascii="Times New Roman" w:hAnsi="Times New Roman" w:eastAsia="宋体" w:cs="宋体"/>
          <w:color w:val="auto"/>
          <w:sz w:val="28"/>
          <w:szCs w:val="28"/>
          <w:lang w:val="en-US" w:eastAsia="zh-CN"/>
        </w:rPr>
        <w:t>第二至第五标段：</w:t>
      </w:r>
      <w:r>
        <w:rPr>
          <w:rFonts w:hint="eastAsia" w:ascii="Times New Roman" w:hAnsi="Times New Roman" w:eastAsia="宋体" w:cs="宋体"/>
          <w:color w:val="auto"/>
          <w:sz w:val="28"/>
          <w:szCs w:val="28"/>
          <w:u w:val="single"/>
          <w:lang w:val="en-US" w:eastAsia="zh-CN"/>
        </w:rPr>
        <w:t>自签订合同之日起，供货商开始备货，设备出厂具体时间由业主按项目进度决定；供货商须接到设备出厂通知15日内货到现场；相关设备进场时，设备供应商须与涉及土建施工方做好协调工作。</w:t>
      </w:r>
      <w:r>
        <w:rPr>
          <w:rFonts w:hint="eastAsia" w:ascii="Times New Roman" w:hAnsi="Times New Roman" w:eastAsia="宋体" w:cs="宋体"/>
          <w:color w:val="auto"/>
          <w:sz w:val="28"/>
          <w:szCs w:val="28"/>
          <w:u w:val="single"/>
        </w:rPr>
        <w:t>（具体按建设单位要求）</w:t>
      </w:r>
    </w:p>
    <w:p w14:paraId="44201C8D">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2.5交货地点及方式：</w:t>
      </w:r>
      <w:r>
        <w:rPr>
          <w:rFonts w:hint="eastAsia" w:ascii="Times New Roman" w:hAnsi="Times New Roman" w:eastAsia="宋体" w:cs="宋体"/>
          <w:color w:val="auto"/>
          <w:sz w:val="28"/>
          <w:szCs w:val="28"/>
          <w:u w:val="single"/>
        </w:rPr>
        <w:t>大石桥市（具体按建设单位指定地点）</w:t>
      </w:r>
      <w:r>
        <w:rPr>
          <w:rFonts w:hint="eastAsia" w:ascii="Times New Roman" w:hAnsi="Times New Roman" w:eastAsia="宋体" w:cs="宋体"/>
          <w:color w:val="auto"/>
          <w:sz w:val="28"/>
          <w:szCs w:val="28"/>
        </w:rPr>
        <w:t>。</w:t>
      </w:r>
    </w:p>
    <w:p w14:paraId="1EF42A5C">
      <w:pPr>
        <w:widowControl w:val="0"/>
        <w:adjustRightInd w:val="0"/>
        <w:snapToGrid w:val="0"/>
        <w:spacing w:after="0" w:line="480" w:lineRule="exact"/>
        <w:ind w:firstLine="560" w:firstLineChars="200"/>
        <w:jc w:val="both"/>
        <w:rPr>
          <w:rFonts w:ascii="Times New Roman" w:hAnsi="Times New Roman" w:eastAsia="宋体"/>
          <w:bCs/>
          <w:color w:val="auto"/>
          <w:sz w:val="28"/>
          <w:szCs w:val="28"/>
        </w:rPr>
      </w:pPr>
      <w:r>
        <w:rPr>
          <w:rFonts w:hint="eastAsia" w:ascii="Times New Roman" w:hAnsi="Times New Roman" w:eastAsia="宋体" w:cs="宋体"/>
          <w:color w:val="auto"/>
          <w:sz w:val="28"/>
          <w:szCs w:val="28"/>
        </w:rPr>
        <w:t>2.6</w:t>
      </w:r>
      <w:r>
        <w:rPr>
          <w:rFonts w:hint="eastAsia" w:ascii="Times New Roman" w:hAnsi="Times New Roman" w:eastAsia="宋体"/>
          <w:bCs/>
          <w:color w:val="auto"/>
          <w:sz w:val="28"/>
          <w:szCs w:val="28"/>
        </w:rPr>
        <w:t>投标保证金</w:t>
      </w:r>
      <w:r>
        <w:rPr>
          <w:rFonts w:ascii="Times New Roman" w:hAnsi="Times New Roman" w:eastAsia="宋体"/>
          <w:bCs/>
          <w:color w:val="auto"/>
          <w:sz w:val="28"/>
          <w:szCs w:val="28"/>
        </w:rPr>
        <w:t>：</w:t>
      </w:r>
    </w:p>
    <w:p w14:paraId="1809DCC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bookmarkStart w:id="32" w:name="_Toc40274968"/>
      <w:bookmarkStart w:id="33" w:name="_Toc38287092"/>
      <w:bookmarkStart w:id="34" w:name="_Toc10349"/>
      <w:bookmarkStart w:id="35" w:name="_Toc31048"/>
      <w:bookmarkStart w:id="36" w:name="_Toc13239"/>
      <w:bookmarkStart w:id="37" w:name="_Toc56792746"/>
      <w:bookmarkStart w:id="38" w:name="_Toc2859"/>
      <w:bookmarkStart w:id="39" w:name="_Toc12991"/>
      <w:r>
        <w:rPr>
          <w:rFonts w:hint="eastAsia" w:ascii="Times New Roman" w:hAnsi="Times New Roman" w:eastAsia="宋体" w:cs="宋体"/>
          <w:color w:val="auto"/>
          <w:sz w:val="28"/>
          <w:szCs w:val="28"/>
          <w:u w:val="single"/>
        </w:rPr>
        <w:t xml:space="preserve">第一标段: </w:t>
      </w:r>
      <w:r>
        <w:rPr>
          <w:rFonts w:ascii="Times New Roman" w:hAnsi="Times New Roman" w:eastAsia="宋体" w:cs="宋体"/>
          <w:color w:val="auto"/>
          <w:sz w:val="28"/>
          <w:szCs w:val="28"/>
          <w:u w:val="single"/>
        </w:rPr>
        <w:t>6</w:t>
      </w:r>
      <w:r>
        <w:rPr>
          <w:rFonts w:hint="eastAsia" w:ascii="Times New Roman" w:hAnsi="Times New Roman" w:eastAsia="宋体" w:cs="宋体"/>
          <w:color w:val="auto"/>
          <w:sz w:val="28"/>
          <w:szCs w:val="28"/>
          <w:u w:val="single"/>
        </w:rPr>
        <w:t>.</w:t>
      </w:r>
      <w:r>
        <w:rPr>
          <w:rFonts w:hint="eastAsia" w:ascii="Times New Roman" w:hAnsi="Times New Roman" w:eastAsia="宋体" w:cs="宋体"/>
          <w:color w:val="auto"/>
          <w:sz w:val="28"/>
          <w:szCs w:val="28"/>
          <w:u w:val="single"/>
          <w:lang w:val="en-US" w:eastAsia="zh-CN"/>
        </w:rPr>
        <w:t>5</w:t>
      </w:r>
      <w:r>
        <w:rPr>
          <w:rFonts w:hint="eastAsia" w:ascii="Times New Roman" w:hAnsi="Times New Roman" w:eastAsia="宋体" w:cs="宋体"/>
          <w:color w:val="auto"/>
          <w:sz w:val="28"/>
          <w:szCs w:val="28"/>
          <w:u w:val="single"/>
        </w:rPr>
        <w:t>万元人民币</w:t>
      </w:r>
    </w:p>
    <w:p w14:paraId="4D683BA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第二标段: </w:t>
      </w:r>
      <w:r>
        <w:rPr>
          <w:rFonts w:hint="eastAsia" w:ascii="Times New Roman" w:hAnsi="Times New Roman" w:eastAsia="宋体" w:cs="宋体"/>
          <w:color w:val="auto"/>
          <w:sz w:val="28"/>
          <w:szCs w:val="28"/>
          <w:u w:val="single"/>
          <w:lang w:val="en-US" w:eastAsia="zh-CN"/>
        </w:rPr>
        <w:t>16.9</w:t>
      </w:r>
      <w:r>
        <w:rPr>
          <w:rFonts w:hint="eastAsia" w:ascii="Times New Roman" w:hAnsi="Times New Roman" w:eastAsia="宋体" w:cs="宋体"/>
          <w:color w:val="auto"/>
          <w:sz w:val="28"/>
          <w:szCs w:val="28"/>
          <w:u w:val="single"/>
        </w:rPr>
        <w:t>万元人民币</w:t>
      </w:r>
    </w:p>
    <w:p w14:paraId="32C447D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第三标段: </w:t>
      </w:r>
      <w:r>
        <w:rPr>
          <w:rFonts w:ascii="Times New Roman" w:hAnsi="Times New Roman" w:eastAsia="宋体" w:cs="宋体"/>
          <w:color w:val="auto"/>
          <w:sz w:val="28"/>
          <w:szCs w:val="28"/>
          <w:u w:val="single"/>
        </w:rPr>
        <w:t>18</w:t>
      </w:r>
      <w:r>
        <w:rPr>
          <w:rFonts w:hint="eastAsia" w:ascii="Times New Roman" w:hAnsi="Times New Roman" w:eastAsia="宋体" w:cs="宋体"/>
          <w:color w:val="auto"/>
          <w:sz w:val="28"/>
          <w:szCs w:val="28"/>
          <w:u w:val="single"/>
        </w:rPr>
        <w:t>万元人民币</w:t>
      </w:r>
    </w:p>
    <w:p w14:paraId="2F04A6F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第四标段: </w:t>
      </w:r>
      <w:r>
        <w:rPr>
          <w:rFonts w:ascii="Times New Roman" w:hAnsi="Times New Roman" w:eastAsia="宋体" w:cs="宋体"/>
          <w:color w:val="auto"/>
          <w:sz w:val="28"/>
          <w:szCs w:val="28"/>
          <w:u w:val="single"/>
        </w:rPr>
        <w:t>1</w:t>
      </w:r>
      <w:r>
        <w:rPr>
          <w:rFonts w:hint="eastAsia" w:ascii="Times New Roman" w:hAnsi="Times New Roman" w:eastAsia="宋体" w:cs="宋体"/>
          <w:color w:val="auto"/>
          <w:sz w:val="28"/>
          <w:szCs w:val="28"/>
          <w:u w:val="single"/>
          <w:lang w:val="en-US" w:eastAsia="zh-CN"/>
        </w:rPr>
        <w:t>4</w:t>
      </w:r>
      <w:r>
        <w:rPr>
          <w:rFonts w:hint="eastAsia" w:ascii="Times New Roman" w:hAnsi="Times New Roman" w:eastAsia="宋体" w:cs="宋体"/>
          <w:color w:val="auto"/>
          <w:sz w:val="28"/>
          <w:szCs w:val="28"/>
          <w:u w:val="single"/>
        </w:rPr>
        <w:t>万元人民币</w:t>
      </w:r>
    </w:p>
    <w:p w14:paraId="60875EB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第五标段: </w:t>
      </w:r>
      <w:r>
        <w:rPr>
          <w:rFonts w:ascii="Times New Roman" w:hAnsi="Times New Roman" w:eastAsia="宋体" w:cs="宋体"/>
          <w:color w:val="auto"/>
          <w:sz w:val="28"/>
          <w:szCs w:val="28"/>
          <w:u w:val="single"/>
        </w:rPr>
        <w:t>14.</w:t>
      </w:r>
      <w:r>
        <w:rPr>
          <w:rFonts w:hint="eastAsia" w:ascii="Times New Roman" w:hAnsi="Times New Roman" w:eastAsia="宋体" w:cs="宋体"/>
          <w:color w:val="auto"/>
          <w:sz w:val="28"/>
          <w:szCs w:val="28"/>
          <w:u w:val="single"/>
          <w:lang w:val="en-US" w:eastAsia="zh-CN"/>
        </w:rPr>
        <w:t>8</w:t>
      </w:r>
      <w:r>
        <w:rPr>
          <w:rFonts w:hint="eastAsia" w:ascii="Times New Roman" w:hAnsi="Times New Roman" w:eastAsia="宋体" w:cs="宋体"/>
          <w:color w:val="auto"/>
          <w:sz w:val="28"/>
          <w:szCs w:val="28"/>
          <w:u w:val="single"/>
        </w:rPr>
        <w:t>万元人民币</w:t>
      </w:r>
    </w:p>
    <w:p w14:paraId="4448DF9B">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 xml:space="preserve">第六标段: </w:t>
      </w:r>
      <w:r>
        <w:rPr>
          <w:rFonts w:ascii="Times New Roman" w:hAnsi="Times New Roman" w:eastAsia="宋体" w:cs="宋体"/>
          <w:color w:val="auto"/>
          <w:sz w:val="28"/>
          <w:szCs w:val="28"/>
          <w:u w:val="single"/>
        </w:rPr>
        <w:t>5</w:t>
      </w:r>
      <w:r>
        <w:rPr>
          <w:rFonts w:hint="eastAsia" w:ascii="Times New Roman" w:hAnsi="Times New Roman" w:eastAsia="宋体" w:cs="宋体"/>
          <w:color w:val="auto"/>
          <w:sz w:val="28"/>
          <w:szCs w:val="28"/>
          <w:u w:val="single"/>
        </w:rPr>
        <w:t>.</w:t>
      </w:r>
      <w:r>
        <w:rPr>
          <w:rFonts w:hint="eastAsia" w:ascii="Times New Roman" w:hAnsi="Times New Roman" w:eastAsia="宋体" w:cs="宋体"/>
          <w:color w:val="auto"/>
          <w:sz w:val="28"/>
          <w:szCs w:val="28"/>
          <w:u w:val="single"/>
          <w:lang w:val="en-US" w:eastAsia="zh-CN"/>
        </w:rPr>
        <w:t>8</w:t>
      </w:r>
      <w:r>
        <w:rPr>
          <w:rFonts w:hint="eastAsia" w:ascii="Times New Roman" w:hAnsi="Times New Roman" w:eastAsia="宋体" w:cs="宋体"/>
          <w:color w:val="auto"/>
          <w:sz w:val="28"/>
          <w:szCs w:val="28"/>
          <w:u w:val="single"/>
        </w:rPr>
        <w:t>万元人民币</w:t>
      </w:r>
    </w:p>
    <w:p w14:paraId="7A0541FC">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40" w:name="_Toc20958"/>
      <w:r>
        <w:rPr>
          <w:rFonts w:hint="eastAsia" w:ascii="Times New Roman" w:hAnsi="Times New Roman" w:cs="宋体"/>
          <w:b w:val="0"/>
          <w:color w:val="auto"/>
          <w:szCs w:val="28"/>
        </w:rPr>
        <w:t>3.投标人资格要求</w:t>
      </w:r>
      <w:bookmarkEnd w:id="32"/>
      <w:bookmarkEnd w:id="33"/>
      <w:bookmarkEnd w:id="34"/>
      <w:bookmarkEnd w:id="35"/>
      <w:bookmarkEnd w:id="36"/>
      <w:bookmarkEnd w:id="37"/>
      <w:bookmarkEnd w:id="38"/>
      <w:bookmarkEnd w:id="39"/>
      <w:bookmarkEnd w:id="40"/>
      <w:r>
        <w:rPr>
          <w:rFonts w:hint="eastAsia" w:ascii="Times New Roman" w:hAnsi="Times New Roman" w:cs="宋体"/>
          <w:b w:val="0"/>
          <w:color w:val="auto"/>
          <w:szCs w:val="28"/>
        </w:rPr>
        <w:t xml:space="preserve"> </w:t>
      </w:r>
    </w:p>
    <w:p w14:paraId="36C15CB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3.1 资质要求：</w:t>
      </w:r>
    </w:p>
    <w:p w14:paraId="61C1830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3.1.1投标人必须为中华人民共和国境内注册的具有独立法人资格的设备制造商（包括软件）或其代理商，且有能力提供本次采购货物并提供相关服务；</w:t>
      </w:r>
    </w:p>
    <w:p w14:paraId="56C3CE0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u w:val="single"/>
        </w:rPr>
        <w:t>3.1.</w:t>
      </w:r>
      <w:r>
        <w:rPr>
          <w:rFonts w:hint="eastAsia" w:ascii="Times New Roman" w:hAnsi="Times New Roman" w:eastAsia="宋体" w:cs="宋体"/>
          <w:color w:val="auto"/>
          <w:sz w:val="28"/>
          <w:szCs w:val="28"/>
          <w:u w:val="single"/>
          <w:lang w:val="en-US" w:eastAsia="zh-CN"/>
        </w:rPr>
        <w:t>2</w:t>
      </w:r>
      <w:r>
        <w:rPr>
          <w:rFonts w:hint="eastAsia" w:ascii="Times New Roman" w:hAnsi="Times New Roman" w:eastAsia="宋体" w:cs="宋体"/>
          <w:color w:val="auto"/>
          <w:sz w:val="28"/>
          <w:szCs w:val="28"/>
          <w:u w:val="single"/>
        </w:rPr>
        <w:t>如果投标人为代理商，必须提供制造商厂家开具的</w:t>
      </w:r>
      <w:r>
        <w:rPr>
          <w:rFonts w:hint="eastAsia" w:ascii="Times New Roman" w:hAnsi="Times New Roman" w:eastAsia="宋体" w:cs="宋体"/>
          <w:color w:val="auto"/>
          <w:sz w:val="28"/>
          <w:szCs w:val="28"/>
          <w:u w:val="single"/>
          <w:lang w:val="en-US" w:eastAsia="zh-CN"/>
        </w:rPr>
        <w:t>针对此项目的</w:t>
      </w:r>
      <w:r>
        <w:rPr>
          <w:rFonts w:hint="eastAsia" w:ascii="Times New Roman" w:hAnsi="Times New Roman" w:eastAsia="宋体" w:cs="宋体"/>
          <w:color w:val="auto"/>
          <w:sz w:val="28"/>
          <w:szCs w:val="28"/>
          <w:u w:val="single"/>
        </w:rPr>
        <w:t>授权书；</w:t>
      </w:r>
    </w:p>
    <w:p w14:paraId="37806DB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3.2财务要求：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54FE4153">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3.3业绩要求：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391CF54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u w:val="single"/>
        </w:rPr>
      </w:pPr>
      <w:r>
        <w:rPr>
          <w:rFonts w:hint="eastAsia" w:ascii="Times New Roman" w:hAnsi="Times New Roman" w:eastAsia="宋体" w:cs="宋体"/>
          <w:color w:val="auto"/>
          <w:sz w:val="28"/>
          <w:szCs w:val="28"/>
        </w:rPr>
        <w:t>3.4信誉要求：</w:t>
      </w:r>
      <w:r>
        <w:rPr>
          <w:rFonts w:hint="eastAsia" w:ascii="Times New Roman" w:hAnsi="Times New Roman" w:eastAsia="宋体" w:cs="宋体"/>
          <w:color w:val="auto"/>
          <w:sz w:val="28"/>
          <w:szCs w:val="28"/>
          <w:u w:val="single"/>
        </w:rPr>
        <w:t>投标人（代理商投标时，包括被代理的制造商）不得为列入失信被执行人、重大税收违法案件当事人名单、政府采购严重违法失信行为记录名单的投标人</w:t>
      </w:r>
      <w:r>
        <w:rPr>
          <w:rFonts w:hint="eastAsia" w:ascii="Times New Roman" w:hAnsi="Times New Roman" w:eastAsia="宋体" w:cs="宋体"/>
          <w:color w:val="auto"/>
          <w:sz w:val="28"/>
          <w:szCs w:val="28"/>
        </w:rPr>
        <w:t>。</w:t>
      </w:r>
    </w:p>
    <w:p w14:paraId="26FB773F">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 本次招标</w:t>
      </w:r>
      <w:r>
        <w:rPr>
          <w:rFonts w:hint="eastAsia" w:ascii="Times New Roman" w:hAnsi="Times New Roman" w:eastAsia="宋体" w:cs="宋体"/>
          <w:color w:val="auto"/>
          <w:sz w:val="28"/>
          <w:szCs w:val="28"/>
          <w:u w:val="single"/>
        </w:rPr>
        <w:t xml:space="preserve"> 不接受 </w:t>
      </w:r>
      <w:r>
        <w:rPr>
          <w:rFonts w:hint="eastAsia" w:ascii="Times New Roman" w:hAnsi="Times New Roman" w:eastAsia="宋体" w:cs="宋体"/>
          <w:color w:val="auto"/>
          <w:sz w:val="28"/>
          <w:szCs w:val="28"/>
        </w:rPr>
        <w:t>联合体投标。</w:t>
      </w:r>
    </w:p>
    <w:p w14:paraId="181A716C">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 其他要求：</w:t>
      </w:r>
      <w:r>
        <w:rPr>
          <w:rFonts w:hint="eastAsia" w:ascii="Times New Roman" w:hAnsi="Times New Roman" w:eastAsia="宋体" w:cs="宋体"/>
          <w:color w:val="auto"/>
          <w:sz w:val="28"/>
          <w:szCs w:val="28"/>
          <w:u w:val="single"/>
        </w:rPr>
        <w:t>无</w:t>
      </w:r>
      <w:r>
        <w:rPr>
          <w:rFonts w:hint="eastAsia" w:ascii="Times New Roman" w:hAnsi="Times New Roman" w:eastAsia="宋体" w:cs="宋体"/>
          <w:color w:val="auto"/>
          <w:sz w:val="28"/>
          <w:szCs w:val="28"/>
        </w:rPr>
        <w:t>。</w:t>
      </w:r>
    </w:p>
    <w:p w14:paraId="497E054A">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rPr>
      </w:pPr>
      <w:bookmarkStart w:id="41" w:name="_Toc7602"/>
      <w:bookmarkStart w:id="42" w:name="_Toc25894"/>
      <w:r>
        <w:rPr>
          <w:rFonts w:hint="eastAsia" w:ascii="Times New Roman" w:hAnsi="Times New Roman" w:cs="宋体"/>
          <w:color w:val="auto"/>
          <w:szCs w:val="28"/>
        </w:rPr>
        <w:t>4.投标人入库须知</w:t>
      </w:r>
      <w:bookmarkEnd w:id="41"/>
      <w:bookmarkEnd w:id="42"/>
    </w:p>
    <w:p w14:paraId="029DC58C">
      <w:pPr>
        <w:wordWrap w:val="0"/>
        <w:spacing w:after="0" w:line="48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参加辽宁省水利工程投标活动的投标人未进入辽宁省水利建设市场主体数据库的，请登录“辽宁省公共资源交易网”，“首页—公共资源一网交易登录入口—水利工程交易系统—交易主体注册”，主体数据库信息录入操作方法详见《辽宁省水利建设市场主体数据库信息录入操作手册》( 操作手册下载网站：https://slt.ln.gov.cn/slt/zxpd/tzgg/2023011013315528876/index.shtml)”，及时办理入库手续。具体规定详见《关于开展全省水利建设市场主体数据库信息录入工作的通知》。其他交易平台项目按照各交易平台的要求执行。</w:t>
      </w:r>
    </w:p>
    <w:p w14:paraId="79B04148">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3" w:name="_Toc18635"/>
      <w:bookmarkStart w:id="44" w:name="_Toc13148"/>
      <w:r>
        <w:rPr>
          <w:rFonts w:hint="eastAsia" w:ascii="Times New Roman" w:hAnsi="Times New Roman" w:cs="宋体"/>
          <w:color w:val="auto"/>
          <w:szCs w:val="28"/>
        </w:rPr>
        <w:t>5.招标文件的</w:t>
      </w:r>
      <w:r>
        <w:rPr>
          <w:rFonts w:hint="eastAsia" w:ascii="Times New Roman" w:hAnsi="Times New Roman" w:cs="宋体"/>
          <w:color w:val="auto"/>
          <w:szCs w:val="28"/>
          <w:highlight w:val="none"/>
        </w:rPr>
        <w:t>获取及修改、澄清答疑发布</w:t>
      </w:r>
      <w:bookmarkEnd w:id="43"/>
      <w:bookmarkEnd w:id="44"/>
    </w:p>
    <w:p w14:paraId="79C5548D">
      <w:pPr>
        <w:pStyle w:val="15"/>
        <w:adjustRightInd w:val="0"/>
        <w:snapToGrid w:val="0"/>
        <w:spacing w:line="480" w:lineRule="exact"/>
        <w:ind w:firstLine="560" w:firstLineChars="200"/>
        <w:rPr>
          <w:rFonts w:cs="宋体"/>
          <w:sz w:val="28"/>
          <w:szCs w:val="28"/>
          <w:highlight w:val="none"/>
        </w:rPr>
      </w:pPr>
      <w:r>
        <w:rPr>
          <w:rFonts w:hint="eastAsia" w:cs="宋体"/>
          <w:sz w:val="28"/>
          <w:szCs w:val="28"/>
          <w:highlight w:val="none"/>
        </w:rPr>
        <w:t>5.1 请有意参加的投标人自</w:t>
      </w:r>
      <w:r>
        <w:rPr>
          <w:rFonts w:hint="eastAsia" w:cs="宋体"/>
          <w:sz w:val="28"/>
          <w:szCs w:val="28"/>
          <w:highlight w:val="none"/>
          <w:u w:val="single"/>
        </w:rPr>
        <w:t>2025</w:t>
      </w:r>
      <w:r>
        <w:rPr>
          <w:rFonts w:hint="eastAsia" w:cs="宋体"/>
          <w:sz w:val="28"/>
          <w:szCs w:val="28"/>
          <w:highlight w:val="none"/>
        </w:rPr>
        <w:t>年</w:t>
      </w:r>
      <w:r>
        <w:rPr>
          <w:rFonts w:hint="eastAsia" w:cs="宋体"/>
          <w:sz w:val="28"/>
          <w:szCs w:val="28"/>
          <w:highlight w:val="none"/>
          <w:u w:val="single"/>
          <w:lang w:val="en-US" w:eastAsia="zh-CN"/>
        </w:rPr>
        <w:t>9</w:t>
      </w:r>
      <w:r>
        <w:rPr>
          <w:rFonts w:hint="eastAsia" w:cs="宋体"/>
          <w:sz w:val="28"/>
          <w:szCs w:val="28"/>
          <w:highlight w:val="none"/>
        </w:rPr>
        <w:t>月</w:t>
      </w:r>
      <w:r>
        <w:rPr>
          <w:rFonts w:hint="eastAsia" w:cs="宋体"/>
          <w:sz w:val="28"/>
          <w:szCs w:val="28"/>
          <w:highlight w:val="none"/>
          <w:u w:val="single"/>
          <w:lang w:val="en-US" w:eastAsia="zh-CN"/>
        </w:rPr>
        <w:t>28</w:t>
      </w:r>
      <w:r>
        <w:rPr>
          <w:rFonts w:hint="eastAsia" w:cs="宋体"/>
          <w:sz w:val="28"/>
          <w:szCs w:val="28"/>
          <w:highlight w:val="none"/>
        </w:rPr>
        <w:t>日</w:t>
      </w:r>
      <w:r>
        <w:rPr>
          <w:rFonts w:hint="eastAsia" w:cs="宋体"/>
          <w:sz w:val="28"/>
          <w:szCs w:val="28"/>
          <w:highlight w:val="none"/>
          <w:u w:val="single"/>
        </w:rPr>
        <w:t>0</w:t>
      </w:r>
      <w:r>
        <w:rPr>
          <w:rFonts w:hint="eastAsia" w:cs="宋体"/>
          <w:sz w:val="28"/>
          <w:szCs w:val="28"/>
          <w:highlight w:val="none"/>
          <w:u w:val="single"/>
          <w:lang w:val="en-US" w:eastAsia="zh-CN"/>
        </w:rPr>
        <w:t>9</w:t>
      </w:r>
      <w:r>
        <w:rPr>
          <w:rFonts w:hint="eastAsia" w:cs="宋体"/>
          <w:sz w:val="28"/>
          <w:szCs w:val="28"/>
          <w:highlight w:val="none"/>
        </w:rPr>
        <w:t>时</w:t>
      </w:r>
      <w:r>
        <w:rPr>
          <w:rFonts w:hint="eastAsia" w:cs="宋体"/>
          <w:sz w:val="28"/>
          <w:szCs w:val="28"/>
          <w:highlight w:val="none"/>
          <w:u w:val="single"/>
          <w:lang w:val="en-US" w:eastAsia="zh-CN"/>
        </w:rPr>
        <w:t>0</w:t>
      </w:r>
      <w:r>
        <w:rPr>
          <w:rFonts w:hint="eastAsia" w:cs="宋体"/>
          <w:sz w:val="28"/>
          <w:szCs w:val="28"/>
          <w:highlight w:val="none"/>
          <w:u w:val="single"/>
        </w:rPr>
        <w:t>0</w:t>
      </w:r>
      <w:r>
        <w:rPr>
          <w:rFonts w:hint="eastAsia" w:cs="宋体"/>
          <w:sz w:val="28"/>
          <w:szCs w:val="28"/>
          <w:highlight w:val="none"/>
        </w:rPr>
        <w:t>分—</w:t>
      </w:r>
      <w:r>
        <w:rPr>
          <w:rFonts w:hint="eastAsia" w:cs="宋体"/>
          <w:sz w:val="28"/>
          <w:szCs w:val="28"/>
          <w:highlight w:val="none"/>
          <w:u w:val="single"/>
        </w:rPr>
        <w:t>2025</w:t>
      </w:r>
      <w:r>
        <w:rPr>
          <w:rFonts w:hint="eastAsia" w:cs="宋体"/>
          <w:sz w:val="28"/>
          <w:szCs w:val="28"/>
          <w:highlight w:val="none"/>
        </w:rPr>
        <w:t>年</w:t>
      </w:r>
      <w:r>
        <w:rPr>
          <w:rFonts w:hint="eastAsia" w:cs="宋体"/>
          <w:sz w:val="28"/>
          <w:szCs w:val="28"/>
          <w:highlight w:val="none"/>
          <w:u w:val="single"/>
          <w:lang w:val="en-US" w:eastAsia="zh-CN"/>
        </w:rPr>
        <w:t>10</w:t>
      </w:r>
      <w:r>
        <w:rPr>
          <w:rFonts w:hint="eastAsia" w:cs="宋体"/>
          <w:sz w:val="28"/>
          <w:szCs w:val="28"/>
          <w:highlight w:val="none"/>
        </w:rPr>
        <w:t>月</w:t>
      </w:r>
      <w:r>
        <w:rPr>
          <w:rFonts w:hint="eastAsia" w:cs="宋体"/>
          <w:sz w:val="28"/>
          <w:szCs w:val="28"/>
          <w:highlight w:val="none"/>
          <w:u w:val="single"/>
          <w:lang w:val="en-US" w:eastAsia="zh-CN"/>
        </w:rPr>
        <w:t>10</w:t>
      </w:r>
      <w:r>
        <w:rPr>
          <w:rFonts w:hint="eastAsia" w:cs="宋体"/>
          <w:sz w:val="28"/>
          <w:szCs w:val="28"/>
          <w:highlight w:val="none"/>
        </w:rPr>
        <w:t>日</w:t>
      </w:r>
      <w:r>
        <w:rPr>
          <w:rFonts w:hint="eastAsia" w:cs="宋体"/>
          <w:sz w:val="28"/>
          <w:szCs w:val="28"/>
          <w:highlight w:val="none"/>
          <w:u w:val="single"/>
        </w:rPr>
        <w:t>1</w:t>
      </w:r>
      <w:r>
        <w:rPr>
          <w:rFonts w:hint="eastAsia" w:cs="宋体"/>
          <w:sz w:val="28"/>
          <w:szCs w:val="28"/>
          <w:highlight w:val="none"/>
          <w:u w:val="single"/>
          <w:lang w:val="en-US" w:eastAsia="zh-CN"/>
        </w:rPr>
        <w:t>7</w:t>
      </w:r>
      <w:r>
        <w:rPr>
          <w:rFonts w:hint="eastAsia" w:cs="宋体"/>
          <w:sz w:val="28"/>
          <w:szCs w:val="28"/>
          <w:highlight w:val="none"/>
        </w:rPr>
        <w:t>时</w:t>
      </w:r>
      <w:r>
        <w:rPr>
          <w:rFonts w:hint="eastAsia" w:cs="宋体"/>
          <w:sz w:val="28"/>
          <w:szCs w:val="28"/>
          <w:highlight w:val="none"/>
          <w:u w:val="single"/>
          <w:lang w:val="en-US" w:eastAsia="zh-CN"/>
        </w:rPr>
        <w:t>0</w:t>
      </w:r>
      <w:r>
        <w:rPr>
          <w:rFonts w:hint="eastAsia" w:cs="宋体"/>
          <w:sz w:val="28"/>
          <w:szCs w:val="28"/>
          <w:highlight w:val="none"/>
          <w:u w:val="single"/>
        </w:rPr>
        <w:t>0</w:t>
      </w:r>
      <w:r>
        <w:rPr>
          <w:rFonts w:hint="eastAsia" w:cs="宋体"/>
          <w:sz w:val="28"/>
          <w:szCs w:val="28"/>
          <w:highlight w:val="none"/>
        </w:rPr>
        <w:t>分止（北京时</w:t>
      </w:r>
      <w:r>
        <w:rPr>
          <w:rFonts w:hint="eastAsia" w:cs="宋体"/>
          <w:sz w:val="28"/>
          <w:szCs w:val="28"/>
        </w:rPr>
        <w:t>间）在</w:t>
      </w:r>
      <w:r>
        <w:rPr>
          <w:rFonts w:hint="eastAsia"/>
          <w:bCs/>
          <w:sz w:val="28"/>
          <w:szCs w:val="32"/>
          <w:u w:val="single"/>
        </w:rPr>
        <w:t>辽宁省公共资源交易一张网电子化平台</w:t>
      </w:r>
      <w:r>
        <w:rPr>
          <w:bCs/>
          <w:sz w:val="28"/>
          <w:szCs w:val="32"/>
        </w:rPr>
        <w:t>（网址：</w:t>
      </w:r>
      <w:r>
        <w:rPr>
          <w:rFonts w:hint="eastAsia"/>
          <w:bCs/>
          <w:sz w:val="28"/>
          <w:szCs w:val="32"/>
          <w:u w:val="single"/>
        </w:rPr>
        <w:t>https://www.lnsggzy.com/EpointSSO/login/oauth2login</w:t>
      </w:r>
      <w:r>
        <w:rPr>
          <w:bCs/>
          <w:sz w:val="28"/>
          <w:szCs w:val="32"/>
        </w:rPr>
        <w:t>）上下载获取招标文件</w:t>
      </w:r>
      <w:r>
        <w:rPr>
          <w:bCs/>
          <w:sz w:val="28"/>
          <w:szCs w:val="32"/>
          <w:highlight w:val="none"/>
        </w:rPr>
        <w:t>、</w:t>
      </w:r>
      <w:r>
        <w:rPr>
          <w:rFonts w:hint="eastAsia"/>
          <w:bCs/>
          <w:sz w:val="28"/>
          <w:szCs w:val="32"/>
          <w:highlight w:val="none"/>
        </w:rPr>
        <w:t>招标</w:t>
      </w:r>
      <w:r>
        <w:rPr>
          <w:bCs/>
          <w:sz w:val="28"/>
          <w:szCs w:val="32"/>
          <w:highlight w:val="none"/>
        </w:rPr>
        <w:t>图纸</w:t>
      </w:r>
      <w:r>
        <w:rPr>
          <w:rFonts w:hint="eastAsia"/>
          <w:bCs/>
          <w:sz w:val="28"/>
          <w:szCs w:val="32"/>
          <w:highlight w:val="none"/>
        </w:rPr>
        <w:t>等招标资料</w:t>
      </w:r>
      <w:r>
        <w:rPr>
          <w:bCs/>
          <w:sz w:val="28"/>
          <w:szCs w:val="32"/>
          <w:highlight w:val="none"/>
        </w:rPr>
        <w:t>。</w:t>
      </w:r>
    </w:p>
    <w:p w14:paraId="22499DA2">
      <w:pPr>
        <w:pStyle w:val="15"/>
        <w:wordWrap w:val="0"/>
        <w:snapToGrid w:val="0"/>
        <w:spacing w:line="480" w:lineRule="exact"/>
        <w:ind w:firstLine="560" w:firstLineChars="200"/>
        <w:rPr>
          <w:rFonts w:cs="宋体"/>
          <w:sz w:val="28"/>
          <w:szCs w:val="28"/>
          <w:highlight w:val="none"/>
        </w:rPr>
      </w:pPr>
      <w:r>
        <w:rPr>
          <w:rFonts w:hint="eastAsia" w:cs="宋体"/>
          <w:sz w:val="28"/>
          <w:szCs w:val="28"/>
          <w:highlight w:val="none"/>
        </w:rPr>
        <w:t>5.2 招标人对招标文件的修改、澄清答疑采用在</w:t>
      </w:r>
      <w:r>
        <w:rPr>
          <w:rFonts w:hint="eastAsia"/>
          <w:bCs/>
          <w:sz w:val="28"/>
          <w:szCs w:val="32"/>
          <w:highlight w:val="none"/>
          <w:u w:val="single"/>
        </w:rPr>
        <w:t>辽宁省公共资源交易一张网电子化平台</w:t>
      </w:r>
      <w:r>
        <w:rPr>
          <w:bCs/>
          <w:sz w:val="28"/>
          <w:szCs w:val="32"/>
          <w:highlight w:val="none"/>
        </w:rPr>
        <w:t>网址：</w:t>
      </w:r>
      <w:r>
        <w:rPr>
          <w:rFonts w:hint="eastAsia"/>
          <w:bCs/>
          <w:sz w:val="28"/>
          <w:szCs w:val="32"/>
          <w:highlight w:val="none"/>
          <w:u w:val="single"/>
        </w:rPr>
        <w:t>https://www.lnsggzy.com/EpointSSO/login/oauth2login</w:t>
      </w:r>
      <w:r>
        <w:rPr>
          <w:bCs/>
          <w:sz w:val="28"/>
          <w:szCs w:val="32"/>
          <w:highlight w:val="none"/>
        </w:rPr>
        <w:t>）</w:t>
      </w:r>
      <w:r>
        <w:rPr>
          <w:rFonts w:hint="eastAsia" w:cs="宋体"/>
          <w:sz w:val="28"/>
          <w:szCs w:val="28"/>
          <w:highlight w:val="none"/>
        </w:rPr>
        <w:t>上发布，投标人在交易平台中自行下载。</w:t>
      </w:r>
    </w:p>
    <w:p w14:paraId="7D3125CA">
      <w:pPr>
        <w:pStyle w:val="3"/>
        <w:keepNext w:val="0"/>
        <w:keepLines w:val="0"/>
        <w:widowControl w:val="0"/>
        <w:adjustRightInd w:val="0"/>
        <w:snapToGrid w:val="0"/>
        <w:spacing w:line="480" w:lineRule="exact"/>
        <w:ind w:left="0" w:right="0" w:firstLine="562" w:firstLineChars="200"/>
        <w:jc w:val="both"/>
        <w:rPr>
          <w:rFonts w:ascii="Times New Roman" w:hAnsi="Times New Roman" w:cs="宋体"/>
          <w:color w:val="auto"/>
          <w:szCs w:val="28"/>
          <w:highlight w:val="none"/>
        </w:rPr>
      </w:pPr>
      <w:bookmarkStart w:id="45" w:name="_Toc4851"/>
      <w:bookmarkStart w:id="46" w:name="_Toc21223"/>
      <w:r>
        <w:rPr>
          <w:rFonts w:hint="eastAsia" w:ascii="Times New Roman" w:hAnsi="Times New Roman" w:cs="宋体"/>
          <w:color w:val="auto"/>
          <w:szCs w:val="28"/>
          <w:highlight w:val="none"/>
        </w:rPr>
        <w:t>6.投标文件的递交</w:t>
      </w:r>
      <w:bookmarkEnd w:id="45"/>
      <w:bookmarkEnd w:id="46"/>
    </w:p>
    <w:p w14:paraId="6183C3B2">
      <w:pPr>
        <w:pStyle w:val="15"/>
        <w:snapToGrid w:val="0"/>
        <w:spacing w:line="480" w:lineRule="exact"/>
        <w:ind w:firstLine="560" w:firstLineChars="200"/>
        <w:rPr>
          <w:rFonts w:cs="宋体"/>
          <w:bCs/>
          <w:sz w:val="28"/>
          <w:szCs w:val="28"/>
        </w:rPr>
      </w:pPr>
      <w:r>
        <w:rPr>
          <w:rFonts w:hint="eastAsia" w:cs="宋体"/>
          <w:bCs/>
          <w:sz w:val="28"/>
          <w:szCs w:val="28"/>
          <w:highlight w:val="none"/>
        </w:rPr>
        <w:t>6.1投标文件递交截止时间（投标截止时间，下同）为</w:t>
      </w:r>
      <w:r>
        <w:rPr>
          <w:rFonts w:hint="eastAsia" w:cs="宋体"/>
          <w:bCs/>
          <w:sz w:val="28"/>
          <w:szCs w:val="28"/>
          <w:highlight w:val="none"/>
          <w:u w:val="single"/>
        </w:rPr>
        <w:t>2025</w:t>
      </w:r>
      <w:r>
        <w:rPr>
          <w:rFonts w:hint="eastAsia" w:cs="宋体"/>
          <w:bCs/>
          <w:sz w:val="28"/>
          <w:szCs w:val="28"/>
          <w:highlight w:val="none"/>
        </w:rPr>
        <w:t>年</w:t>
      </w:r>
      <w:r>
        <w:rPr>
          <w:rFonts w:hint="eastAsia" w:cs="宋体"/>
          <w:bCs/>
          <w:sz w:val="28"/>
          <w:szCs w:val="28"/>
          <w:highlight w:val="none"/>
          <w:u w:val="single"/>
          <w:lang w:val="en-US" w:eastAsia="zh-CN"/>
        </w:rPr>
        <w:t>10</w:t>
      </w:r>
      <w:r>
        <w:rPr>
          <w:rFonts w:hint="eastAsia" w:cs="宋体"/>
          <w:bCs/>
          <w:sz w:val="28"/>
          <w:szCs w:val="28"/>
          <w:highlight w:val="none"/>
        </w:rPr>
        <w:t>月</w:t>
      </w:r>
      <w:r>
        <w:rPr>
          <w:rFonts w:hint="eastAsia" w:cs="宋体"/>
          <w:bCs/>
          <w:sz w:val="28"/>
          <w:szCs w:val="28"/>
          <w:highlight w:val="none"/>
          <w:u w:val="single"/>
          <w:lang w:val="en-US" w:eastAsia="zh-CN"/>
        </w:rPr>
        <w:t>20</w:t>
      </w:r>
      <w:r>
        <w:rPr>
          <w:rFonts w:hint="eastAsia" w:cs="宋体"/>
          <w:bCs/>
          <w:sz w:val="28"/>
          <w:szCs w:val="28"/>
          <w:highlight w:val="none"/>
        </w:rPr>
        <w:t>日</w:t>
      </w:r>
      <w:r>
        <w:rPr>
          <w:rFonts w:hint="eastAsia" w:cs="宋体"/>
          <w:bCs/>
          <w:sz w:val="28"/>
          <w:szCs w:val="28"/>
          <w:highlight w:val="none"/>
          <w:u w:val="single"/>
        </w:rPr>
        <w:t>09</w:t>
      </w:r>
      <w:r>
        <w:rPr>
          <w:rFonts w:hint="eastAsia" w:cs="宋体"/>
          <w:bCs/>
          <w:sz w:val="28"/>
          <w:szCs w:val="28"/>
          <w:highlight w:val="none"/>
        </w:rPr>
        <w:t>时</w:t>
      </w:r>
      <w:r>
        <w:rPr>
          <w:rFonts w:hint="eastAsia" w:cs="宋体"/>
          <w:bCs/>
          <w:sz w:val="28"/>
          <w:szCs w:val="28"/>
          <w:highlight w:val="none"/>
          <w:u w:val="single"/>
        </w:rPr>
        <w:t>30</w:t>
      </w:r>
      <w:r>
        <w:rPr>
          <w:rFonts w:hint="eastAsia" w:cs="宋体"/>
          <w:bCs/>
          <w:sz w:val="28"/>
          <w:szCs w:val="28"/>
          <w:highlight w:val="none"/>
        </w:rPr>
        <w:t>分，投标人应在投标截止时间前通过</w:t>
      </w:r>
      <w:r>
        <w:rPr>
          <w:rFonts w:hint="eastAsia" w:cs="宋体"/>
          <w:bCs/>
          <w:sz w:val="28"/>
          <w:szCs w:val="28"/>
          <w:highlight w:val="none"/>
          <w:u w:val="single"/>
        </w:rPr>
        <w:t>辽宁省公共资源交易一张网电</w:t>
      </w:r>
      <w:r>
        <w:rPr>
          <w:rFonts w:hint="eastAsia" w:cs="宋体"/>
          <w:bCs/>
          <w:sz w:val="28"/>
          <w:szCs w:val="28"/>
          <w:u w:val="single"/>
        </w:rPr>
        <w:t>子化平台</w:t>
      </w:r>
      <w:r>
        <w:rPr>
          <w:rFonts w:hint="eastAsia" w:cs="宋体"/>
          <w:bCs/>
          <w:sz w:val="28"/>
          <w:szCs w:val="28"/>
        </w:rPr>
        <w:t>（网址：</w:t>
      </w:r>
      <w:r>
        <w:rPr>
          <w:rFonts w:hint="eastAsia" w:cs="宋体"/>
          <w:bCs/>
          <w:sz w:val="28"/>
          <w:szCs w:val="28"/>
          <w:u w:val="single"/>
        </w:rPr>
        <w:t>https://www.lnsggzy.com/EpointSSO/login/oauth2login</w:t>
      </w:r>
      <w:r>
        <w:rPr>
          <w:rFonts w:hint="eastAsia" w:cs="宋体"/>
          <w:bCs/>
          <w:sz w:val="28"/>
          <w:szCs w:val="28"/>
        </w:rPr>
        <w:t>）在线递交投标文件。</w:t>
      </w:r>
    </w:p>
    <w:p w14:paraId="16F773AF">
      <w:pPr>
        <w:pStyle w:val="15"/>
        <w:snapToGrid w:val="0"/>
        <w:spacing w:line="480" w:lineRule="exact"/>
        <w:ind w:firstLine="560" w:firstLineChars="200"/>
        <w:rPr>
          <w:rFonts w:cs="宋体"/>
          <w:bCs/>
          <w:sz w:val="28"/>
          <w:szCs w:val="28"/>
        </w:rPr>
      </w:pPr>
      <w:r>
        <w:rPr>
          <w:rFonts w:hint="eastAsia" w:cs="宋体"/>
          <w:bCs/>
          <w:sz w:val="28"/>
          <w:szCs w:val="28"/>
        </w:rPr>
        <w:t>6.2投标截止时间前未完成投标文件传输递交，视为撤回投标文件。</w:t>
      </w:r>
    </w:p>
    <w:p w14:paraId="2E1DC942">
      <w:pPr>
        <w:pStyle w:val="15"/>
        <w:snapToGrid w:val="0"/>
        <w:spacing w:line="480" w:lineRule="exact"/>
        <w:ind w:firstLine="560" w:firstLineChars="200"/>
        <w:rPr>
          <w:rFonts w:cs="宋体"/>
          <w:bCs/>
          <w:sz w:val="28"/>
          <w:szCs w:val="28"/>
          <w:highlight w:val="none"/>
          <w:u w:val="single"/>
        </w:rPr>
      </w:pPr>
      <w:r>
        <w:rPr>
          <w:rFonts w:hint="eastAsia" w:cs="宋体"/>
          <w:bCs/>
          <w:sz w:val="28"/>
          <w:szCs w:val="28"/>
        </w:rPr>
        <w:t>6.3开</w:t>
      </w:r>
      <w:r>
        <w:rPr>
          <w:rFonts w:hint="eastAsia" w:cs="宋体"/>
          <w:bCs/>
          <w:sz w:val="28"/>
          <w:szCs w:val="28"/>
          <w:highlight w:val="none"/>
        </w:rPr>
        <w:t>标时间：</w:t>
      </w:r>
      <w:r>
        <w:rPr>
          <w:rFonts w:hint="eastAsia" w:cs="宋体"/>
          <w:bCs/>
          <w:sz w:val="28"/>
          <w:szCs w:val="28"/>
          <w:highlight w:val="none"/>
          <w:u w:val="single"/>
        </w:rPr>
        <w:t>2025</w:t>
      </w:r>
      <w:r>
        <w:rPr>
          <w:rFonts w:hint="eastAsia" w:cs="宋体"/>
          <w:bCs/>
          <w:sz w:val="28"/>
          <w:szCs w:val="28"/>
          <w:highlight w:val="none"/>
        </w:rPr>
        <w:t>年</w:t>
      </w:r>
      <w:r>
        <w:rPr>
          <w:rFonts w:hint="eastAsia" w:cs="宋体"/>
          <w:bCs/>
          <w:sz w:val="28"/>
          <w:szCs w:val="28"/>
          <w:highlight w:val="none"/>
          <w:u w:val="single"/>
          <w:lang w:val="en-US" w:eastAsia="zh-CN"/>
        </w:rPr>
        <w:t>10</w:t>
      </w:r>
      <w:r>
        <w:rPr>
          <w:rFonts w:hint="eastAsia" w:cs="宋体"/>
          <w:bCs/>
          <w:sz w:val="28"/>
          <w:szCs w:val="28"/>
          <w:highlight w:val="none"/>
        </w:rPr>
        <w:t>月</w:t>
      </w:r>
      <w:r>
        <w:rPr>
          <w:rFonts w:hint="eastAsia" w:cs="宋体"/>
          <w:bCs/>
          <w:sz w:val="28"/>
          <w:szCs w:val="28"/>
          <w:highlight w:val="none"/>
          <w:u w:val="single"/>
          <w:lang w:val="en-US" w:eastAsia="zh-CN"/>
        </w:rPr>
        <w:t>20</w:t>
      </w:r>
      <w:r>
        <w:rPr>
          <w:rFonts w:hint="eastAsia" w:cs="宋体"/>
          <w:bCs/>
          <w:sz w:val="28"/>
          <w:szCs w:val="28"/>
          <w:highlight w:val="none"/>
        </w:rPr>
        <w:t>日</w:t>
      </w:r>
      <w:r>
        <w:rPr>
          <w:rFonts w:hint="eastAsia" w:cs="宋体"/>
          <w:bCs/>
          <w:sz w:val="28"/>
          <w:szCs w:val="28"/>
          <w:highlight w:val="none"/>
          <w:u w:val="single"/>
        </w:rPr>
        <w:t>09</w:t>
      </w:r>
      <w:r>
        <w:rPr>
          <w:rFonts w:hint="eastAsia" w:cs="宋体"/>
          <w:bCs/>
          <w:sz w:val="28"/>
          <w:szCs w:val="28"/>
          <w:highlight w:val="none"/>
        </w:rPr>
        <w:t>时</w:t>
      </w:r>
      <w:r>
        <w:rPr>
          <w:rFonts w:hint="eastAsia" w:cs="宋体"/>
          <w:bCs/>
          <w:sz w:val="28"/>
          <w:szCs w:val="28"/>
          <w:highlight w:val="none"/>
          <w:u w:val="single"/>
        </w:rPr>
        <w:t>30</w:t>
      </w:r>
      <w:r>
        <w:rPr>
          <w:rFonts w:hint="eastAsia" w:cs="宋体"/>
          <w:bCs/>
          <w:sz w:val="28"/>
          <w:szCs w:val="28"/>
          <w:highlight w:val="none"/>
        </w:rPr>
        <w:t>分。</w:t>
      </w:r>
    </w:p>
    <w:p w14:paraId="47BEA3CC">
      <w:pPr>
        <w:pStyle w:val="15"/>
        <w:snapToGrid w:val="0"/>
        <w:spacing w:line="480" w:lineRule="exact"/>
        <w:ind w:firstLine="560" w:firstLineChars="200"/>
        <w:rPr>
          <w:rFonts w:cs="宋体"/>
          <w:bCs/>
          <w:sz w:val="28"/>
          <w:szCs w:val="28"/>
        </w:rPr>
      </w:pPr>
      <w:r>
        <w:rPr>
          <w:rFonts w:hint="eastAsia" w:cs="宋体"/>
          <w:bCs/>
          <w:sz w:val="28"/>
          <w:szCs w:val="28"/>
        </w:rPr>
        <w:t>6.4开标方式：不见面开标。</w:t>
      </w:r>
    </w:p>
    <w:p w14:paraId="779E9323">
      <w:pPr>
        <w:pStyle w:val="15"/>
        <w:wordWrap w:val="0"/>
        <w:snapToGrid w:val="0"/>
        <w:spacing w:line="480" w:lineRule="exact"/>
        <w:ind w:firstLine="560" w:firstLineChars="200"/>
        <w:jc w:val="left"/>
        <w:rPr>
          <w:rFonts w:cs="宋体"/>
          <w:bCs/>
          <w:sz w:val="28"/>
          <w:szCs w:val="28"/>
        </w:rPr>
      </w:pPr>
      <w:r>
        <w:rPr>
          <w:rFonts w:hint="eastAsia" w:cs="宋体"/>
          <w:bCs/>
          <w:sz w:val="28"/>
          <w:szCs w:val="28"/>
        </w:rPr>
        <w:t>6.5开标说明：投标人请按招标文件规定时间登录</w:t>
      </w:r>
      <w:r>
        <w:rPr>
          <w:rFonts w:hint="eastAsia" w:cs="宋体"/>
          <w:bCs/>
          <w:sz w:val="28"/>
          <w:szCs w:val="28"/>
          <w:u w:val="single"/>
        </w:rPr>
        <w:t>不见面交易系统</w:t>
      </w:r>
      <w:r>
        <w:rPr>
          <w:rFonts w:hint="eastAsia" w:cs="宋体"/>
          <w:bCs/>
          <w:sz w:val="28"/>
          <w:szCs w:val="28"/>
        </w:rPr>
        <w:t xml:space="preserve"> （网址：</w:t>
      </w:r>
      <w:r>
        <w:rPr>
          <w:rFonts w:hint="eastAsia" w:cs="宋体"/>
          <w:bCs/>
          <w:sz w:val="28"/>
          <w:szCs w:val="28"/>
          <w:u w:val="single"/>
        </w:rPr>
        <w:t>https://www.lnsggzy.com/BidOpeningHall/bidhall/dqliaoning/login</w:t>
      </w:r>
      <w:r>
        <w:rPr>
          <w:rFonts w:hint="eastAsia" w:cs="宋体"/>
          <w:bCs/>
          <w:sz w:val="28"/>
          <w:szCs w:val="28"/>
        </w:rPr>
        <w:t>）进行远程在线解密。</w:t>
      </w:r>
    </w:p>
    <w:p w14:paraId="197F913D">
      <w:pPr>
        <w:pStyle w:val="15"/>
        <w:snapToGrid w:val="0"/>
        <w:spacing w:line="480" w:lineRule="exact"/>
        <w:ind w:firstLine="560" w:firstLineChars="200"/>
        <w:rPr>
          <w:rFonts w:cs="宋体"/>
          <w:bCs/>
          <w:sz w:val="28"/>
          <w:szCs w:val="28"/>
        </w:rPr>
      </w:pPr>
      <w:r>
        <w:rPr>
          <w:rFonts w:hint="eastAsia" w:cs="宋体"/>
          <w:bCs/>
          <w:sz w:val="28"/>
          <w:szCs w:val="28"/>
        </w:rPr>
        <w:t>6.6其他：</w:t>
      </w:r>
      <w:r>
        <w:rPr>
          <w:rFonts w:hint="eastAsia" w:cs="宋体"/>
          <w:bCs/>
          <w:sz w:val="28"/>
          <w:szCs w:val="28"/>
          <w:u w:val="single"/>
        </w:rPr>
        <w:t>电子投标文件在辽宁省公共资源交易网http://ggzy.ln.gov.cn/指定栏目上传投标文件采用远程解密、远程直播开标。开标网址：https://www.lnsggzy.com/BidOpeningHall/bidhall/dqliaoning/login。投标文件需要用实体CA数字证书或移动CA数字证书生成上传。解密时限为递交投标文件截止时间起30分钟内（因开标系统发生不可抗力产生延误解密时间的，招标人将延长相应的解密时长，其他原因不予延长解密时间），登录交易系统进入所投开标项目，使用CA数字证书解密。未在规定时间内完成解密的投标人，视为放弃本次投标，招标人不再接收</w:t>
      </w:r>
      <w:r>
        <w:rPr>
          <w:rFonts w:hint="eastAsia" w:cs="宋体"/>
          <w:bCs/>
          <w:sz w:val="28"/>
          <w:szCs w:val="28"/>
        </w:rPr>
        <w:t>。</w:t>
      </w:r>
    </w:p>
    <w:p w14:paraId="4DF39DD0">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47" w:name="_Toc28154"/>
      <w:bookmarkStart w:id="48" w:name="_Toc20174"/>
      <w:bookmarkStart w:id="49" w:name="_Toc26225"/>
      <w:bookmarkStart w:id="50" w:name="_Toc32367"/>
      <w:bookmarkStart w:id="51" w:name="_Toc40274973"/>
      <w:bookmarkStart w:id="52" w:name="_Toc26860"/>
      <w:bookmarkStart w:id="53" w:name="_Toc56792751"/>
      <w:bookmarkStart w:id="54" w:name="_Toc38287096"/>
      <w:bookmarkStart w:id="55" w:name="_Toc11407"/>
      <w:r>
        <w:rPr>
          <w:rFonts w:hint="eastAsia" w:ascii="Times New Roman" w:hAnsi="Times New Roman" w:cs="宋体"/>
          <w:b w:val="0"/>
          <w:color w:val="auto"/>
          <w:szCs w:val="28"/>
        </w:rPr>
        <w:t>7</w:t>
      </w:r>
      <w:r>
        <w:rPr>
          <w:rFonts w:hint="eastAsia" w:ascii="Times New Roman" w:hAnsi="Times New Roman" w:cs="宋体"/>
          <w:color w:val="auto"/>
          <w:szCs w:val="28"/>
        </w:rPr>
        <w:t>.</w:t>
      </w:r>
      <w:r>
        <w:rPr>
          <w:rFonts w:hint="eastAsia" w:ascii="Times New Roman" w:hAnsi="Times New Roman" w:cs="宋体"/>
          <w:b w:val="0"/>
          <w:color w:val="auto"/>
          <w:szCs w:val="28"/>
        </w:rPr>
        <w:t>资格审查与评标办法</w:t>
      </w:r>
      <w:bookmarkEnd w:id="47"/>
      <w:bookmarkEnd w:id="48"/>
      <w:bookmarkEnd w:id="49"/>
      <w:bookmarkEnd w:id="50"/>
      <w:bookmarkEnd w:id="51"/>
      <w:bookmarkEnd w:id="52"/>
      <w:bookmarkEnd w:id="53"/>
      <w:bookmarkEnd w:id="54"/>
      <w:bookmarkEnd w:id="55"/>
      <w:r>
        <w:rPr>
          <w:rFonts w:hint="eastAsia" w:ascii="Times New Roman" w:hAnsi="Times New Roman" w:cs="宋体"/>
          <w:b w:val="0"/>
          <w:color w:val="auto"/>
          <w:szCs w:val="28"/>
        </w:rPr>
        <w:t xml:space="preserve"> </w:t>
      </w:r>
    </w:p>
    <w:p w14:paraId="15FA0770">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7.1 本次招标实行资格后审。</w:t>
      </w:r>
    </w:p>
    <w:p w14:paraId="33FC031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7.2本项目评标办法采用</w:t>
      </w:r>
      <w:r>
        <w:rPr>
          <w:rFonts w:hint="eastAsia" w:ascii="Times New Roman" w:hAnsi="Times New Roman" w:eastAsia="宋体" w:cs="宋体"/>
          <w:color w:val="auto"/>
          <w:sz w:val="28"/>
          <w:szCs w:val="28"/>
          <w:u w:val="single"/>
        </w:rPr>
        <w:t>综合评分法</w:t>
      </w:r>
      <w:r>
        <w:rPr>
          <w:rFonts w:hint="eastAsia" w:ascii="Times New Roman" w:hAnsi="Times New Roman" w:eastAsia="宋体" w:cs="宋体"/>
          <w:color w:val="auto"/>
          <w:sz w:val="28"/>
          <w:szCs w:val="28"/>
        </w:rPr>
        <w:t xml:space="preserve"> 。</w:t>
      </w:r>
    </w:p>
    <w:p w14:paraId="66106EE9">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56" w:name="_Toc31168"/>
      <w:bookmarkStart w:id="57" w:name="_Toc21089"/>
      <w:bookmarkStart w:id="58" w:name="_Toc38287098"/>
      <w:bookmarkStart w:id="59" w:name="_Toc12521"/>
      <w:bookmarkStart w:id="60" w:name="_Toc56792752"/>
      <w:bookmarkStart w:id="61" w:name="_Toc5828"/>
      <w:bookmarkStart w:id="62" w:name="_Toc25409"/>
      <w:bookmarkStart w:id="63" w:name="_Toc10287"/>
      <w:bookmarkStart w:id="64" w:name="_Toc40274974"/>
      <w:r>
        <w:rPr>
          <w:rFonts w:hint="eastAsia" w:ascii="Times New Roman" w:hAnsi="Times New Roman" w:cs="宋体"/>
          <w:b w:val="0"/>
          <w:color w:val="auto"/>
          <w:szCs w:val="28"/>
        </w:rPr>
        <w:t>8</w:t>
      </w:r>
      <w:r>
        <w:rPr>
          <w:rFonts w:hint="eastAsia" w:ascii="Times New Roman" w:hAnsi="Times New Roman" w:cs="宋体"/>
          <w:color w:val="auto"/>
          <w:szCs w:val="28"/>
        </w:rPr>
        <w:t>.</w:t>
      </w:r>
      <w:r>
        <w:rPr>
          <w:rFonts w:hint="eastAsia" w:ascii="Times New Roman" w:hAnsi="Times New Roman" w:cs="宋体"/>
          <w:b w:val="0"/>
          <w:color w:val="auto"/>
          <w:szCs w:val="28"/>
        </w:rPr>
        <w:t>发布公告的媒介</w:t>
      </w:r>
      <w:bookmarkEnd w:id="56"/>
      <w:bookmarkEnd w:id="57"/>
      <w:bookmarkEnd w:id="58"/>
      <w:bookmarkEnd w:id="59"/>
      <w:bookmarkEnd w:id="60"/>
      <w:bookmarkEnd w:id="61"/>
      <w:bookmarkEnd w:id="62"/>
      <w:bookmarkEnd w:id="63"/>
      <w:bookmarkEnd w:id="64"/>
    </w:p>
    <w:p w14:paraId="1F7BD8C2">
      <w:pPr>
        <w:widowControl w:val="0"/>
        <w:spacing w:after="0" w:line="48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本次招标公告同时在</w:t>
      </w:r>
      <w:r>
        <w:rPr>
          <w:rFonts w:hint="eastAsia" w:ascii="Times New Roman" w:hAnsi="Times New Roman" w:eastAsia="宋体" w:cs="宋体"/>
          <w:color w:val="auto"/>
          <w:sz w:val="28"/>
          <w:szCs w:val="28"/>
          <w:u w:val="single"/>
        </w:rPr>
        <w:t>辽宁省招标投标监管网、辽宁省公共资源交易网</w:t>
      </w:r>
      <w:r>
        <w:rPr>
          <w:rFonts w:hint="eastAsia" w:ascii="Times New Roman" w:hAnsi="Times New Roman" w:eastAsia="宋体" w:cs="宋体"/>
          <w:color w:val="auto"/>
          <w:sz w:val="28"/>
          <w:szCs w:val="28"/>
        </w:rPr>
        <w:t>（发布公告的媒介名称）上发布。</w:t>
      </w:r>
    </w:p>
    <w:p w14:paraId="6D374478">
      <w:pPr>
        <w:pStyle w:val="3"/>
        <w:keepNext w:val="0"/>
        <w:keepLines w:val="0"/>
        <w:widowControl w:val="0"/>
        <w:adjustRightInd w:val="0"/>
        <w:snapToGrid w:val="0"/>
        <w:spacing w:line="480" w:lineRule="exact"/>
        <w:ind w:left="0" w:right="0" w:firstLine="560" w:firstLineChars="200"/>
        <w:jc w:val="both"/>
        <w:rPr>
          <w:rFonts w:ascii="Times New Roman" w:hAnsi="Times New Roman" w:cs="宋体"/>
          <w:b w:val="0"/>
          <w:color w:val="auto"/>
          <w:szCs w:val="28"/>
        </w:rPr>
      </w:pPr>
      <w:bookmarkStart w:id="65" w:name="_Toc56792753"/>
      <w:bookmarkStart w:id="66" w:name="_Toc17056"/>
      <w:bookmarkStart w:id="67" w:name="_Toc23730"/>
      <w:bookmarkStart w:id="68" w:name="_Toc40274975"/>
      <w:bookmarkStart w:id="69" w:name="_Toc2743"/>
      <w:bookmarkStart w:id="70" w:name="_Toc17509"/>
      <w:bookmarkStart w:id="71" w:name="_Toc15983"/>
      <w:bookmarkStart w:id="72" w:name="_Toc38287099"/>
      <w:bookmarkStart w:id="73" w:name="_Toc2535"/>
      <w:r>
        <w:rPr>
          <w:rFonts w:hint="eastAsia" w:ascii="Times New Roman" w:hAnsi="Times New Roman" w:cs="宋体"/>
          <w:b w:val="0"/>
          <w:color w:val="auto"/>
          <w:szCs w:val="28"/>
        </w:rPr>
        <w:t>9</w:t>
      </w:r>
      <w:r>
        <w:rPr>
          <w:rFonts w:hint="eastAsia" w:ascii="Times New Roman" w:hAnsi="Times New Roman" w:cs="宋体"/>
          <w:color w:val="auto"/>
          <w:szCs w:val="28"/>
        </w:rPr>
        <w:t>.</w:t>
      </w:r>
      <w:r>
        <w:rPr>
          <w:rFonts w:hint="eastAsia" w:ascii="Times New Roman" w:hAnsi="Times New Roman" w:cs="宋体"/>
          <w:b w:val="0"/>
          <w:color w:val="auto"/>
          <w:szCs w:val="28"/>
        </w:rPr>
        <w:t>行政监督</w:t>
      </w:r>
      <w:bookmarkEnd w:id="65"/>
      <w:bookmarkEnd w:id="66"/>
      <w:bookmarkEnd w:id="67"/>
      <w:bookmarkEnd w:id="68"/>
      <w:bookmarkEnd w:id="69"/>
      <w:bookmarkEnd w:id="70"/>
      <w:bookmarkEnd w:id="71"/>
      <w:bookmarkEnd w:id="72"/>
      <w:bookmarkEnd w:id="73"/>
    </w:p>
    <w:p w14:paraId="7C4AA00F">
      <w:pPr>
        <w:pStyle w:val="15"/>
        <w:adjustRightInd w:val="0"/>
        <w:snapToGrid w:val="0"/>
        <w:spacing w:line="480" w:lineRule="exact"/>
        <w:ind w:firstLine="560" w:firstLineChars="200"/>
        <w:rPr>
          <w:rFonts w:cs="宋体"/>
          <w:sz w:val="28"/>
          <w:szCs w:val="28"/>
        </w:rPr>
      </w:pPr>
      <w:r>
        <w:rPr>
          <w:rFonts w:hint="eastAsia" w:cs="宋体"/>
          <w:sz w:val="28"/>
          <w:szCs w:val="28"/>
        </w:rPr>
        <w:t>本次招标行政监督部门为</w:t>
      </w:r>
      <w:r>
        <w:rPr>
          <w:rFonts w:hint="eastAsia" w:cs="宋体"/>
          <w:sz w:val="28"/>
          <w:szCs w:val="28"/>
          <w:u w:val="single"/>
        </w:rPr>
        <w:t>大石桥市水利局</w:t>
      </w:r>
      <w:r>
        <w:rPr>
          <w:rFonts w:hint="eastAsia" w:cs="宋体"/>
          <w:sz w:val="28"/>
          <w:szCs w:val="28"/>
        </w:rPr>
        <w:t>，办公电话：</w:t>
      </w:r>
      <w:r>
        <w:rPr>
          <w:rFonts w:hint="eastAsia" w:cs="宋体"/>
          <w:sz w:val="28"/>
          <w:szCs w:val="28"/>
          <w:u w:val="single"/>
        </w:rPr>
        <w:t>0417-5813639</w:t>
      </w:r>
      <w:r>
        <w:rPr>
          <w:rFonts w:hint="eastAsia" w:cs="宋体"/>
          <w:sz w:val="28"/>
          <w:szCs w:val="28"/>
        </w:rPr>
        <w:t>。</w:t>
      </w:r>
    </w:p>
    <w:p w14:paraId="55EB5203">
      <w:pPr>
        <w:pStyle w:val="3"/>
        <w:keepNext w:val="0"/>
        <w:keepLines w:val="0"/>
        <w:widowControl w:val="0"/>
        <w:numPr>
          <w:ilvl w:val="0"/>
          <w:numId w:val="1"/>
        </w:numPr>
        <w:adjustRightInd w:val="0"/>
        <w:snapToGrid w:val="0"/>
        <w:spacing w:line="480" w:lineRule="exact"/>
        <w:ind w:left="0" w:right="0" w:firstLine="560" w:firstLineChars="200"/>
        <w:jc w:val="both"/>
        <w:rPr>
          <w:rFonts w:ascii="Times New Roman" w:hAnsi="Times New Roman" w:cs="宋体"/>
          <w:color w:val="auto"/>
          <w:szCs w:val="28"/>
        </w:rPr>
      </w:pPr>
      <w:bookmarkStart w:id="74" w:name="_Toc7463"/>
      <w:bookmarkStart w:id="75" w:name="_Toc38287100"/>
      <w:bookmarkStart w:id="76" w:name="_Toc17886"/>
      <w:bookmarkStart w:id="77" w:name="_Toc22102"/>
      <w:bookmarkStart w:id="78" w:name="_Toc7726"/>
      <w:bookmarkStart w:id="79" w:name="_Toc18284"/>
      <w:bookmarkStart w:id="80" w:name="_Toc56792754"/>
      <w:bookmarkStart w:id="81" w:name="_Toc32157"/>
      <w:bookmarkStart w:id="82" w:name="_Toc40274976"/>
      <w:r>
        <w:rPr>
          <w:rFonts w:hint="eastAsia" w:ascii="Times New Roman" w:hAnsi="Times New Roman" w:cs="宋体"/>
          <w:b w:val="0"/>
          <w:color w:val="auto"/>
          <w:szCs w:val="28"/>
        </w:rPr>
        <w:t>联系方式</w:t>
      </w:r>
      <w:bookmarkEnd w:id="74"/>
      <w:bookmarkEnd w:id="75"/>
      <w:bookmarkEnd w:id="76"/>
      <w:bookmarkEnd w:id="77"/>
      <w:bookmarkEnd w:id="78"/>
      <w:bookmarkEnd w:id="79"/>
      <w:bookmarkEnd w:id="80"/>
      <w:bookmarkEnd w:id="81"/>
      <w:bookmarkEnd w:id="82"/>
      <w:r>
        <w:rPr>
          <w:rFonts w:hint="eastAsia" w:ascii="Times New Roman" w:hAnsi="Times New Roman" w:cs="宋体"/>
          <w:color w:val="auto"/>
          <w:szCs w:val="28"/>
        </w:rPr>
        <w:t xml:space="preserve"> </w:t>
      </w:r>
    </w:p>
    <w:p w14:paraId="3FB632F4">
      <w:pPr>
        <w:snapToGrid w:val="0"/>
        <w:spacing w:after="0" w:line="480" w:lineRule="exact"/>
        <w:ind w:firstLine="560" w:firstLineChars="200"/>
        <w:rPr>
          <w:rFonts w:ascii="Times New Roman" w:hAnsi="Times New Roman" w:eastAsia="宋体"/>
          <w:color w:val="auto"/>
          <w:sz w:val="28"/>
          <w:szCs w:val="28"/>
        </w:rPr>
      </w:pPr>
      <w:r>
        <w:rPr>
          <w:rFonts w:ascii="Times New Roman" w:hAnsi="Times New Roman" w:eastAsia="宋体"/>
          <w:color w:val="auto"/>
          <w:sz w:val="28"/>
          <w:szCs w:val="28"/>
        </w:rPr>
        <w:t>（1）招标人：</w:t>
      </w:r>
      <w:r>
        <w:rPr>
          <w:rFonts w:hint="eastAsia" w:ascii="Times New Roman" w:hAnsi="Times New Roman" w:eastAsia="宋体"/>
          <w:color w:val="auto"/>
          <w:sz w:val="28"/>
          <w:szCs w:val="28"/>
          <w:u w:val="single"/>
        </w:rPr>
        <w:t>大石桥市清源水务建设有限公司</w:t>
      </w:r>
    </w:p>
    <w:p w14:paraId="4BCD89C4">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地址：</w:t>
      </w:r>
      <w:r>
        <w:rPr>
          <w:rFonts w:hint="eastAsia" w:ascii="Times New Roman" w:hAnsi="Times New Roman" w:eastAsia="宋体"/>
          <w:color w:val="auto"/>
          <w:sz w:val="28"/>
          <w:szCs w:val="28"/>
          <w:u w:val="single"/>
        </w:rPr>
        <w:t>辽宁省营口市大石桥市荣华街8号201室</w:t>
      </w:r>
    </w:p>
    <w:p w14:paraId="272AF6DA">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联系人：</w:t>
      </w:r>
      <w:r>
        <w:rPr>
          <w:rFonts w:hint="eastAsia" w:ascii="Times New Roman" w:hAnsi="Times New Roman" w:eastAsia="宋体"/>
          <w:color w:val="auto"/>
          <w:sz w:val="28"/>
          <w:szCs w:val="28"/>
          <w:u w:val="single"/>
        </w:rPr>
        <w:t>刘先生</w:t>
      </w:r>
    </w:p>
    <w:p w14:paraId="364CCA16">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电话：</w:t>
      </w:r>
      <w:r>
        <w:rPr>
          <w:rFonts w:hint="eastAsia" w:ascii="Times New Roman" w:hAnsi="Times New Roman" w:eastAsia="宋体"/>
          <w:color w:val="auto"/>
          <w:sz w:val="28"/>
          <w:szCs w:val="28"/>
          <w:u w:val="single"/>
        </w:rPr>
        <w:t>0417-5988079</w:t>
      </w:r>
    </w:p>
    <w:p w14:paraId="3AF16D02">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传真：</w:t>
      </w:r>
      <w:r>
        <w:rPr>
          <w:rFonts w:hint="eastAsia" w:ascii="Times New Roman" w:hAnsi="Times New Roman" w:eastAsia="宋体"/>
          <w:color w:val="auto"/>
          <w:sz w:val="28"/>
          <w:szCs w:val="28"/>
          <w:u w:val="single"/>
        </w:rPr>
        <w:t>/</w:t>
      </w:r>
    </w:p>
    <w:p w14:paraId="5AEFB659">
      <w:pPr>
        <w:snapToGrid w:val="0"/>
        <w:spacing w:after="0" w:line="480" w:lineRule="exact"/>
        <w:ind w:firstLine="1120" w:firstLineChars="400"/>
        <w:rPr>
          <w:rFonts w:ascii="Times New Roman" w:hAnsi="Times New Roman" w:eastAsia="宋体"/>
          <w:color w:val="auto"/>
          <w:kern w:val="0"/>
          <w:sz w:val="28"/>
          <w:szCs w:val="28"/>
        </w:rPr>
      </w:pPr>
      <w:r>
        <w:rPr>
          <w:rFonts w:ascii="Times New Roman" w:hAnsi="Times New Roman" w:eastAsia="宋体"/>
          <w:color w:val="auto"/>
          <w:kern w:val="0"/>
          <w:sz w:val="28"/>
          <w:szCs w:val="28"/>
        </w:rPr>
        <w:t>电子邮件：</w:t>
      </w:r>
      <w:r>
        <w:rPr>
          <w:rFonts w:hint="eastAsia" w:ascii="Times New Roman" w:hAnsi="Times New Roman" w:eastAsia="宋体"/>
          <w:color w:val="auto"/>
          <w:kern w:val="0"/>
          <w:sz w:val="28"/>
          <w:szCs w:val="28"/>
          <w:u w:val="single"/>
        </w:rPr>
        <w:t>/</w:t>
      </w:r>
      <w:r>
        <w:rPr>
          <w:rFonts w:ascii="Times New Roman" w:hAnsi="Times New Roman" w:eastAsia="宋体"/>
          <w:color w:val="auto"/>
          <w:kern w:val="0"/>
          <w:sz w:val="28"/>
          <w:szCs w:val="28"/>
        </w:rPr>
        <w:t xml:space="preserve">    </w:t>
      </w:r>
    </w:p>
    <w:p w14:paraId="7BCDB0B4">
      <w:pPr>
        <w:snapToGrid w:val="0"/>
        <w:spacing w:after="0" w:line="480" w:lineRule="exact"/>
        <w:ind w:firstLine="560" w:firstLineChars="200"/>
        <w:rPr>
          <w:rFonts w:ascii="Times New Roman" w:hAnsi="Times New Roman" w:eastAsia="宋体"/>
          <w:color w:val="auto"/>
          <w:sz w:val="28"/>
          <w:szCs w:val="28"/>
        </w:rPr>
      </w:pPr>
      <w:r>
        <w:rPr>
          <w:rFonts w:ascii="Times New Roman" w:hAnsi="Times New Roman" w:eastAsia="宋体"/>
          <w:color w:val="auto"/>
          <w:sz w:val="28"/>
          <w:szCs w:val="28"/>
        </w:rPr>
        <w:t>（2）招标代理机构：</w:t>
      </w:r>
      <w:r>
        <w:rPr>
          <w:rFonts w:hint="eastAsia" w:ascii="Times New Roman" w:hAnsi="Times New Roman" w:eastAsia="宋体"/>
          <w:color w:val="auto"/>
          <w:sz w:val="28"/>
          <w:szCs w:val="28"/>
          <w:u w:val="single"/>
        </w:rPr>
        <w:t>中招国际招标有限公司</w:t>
      </w:r>
    </w:p>
    <w:p w14:paraId="35AEA2E1">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地址：</w:t>
      </w:r>
      <w:r>
        <w:rPr>
          <w:rFonts w:hint="eastAsia" w:ascii="Times New Roman" w:hAnsi="Times New Roman" w:eastAsia="宋体"/>
          <w:color w:val="auto"/>
          <w:sz w:val="28"/>
          <w:szCs w:val="28"/>
          <w:u w:val="single"/>
        </w:rPr>
        <w:t>沈阳市和平区天津南街46号城开中心T3楼2301室</w:t>
      </w:r>
    </w:p>
    <w:p w14:paraId="2C9AF413">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联系人：</w:t>
      </w:r>
      <w:r>
        <w:rPr>
          <w:rFonts w:hint="eastAsia" w:ascii="Times New Roman" w:hAnsi="Times New Roman" w:eastAsia="宋体"/>
          <w:color w:val="auto"/>
          <w:sz w:val="28"/>
          <w:szCs w:val="28"/>
          <w:u w:val="single"/>
        </w:rPr>
        <w:t>王惊宇、陈宇飞、马志强</w:t>
      </w:r>
    </w:p>
    <w:p w14:paraId="396C912D">
      <w:pPr>
        <w:snapToGrid w:val="0"/>
        <w:spacing w:after="0" w:line="480" w:lineRule="exact"/>
        <w:ind w:firstLine="1120" w:firstLineChars="400"/>
        <w:rPr>
          <w:rFonts w:hint="eastAsia" w:ascii="Times New Roman" w:hAnsi="Times New Roman" w:eastAsia="宋体"/>
          <w:color w:val="auto"/>
          <w:sz w:val="28"/>
          <w:szCs w:val="28"/>
          <w:lang w:eastAsia="zh-CN"/>
        </w:rPr>
      </w:pPr>
      <w:r>
        <w:rPr>
          <w:rFonts w:ascii="Times New Roman" w:hAnsi="Times New Roman" w:eastAsia="宋体"/>
          <w:color w:val="auto"/>
          <w:sz w:val="28"/>
          <w:szCs w:val="28"/>
        </w:rPr>
        <w:t>电话：</w:t>
      </w:r>
      <w:r>
        <w:rPr>
          <w:rFonts w:hint="eastAsia" w:ascii="Times New Roman" w:hAnsi="Times New Roman" w:eastAsia="宋体"/>
          <w:color w:val="auto"/>
          <w:sz w:val="28"/>
          <w:szCs w:val="28"/>
          <w:u w:val="single"/>
          <w:lang w:eastAsia="zh-CN"/>
        </w:rPr>
        <w:t>024-31338828</w:t>
      </w:r>
    </w:p>
    <w:p w14:paraId="6162911B">
      <w:pPr>
        <w:snapToGrid w:val="0"/>
        <w:spacing w:after="0" w:line="480" w:lineRule="exact"/>
        <w:ind w:firstLine="1120" w:firstLineChars="400"/>
        <w:rPr>
          <w:rFonts w:ascii="Times New Roman" w:hAnsi="Times New Roman" w:eastAsia="宋体"/>
          <w:color w:val="auto"/>
          <w:sz w:val="28"/>
          <w:szCs w:val="28"/>
        </w:rPr>
      </w:pPr>
      <w:r>
        <w:rPr>
          <w:rFonts w:ascii="Times New Roman" w:hAnsi="Times New Roman" w:eastAsia="宋体"/>
          <w:color w:val="auto"/>
          <w:sz w:val="28"/>
          <w:szCs w:val="28"/>
        </w:rPr>
        <w:t>传真：</w:t>
      </w:r>
      <w:r>
        <w:rPr>
          <w:rFonts w:hint="eastAsia" w:ascii="Times New Roman" w:hAnsi="Times New Roman" w:eastAsia="宋体"/>
          <w:color w:val="auto"/>
          <w:sz w:val="28"/>
          <w:szCs w:val="28"/>
          <w:u w:val="single"/>
        </w:rPr>
        <w:t>/</w:t>
      </w:r>
    </w:p>
    <w:p w14:paraId="581EAB3F">
      <w:pPr>
        <w:snapToGrid w:val="0"/>
        <w:spacing w:after="0" w:line="480" w:lineRule="exact"/>
        <w:ind w:firstLine="1120" w:firstLineChars="400"/>
        <w:rPr>
          <w:rFonts w:ascii="Times New Roman" w:hAnsi="Times New Roman" w:eastAsia="宋体"/>
          <w:color w:val="auto"/>
          <w:kern w:val="0"/>
          <w:sz w:val="28"/>
          <w:szCs w:val="28"/>
        </w:rPr>
      </w:pPr>
      <w:r>
        <w:rPr>
          <w:rFonts w:ascii="Times New Roman" w:hAnsi="Times New Roman" w:eastAsia="宋体"/>
          <w:color w:val="auto"/>
          <w:kern w:val="0"/>
          <w:sz w:val="28"/>
          <w:szCs w:val="28"/>
        </w:rPr>
        <w:t>电子邮件：</w:t>
      </w:r>
      <w:r>
        <w:rPr>
          <w:rFonts w:hint="eastAsia" w:ascii="Times New Roman" w:hAnsi="Times New Roman" w:eastAsia="宋体"/>
          <w:color w:val="auto"/>
          <w:kern w:val="0"/>
          <w:sz w:val="28"/>
          <w:szCs w:val="28"/>
          <w:u w:val="single"/>
          <w:lang w:val="en-US" w:eastAsia="zh-CN"/>
        </w:rPr>
        <w:t>1076358799@qq.com</w:t>
      </w:r>
      <w:r>
        <w:rPr>
          <w:rFonts w:ascii="Times New Roman" w:hAnsi="Times New Roman" w:eastAsia="宋体"/>
          <w:color w:val="auto"/>
          <w:kern w:val="0"/>
          <w:sz w:val="28"/>
          <w:szCs w:val="28"/>
        </w:rPr>
        <w:t xml:space="preserve"> </w:t>
      </w:r>
    </w:p>
    <w:p w14:paraId="3E106CFE">
      <w:pPr>
        <w:spacing w:after="0" w:line="480" w:lineRule="exact"/>
        <w:ind w:firstLine="560" w:firstLineChars="200"/>
        <w:rPr>
          <w:rFonts w:ascii="Times New Roman" w:hAnsi="Times New Roman" w:eastAsia="宋体"/>
          <w:color w:val="auto"/>
          <w:kern w:val="0"/>
          <w:sz w:val="28"/>
          <w:szCs w:val="28"/>
          <w:u w:val="single"/>
        </w:rPr>
      </w:pPr>
      <w:r>
        <w:rPr>
          <w:rFonts w:hint="eastAsia" w:ascii="Times New Roman" w:hAnsi="Times New Roman" w:eastAsia="宋体"/>
          <w:color w:val="auto"/>
          <w:sz w:val="28"/>
          <w:szCs w:val="28"/>
        </w:rPr>
        <w:t>（3）异议处理联系人：王惊宇</w:t>
      </w:r>
    </w:p>
    <w:p w14:paraId="7917FC03">
      <w:pPr>
        <w:spacing w:after="0" w:line="480" w:lineRule="exact"/>
        <w:ind w:firstLine="1120" w:firstLineChars="400"/>
        <w:rPr>
          <w:rFonts w:hint="eastAsia" w:ascii="Times New Roman" w:hAnsi="Times New Roman" w:eastAsia="宋体"/>
          <w:color w:val="auto"/>
          <w:kern w:val="0"/>
          <w:sz w:val="28"/>
          <w:szCs w:val="28"/>
          <w:u w:val="single"/>
          <w:lang w:eastAsia="zh-CN"/>
        </w:rPr>
      </w:pPr>
      <w:r>
        <w:rPr>
          <w:rFonts w:hint="eastAsia" w:ascii="Times New Roman" w:hAnsi="Times New Roman" w:eastAsia="宋体"/>
          <w:color w:val="auto"/>
          <w:sz w:val="28"/>
          <w:szCs w:val="28"/>
        </w:rPr>
        <w:t xml:space="preserve">联系方式： </w:t>
      </w:r>
      <w:r>
        <w:rPr>
          <w:rFonts w:hint="eastAsia" w:ascii="Times New Roman" w:hAnsi="Times New Roman" w:eastAsia="宋体"/>
          <w:color w:val="auto"/>
          <w:sz w:val="28"/>
          <w:szCs w:val="28"/>
          <w:u w:val="single"/>
          <w:lang w:eastAsia="zh-CN"/>
        </w:rPr>
        <w:t>024-31338828</w:t>
      </w:r>
    </w:p>
    <w:p w14:paraId="0CB6E5C5">
      <w:pPr>
        <w:spacing w:after="0" w:line="480" w:lineRule="exact"/>
        <w:ind w:firstLine="560" w:firstLineChars="200"/>
        <w:rPr>
          <w:rFonts w:ascii="Times New Roman" w:hAnsi="Times New Roman" w:eastAsia="宋体"/>
          <w:color w:val="auto"/>
          <w:kern w:val="0"/>
          <w:sz w:val="28"/>
          <w:szCs w:val="28"/>
          <w:u w:val="single"/>
        </w:rPr>
      </w:pPr>
      <w:r>
        <w:rPr>
          <w:rFonts w:hint="eastAsia" w:ascii="Times New Roman" w:hAnsi="Times New Roman" w:eastAsia="宋体"/>
          <w:color w:val="auto"/>
          <w:sz w:val="28"/>
          <w:szCs w:val="28"/>
        </w:rPr>
        <w:t>（4）交易平台技术问题联系人：</w:t>
      </w:r>
      <w:r>
        <w:rPr>
          <w:rFonts w:hint="eastAsia" w:ascii="Times New Roman" w:hAnsi="Times New Roman" w:eastAsia="宋体"/>
          <w:color w:val="auto"/>
          <w:kern w:val="0"/>
          <w:sz w:val="28"/>
          <w:szCs w:val="28"/>
          <w:u w:val="single"/>
        </w:rPr>
        <w:t>技术服务</w:t>
      </w:r>
    </w:p>
    <w:p w14:paraId="5F996E50">
      <w:pPr>
        <w:pStyle w:val="5"/>
        <w:ind w:firstLine="560"/>
      </w:pPr>
      <w:r>
        <w:rPr>
          <w:rFonts w:hint="eastAsia"/>
          <w:sz w:val="28"/>
          <w:szCs w:val="32"/>
        </w:rPr>
        <w:t xml:space="preserve">联系方式： </w:t>
      </w:r>
      <w:r>
        <w:rPr>
          <w:rFonts w:hint="eastAsia"/>
          <w:kern w:val="0"/>
          <w:sz w:val="28"/>
          <w:szCs w:val="32"/>
          <w:u w:val="single"/>
        </w:rPr>
        <w:t>400-998-0000</w:t>
      </w:r>
      <w:r>
        <w:rPr>
          <w:rFonts w:hint="eastAsia"/>
          <w:sz w:val="28"/>
          <w:szCs w:val="28"/>
        </w:rPr>
        <w:t xml:space="preserve"> </w:t>
      </w:r>
    </w:p>
    <w:p w14:paraId="1C29D24D">
      <w:pPr>
        <w:widowControl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br w:type="page"/>
      </w:r>
    </w:p>
    <w:p w14:paraId="0B758248">
      <w:pPr>
        <w:pStyle w:val="2"/>
        <w:keepNext w:val="0"/>
        <w:keepLines w:val="0"/>
        <w:widowControl w:val="0"/>
        <w:adjustRightInd w:val="0"/>
        <w:snapToGrid w:val="0"/>
        <w:spacing w:after="0"/>
        <w:ind w:left="0" w:right="0"/>
        <w:rPr>
          <w:rFonts w:ascii="Times New Roman" w:hAnsi="Times New Roman" w:eastAsia="宋体" w:cs="宋体"/>
          <w:b/>
          <w:bCs/>
          <w:color w:val="auto"/>
          <w:sz w:val="36"/>
        </w:rPr>
      </w:pPr>
      <w:bookmarkStart w:id="83" w:name="_Toc24628"/>
      <w:bookmarkStart w:id="84" w:name="_Toc24430"/>
      <w:bookmarkStart w:id="85" w:name="_Toc22349"/>
      <w:bookmarkStart w:id="86" w:name="_Toc11759"/>
      <w:bookmarkStart w:id="87" w:name="_Toc56792755"/>
      <w:bookmarkStart w:id="88" w:name="_Toc11532"/>
      <w:bookmarkStart w:id="89" w:name="_Toc22431"/>
      <w:r>
        <w:rPr>
          <w:rFonts w:hint="eastAsia" w:ascii="Times New Roman" w:hAnsi="Times New Roman" w:eastAsia="宋体" w:cs="宋体"/>
          <w:b/>
          <w:bCs/>
          <w:color w:val="auto"/>
          <w:sz w:val="36"/>
          <w:szCs w:val="44"/>
        </w:rPr>
        <w:t>第二章  投标人须知</w:t>
      </w:r>
      <w:bookmarkEnd w:id="83"/>
      <w:bookmarkEnd w:id="84"/>
      <w:bookmarkEnd w:id="85"/>
      <w:bookmarkEnd w:id="86"/>
      <w:bookmarkEnd w:id="87"/>
      <w:bookmarkEnd w:id="88"/>
      <w:bookmarkEnd w:id="89"/>
    </w:p>
    <w:p w14:paraId="3613C160">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rPr>
      </w:pPr>
      <w:bookmarkStart w:id="90" w:name="_Toc56792756"/>
      <w:bookmarkStart w:id="91" w:name="_Toc7683"/>
      <w:bookmarkStart w:id="92" w:name="_Toc18633"/>
      <w:bookmarkStart w:id="93" w:name="_Toc17443"/>
      <w:bookmarkStart w:id="94" w:name="_Toc13124"/>
      <w:bookmarkStart w:id="95" w:name="_Toc16842"/>
      <w:bookmarkStart w:id="96" w:name="_Toc15266"/>
      <w:r>
        <w:rPr>
          <w:rFonts w:hint="eastAsia" w:ascii="Times New Roman" w:hAnsi="Times New Roman" w:cs="宋体"/>
          <w:b w:val="0"/>
          <w:bCs/>
          <w:color w:val="auto"/>
        </w:rPr>
        <w:t>投标人须知前附表</w:t>
      </w:r>
      <w:bookmarkEnd w:id="90"/>
      <w:bookmarkEnd w:id="91"/>
      <w:bookmarkEnd w:id="92"/>
      <w:bookmarkEnd w:id="93"/>
      <w:bookmarkEnd w:id="94"/>
      <w:bookmarkEnd w:id="95"/>
      <w:bookmarkEnd w:id="96"/>
    </w:p>
    <w:tbl>
      <w:tblPr>
        <w:tblStyle w:val="17"/>
        <w:tblW w:w="52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1059"/>
        <w:gridCol w:w="2434"/>
        <w:gridCol w:w="5331"/>
      </w:tblGrid>
      <w:tr w14:paraId="083C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tblHeader/>
          <w:jc w:val="center"/>
        </w:trPr>
        <w:tc>
          <w:tcPr>
            <w:tcW w:w="600" w:type="pct"/>
            <w:tcBorders>
              <w:tl2br w:val="nil"/>
              <w:tr2bl w:val="nil"/>
            </w:tcBorders>
            <w:vAlign w:val="center"/>
          </w:tcPr>
          <w:p w14:paraId="2EEE42B6">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条款号</w:t>
            </w:r>
          </w:p>
        </w:tc>
        <w:tc>
          <w:tcPr>
            <w:tcW w:w="1379" w:type="pct"/>
            <w:tcBorders>
              <w:tl2br w:val="nil"/>
              <w:tr2bl w:val="nil"/>
            </w:tcBorders>
            <w:vAlign w:val="center"/>
          </w:tcPr>
          <w:p w14:paraId="05821ADC">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条款名称</w:t>
            </w:r>
          </w:p>
        </w:tc>
        <w:tc>
          <w:tcPr>
            <w:tcW w:w="3020" w:type="pct"/>
            <w:tcBorders>
              <w:tl2br w:val="nil"/>
              <w:tr2bl w:val="nil"/>
            </w:tcBorders>
            <w:vAlign w:val="center"/>
          </w:tcPr>
          <w:p w14:paraId="6B4D1C1F">
            <w:pPr>
              <w:widowControl w:val="0"/>
              <w:adjustRightInd w:val="0"/>
              <w:snapToGrid w:val="0"/>
              <w:spacing w:after="0" w:line="380" w:lineRule="exact"/>
              <w:jc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编列内容</w:t>
            </w:r>
          </w:p>
        </w:tc>
      </w:tr>
      <w:tr w14:paraId="6D09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E81E7E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w:t>
            </w:r>
          </w:p>
        </w:tc>
        <w:tc>
          <w:tcPr>
            <w:tcW w:w="1379" w:type="pct"/>
            <w:tcBorders>
              <w:tl2br w:val="nil"/>
              <w:tr2bl w:val="nil"/>
            </w:tcBorders>
            <w:vAlign w:val="center"/>
          </w:tcPr>
          <w:p w14:paraId="78AA0B0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招标人</w:t>
            </w:r>
          </w:p>
        </w:tc>
        <w:tc>
          <w:tcPr>
            <w:tcW w:w="3020" w:type="pct"/>
            <w:tcBorders>
              <w:tl2br w:val="nil"/>
              <w:tr2bl w:val="nil"/>
            </w:tcBorders>
            <w:vAlign w:val="center"/>
          </w:tcPr>
          <w:p w14:paraId="2E757597">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名    称： </w:t>
            </w:r>
            <w:r>
              <w:rPr>
                <w:rFonts w:hint="eastAsia" w:ascii="Times New Roman" w:hAnsi="Times New Roman" w:eastAsia="宋体" w:cs="宋体"/>
                <w:color w:val="auto"/>
                <w:sz w:val="24"/>
                <w:szCs w:val="24"/>
                <w:u w:val="single"/>
              </w:rPr>
              <w:t>大石桥市清源水务建设有限公司</w:t>
            </w:r>
            <w:r>
              <w:rPr>
                <w:rFonts w:hint="eastAsia" w:ascii="Times New Roman" w:hAnsi="Times New Roman" w:eastAsia="宋体" w:cs="宋体"/>
                <w:color w:val="auto"/>
                <w:sz w:val="24"/>
                <w:szCs w:val="24"/>
              </w:rPr>
              <w:t xml:space="preserve">                    </w:t>
            </w:r>
          </w:p>
          <w:p w14:paraId="6B2CF34D">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地    址： </w:t>
            </w:r>
            <w:r>
              <w:rPr>
                <w:rFonts w:hint="eastAsia" w:ascii="Times New Roman" w:hAnsi="Times New Roman" w:eastAsia="宋体" w:cs="宋体"/>
                <w:color w:val="auto"/>
                <w:sz w:val="24"/>
                <w:szCs w:val="24"/>
                <w:u w:val="single"/>
              </w:rPr>
              <w:t>辽宁省营口市大石桥市荣华街8号201室</w:t>
            </w:r>
            <w:r>
              <w:rPr>
                <w:rFonts w:hint="eastAsia" w:ascii="Times New Roman" w:hAnsi="Times New Roman" w:eastAsia="宋体" w:cs="宋体"/>
                <w:color w:val="auto"/>
                <w:sz w:val="24"/>
                <w:szCs w:val="24"/>
              </w:rPr>
              <w:t xml:space="preserve">                    </w:t>
            </w:r>
          </w:p>
          <w:p w14:paraId="367EBBD2">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联 系 人： </w:t>
            </w:r>
            <w:r>
              <w:rPr>
                <w:rFonts w:hint="eastAsia" w:ascii="Times New Roman" w:hAnsi="Times New Roman" w:eastAsia="宋体" w:cs="宋体"/>
                <w:color w:val="auto"/>
                <w:sz w:val="24"/>
                <w:szCs w:val="24"/>
                <w:u w:val="single"/>
              </w:rPr>
              <w:t>刘先生</w:t>
            </w:r>
            <w:r>
              <w:rPr>
                <w:rFonts w:hint="eastAsia" w:ascii="Times New Roman" w:hAnsi="Times New Roman" w:eastAsia="宋体" w:cs="宋体"/>
                <w:color w:val="auto"/>
                <w:sz w:val="24"/>
                <w:szCs w:val="24"/>
              </w:rPr>
              <w:t xml:space="preserve">                     </w:t>
            </w:r>
          </w:p>
          <w:p w14:paraId="36F84207">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电    话： </w:t>
            </w:r>
            <w:r>
              <w:rPr>
                <w:rFonts w:hint="eastAsia" w:ascii="Times New Roman" w:hAnsi="Times New Roman" w:eastAsia="宋体" w:cs="宋体"/>
                <w:color w:val="auto"/>
                <w:sz w:val="24"/>
                <w:szCs w:val="24"/>
                <w:u w:val="single"/>
              </w:rPr>
              <w:t>0417-5988079</w:t>
            </w:r>
            <w:r>
              <w:rPr>
                <w:rFonts w:hint="eastAsia" w:ascii="Times New Roman" w:hAnsi="Times New Roman" w:eastAsia="宋体" w:cs="宋体"/>
                <w:color w:val="auto"/>
                <w:sz w:val="24"/>
                <w:szCs w:val="24"/>
              </w:rPr>
              <w:t xml:space="preserve">                     </w:t>
            </w:r>
          </w:p>
        </w:tc>
      </w:tr>
      <w:tr w14:paraId="75A00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EC1037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w:t>
            </w:r>
          </w:p>
        </w:tc>
        <w:tc>
          <w:tcPr>
            <w:tcW w:w="1379" w:type="pct"/>
            <w:tcBorders>
              <w:tl2br w:val="nil"/>
              <w:tr2bl w:val="nil"/>
            </w:tcBorders>
            <w:vAlign w:val="center"/>
          </w:tcPr>
          <w:p w14:paraId="3DAF0BC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招标代理机构</w:t>
            </w:r>
          </w:p>
        </w:tc>
        <w:tc>
          <w:tcPr>
            <w:tcW w:w="3020" w:type="pct"/>
            <w:tcBorders>
              <w:tl2br w:val="nil"/>
              <w:tr2bl w:val="nil"/>
            </w:tcBorders>
            <w:vAlign w:val="center"/>
          </w:tcPr>
          <w:p w14:paraId="7F62B9EF">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名    称： </w:t>
            </w:r>
            <w:r>
              <w:rPr>
                <w:rFonts w:hint="eastAsia" w:ascii="Times New Roman" w:hAnsi="Times New Roman" w:eastAsia="宋体" w:cs="宋体"/>
                <w:color w:val="auto"/>
                <w:sz w:val="24"/>
                <w:szCs w:val="24"/>
                <w:u w:val="single"/>
              </w:rPr>
              <w:t>中招国际招标有限公司</w:t>
            </w:r>
            <w:r>
              <w:rPr>
                <w:rFonts w:hint="eastAsia" w:ascii="Times New Roman" w:hAnsi="Times New Roman" w:eastAsia="宋体" w:cs="宋体"/>
                <w:color w:val="auto"/>
                <w:sz w:val="24"/>
                <w:szCs w:val="24"/>
              </w:rPr>
              <w:t xml:space="preserve">                    </w:t>
            </w:r>
          </w:p>
          <w:p w14:paraId="09840954">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地    址： </w:t>
            </w:r>
            <w:r>
              <w:rPr>
                <w:rFonts w:hint="eastAsia" w:ascii="Times New Roman" w:hAnsi="Times New Roman" w:eastAsia="宋体" w:cs="宋体"/>
                <w:color w:val="auto"/>
                <w:sz w:val="24"/>
                <w:szCs w:val="24"/>
                <w:u w:val="single"/>
              </w:rPr>
              <w:t>沈阳市和平区天津南街46号城开中心T3楼2301室</w:t>
            </w:r>
            <w:r>
              <w:rPr>
                <w:rFonts w:hint="eastAsia" w:ascii="Times New Roman" w:hAnsi="Times New Roman" w:eastAsia="宋体" w:cs="宋体"/>
                <w:color w:val="auto"/>
                <w:sz w:val="24"/>
                <w:szCs w:val="24"/>
              </w:rPr>
              <w:t xml:space="preserve">                    </w:t>
            </w:r>
          </w:p>
          <w:p w14:paraId="2966869A">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联 系 人： </w:t>
            </w:r>
            <w:r>
              <w:rPr>
                <w:rFonts w:hint="eastAsia" w:ascii="Times New Roman" w:hAnsi="Times New Roman" w:eastAsia="宋体" w:cs="宋体"/>
                <w:color w:val="auto"/>
                <w:sz w:val="24"/>
                <w:szCs w:val="24"/>
                <w:u w:val="single"/>
              </w:rPr>
              <w:t>王惊宇、陈宇飞、马志强</w:t>
            </w:r>
            <w:r>
              <w:rPr>
                <w:rFonts w:hint="eastAsia" w:ascii="Times New Roman" w:hAnsi="Times New Roman" w:eastAsia="宋体" w:cs="宋体"/>
                <w:color w:val="auto"/>
                <w:sz w:val="24"/>
                <w:szCs w:val="24"/>
              </w:rPr>
              <w:t xml:space="preserve">                </w:t>
            </w:r>
          </w:p>
          <w:p w14:paraId="5D46866E">
            <w:pPr>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电    话：</w:t>
            </w:r>
            <w:r>
              <w:rPr>
                <w:rFonts w:hint="eastAsia" w:ascii="Times New Roman" w:hAnsi="Times New Roman" w:eastAsia="宋体" w:cs="宋体"/>
                <w:color w:val="auto"/>
                <w:sz w:val="24"/>
                <w:szCs w:val="24"/>
                <w:u w:val="single"/>
                <w:lang w:eastAsia="zh-CN"/>
              </w:rPr>
              <w:t>024-31338828</w:t>
            </w:r>
            <w:r>
              <w:rPr>
                <w:rFonts w:hint="eastAsia" w:ascii="Times New Roman" w:hAnsi="Times New Roman" w:eastAsia="宋体" w:cs="宋体"/>
                <w:color w:val="auto"/>
                <w:sz w:val="24"/>
                <w:szCs w:val="24"/>
              </w:rPr>
              <w:t xml:space="preserve">                        </w:t>
            </w:r>
          </w:p>
        </w:tc>
      </w:tr>
      <w:tr w14:paraId="63E74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16DB5FD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w:t>
            </w:r>
          </w:p>
        </w:tc>
        <w:tc>
          <w:tcPr>
            <w:tcW w:w="1379" w:type="pct"/>
            <w:vMerge w:val="restart"/>
            <w:tcBorders>
              <w:tl2br w:val="nil"/>
              <w:tr2bl w:val="nil"/>
            </w:tcBorders>
            <w:vAlign w:val="center"/>
          </w:tcPr>
          <w:p w14:paraId="78F904BC">
            <w:pPr>
              <w:jc w:val="center"/>
              <w:rPr>
                <w:rFonts w:ascii="Times New Roman" w:hAnsi="Times New Roman" w:eastAsia="宋体" w:cs="宋体"/>
                <w:color w:val="auto"/>
                <w:sz w:val="24"/>
                <w:szCs w:val="24"/>
              </w:rPr>
            </w:pPr>
            <w:r>
              <w:rPr>
                <w:rFonts w:hint="eastAsia"/>
                <w:color w:val="auto"/>
                <w:sz w:val="24"/>
                <w:szCs w:val="24"/>
              </w:rPr>
              <w:t>项目</w:t>
            </w:r>
            <w:r>
              <w:rPr>
                <w:color w:val="auto"/>
                <w:sz w:val="24"/>
                <w:szCs w:val="24"/>
              </w:rPr>
              <w:t>名称</w:t>
            </w:r>
            <w:r>
              <w:rPr>
                <w:rFonts w:hint="eastAsia"/>
                <w:color w:val="auto"/>
                <w:sz w:val="24"/>
                <w:szCs w:val="24"/>
              </w:rPr>
              <w:t>及标段</w:t>
            </w:r>
            <w:r>
              <w:rPr>
                <w:color w:val="auto"/>
                <w:sz w:val="24"/>
                <w:szCs w:val="24"/>
              </w:rPr>
              <w:t>名称</w:t>
            </w:r>
          </w:p>
        </w:tc>
        <w:tc>
          <w:tcPr>
            <w:tcW w:w="3020" w:type="pct"/>
            <w:tcBorders>
              <w:tl2br w:val="nil"/>
              <w:tr2bl w:val="nil"/>
            </w:tcBorders>
            <w:vAlign w:val="center"/>
          </w:tcPr>
          <w:p w14:paraId="043798A3">
            <w:pPr>
              <w:jc w:val="both"/>
              <w:rPr>
                <w:color w:val="auto"/>
                <w:sz w:val="24"/>
                <w:szCs w:val="24"/>
                <w:u w:val="single"/>
              </w:rPr>
            </w:pPr>
            <w:r>
              <w:rPr>
                <w:rFonts w:hint="eastAsia"/>
                <w:color w:val="auto"/>
                <w:sz w:val="24"/>
                <w:szCs w:val="24"/>
              </w:rPr>
              <w:t>项目名称：</w:t>
            </w:r>
            <w:r>
              <w:rPr>
                <w:rFonts w:hint="eastAsia"/>
                <w:color w:val="auto"/>
                <w:sz w:val="24"/>
                <w:szCs w:val="24"/>
                <w:u w:val="single"/>
              </w:rPr>
              <w:t>大石桥市西部农村供水工程（一期）</w:t>
            </w:r>
          </w:p>
        </w:tc>
      </w:tr>
      <w:tr w14:paraId="1109C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3BA46299">
            <w:pPr>
              <w:rPr>
                <w:color w:val="auto"/>
                <w:sz w:val="24"/>
                <w:szCs w:val="24"/>
              </w:rPr>
            </w:pPr>
          </w:p>
        </w:tc>
        <w:tc>
          <w:tcPr>
            <w:tcW w:w="1379" w:type="pct"/>
            <w:vMerge w:val="continue"/>
            <w:tcBorders>
              <w:tl2br w:val="nil"/>
              <w:tr2bl w:val="nil"/>
            </w:tcBorders>
            <w:vAlign w:val="center"/>
          </w:tcPr>
          <w:p w14:paraId="2C674C98">
            <w:pPr>
              <w:rPr>
                <w:color w:val="auto"/>
                <w:sz w:val="24"/>
                <w:szCs w:val="24"/>
              </w:rPr>
            </w:pPr>
          </w:p>
        </w:tc>
        <w:tc>
          <w:tcPr>
            <w:tcW w:w="3020" w:type="pct"/>
            <w:tcBorders>
              <w:tl2br w:val="nil"/>
              <w:tr2bl w:val="nil"/>
            </w:tcBorders>
            <w:vAlign w:val="center"/>
          </w:tcPr>
          <w:p w14:paraId="11F221DD">
            <w:pPr>
              <w:jc w:val="both"/>
              <w:rPr>
                <w:color w:val="auto"/>
                <w:sz w:val="24"/>
                <w:szCs w:val="24"/>
                <w:u w:val="single"/>
              </w:rPr>
            </w:pPr>
            <w:r>
              <w:rPr>
                <w:rFonts w:hint="eastAsia"/>
                <w:color w:val="auto"/>
                <w:sz w:val="24"/>
                <w:szCs w:val="24"/>
              </w:rPr>
              <w:t>标段名称：NB-IOT远控物联网水表(DN20)购置（二）</w:t>
            </w:r>
          </w:p>
        </w:tc>
      </w:tr>
      <w:tr w14:paraId="05A6A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F736A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1.2.1</w:t>
            </w:r>
          </w:p>
        </w:tc>
        <w:tc>
          <w:tcPr>
            <w:tcW w:w="1379" w:type="pct"/>
            <w:tcBorders>
              <w:tl2br w:val="nil"/>
              <w:tr2bl w:val="nil"/>
            </w:tcBorders>
            <w:vAlign w:val="center"/>
          </w:tcPr>
          <w:p w14:paraId="49C36B4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资金来源</w:t>
            </w:r>
          </w:p>
        </w:tc>
        <w:tc>
          <w:tcPr>
            <w:tcW w:w="3020" w:type="pct"/>
            <w:tcBorders>
              <w:tl2br w:val="nil"/>
              <w:tr2bl w:val="nil"/>
            </w:tcBorders>
            <w:vAlign w:val="center"/>
          </w:tcPr>
          <w:p w14:paraId="68F7CDF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省级补助、市级财政、银行贷款</w:t>
            </w:r>
          </w:p>
        </w:tc>
      </w:tr>
      <w:tr w14:paraId="2EE11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475B6A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1.2.2</w:t>
            </w:r>
          </w:p>
        </w:tc>
        <w:tc>
          <w:tcPr>
            <w:tcW w:w="1379" w:type="pct"/>
            <w:tcBorders>
              <w:tl2br w:val="nil"/>
              <w:tr2bl w:val="nil"/>
            </w:tcBorders>
            <w:vAlign w:val="center"/>
          </w:tcPr>
          <w:p w14:paraId="12EC9D8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资金落实情况</w:t>
            </w:r>
          </w:p>
        </w:tc>
        <w:tc>
          <w:tcPr>
            <w:tcW w:w="3020" w:type="pct"/>
            <w:tcBorders>
              <w:tl2br w:val="nil"/>
              <w:tr2bl w:val="nil"/>
            </w:tcBorders>
            <w:vAlign w:val="center"/>
          </w:tcPr>
          <w:p w14:paraId="1A64FA4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已落实</w:t>
            </w:r>
          </w:p>
        </w:tc>
      </w:tr>
      <w:tr w14:paraId="42683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D0C5DC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1.3.1</w:t>
            </w:r>
          </w:p>
        </w:tc>
        <w:tc>
          <w:tcPr>
            <w:tcW w:w="1379" w:type="pct"/>
            <w:tcBorders>
              <w:tl2br w:val="nil"/>
              <w:tr2bl w:val="nil"/>
            </w:tcBorders>
            <w:vAlign w:val="center"/>
          </w:tcPr>
          <w:p w14:paraId="2E75C55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招标范围</w:t>
            </w:r>
          </w:p>
        </w:tc>
        <w:tc>
          <w:tcPr>
            <w:tcW w:w="3020" w:type="pct"/>
            <w:tcBorders>
              <w:tl2br w:val="nil"/>
              <w:tr2bl w:val="nil"/>
            </w:tcBorders>
            <w:vAlign w:val="center"/>
          </w:tcPr>
          <w:p w14:paraId="7720DA6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详见招标公告</w:t>
            </w:r>
          </w:p>
        </w:tc>
      </w:tr>
      <w:tr w14:paraId="064F8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3AF19A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1.3.2</w:t>
            </w:r>
          </w:p>
        </w:tc>
        <w:tc>
          <w:tcPr>
            <w:tcW w:w="1379" w:type="pct"/>
            <w:tcBorders>
              <w:tl2br w:val="nil"/>
              <w:tr2bl w:val="nil"/>
            </w:tcBorders>
            <w:vAlign w:val="center"/>
          </w:tcPr>
          <w:p w14:paraId="5F77D5A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交货期</w:t>
            </w:r>
          </w:p>
        </w:tc>
        <w:tc>
          <w:tcPr>
            <w:tcW w:w="3020" w:type="pct"/>
            <w:tcBorders>
              <w:tl2br w:val="nil"/>
              <w:tr2bl w:val="nil"/>
            </w:tcBorders>
            <w:vAlign w:val="center"/>
          </w:tcPr>
          <w:p w14:paraId="134CA4D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日历天；</w:t>
            </w:r>
          </w:p>
          <w:p w14:paraId="7E5D7E69">
            <w:pPr>
              <w:widowControl w:val="0"/>
              <w:adjustRightInd w:val="0"/>
              <w:snapToGrid w:val="0"/>
              <w:spacing w:after="0" w:line="380" w:lineRule="exact"/>
              <w:ind w:firstLine="240" w:firstLineChars="1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计划开始交货日期：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63C770F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□本项目分</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批次交货，每批次交货时间：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545801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☑其它方式：自签订合同之日起，供货商开始备货，设备出厂具体时间由业主按项目进度决定；供货商须接到设备出厂通知</w:t>
            </w:r>
            <w:r>
              <w:rPr>
                <w:rFonts w:hint="eastAsia" w:ascii="Times New Roman" w:hAnsi="Times New Roman" w:eastAsia="宋体" w:cs="宋体"/>
                <w:color w:val="auto"/>
                <w:sz w:val="24"/>
                <w:szCs w:val="24"/>
                <w:lang w:val="en-US" w:eastAsia="zh-CN"/>
              </w:rPr>
              <w:t>15</w:t>
            </w:r>
            <w:r>
              <w:rPr>
                <w:rFonts w:hint="eastAsia" w:ascii="Times New Roman" w:hAnsi="Times New Roman" w:eastAsia="宋体" w:cs="宋体"/>
                <w:color w:val="auto"/>
                <w:sz w:val="24"/>
                <w:szCs w:val="24"/>
              </w:rPr>
              <w:t>日内</w:t>
            </w:r>
            <w:r>
              <w:rPr>
                <w:rFonts w:hint="eastAsia" w:ascii="Times New Roman" w:hAnsi="Times New Roman" w:eastAsia="宋体" w:cs="宋体"/>
                <w:color w:val="auto"/>
                <w:sz w:val="24"/>
                <w:szCs w:val="24"/>
                <w:lang w:val="en-US" w:eastAsia="zh-CN"/>
              </w:rPr>
              <w:t>货到现场</w:t>
            </w:r>
            <w:r>
              <w:rPr>
                <w:rFonts w:hint="eastAsia" w:ascii="Times New Roman" w:hAnsi="Times New Roman" w:eastAsia="宋体" w:cs="宋体"/>
                <w:color w:val="auto"/>
                <w:sz w:val="24"/>
                <w:szCs w:val="24"/>
              </w:rPr>
              <w:t>；相关设备进场时，设备供应商须与涉及土建施工方做好协调工作。（具体按建设单位要求）</w:t>
            </w:r>
          </w:p>
        </w:tc>
      </w:tr>
      <w:tr w14:paraId="6CA4D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3610A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1.3.3</w:t>
            </w:r>
          </w:p>
        </w:tc>
        <w:tc>
          <w:tcPr>
            <w:tcW w:w="1379" w:type="pct"/>
            <w:tcBorders>
              <w:tl2br w:val="nil"/>
              <w:tr2bl w:val="nil"/>
            </w:tcBorders>
            <w:vAlign w:val="center"/>
          </w:tcPr>
          <w:p w14:paraId="2CD66AB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交货地点及方式</w:t>
            </w:r>
          </w:p>
        </w:tc>
        <w:tc>
          <w:tcPr>
            <w:tcW w:w="3020" w:type="pct"/>
            <w:tcBorders>
              <w:tl2br w:val="nil"/>
              <w:tr2bl w:val="nil"/>
            </w:tcBorders>
            <w:vAlign w:val="center"/>
          </w:tcPr>
          <w:p w14:paraId="38C8064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大石桥市（具体按建设单位指定地点）</w:t>
            </w:r>
          </w:p>
        </w:tc>
      </w:tr>
      <w:tr w14:paraId="4FC3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A290E7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1.3.4</w:t>
            </w:r>
          </w:p>
        </w:tc>
        <w:tc>
          <w:tcPr>
            <w:tcW w:w="1379" w:type="pct"/>
            <w:tcBorders>
              <w:tl2br w:val="nil"/>
              <w:tr2bl w:val="nil"/>
            </w:tcBorders>
            <w:vAlign w:val="center"/>
          </w:tcPr>
          <w:p w14:paraId="641BC81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技术性能指标</w:t>
            </w:r>
          </w:p>
        </w:tc>
        <w:tc>
          <w:tcPr>
            <w:tcW w:w="3020" w:type="pct"/>
            <w:tcBorders>
              <w:tl2br w:val="nil"/>
              <w:tr2bl w:val="nil"/>
            </w:tcBorders>
            <w:vAlign w:val="center"/>
          </w:tcPr>
          <w:p w14:paraId="18D8C9D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详见供货要求部分内容</w:t>
            </w:r>
          </w:p>
        </w:tc>
      </w:tr>
      <w:tr w14:paraId="1521B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C27786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w:t>
            </w:r>
          </w:p>
        </w:tc>
        <w:tc>
          <w:tcPr>
            <w:tcW w:w="1379" w:type="pct"/>
            <w:tcBorders>
              <w:tl2br w:val="nil"/>
              <w:tr2bl w:val="nil"/>
            </w:tcBorders>
            <w:vAlign w:val="center"/>
          </w:tcPr>
          <w:p w14:paraId="614342A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投标人资质条件、能力、信誉</w:t>
            </w:r>
          </w:p>
        </w:tc>
        <w:tc>
          <w:tcPr>
            <w:tcW w:w="3020" w:type="pct"/>
            <w:tcBorders>
              <w:tl2br w:val="nil"/>
              <w:tr2bl w:val="nil"/>
            </w:tcBorders>
            <w:vAlign w:val="center"/>
          </w:tcPr>
          <w:p w14:paraId="6C614A86">
            <w:pPr>
              <w:widowControl w:val="0"/>
              <w:numPr>
                <w:ilvl w:val="0"/>
                <w:numId w:val="2"/>
              </w:numPr>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资质要求（对制造商资质有要求的，应分别列出并注明）：</w:t>
            </w:r>
          </w:p>
          <w:p w14:paraId="6B6B6FDB">
            <w:pPr>
              <w:widowControl w:val="0"/>
              <w:adjustRightInd w:val="0"/>
              <w:snapToGrid w:val="0"/>
              <w:spacing w:after="0" w:line="380" w:lineRule="exact"/>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u w:val="single"/>
              </w:rPr>
              <w:t>1.1投标人必须为中华人民共和国境内注册的具有独立法人资格的设备制造商（包括软件）或其代理商，且有能力提供本次采购货物并提供相关服务；</w:t>
            </w:r>
          </w:p>
          <w:p w14:paraId="4E33C580">
            <w:pPr>
              <w:widowControl w:val="0"/>
              <w:adjustRightInd w:val="0"/>
              <w:snapToGrid w:val="0"/>
              <w:spacing w:after="0" w:line="380" w:lineRule="exact"/>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u w:val="single"/>
              </w:rPr>
              <w:t>1.</w:t>
            </w:r>
            <w:r>
              <w:rPr>
                <w:rFonts w:hint="eastAsia" w:ascii="Times New Roman" w:hAnsi="Times New Roman" w:eastAsia="宋体" w:cs="宋体"/>
                <w:color w:val="auto"/>
                <w:sz w:val="24"/>
                <w:szCs w:val="24"/>
                <w:u w:val="single"/>
                <w:lang w:val="en-US" w:eastAsia="zh-CN"/>
              </w:rPr>
              <w:t>2</w:t>
            </w:r>
            <w:r>
              <w:rPr>
                <w:rFonts w:hint="eastAsia" w:ascii="Times New Roman" w:hAnsi="Times New Roman" w:eastAsia="宋体" w:cs="宋体"/>
                <w:color w:val="auto"/>
                <w:sz w:val="24"/>
                <w:szCs w:val="24"/>
                <w:u w:val="single"/>
              </w:rPr>
              <w:t>如果投标人为代理商，必须提供制造商厂家开具的</w:t>
            </w:r>
            <w:r>
              <w:rPr>
                <w:rFonts w:hint="eastAsia" w:ascii="Times New Roman" w:hAnsi="Times New Roman" w:eastAsia="宋体" w:cs="宋体"/>
                <w:color w:val="auto"/>
                <w:sz w:val="24"/>
                <w:szCs w:val="24"/>
                <w:u w:val="single"/>
                <w:lang w:val="en-US" w:eastAsia="zh-CN"/>
              </w:rPr>
              <w:t>针对此项目的</w:t>
            </w:r>
            <w:r>
              <w:rPr>
                <w:rFonts w:hint="eastAsia" w:ascii="Times New Roman" w:hAnsi="Times New Roman" w:eastAsia="宋体" w:cs="宋体"/>
                <w:color w:val="auto"/>
                <w:sz w:val="24"/>
                <w:szCs w:val="24"/>
                <w:u w:val="single"/>
              </w:rPr>
              <w:t>授权书；</w:t>
            </w:r>
          </w:p>
          <w:p w14:paraId="7824035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（2）财务要求：</w:t>
            </w:r>
            <w:r>
              <w:rPr>
                <w:rFonts w:hint="eastAsia" w:ascii="Times New Roman" w:hAnsi="Times New Roman" w:eastAsia="宋体" w:cs="宋体"/>
                <w:color w:val="auto"/>
                <w:sz w:val="24"/>
                <w:szCs w:val="24"/>
                <w:u w:val="single"/>
              </w:rPr>
              <w:t>无</w:t>
            </w:r>
          </w:p>
          <w:p w14:paraId="18A00A7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（3）业绩要求：</w:t>
            </w:r>
            <w:r>
              <w:rPr>
                <w:rFonts w:hint="eastAsia" w:ascii="Times New Roman" w:hAnsi="Times New Roman" w:eastAsia="宋体" w:cs="宋体"/>
                <w:color w:val="auto"/>
                <w:sz w:val="24"/>
                <w:szCs w:val="24"/>
                <w:u w:val="single"/>
              </w:rPr>
              <w:t>无</w:t>
            </w:r>
          </w:p>
          <w:p w14:paraId="4EBDB75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（4）信誉要求：</w:t>
            </w:r>
            <w:r>
              <w:rPr>
                <w:rFonts w:hint="eastAsia" w:ascii="Times New Roman" w:hAnsi="Times New Roman" w:eastAsia="宋体" w:cs="宋体"/>
                <w:color w:val="auto"/>
                <w:sz w:val="24"/>
                <w:szCs w:val="24"/>
                <w:u w:val="single"/>
              </w:rPr>
              <w:t>投标人（代理商投标时，包括被代理的制造商）不得为列入失信被执行人、重大税收违法案件当事人名单、政府采购严重违法失信行为记录名单的投标人</w:t>
            </w:r>
          </w:p>
          <w:p w14:paraId="5F2E7A9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（5）其他要求：</w:t>
            </w:r>
            <w:r>
              <w:rPr>
                <w:rFonts w:hint="eastAsia" w:ascii="Times New Roman" w:hAnsi="Times New Roman" w:eastAsia="宋体" w:cs="宋体"/>
                <w:color w:val="auto"/>
                <w:sz w:val="24"/>
                <w:szCs w:val="24"/>
                <w:u w:val="single"/>
              </w:rPr>
              <w:t>无</w:t>
            </w:r>
          </w:p>
        </w:tc>
      </w:tr>
      <w:tr w14:paraId="4BEB4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95E00E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w:t>
            </w:r>
          </w:p>
        </w:tc>
        <w:tc>
          <w:tcPr>
            <w:tcW w:w="1379" w:type="pct"/>
            <w:tcBorders>
              <w:tl2br w:val="nil"/>
              <w:tr2bl w:val="nil"/>
            </w:tcBorders>
            <w:vAlign w:val="center"/>
          </w:tcPr>
          <w:p w14:paraId="36546B37">
            <w:pPr>
              <w:spacing w:after="0" w:line="380" w:lineRule="exact"/>
              <w:ind w:left="4"/>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是否接受联合体投标</w:t>
            </w:r>
          </w:p>
        </w:tc>
        <w:tc>
          <w:tcPr>
            <w:tcW w:w="3020" w:type="pct"/>
            <w:tcBorders>
              <w:tl2br w:val="nil"/>
              <w:tr2bl w:val="nil"/>
            </w:tcBorders>
            <w:vAlign w:val="center"/>
          </w:tcPr>
          <w:p w14:paraId="5FA1EEA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☑不接受</w:t>
            </w:r>
          </w:p>
          <w:p w14:paraId="624D560E">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□接受，应满足下列要求：</w:t>
            </w:r>
          </w:p>
        </w:tc>
      </w:tr>
      <w:tr w14:paraId="4672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CC2F79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1.4.3</w:t>
            </w:r>
          </w:p>
        </w:tc>
        <w:tc>
          <w:tcPr>
            <w:tcW w:w="1379" w:type="pct"/>
            <w:tcBorders>
              <w:tl2br w:val="nil"/>
              <w:tr2bl w:val="nil"/>
            </w:tcBorders>
            <w:vAlign w:val="center"/>
          </w:tcPr>
          <w:p w14:paraId="7EA19AE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投标人不得存在的其他情形</w:t>
            </w:r>
          </w:p>
        </w:tc>
        <w:tc>
          <w:tcPr>
            <w:tcW w:w="3020" w:type="pct"/>
            <w:tcBorders>
              <w:tl2br w:val="nil"/>
              <w:tr2bl w:val="nil"/>
            </w:tcBorders>
            <w:vAlign w:val="center"/>
          </w:tcPr>
          <w:p w14:paraId="18C1309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无</w:t>
            </w:r>
            <w:r>
              <w:rPr>
                <w:rFonts w:hint="eastAsia" w:ascii="Times New Roman" w:hAnsi="Times New Roman" w:eastAsia="宋体" w:cs="宋体"/>
                <w:color w:val="auto"/>
                <w:sz w:val="24"/>
                <w:szCs w:val="24"/>
              </w:rPr>
              <w:t>。</w:t>
            </w:r>
          </w:p>
        </w:tc>
      </w:tr>
      <w:tr w14:paraId="5CF33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2BA79E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1.9.1</w:t>
            </w:r>
          </w:p>
        </w:tc>
        <w:tc>
          <w:tcPr>
            <w:tcW w:w="1379" w:type="pct"/>
            <w:tcBorders>
              <w:tl2br w:val="nil"/>
              <w:tr2bl w:val="nil"/>
            </w:tcBorders>
            <w:vAlign w:val="center"/>
          </w:tcPr>
          <w:p w14:paraId="06E2C06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投标预备会</w:t>
            </w:r>
          </w:p>
        </w:tc>
        <w:tc>
          <w:tcPr>
            <w:tcW w:w="3020" w:type="pct"/>
            <w:tcBorders>
              <w:tl2br w:val="nil"/>
              <w:tr2bl w:val="nil"/>
            </w:tcBorders>
            <w:vAlign w:val="center"/>
          </w:tcPr>
          <w:p w14:paraId="43FCC99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☑不召开</w:t>
            </w:r>
          </w:p>
          <w:p w14:paraId="53CECEA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□召开，召开时间：</w:t>
            </w:r>
            <w:r>
              <w:rPr>
                <w:rFonts w:hint="eastAsia" w:ascii="Times New Roman" w:hAnsi="Times New Roman" w:eastAsia="宋体" w:cs="宋体"/>
                <w:color w:val="auto"/>
                <w:sz w:val="24"/>
                <w:szCs w:val="24"/>
                <w:u w:val="single"/>
              </w:rPr>
              <w:t xml:space="preserve">                     </w:t>
            </w:r>
          </w:p>
          <w:p w14:paraId="3FDB5907">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召开地点：</w:t>
            </w:r>
            <w:r>
              <w:rPr>
                <w:rFonts w:hint="eastAsia" w:ascii="Times New Roman" w:hAnsi="Times New Roman" w:eastAsia="宋体" w:cs="宋体"/>
                <w:color w:val="auto"/>
                <w:sz w:val="24"/>
                <w:szCs w:val="24"/>
                <w:u w:val="single"/>
              </w:rPr>
              <w:t xml:space="preserve">                     </w:t>
            </w:r>
          </w:p>
        </w:tc>
      </w:tr>
      <w:tr w14:paraId="11AA2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78E0FFC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1.9.2</w:t>
            </w:r>
          </w:p>
        </w:tc>
        <w:tc>
          <w:tcPr>
            <w:tcW w:w="1379" w:type="pct"/>
            <w:vMerge w:val="restart"/>
            <w:tcBorders>
              <w:tl2br w:val="nil"/>
              <w:tr2bl w:val="nil"/>
            </w:tcBorders>
            <w:vAlign w:val="center"/>
          </w:tcPr>
          <w:p w14:paraId="6AC1E3F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投标人在投标预备会前提出问题</w:t>
            </w:r>
          </w:p>
        </w:tc>
        <w:tc>
          <w:tcPr>
            <w:tcW w:w="3020" w:type="pct"/>
            <w:tcBorders>
              <w:tl2br w:val="nil"/>
              <w:tr2bl w:val="nil"/>
            </w:tcBorders>
            <w:vAlign w:val="center"/>
          </w:tcPr>
          <w:p w14:paraId="2B525C4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时间：在投标预备会召开前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tc>
      </w:tr>
      <w:tr w14:paraId="7D0A5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4718F3D9">
            <w:pPr>
              <w:widowControl w:val="0"/>
              <w:adjustRightInd w:val="0"/>
              <w:snapToGrid w:val="0"/>
              <w:spacing w:after="0" w:line="380" w:lineRule="exact"/>
              <w:jc w:val="center"/>
              <w:rPr>
                <w:rFonts w:ascii="Times New Roman" w:hAnsi="Times New Roman" w:eastAsia="宋体" w:cs="宋体"/>
                <w:color w:val="auto"/>
                <w:sz w:val="24"/>
                <w:szCs w:val="24"/>
              </w:rPr>
            </w:pPr>
          </w:p>
        </w:tc>
        <w:tc>
          <w:tcPr>
            <w:tcW w:w="1379" w:type="pct"/>
            <w:vMerge w:val="continue"/>
            <w:tcBorders>
              <w:tl2br w:val="nil"/>
              <w:tr2bl w:val="nil"/>
            </w:tcBorders>
            <w:vAlign w:val="center"/>
          </w:tcPr>
          <w:p w14:paraId="234FB27C">
            <w:pPr>
              <w:widowControl w:val="0"/>
              <w:adjustRightInd w:val="0"/>
              <w:snapToGrid w:val="0"/>
              <w:spacing w:after="0" w:line="380" w:lineRule="exact"/>
              <w:jc w:val="center"/>
              <w:rPr>
                <w:rFonts w:ascii="Times New Roman" w:hAnsi="Times New Roman" w:eastAsia="宋体" w:cs="宋体"/>
                <w:color w:val="auto"/>
                <w:sz w:val="24"/>
                <w:szCs w:val="24"/>
              </w:rPr>
            </w:pPr>
          </w:p>
        </w:tc>
        <w:tc>
          <w:tcPr>
            <w:tcW w:w="3020" w:type="pct"/>
            <w:tcBorders>
              <w:tl2br w:val="nil"/>
              <w:tr2bl w:val="nil"/>
            </w:tcBorders>
            <w:vAlign w:val="center"/>
          </w:tcPr>
          <w:p w14:paraId="437F130B">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（网址：</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）提问。</w:t>
            </w:r>
          </w:p>
        </w:tc>
      </w:tr>
      <w:tr w14:paraId="1DFC3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0E76AA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1.10.1</w:t>
            </w:r>
          </w:p>
        </w:tc>
        <w:tc>
          <w:tcPr>
            <w:tcW w:w="1379" w:type="pct"/>
            <w:tcBorders>
              <w:tl2br w:val="nil"/>
              <w:tr2bl w:val="nil"/>
            </w:tcBorders>
            <w:vAlign w:val="center"/>
          </w:tcPr>
          <w:p w14:paraId="18F2A04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分包</w:t>
            </w:r>
          </w:p>
        </w:tc>
        <w:tc>
          <w:tcPr>
            <w:tcW w:w="3020" w:type="pct"/>
            <w:tcBorders>
              <w:tl2br w:val="nil"/>
              <w:tr2bl w:val="nil"/>
            </w:tcBorders>
            <w:vAlign w:val="center"/>
          </w:tcPr>
          <w:p w14:paraId="2EFC361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□不允许</w:t>
            </w:r>
          </w:p>
          <w:p w14:paraId="1CB4BA5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☑允许，分包内容要求：</w:t>
            </w:r>
            <w:r>
              <w:rPr>
                <w:rFonts w:hint="eastAsia" w:ascii="Times New Roman" w:hAnsi="Times New Roman" w:eastAsia="宋体" w:cs="宋体"/>
                <w:color w:val="auto"/>
                <w:sz w:val="24"/>
                <w:szCs w:val="24"/>
                <w:u w:val="single"/>
              </w:rPr>
              <w:t>货物交付后，安装或实施部分如确需具有资质的企业完成的，将按照相关资质管理办法要求分包完成，但对所采购货物、设施、设备的质量及安装的安全负总责。</w:t>
            </w:r>
          </w:p>
          <w:p w14:paraId="5C5DAA91">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分包金额要求：</w:t>
            </w:r>
            <w:r>
              <w:rPr>
                <w:rFonts w:hint="eastAsia" w:ascii="Times New Roman" w:hAnsi="Times New Roman" w:eastAsia="宋体" w:cs="宋体"/>
                <w:color w:val="auto"/>
                <w:sz w:val="24"/>
                <w:szCs w:val="24"/>
                <w:u w:val="single"/>
              </w:rPr>
              <w:t xml:space="preserve">                     </w:t>
            </w:r>
          </w:p>
          <w:p w14:paraId="10656C66">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对分包人的资质要求：</w:t>
            </w:r>
            <w:r>
              <w:rPr>
                <w:rFonts w:hint="eastAsia" w:ascii="Times New Roman" w:hAnsi="Times New Roman" w:eastAsia="宋体" w:cs="宋体"/>
                <w:color w:val="auto"/>
                <w:sz w:val="24"/>
                <w:szCs w:val="24"/>
                <w:u w:val="single"/>
              </w:rPr>
              <w:t xml:space="preserve">                     </w:t>
            </w:r>
          </w:p>
        </w:tc>
      </w:tr>
      <w:tr w14:paraId="5D12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F11B69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w:t>
            </w:r>
          </w:p>
        </w:tc>
        <w:tc>
          <w:tcPr>
            <w:tcW w:w="1379" w:type="pct"/>
            <w:tcBorders>
              <w:tl2br w:val="nil"/>
              <w:tr2bl w:val="nil"/>
            </w:tcBorders>
            <w:vAlign w:val="center"/>
          </w:tcPr>
          <w:p w14:paraId="1596876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实质性要求和条件</w:t>
            </w:r>
          </w:p>
        </w:tc>
        <w:tc>
          <w:tcPr>
            <w:tcW w:w="3020" w:type="pct"/>
            <w:tcBorders>
              <w:tl2br w:val="nil"/>
              <w:tr2bl w:val="nil"/>
            </w:tcBorders>
            <w:vAlign w:val="center"/>
          </w:tcPr>
          <w:p w14:paraId="4AD4B43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符合招标文件“评标办法”初步评审（形式评审、资格评审、响应性评审）的各项要求</w:t>
            </w:r>
          </w:p>
        </w:tc>
      </w:tr>
      <w:tr w14:paraId="4059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242E83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w:t>
            </w:r>
          </w:p>
        </w:tc>
        <w:tc>
          <w:tcPr>
            <w:tcW w:w="1379" w:type="pct"/>
            <w:tcBorders>
              <w:tl2br w:val="nil"/>
              <w:tr2bl w:val="nil"/>
            </w:tcBorders>
            <w:vAlign w:val="center"/>
          </w:tcPr>
          <w:p w14:paraId="7BD43FC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其他可以被接受的技术支持资料</w:t>
            </w:r>
          </w:p>
        </w:tc>
        <w:tc>
          <w:tcPr>
            <w:tcW w:w="3020" w:type="pct"/>
            <w:tcBorders>
              <w:tl2br w:val="nil"/>
              <w:tr2bl w:val="nil"/>
            </w:tcBorders>
            <w:vAlign w:val="center"/>
          </w:tcPr>
          <w:p w14:paraId="189FAA6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w:t>
            </w:r>
          </w:p>
        </w:tc>
      </w:tr>
      <w:tr w14:paraId="5491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84778A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w:t>
            </w:r>
          </w:p>
        </w:tc>
        <w:tc>
          <w:tcPr>
            <w:tcW w:w="1379" w:type="pct"/>
            <w:tcBorders>
              <w:tl2br w:val="nil"/>
              <w:tr2bl w:val="nil"/>
            </w:tcBorders>
            <w:vAlign w:val="center"/>
          </w:tcPr>
          <w:p w14:paraId="28EC0AF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偏差</w:t>
            </w:r>
          </w:p>
        </w:tc>
        <w:tc>
          <w:tcPr>
            <w:tcW w:w="3020" w:type="pct"/>
            <w:tcBorders>
              <w:tl2br w:val="nil"/>
              <w:tr2bl w:val="nil"/>
            </w:tcBorders>
            <w:vAlign w:val="center"/>
          </w:tcPr>
          <w:p w14:paraId="026D61FA">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☑不允许</w:t>
            </w:r>
          </w:p>
          <w:p w14:paraId="395468C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□允许，偏差范围：</w:t>
            </w:r>
            <w:r>
              <w:rPr>
                <w:rFonts w:hint="eastAsia" w:ascii="Times New Roman" w:hAnsi="Times New Roman" w:eastAsia="宋体" w:cs="宋体"/>
                <w:color w:val="auto"/>
                <w:sz w:val="24"/>
                <w:szCs w:val="24"/>
                <w:u w:val="single"/>
              </w:rPr>
              <w:t xml:space="preserve">                    </w:t>
            </w:r>
          </w:p>
          <w:p w14:paraId="76451DB2">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最高项数：</w:t>
            </w:r>
            <w:r>
              <w:rPr>
                <w:rFonts w:hint="eastAsia" w:ascii="Times New Roman" w:hAnsi="Times New Roman" w:eastAsia="宋体" w:cs="宋体"/>
                <w:color w:val="auto"/>
                <w:sz w:val="24"/>
                <w:szCs w:val="24"/>
                <w:u w:val="single"/>
              </w:rPr>
              <w:t xml:space="preserve">                     </w:t>
            </w:r>
          </w:p>
        </w:tc>
      </w:tr>
      <w:tr w14:paraId="23FC2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E935C6F">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2.1</w:t>
            </w:r>
          </w:p>
        </w:tc>
        <w:tc>
          <w:tcPr>
            <w:tcW w:w="1379" w:type="pct"/>
            <w:tcBorders>
              <w:tl2br w:val="nil"/>
              <w:tr2bl w:val="nil"/>
            </w:tcBorders>
            <w:vAlign w:val="center"/>
          </w:tcPr>
          <w:p w14:paraId="564E078F">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构成招标文件的其他资料</w:t>
            </w:r>
          </w:p>
        </w:tc>
        <w:tc>
          <w:tcPr>
            <w:tcW w:w="3020" w:type="pct"/>
            <w:tcBorders>
              <w:tl2br w:val="nil"/>
              <w:tr2bl w:val="nil"/>
            </w:tcBorders>
            <w:vAlign w:val="center"/>
          </w:tcPr>
          <w:p w14:paraId="0A84CEBF">
            <w:pPr>
              <w:widowControl w:val="0"/>
              <w:adjustRightInd w:val="0"/>
              <w:snapToGrid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招标文件的修改、澄清答疑、</w:t>
            </w:r>
            <w:r>
              <w:rPr>
                <w:rFonts w:hint="eastAsia" w:ascii="Times New Roman" w:hAnsi="Times New Roman" w:eastAsia="宋体" w:cs="宋体"/>
                <w:color w:val="auto"/>
                <w:sz w:val="24"/>
                <w:szCs w:val="24"/>
                <w:u w:val="single"/>
              </w:rPr>
              <w:t>各标段设备采购及安装需求、技术要求一览表</w:t>
            </w:r>
            <w:r>
              <w:rPr>
                <w:rFonts w:hint="eastAsia" w:ascii="Times New Roman" w:hAnsi="Times New Roman" w:eastAsia="宋体" w:cs="宋体"/>
                <w:color w:val="auto"/>
                <w:sz w:val="24"/>
                <w:szCs w:val="24"/>
              </w:rPr>
              <w:t>等。</w:t>
            </w:r>
          </w:p>
        </w:tc>
      </w:tr>
      <w:tr w14:paraId="6ED95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restart"/>
            <w:tcBorders>
              <w:tl2br w:val="nil"/>
              <w:tr2bl w:val="nil"/>
            </w:tcBorders>
            <w:vAlign w:val="center"/>
          </w:tcPr>
          <w:p w14:paraId="1B98D96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2.2.1</w:t>
            </w:r>
          </w:p>
        </w:tc>
        <w:tc>
          <w:tcPr>
            <w:tcW w:w="1379" w:type="pct"/>
            <w:vMerge w:val="restart"/>
            <w:tcBorders>
              <w:tl2br w:val="nil"/>
              <w:tr2bl w:val="nil"/>
            </w:tcBorders>
            <w:vAlign w:val="center"/>
          </w:tcPr>
          <w:p w14:paraId="51D83E9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投标人要求澄清招标文件</w:t>
            </w:r>
          </w:p>
        </w:tc>
        <w:tc>
          <w:tcPr>
            <w:tcW w:w="3020" w:type="pct"/>
            <w:tcBorders>
              <w:tl2br w:val="nil"/>
              <w:tr2bl w:val="nil"/>
            </w:tcBorders>
            <w:vAlign w:val="center"/>
          </w:tcPr>
          <w:p w14:paraId="6FE63DA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截止时间：在投标截止时间</w:t>
            </w:r>
            <w:r>
              <w:rPr>
                <w:rFonts w:hint="eastAsia" w:ascii="Times New Roman" w:hAnsi="Times New Roman" w:eastAsia="宋体" w:cs="宋体"/>
                <w:color w:val="auto"/>
                <w:sz w:val="24"/>
                <w:szCs w:val="24"/>
                <w:u w:val="single"/>
              </w:rPr>
              <w:t xml:space="preserve"> 10 </w:t>
            </w:r>
            <w:r>
              <w:rPr>
                <w:rFonts w:hint="eastAsia" w:ascii="Times New Roman" w:hAnsi="Times New Roman" w:eastAsia="宋体" w:cs="宋体"/>
                <w:color w:val="auto"/>
                <w:sz w:val="24"/>
                <w:szCs w:val="24"/>
              </w:rPr>
              <w:t>日前</w:t>
            </w:r>
          </w:p>
        </w:tc>
      </w:tr>
      <w:tr w14:paraId="2C38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vMerge w:val="continue"/>
            <w:tcBorders>
              <w:tl2br w:val="nil"/>
              <w:tr2bl w:val="nil"/>
            </w:tcBorders>
            <w:vAlign w:val="center"/>
          </w:tcPr>
          <w:p w14:paraId="22A135A2">
            <w:pPr>
              <w:widowControl w:val="0"/>
              <w:adjustRightInd w:val="0"/>
              <w:snapToGrid w:val="0"/>
              <w:spacing w:after="0" w:line="380" w:lineRule="exact"/>
              <w:jc w:val="center"/>
              <w:rPr>
                <w:rFonts w:ascii="Times New Roman" w:hAnsi="Times New Roman" w:eastAsia="宋体" w:cs="宋体"/>
                <w:color w:val="auto"/>
                <w:sz w:val="24"/>
                <w:szCs w:val="24"/>
              </w:rPr>
            </w:pPr>
          </w:p>
        </w:tc>
        <w:tc>
          <w:tcPr>
            <w:tcW w:w="1379" w:type="pct"/>
            <w:vMerge w:val="continue"/>
            <w:tcBorders>
              <w:tl2br w:val="nil"/>
              <w:tr2bl w:val="nil"/>
            </w:tcBorders>
            <w:vAlign w:val="center"/>
          </w:tcPr>
          <w:p w14:paraId="1D935435">
            <w:pPr>
              <w:widowControl w:val="0"/>
              <w:adjustRightInd w:val="0"/>
              <w:snapToGrid w:val="0"/>
              <w:spacing w:after="0" w:line="380" w:lineRule="exact"/>
              <w:jc w:val="center"/>
              <w:rPr>
                <w:rFonts w:ascii="Times New Roman" w:hAnsi="Times New Roman" w:eastAsia="宋体" w:cs="宋体"/>
                <w:color w:val="auto"/>
                <w:sz w:val="24"/>
                <w:szCs w:val="24"/>
              </w:rPr>
            </w:pPr>
          </w:p>
        </w:tc>
        <w:tc>
          <w:tcPr>
            <w:tcW w:w="3020" w:type="pct"/>
            <w:tcBorders>
              <w:tl2br w:val="nil"/>
              <w:tr2bl w:val="nil"/>
            </w:tcBorders>
            <w:vAlign w:val="center"/>
          </w:tcPr>
          <w:p w14:paraId="38122C4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书面、网络 </w:t>
            </w:r>
            <w:r>
              <w:rPr>
                <w:rFonts w:hint="eastAsia" w:ascii="Times New Roman" w:hAnsi="Times New Roman" w:eastAsia="宋体" w:cs="宋体"/>
                <w:color w:val="auto"/>
                <w:sz w:val="24"/>
                <w:szCs w:val="24"/>
              </w:rPr>
              <w:t>。</w:t>
            </w:r>
          </w:p>
        </w:tc>
      </w:tr>
      <w:tr w14:paraId="2CA73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D9B079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2.2.2</w:t>
            </w:r>
          </w:p>
        </w:tc>
        <w:tc>
          <w:tcPr>
            <w:tcW w:w="1379" w:type="pct"/>
            <w:tcBorders>
              <w:tl2br w:val="nil"/>
              <w:tr2bl w:val="nil"/>
            </w:tcBorders>
            <w:vAlign w:val="center"/>
          </w:tcPr>
          <w:p w14:paraId="0F7DD8C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招标文件澄清发出的形式</w:t>
            </w:r>
          </w:p>
        </w:tc>
        <w:tc>
          <w:tcPr>
            <w:tcW w:w="3020" w:type="pct"/>
            <w:tcBorders>
              <w:tl2br w:val="nil"/>
              <w:tr2bl w:val="nil"/>
            </w:tcBorders>
            <w:vAlign w:val="center"/>
          </w:tcPr>
          <w:p w14:paraId="69F256B5">
            <w:pPr>
              <w:pStyle w:val="33"/>
              <w:widowControl/>
              <w:wordWrap w:val="0"/>
              <w:snapToGrid w:val="0"/>
              <w:spacing w:after="0" w:line="400" w:lineRule="exact"/>
              <w:rPr>
                <w:rFonts w:ascii="Times New Roman" w:cs="Times New Roman"/>
              </w:rPr>
            </w:pPr>
            <w:r>
              <w:rPr>
                <w:rFonts w:ascii="Times New Roman"/>
              </w:rPr>
              <w:t>网上发布：</w:t>
            </w:r>
            <w:r>
              <w:rPr>
                <w:rFonts w:ascii="Times New Roman" w:cs="Times New Roman"/>
                <w:u w:val="single"/>
              </w:rPr>
              <w:t xml:space="preserve"> </w:t>
            </w:r>
            <w:r>
              <w:rPr>
                <w:rFonts w:hint="eastAsia" w:ascii="Times New Roman" w:cs="Times New Roman"/>
                <w:u w:val="single"/>
              </w:rPr>
              <w:t xml:space="preserve">辽宁省公共资源交易一张网电子化平台 </w:t>
            </w:r>
            <w:r>
              <w:rPr>
                <w:rFonts w:ascii="Times New Roman" w:cs="Times New Roman"/>
              </w:rPr>
              <w:t>（网址：</w:t>
            </w:r>
            <w:r>
              <w:rPr>
                <w:rFonts w:hint="eastAsia" w:ascii="Times New Roman" w:cs="Times New Roman"/>
                <w:u w:val="single"/>
              </w:rPr>
              <w:t>https://www.lnsggzy.com/EpointSSO/login/oauth2login</w:t>
            </w:r>
            <w:r>
              <w:rPr>
                <w:rFonts w:ascii="Times New Roman" w:cs="Times New Roman"/>
              </w:rPr>
              <w:t>）。</w:t>
            </w:r>
          </w:p>
          <w:p w14:paraId="10F546BB">
            <w:pPr>
              <w:spacing w:after="0" w:line="380" w:lineRule="exact"/>
              <w:rPr>
                <w:rFonts w:ascii="Times New Roman" w:hAnsi="Times New Roman" w:eastAsia="宋体" w:cs="宋体"/>
                <w:color w:val="auto"/>
                <w:sz w:val="24"/>
                <w:szCs w:val="24"/>
              </w:rPr>
            </w:pPr>
            <w:r>
              <w:rPr>
                <w:rFonts w:hint="eastAsia"/>
                <w:color w:val="auto"/>
                <w:sz w:val="24"/>
                <w:szCs w:val="24"/>
              </w:rPr>
              <w:t>投标人未留意该澄清通知而造成的后果由投标人自行承担。</w:t>
            </w:r>
          </w:p>
        </w:tc>
      </w:tr>
      <w:tr w14:paraId="3148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65FF92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2.3.1</w:t>
            </w:r>
          </w:p>
        </w:tc>
        <w:tc>
          <w:tcPr>
            <w:tcW w:w="1379" w:type="pct"/>
            <w:tcBorders>
              <w:tl2br w:val="nil"/>
              <w:tr2bl w:val="nil"/>
            </w:tcBorders>
            <w:vAlign w:val="center"/>
          </w:tcPr>
          <w:p w14:paraId="4AE55A8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招标文件修改发出的形式</w:t>
            </w:r>
          </w:p>
        </w:tc>
        <w:tc>
          <w:tcPr>
            <w:tcW w:w="3020" w:type="pct"/>
            <w:tcBorders>
              <w:tl2br w:val="nil"/>
              <w:tr2bl w:val="nil"/>
            </w:tcBorders>
            <w:vAlign w:val="center"/>
          </w:tcPr>
          <w:p w14:paraId="5BCECA54">
            <w:pPr>
              <w:pStyle w:val="33"/>
              <w:widowControl/>
              <w:wordWrap w:val="0"/>
              <w:snapToGrid w:val="0"/>
              <w:spacing w:after="0" w:line="400" w:lineRule="exact"/>
              <w:rPr>
                <w:rFonts w:ascii="Times New Roman" w:cs="Times New Roman"/>
              </w:rPr>
            </w:pPr>
            <w:r>
              <w:rPr>
                <w:rFonts w:ascii="Times New Roman"/>
              </w:rPr>
              <w:t>网上发布：</w:t>
            </w:r>
            <w:r>
              <w:rPr>
                <w:rFonts w:ascii="Times New Roman" w:cs="Times New Roman"/>
                <w:u w:val="single"/>
              </w:rPr>
              <w:t xml:space="preserve"> </w:t>
            </w:r>
            <w:r>
              <w:rPr>
                <w:rFonts w:hint="eastAsia" w:ascii="Times New Roman" w:cs="Times New Roman"/>
                <w:u w:val="single"/>
              </w:rPr>
              <w:t xml:space="preserve">辽宁省公共资源交易一张网电子化平台 </w:t>
            </w:r>
            <w:r>
              <w:rPr>
                <w:rFonts w:ascii="Times New Roman" w:cs="Times New Roman"/>
              </w:rPr>
              <w:t>（网址：</w:t>
            </w:r>
            <w:r>
              <w:rPr>
                <w:rFonts w:hint="eastAsia" w:ascii="Times New Roman" w:cs="Times New Roman"/>
                <w:u w:val="single"/>
              </w:rPr>
              <w:t>https://www.lnsggzy.com/EpointSSO/login/oauth2login</w:t>
            </w:r>
            <w:r>
              <w:rPr>
                <w:rFonts w:ascii="Times New Roman" w:cs="Times New Roman"/>
              </w:rPr>
              <w:t>）。</w:t>
            </w:r>
          </w:p>
          <w:p w14:paraId="2734D7D4">
            <w:pPr>
              <w:spacing w:after="0" w:line="380" w:lineRule="exact"/>
              <w:rPr>
                <w:rFonts w:ascii="Times New Roman" w:hAnsi="Times New Roman" w:eastAsia="宋体" w:cs="宋体"/>
                <w:color w:val="auto"/>
                <w:sz w:val="24"/>
                <w:szCs w:val="24"/>
              </w:rPr>
            </w:pPr>
            <w:r>
              <w:rPr>
                <w:rFonts w:hint="eastAsia"/>
                <w:color w:val="auto"/>
                <w:sz w:val="24"/>
                <w:szCs w:val="24"/>
              </w:rPr>
              <w:t>投标人未留意该修改通知而造成的后果由投标人自行承担。</w:t>
            </w:r>
          </w:p>
        </w:tc>
      </w:tr>
      <w:tr w14:paraId="2DC0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894175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3.1.1</w:t>
            </w:r>
          </w:p>
        </w:tc>
        <w:tc>
          <w:tcPr>
            <w:tcW w:w="1379" w:type="pct"/>
            <w:tcBorders>
              <w:tl2br w:val="nil"/>
              <w:tr2bl w:val="nil"/>
            </w:tcBorders>
            <w:vAlign w:val="center"/>
          </w:tcPr>
          <w:p w14:paraId="74504E2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构成投标文件的其他资料</w:t>
            </w:r>
          </w:p>
        </w:tc>
        <w:tc>
          <w:tcPr>
            <w:tcW w:w="3020" w:type="pct"/>
            <w:tcBorders>
              <w:tl2br w:val="nil"/>
              <w:tr2bl w:val="nil"/>
            </w:tcBorders>
            <w:vAlign w:val="center"/>
          </w:tcPr>
          <w:p w14:paraId="47D411ED">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根据评标委员会要求作出的澄清或承诺</w:t>
            </w:r>
          </w:p>
        </w:tc>
      </w:tr>
      <w:tr w14:paraId="7AA56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1174E6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3.2.1</w:t>
            </w:r>
          </w:p>
        </w:tc>
        <w:tc>
          <w:tcPr>
            <w:tcW w:w="1379" w:type="pct"/>
            <w:tcBorders>
              <w:tl2br w:val="nil"/>
              <w:tr2bl w:val="nil"/>
            </w:tcBorders>
            <w:vAlign w:val="center"/>
          </w:tcPr>
          <w:p w14:paraId="0627D34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增值税税金的计算方法</w:t>
            </w:r>
          </w:p>
        </w:tc>
        <w:tc>
          <w:tcPr>
            <w:tcW w:w="3020" w:type="pct"/>
            <w:tcBorders>
              <w:tl2br w:val="nil"/>
              <w:tr2bl w:val="nil"/>
            </w:tcBorders>
            <w:vAlign w:val="center"/>
          </w:tcPr>
          <w:p w14:paraId="40E05EE6">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一般计税方法</w:t>
            </w:r>
          </w:p>
        </w:tc>
      </w:tr>
      <w:tr w14:paraId="4B6D0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5A6549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3.2.4</w:t>
            </w:r>
          </w:p>
        </w:tc>
        <w:tc>
          <w:tcPr>
            <w:tcW w:w="1379" w:type="pct"/>
            <w:tcBorders>
              <w:tl2br w:val="nil"/>
              <w:tr2bl w:val="nil"/>
            </w:tcBorders>
            <w:vAlign w:val="center"/>
          </w:tcPr>
          <w:p w14:paraId="4908BBD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最高投标限价</w:t>
            </w:r>
          </w:p>
        </w:tc>
        <w:tc>
          <w:tcPr>
            <w:tcW w:w="3020" w:type="pct"/>
            <w:tcBorders>
              <w:tl2br w:val="nil"/>
              <w:tr2bl w:val="nil"/>
            </w:tcBorders>
            <w:vAlign w:val="center"/>
          </w:tcPr>
          <w:p w14:paraId="6F19FDEA">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w:t>
            </w:r>
          </w:p>
          <w:p w14:paraId="532EF4AA">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☑有，最高投标限价：9,052,631.7万元。</w:t>
            </w:r>
            <w:r>
              <w:rPr>
                <w:rFonts w:hint="eastAsia" w:ascii="Times New Roman" w:hAnsi="Times New Roman" w:eastAsia="宋体" w:cs="宋体"/>
                <w:color w:val="auto"/>
                <w:sz w:val="24"/>
                <w:szCs w:val="24"/>
                <w:u w:val="single"/>
              </w:rPr>
              <w:t>投标人的投标总价不得超出上述给出的招标控制价，否则，按废标处理</w:t>
            </w:r>
            <w:r>
              <w:rPr>
                <w:rFonts w:hint="eastAsia" w:ascii="Times New Roman" w:hAnsi="Times New Roman" w:eastAsia="宋体" w:cs="宋体"/>
                <w:color w:val="auto"/>
                <w:sz w:val="24"/>
                <w:szCs w:val="24"/>
              </w:rPr>
              <w:t>。</w:t>
            </w:r>
          </w:p>
        </w:tc>
      </w:tr>
      <w:tr w14:paraId="3F5EC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063233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3.2.5</w:t>
            </w:r>
          </w:p>
        </w:tc>
        <w:tc>
          <w:tcPr>
            <w:tcW w:w="1379" w:type="pct"/>
            <w:tcBorders>
              <w:tl2br w:val="nil"/>
              <w:tr2bl w:val="nil"/>
            </w:tcBorders>
            <w:vAlign w:val="center"/>
          </w:tcPr>
          <w:p w14:paraId="664B898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投标报价的其他要求</w:t>
            </w:r>
          </w:p>
        </w:tc>
        <w:tc>
          <w:tcPr>
            <w:tcW w:w="3020" w:type="pct"/>
            <w:tcBorders>
              <w:tl2br w:val="nil"/>
              <w:tr2bl w:val="nil"/>
            </w:tcBorders>
            <w:vAlign w:val="center"/>
          </w:tcPr>
          <w:p w14:paraId="7AE85DAD">
            <w:pPr>
              <w:pStyle w:val="6"/>
              <w:spacing w:line="380" w:lineRule="exact"/>
              <w:rPr>
                <w:rFonts w:cs="宋体"/>
                <w:sz w:val="24"/>
              </w:rPr>
            </w:pPr>
            <w:r>
              <w:rPr>
                <w:rFonts w:hint="eastAsia" w:cs="宋体"/>
                <w:sz w:val="24"/>
              </w:rPr>
              <w:t>详见供货要求</w:t>
            </w:r>
          </w:p>
        </w:tc>
      </w:tr>
      <w:tr w14:paraId="5D90A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12A0F1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3.3.1</w:t>
            </w:r>
          </w:p>
        </w:tc>
        <w:tc>
          <w:tcPr>
            <w:tcW w:w="1379" w:type="pct"/>
            <w:tcBorders>
              <w:tl2br w:val="nil"/>
              <w:tr2bl w:val="nil"/>
            </w:tcBorders>
            <w:vAlign w:val="center"/>
          </w:tcPr>
          <w:p w14:paraId="3591018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投标有效期</w:t>
            </w:r>
          </w:p>
        </w:tc>
        <w:tc>
          <w:tcPr>
            <w:tcW w:w="3020" w:type="pct"/>
            <w:tcBorders>
              <w:tl2br w:val="nil"/>
              <w:tr2bl w:val="nil"/>
            </w:tcBorders>
            <w:vAlign w:val="center"/>
          </w:tcPr>
          <w:p w14:paraId="16F55A2A">
            <w:pPr>
              <w:widowControl w:val="0"/>
              <w:snapToGrid w:val="0"/>
              <w:spacing w:after="0" w:line="380" w:lineRule="exact"/>
              <w:rPr>
                <w:rFonts w:ascii="Times New Roman" w:hAnsi="Times New Roman" w:eastAsia="宋体" w:cs="宋体"/>
                <w:color w:val="auto"/>
                <w:sz w:val="24"/>
                <w:szCs w:val="24"/>
              </w:rPr>
            </w:pPr>
            <w:r>
              <w:rPr>
                <w:bCs/>
                <w:color w:val="auto"/>
                <w:sz w:val="24"/>
                <w:szCs w:val="24"/>
              </w:rPr>
              <w:t>自提</w:t>
            </w:r>
            <w:r>
              <w:rPr>
                <w:rFonts w:hint="eastAsia"/>
                <w:bCs/>
                <w:color w:val="auto"/>
                <w:sz w:val="24"/>
                <w:szCs w:val="24"/>
              </w:rPr>
              <w:t>交投标文件的截止之日</w:t>
            </w:r>
            <w:r>
              <w:rPr>
                <w:bCs/>
                <w:color w:val="auto"/>
                <w:sz w:val="24"/>
                <w:szCs w:val="24"/>
              </w:rPr>
              <w:t>起</w:t>
            </w:r>
            <w:r>
              <w:rPr>
                <w:rFonts w:hint="eastAsia" w:eastAsia="宋体"/>
                <w:color w:val="auto"/>
                <w:sz w:val="24"/>
                <w:szCs w:val="24"/>
                <w:u w:val="single"/>
              </w:rPr>
              <w:t>90</w:t>
            </w:r>
            <w:r>
              <w:rPr>
                <w:color w:val="auto"/>
                <w:sz w:val="24"/>
                <w:szCs w:val="24"/>
              </w:rPr>
              <w:t>日历天</w:t>
            </w:r>
          </w:p>
        </w:tc>
      </w:tr>
      <w:tr w14:paraId="097BB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21E166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3.4.1</w:t>
            </w:r>
          </w:p>
        </w:tc>
        <w:tc>
          <w:tcPr>
            <w:tcW w:w="1379" w:type="pct"/>
            <w:tcBorders>
              <w:tl2br w:val="nil"/>
              <w:tr2bl w:val="nil"/>
            </w:tcBorders>
            <w:vAlign w:val="center"/>
          </w:tcPr>
          <w:p w14:paraId="274D399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投标保证金</w:t>
            </w:r>
          </w:p>
        </w:tc>
        <w:tc>
          <w:tcPr>
            <w:tcW w:w="3020" w:type="pct"/>
            <w:tcBorders>
              <w:tl2br w:val="nil"/>
              <w:tr2bl w:val="nil"/>
            </w:tcBorders>
            <w:vAlign w:val="center"/>
          </w:tcPr>
          <w:p w14:paraId="58A7321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是否要求投标人递交投标保证金：</w:t>
            </w:r>
          </w:p>
          <w:p w14:paraId="21398D33">
            <w:pPr>
              <w:pStyle w:val="34"/>
              <w:spacing w:line="380" w:lineRule="exact"/>
              <w:rPr>
                <w:rFonts w:ascii="Times New Roman"/>
                <w:color w:val="auto"/>
              </w:rPr>
            </w:pPr>
            <w:r>
              <w:rPr>
                <w:rFonts w:hint="eastAsia" w:ascii="Times New Roman"/>
                <w:color w:val="auto"/>
              </w:rPr>
              <w:t>□ 不要求提交</w:t>
            </w:r>
          </w:p>
          <w:p w14:paraId="37EAA622">
            <w:pPr>
              <w:pStyle w:val="34"/>
              <w:spacing w:line="380" w:lineRule="exact"/>
              <w:rPr>
                <w:rFonts w:ascii="Times New Roman"/>
                <w:color w:val="auto"/>
              </w:rPr>
            </w:pPr>
            <w:r>
              <w:rPr>
                <w:rFonts w:hint="eastAsia" w:ascii="Times New Roman"/>
                <w:color w:val="auto"/>
              </w:rPr>
              <w:t>☑ 要求提交</w:t>
            </w:r>
          </w:p>
          <w:p w14:paraId="3FF44091">
            <w:pPr>
              <w:pStyle w:val="34"/>
              <w:spacing w:line="380" w:lineRule="exact"/>
              <w:ind w:firstLine="240" w:firstLineChars="100"/>
              <w:rPr>
                <w:rFonts w:ascii="Times New Roman"/>
                <w:color w:val="auto"/>
              </w:rPr>
            </w:pPr>
            <w:r>
              <w:rPr>
                <w:rFonts w:hint="eastAsia" w:ascii="Times New Roman"/>
                <w:color w:val="auto"/>
              </w:rPr>
              <w:t>1.投标保证金有效期：与投标有效期一致。</w:t>
            </w:r>
          </w:p>
          <w:p w14:paraId="185DC8D4">
            <w:pPr>
              <w:pStyle w:val="34"/>
              <w:spacing w:line="380" w:lineRule="exact"/>
              <w:ind w:firstLine="240" w:firstLineChars="100"/>
              <w:rPr>
                <w:rFonts w:ascii="Times New Roman"/>
                <w:color w:val="auto"/>
              </w:rPr>
            </w:pPr>
            <w:r>
              <w:rPr>
                <w:rFonts w:hint="eastAsia" w:ascii="Times New Roman"/>
                <w:color w:val="auto"/>
              </w:rPr>
              <w:t>2.投标保证金的形式：</w:t>
            </w:r>
          </w:p>
          <w:p w14:paraId="60EE31CC">
            <w:pPr>
              <w:pStyle w:val="34"/>
              <w:widowControl/>
              <w:spacing w:line="400" w:lineRule="exact"/>
              <w:ind w:firstLine="240" w:firstLineChars="100"/>
              <w:rPr>
                <w:rFonts w:ascii="Times New Roman" w:cs="Times New Roman"/>
                <w:color w:val="auto"/>
                <w:u w:val="single"/>
              </w:rPr>
            </w:pPr>
            <w:r>
              <w:rPr>
                <w:rFonts w:hint="eastAsia" w:ascii="Times New Roman" w:cs="Times New Roman"/>
                <w:color w:val="auto"/>
              </w:rPr>
              <w:t>☑</w:t>
            </w:r>
            <w:r>
              <w:rPr>
                <w:rFonts w:ascii="Times New Roman" w:cs="Times New Roman"/>
                <w:color w:val="auto"/>
              </w:rPr>
              <w:t xml:space="preserve"> </w:t>
            </w:r>
            <w:r>
              <w:rPr>
                <w:rFonts w:hint="eastAsia" w:ascii="Times New Roman" w:cs="Times New Roman"/>
                <w:color w:val="auto"/>
              </w:rPr>
              <w:t>电汇、☑</w:t>
            </w:r>
            <w:r>
              <w:rPr>
                <w:rFonts w:ascii="Times New Roman" w:cs="Times New Roman"/>
                <w:color w:val="auto"/>
              </w:rPr>
              <w:t xml:space="preserve"> </w:t>
            </w:r>
            <w:r>
              <w:rPr>
                <w:rFonts w:hint="eastAsia" w:ascii="Times New Roman" w:cs="Times New Roman"/>
                <w:color w:val="auto"/>
              </w:rPr>
              <w:t>保函、□支票、□其他：</w:t>
            </w:r>
            <w:r>
              <w:rPr>
                <w:rFonts w:ascii="Times New Roman" w:cs="Times New Roman"/>
                <w:color w:val="auto"/>
                <w:u w:val="single"/>
              </w:rPr>
              <w:t xml:space="preserve">        </w:t>
            </w:r>
          </w:p>
          <w:p w14:paraId="2CF95593">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3.投标保证金金额：</w:t>
            </w:r>
            <w:r>
              <w:rPr>
                <w:rFonts w:hint="eastAsia" w:ascii="Times New Roman" w:hAnsi="Times New Roman" w:eastAsia="宋体" w:cs="宋体"/>
                <w:color w:val="auto"/>
                <w:sz w:val="24"/>
                <w:szCs w:val="24"/>
                <w:lang w:val="en-US" w:eastAsia="zh-CN"/>
              </w:rPr>
              <w:t>18</w:t>
            </w:r>
            <w:r>
              <w:rPr>
                <w:rFonts w:hint="eastAsia" w:ascii="Times New Roman" w:hAnsi="Times New Roman" w:eastAsia="宋体" w:cs="宋体"/>
                <w:color w:val="auto"/>
                <w:sz w:val="24"/>
                <w:szCs w:val="24"/>
              </w:rPr>
              <w:t>万元人民币</w:t>
            </w:r>
          </w:p>
          <w:p w14:paraId="7454A28B">
            <w:pPr>
              <w:pStyle w:val="35"/>
              <w:widowControl w:val="0"/>
              <w:spacing w:line="380" w:lineRule="exact"/>
              <w:ind w:firstLine="240" w:firstLineChars="100"/>
              <w:rPr>
                <w:rFonts w:ascii="Times New Roman" w:hAnsi="Times New Roman" w:cs="宋体"/>
                <w:sz w:val="24"/>
                <w:szCs w:val="24"/>
              </w:rPr>
            </w:pPr>
            <w:r>
              <w:rPr>
                <w:rFonts w:hint="eastAsia" w:ascii="Times New Roman" w:hAnsi="Times New Roman" w:cs="宋体"/>
                <w:sz w:val="24"/>
                <w:szCs w:val="24"/>
              </w:rPr>
              <w:t>（1）电汇、支票：投标保证金必须是从投标人单位的基本账户转入收取投标保证金的账户。</w:t>
            </w:r>
          </w:p>
          <w:p w14:paraId="6DECACE6">
            <w:pPr>
              <w:spacing w:after="0" w:line="380" w:lineRule="exact"/>
              <w:ind w:firstLine="240" w:firstLineChars="100"/>
              <w:rPr>
                <w:rFonts w:ascii="Times New Roman" w:hAnsi="Times New Roman" w:eastAsia="宋体" w:cs="宋体"/>
                <w:color w:val="auto"/>
                <w:kern w:val="0"/>
                <w:sz w:val="24"/>
                <w:szCs w:val="24"/>
              </w:rPr>
            </w:pPr>
            <w:r>
              <w:rPr>
                <w:rFonts w:hint="eastAsia" w:ascii="Times New Roman" w:hAnsi="Times New Roman" w:eastAsia="宋体" w:cs="宋体"/>
                <w:color w:val="auto"/>
                <w:kern w:val="0"/>
                <w:sz w:val="24"/>
                <w:szCs w:val="24"/>
              </w:rPr>
              <w:t>收取投标保证金账号：</w:t>
            </w:r>
          </w:p>
          <w:p w14:paraId="2BB1DDE1">
            <w:pPr>
              <w:pStyle w:val="34"/>
              <w:snapToGrid w:val="0"/>
              <w:spacing w:line="380" w:lineRule="exact"/>
              <w:ind w:firstLine="240" w:firstLineChars="100"/>
              <w:rPr>
                <w:rFonts w:ascii="Times New Roman"/>
                <w:color w:val="auto"/>
              </w:rPr>
            </w:pPr>
            <w:r>
              <w:rPr>
                <w:rFonts w:hint="eastAsia" w:ascii="Times New Roman"/>
                <w:color w:val="auto"/>
              </w:rPr>
              <w:t>开户银行：</w:t>
            </w:r>
            <w:r>
              <w:rPr>
                <w:rFonts w:hint="eastAsia" w:ascii="Times New Roman"/>
                <w:color w:val="auto"/>
                <w:u w:val="single"/>
              </w:rPr>
              <w:t>中国工商银行北京海淀支行营业部</w:t>
            </w:r>
          </w:p>
          <w:p w14:paraId="6199D0FC">
            <w:pPr>
              <w:pStyle w:val="34"/>
              <w:snapToGrid w:val="0"/>
              <w:spacing w:line="380" w:lineRule="exact"/>
              <w:ind w:firstLine="240" w:firstLineChars="100"/>
              <w:rPr>
                <w:rFonts w:ascii="Times New Roman"/>
                <w:color w:val="auto"/>
              </w:rPr>
            </w:pPr>
            <w:r>
              <w:rPr>
                <w:rFonts w:hint="eastAsia" w:ascii="Times New Roman"/>
                <w:color w:val="auto"/>
              </w:rPr>
              <w:t>账户名称：</w:t>
            </w:r>
            <w:r>
              <w:rPr>
                <w:rFonts w:hint="eastAsia" w:ascii="Times New Roman"/>
                <w:color w:val="auto"/>
                <w:u w:val="single"/>
              </w:rPr>
              <w:t>中招国际招标有限公司</w:t>
            </w:r>
          </w:p>
          <w:p w14:paraId="64F341FD">
            <w:pPr>
              <w:pStyle w:val="34"/>
              <w:snapToGrid w:val="0"/>
              <w:spacing w:line="380" w:lineRule="exact"/>
              <w:ind w:firstLine="240" w:firstLineChars="100"/>
              <w:rPr>
                <w:rFonts w:ascii="Times New Roman"/>
                <w:color w:val="auto"/>
              </w:rPr>
            </w:pPr>
            <w:r>
              <w:rPr>
                <w:rFonts w:hint="eastAsia" w:ascii="Times New Roman"/>
                <w:color w:val="auto"/>
              </w:rPr>
              <w:t>账    号：0200049619200362296</w:t>
            </w:r>
          </w:p>
          <w:p w14:paraId="63377D12">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a.请将投标保证金在投标截止时间前转入收取投标保证金的账户，以到账时间为准。</w:t>
            </w:r>
          </w:p>
          <w:p w14:paraId="62C60689">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b.投标保证金退还时一律以银行转账方式退回，不退现金。</w:t>
            </w:r>
          </w:p>
          <w:p w14:paraId="61F59E4B">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c.投标保证金的退还事宜请与招标代理机构联系，电话：</w:t>
            </w:r>
            <w:r>
              <w:rPr>
                <w:rFonts w:hint="eastAsia" w:ascii="Times New Roman" w:hAnsi="Times New Roman" w:eastAsia="宋体" w:cs="宋体"/>
                <w:color w:val="auto"/>
                <w:sz w:val="24"/>
                <w:szCs w:val="24"/>
                <w:u w:val="single"/>
              </w:rPr>
              <w:t>024-31338828、</w:t>
            </w:r>
            <w:r>
              <w:rPr>
                <w:rFonts w:hint="eastAsia" w:ascii="Times New Roman" w:hAnsi="Times New Roman" w:eastAsia="宋体" w:cs="宋体"/>
                <w:color w:val="auto"/>
                <w:sz w:val="24"/>
                <w:szCs w:val="24"/>
                <w:u w:val="single"/>
                <w:lang w:eastAsia="zh-CN"/>
              </w:rPr>
              <w:t>024-31338828</w:t>
            </w:r>
            <w:r>
              <w:rPr>
                <w:rFonts w:hint="eastAsia" w:ascii="Times New Roman" w:hAnsi="Times New Roman" w:eastAsia="宋体" w:cs="宋体"/>
                <w:color w:val="auto"/>
                <w:sz w:val="24"/>
                <w:szCs w:val="24"/>
              </w:rPr>
              <w:t xml:space="preserve"> 。</w:t>
            </w:r>
          </w:p>
          <w:p w14:paraId="26C68BFF">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（2）保函（包括：银行业金融机构保函、担保公司担保保函等）</w:t>
            </w:r>
          </w:p>
          <w:p w14:paraId="29F58CEE">
            <w:pPr>
              <w:spacing w:after="0" w:line="380" w:lineRule="exact"/>
              <w:ind w:firstLine="240" w:firstLineChars="1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递交要求：</w:t>
            </w:r>
            <w:r>
              <w:rPr>
                <w:rFonts w:hint="eastAsia" w:ascii="Times New Roman" w:hAnsi="Times New Roman" w:eastAsia="宋体" w:cs="宋体"/>
                <w:color w:val="auto"/>
                <w:sz w:val="24"/>
                <w:szCs w:val="24"/>
                <w:u w:val="single"/>
              </w:rPr>
              <w:t>合法有效</w:t>
            </w:r>
          </w:p>
          <w:p w14:paraId="4C2C5164">
            <w:pPr>
              <w:pStyle w:val="34"/>
              <w:spacing w:line="380" w:lineRule="exact"/>
              <w:ind w:firstLine="240" w:firstLineChars="100"/>
              <w:rPr>
                <w:rFonts w:ascii="Times New Roman"/>
                <w:color w:val="auto"/>
                <w:u w:val="single"/>
              </w:rPr>
            </w:pPr>
            <w:r>
              <w:rPr>
                <w:rFonts w:hint="eastAsia" w:ascii="Times New Roman"/>
                <w:color w:val="auto"/>
              </w:rPr>
              <w:t>4.其他：</w:t>
            </w:r>
            <w:r>
              <w:rPr>
                <w:rFonts w:hint="eastAsia" w:ascii="Times New Roman"/>
                <w:color w:val="auto"/>
                <w:u w:val="single"/>
                <w:lang w:val="en-US" w:eastAsia="zh-CN"/>
              </w:rPr>
              <w:t>电汇请备注标段名称</w:t>
            </w:r>
          </w:p>
          <w:p w14:paraId="5B3B3561">
            <w:pPr>
              <w:pStyle w:val="34"/>
              <w:spacing w:line="380" w:lineRule="exact"/>
              <w:rPr>
                <w:rFonts w:ascii="Times New Roman"/>
                <w:b/>
                <w:color w:val="auto"/>
                <w:u w:val="single"/>
              </w:rPr>
            </w:pPr>
            <w:r>
              <w:rPr>
                <w:rFonts w:hint="eastAsia" w:ascii="Times New Roman"/>
                <w:color w:val="auto"/>
              </w:rPr>
              <w:t>（</w:t>
            </w:r>
            <w:r>
              <w:rPr>
                <w:rFonts w:hint="eastAsia" w:ascii="Times New Roman"/>
                <w:b/>
                <w:bCs/>
                <w:color w:val="auto"/>
              </w:rPr>
              <w:t>说明：上述规定可根据各地交易中心具体规定编写</w:t>
            </w:r>
            <w:r>
              <w:rPr>
                <w:rFonts w:hint="eastAsia" w:ascii="Times New Roman"/>
                <w:color w:val="auto"/>
              </w:rPr>
              <w:t>）</w:t>
            </w:r>
          </w:p>
        </w:tc>
      </w:tr>
      <w:tr w14:paraId="6146A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96BECC0">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3.4.4</w:t>
            </w:r>
          </w:p>
        </w:tc>
        <w:tc>
          <w:tcPr>
            <w:tcW w:w="1379" w:type="pct"/>
            <w:tcBorders>
              <w:tl2br w:val="nil"/>
              <w:tr2bl w:val="nil"/>
            </w:tcBorders>
            <w:vAlign w:val="center"/>
          </w:tcPr>
          <w:p w14:paraId="6C667E2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其他可以不予退还投标保证金的情形</w:t>
            </w:r>
          </w:p>
        </w:tc>
        <w:tc>
          <w:tcPr>
            <w:tcW w:w="3020" w:type="pct"/>
            <w:tcBorders>
              <w:tl2br w:val="nil"/>
              <w:tr2bl w:val="nil"/>
            </w:tcBorders>
            <w:vAlign w:val="center"/>
          </w:tcPr>
          <w:p w14:paraId="3301A5E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投标人在投标过程中违反“投标人须知”第3.4.4条规定</w:t>
            </w:r>
          </w:p>
        </w:tc>
      </w:tr>
      <w:tr w14:paraId="31005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D9F4AE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w:t>
            </w:r>
          </w:p>
        </w:tc>
        <w:tc>
          <w:tcPr>
            <w:tcW w:w="1379" w:type="pct"/>
            <w:tcBorders>
              <w:tl2br w:val="nil"/>
              <w:tr2bl w:val="nil"/>
            </w:tcBorders>
            <w:vAlign w:val="center"/>
          </w:tcPr>
          <w:p w14:paraId="130914F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资格审查资料的特殊要求</w:t>
            </w:r>
          </w:p>
        </w:tc>
        <w:tc>
          <w:tcPr>
            <w:tcW w:w="3020" w:type="pct"/>
            <w:tcBorders>
              <w:tl2br w:val="nil"/>
              <w:tr2bl w:val="nil"/>
            </w:tcBorders>
            <w:vAlign w:val="center"/>
          </w:tcPr>
          <w:p w14:paraId="5E766FF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☑无 。</w:t>
            </w:r>
          </w:p>
          <w:p w14:paraId="00B16871">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□有，具体要求： </w:t>
            </w:r>
          </w:p>
        </w:tc>
      </w:tr>
      <w:tr w14:paraId="2F82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5DBA78B">
            <w:pPr>
              <w:spacing w:after="0" w:line="380" w:lineRule="exact"/>
              <w:ind w:right="106"/>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3.5.2</w:t>
            </w:r>
          </w:p>
        </w:tc>
        <w:tc>
          <w:tcPr>
            <w:tcW w:w="1379" w:type="pct"/>
            <w:tcBorders>
              <w:tl2br w:val="nil"/>
              <w:tr2bl w:val="nil"/>
            </w:tcBorders>
            <w:vAlign w:val="center"/>
          </w:tcPr>
          <w:p w14:paraId="06B77C5E">
            <w:pPr>
              <w:pStyle w:val="34"/>
              <w:widowControl/>
              <w:spacing w:line="400" w:lineRule="exact"/>
              <w:jc w:val="center"/>
              <w:rPr>
                <w:rFonts w:ascii="Times New Roman"/>
                <w:color w:val="auto"/>
              </w:rPr>
            </w:pPr>
            <w:r>
              <w:rPr>
                <w:rFonts w:ascii="Times New Roman" w:cs="Times New Roman"/>
                <w:color w:val="auto"/>
              </w:rPr>
              <w:t>近年财务状况的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482ADD91">
            <w:pPr>
              <w:spacing w:line="400" w:lineRule="exact"/>
              <w:rPr>
                <w:rFonts w:ascii="Times New Roman" w:hAnsi="Times New Roman" w:eastAsia="宋体" w:cs="宋体"/>
                <w:color w:val="auto"/>
                <w:sz w:val="24"/>
                <w:szCs w:val="24"/>
              </w:rPr>
            </w:pPr>
            <w:r>
              <w:rPr>
                <w:rFonts w:hint="eastAsia"/>
                <w:color w:val="auto"/>
                <w:sz w:val="24"/>
                <w:szCs w:val="24"/>
              </w:rPr>
              <w:t>近</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年）</w:t>
            </w:r>
          </w:p>
        </w:tc>
      </w:tr>
      <w:tr w14:paraId="6EFCE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AB53FE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3.5.3</w:t>
            </w:r>
          </w:p>
        </w:tc>
        <w:tc>
          <w:tcPr>
            <w:tcW w:w="1379" w:type="pct"/>
            <w:tcBorders>
              <w:tl2br w:val="nil"/>
              <w:tr2bl w:val="nil"/>
            </w:tcBorders>
            <w:vAlign w:val="center"/>
          </w:tcPr>
          <w:p w14:paraId="26619D38">
            <w:pPr>
              <w:pStyle w:val="34"/>
              <w:widowControl/>
              <w:spacing w:line="400" w:lineRule="exact"/>
              <w:jc w:val="center"/>
              <w:rPr>
                <w:rFonts w:ascii="Times New Roman"/>
                <w:color w:val="auto"/>
              </w:rPr>
            </w:pPr>
            <w:r>
              <w:rPr>
                <w:rFonts w:ascii="Times New Roman" w:cs="Times New Roman"/>
                <w:color w:val="auto"/>
              </w:rPr>
              <w:t>近年完成的类似项目的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09D94371">
            <w:pPr>
              <w:spacing w:line="400" w:lineRule="exact"/>
              <w:rPr>
                <w:rFonts w:ascii="Times New Roman" w:hAnsi="Times New Roman" w:eastAsia="宋体" w:cs="宋体"/>
                <w:color w:val="auto"/>
                <w:sz w:val="24"/>
                <w:szCs w:val="24"/>
              </w:rPr>
            </w:pPr>
            <w:r>
              <w:rPr>
                <w:rFonts w:hint="eastAsia"/>
                <w:color w:val="auto"/>
                <w:sz w:val="24"/>
                <w:szCs w:val="24"/>
              </w:rPr>
              <w:t>近</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年（指</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月</w:t>
            </w:r>
            <w:r>
              <w:rPr>
                <w:color w:val="auto"/>
                <w:sz w:val="24"/>
                <w:szCs w:val="24"/>
                <w:u w:val="single"/>
              </w:rPr>
              <w:t xml:space="preserve">   </w:t>
            </w:r>
            <w:r>
              <w:rPr>
                <w:rFonts w:hint="eastAsia" w:eastAsia="宋体"/>
                <w:color w:val="auto"/>
                <w:sz w:val="24"/>
                <w:szCs w:val="24"/>
                <w:u w:val="single"/>
              </w:rPr>
              <w:t xml:space="preserve"> </w:t>
            </w:r>
            <w:r>
              <w:rPr>
                <w:rFonts w:hint="eastAsia"/>
                <w:color w:val="auto"/>
                <w:sz w:val="24"/>
                <w:szCs w:val="24"/>
              </w:rPr>
              <w:t>日</w:t>
            </w:r>
            <w:r>
              <w:rPr>
                <w:color w:val="auto"/>
                <w:sz w:val="24"/>
                <w:szCs w:val="24"/>
              </w:rPr>
              <w:t>～</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年</w:t>
            </w:r>
            <w:r>
              <w:rPr>
                <w:color w:val="auto"/>
                <w:sz w:val="24"/>
                <w:szCs w:val="24"/>
                <w:u w:val="single"/>
              </w:rPr>
              <w:t xml:space="preserve">   </w:t>
            </w:r>
            <w:r>
              <w:rPr>
                <w:rFonts w:hint="eastAsia" w:eastAsia="宋体"/>
                <w:color w:val="auto"/>
                <w:sz w:val="24"/>
                <w:szCs w:val="24"/>
                <w:u w:val="single"/>
              </w:rPr>
              <w:t xml:space="preserve"> </w:t>
            </w:r>
            <w:r>
              <w:rPr>
                <w:color w:val="auto"/>
                <w:sz w:val="24"/>
                <w:szCs w:val="24"/>
              </w:rPr>
              <w:t>月</w:t>
            </w:r>
            <w:r>
              <w:rPr>
                <w:color w:val="auto"/>
                <w:sz w:val="24"/>
                <w:szCs w:val="24"/>
                <w:u w:val="single"/>
              </w:rPr>
              <w:t xml:space="preserve"> </w:t>
            </w:r>
            <w:r>
              <w:rPr>
                <w:rFonts w:hint="eastAsia" w:eastAsia="宋体"/>
                <w:color w:val="auto"/>
                <w:sz w:val="24"/>
                <w:szCs w:val="24"/>
                <w:u w:val="single"/>
              </w:rPr>
              <w:t xml:space="preserve"> </w:t>
            </w:r>
            <w:r>
              <w:rPr>
                <w:color w:val="auto"/>
                <w:sz w:val="24"/>
                <w:szCs w:val="24"/>
                <w:u w:val="single"/>
              </w:rPr>
              <w:t xml:space="preserve"> </w:t>
            </w:r>
            <w:r>
              <w:rPr>
                <w:rFonts w:hint="eastAsia"/>
                <w:color w:val="auto"/>
                <w:sz w:val="24"/>
                <w:szCs w:val="24"/>
              </w:rPr>
              <w:t>日</w:t>
            </w:r>
            <w:r>
              <w:rPr>
                <w:color w:val="auto"/>
                <w:sz w:val="24"/>
                <w:szCs w:val="24"/>
              </w:rPr>
              <w:t>）</w:t>
            </w:r>
          </w:p>
        </w:tc>
      </w:tr>
      <w:tr w14:paraId="270B9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84B753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3.5.5</w:t>
            </w:r>
          </w:p>
        </w:tc>
        <w:tc>
          <w:tcPr>
            <w:tcW w:w="1379" w:type="pct"/>
            <w:tcBorders>
              <w:tl2br w:val="nil"/>
              <w:tr2bl w:val="nil"/>
            </w:tcBorders>
            <w:vAlign w:val="center"/>
          </w:tcPr>
          <w:p w14:paraId="01DDAD75">
            <w:pPr>
              <w:pStyle w:val="34"/>
              <w:widowControl/>
              <w:spacing w:line="400" w:lineRule="exact"/>
              <w:jc w:val="center"/>
              <w:rPr>
                <w:rFonts w:ascii="Times New Roman"/>
                <w:color w:val="auto"/>
              </w:rPr>
            </w:pPr>
            <w:r>
              <w:rPr>
                <w:rFonts w:ascii="Times New Roman" w:cs="Times New Roman"/>
                <w:color w:val="auto"/>
              </w:rPr>
              <w:t>近年发生的诉讼及仲裁情况的</w:t>
            </w:r>
            <w:r>
              <w:rPr>
                <w:rFonts w:hint="eastAsia" w:ascii="Times New Roman" w:cs="Times New Roman"/>
                <w:color w:val="auto"/>
              </w:rPr>
              <w:t>时间</w:t>
            </w:r>
            <w:r>
              <w:rPr>
                <w:rFonts w:ascii="Times New Roman" w:cs="Times New Roman"/>
                <w:color w:val="auto"/>
              </w:rPr>
              <w:t>要求</w:t>
            </w:r>
          </w:p>
        </w:tc>
        <w:tc>
          <w:tcPr>
            <w:tcW w:w="3020" w:type="pct"/>
            <w:tcBorders>
              <w:tl2br w:val="nil"/>
              <w:tr2bl w:val="nil"/>
            </w:tcBorders>
            <w:vAlign w:val="center"/>
          </w:tcPr>
          <w:p w14:paraId="30542491">
            <w:pPr>
              <w:spacing w:line="400" w:lineRule="exact"/>
              <w:rPr>
                <w:rFonts w:ascii="Times New Roman" w:hAnsi="Times New Roman" w:eastAsia="宋体" w:cs="宋体"/>
                <w:color w:val="auto"/>
                <w:sz w:val="24"/>
                <w:szCs w:val="24"/>
              </w:rPr>
            </w:pPr>
            <w:r>
              <w:rPr>
                <w:rFonts w:hint="eastAsia"/>
                <w:color w:val="auto"/>
                <w:sz w:val="24"/>
                <w:szCs w:val="24"/>
              </w:rPr>
              <w:t>近</w:t>
            </w:r>
            <w:r>
              <w:rPr>
                <w:rFonts w:hint="eastAsia" w:eastAsia="宋体"/>
                <w:color w:val="auto"/>
                <w:sz w:val="24"/>
                <w:szCs w:val="24"/>
                <w:u w:val="single"/>
              </w:rPr>
              <w:t>3</w:t>
            </w:r>
            <w:r>
              <w:rPr>
                <w:color w:val="auto"/>
                <w:sz w:val="24"/>
                <w:szCs w:val="24"/>
              </w:rPr>
              <w:t>年（指</w:t>
            </w:r>
            <w:r>
              <w:rPr>
                <w:rFonts w:hint="eastAsia" w:eastAsia="宋体"/>
                <w:color w:val="auto"/>
                <w:sz w:val="24"/>
                <w:szCs w:val="24"/>
                <w:u w:val="single"/>
              </w:rPr>
              <w:t>2022</w:t>
            </w:r>
            <w:r>
              <w:rPr>
                <w:color w:val="auto"/>
                <w:sz w:val="24"/>
                <w:szCs w:val="24"/>
              </w:rPr>
              <w:t>年</w:t>
            </w:r>
            <w:r>
              <w:rPr>
                <w:rFonts w:hint="eastAsia" w:eastAsia="宋体"/>
                <w:color w:val="auto"/>
                <w:sz w:val="24"/>
                <w:szCs w:val="24"/>
                <w:u w:val="single"/>
              </w:rPr>
              <w:t>1</w:t>
            </w:r>
            <w:r>
              <w:rPr>
                <w:color w:val="auto"/>
                <w:sz w:val="24"/>
                <w:szCs w:val="24"/>
              </w:rPr>
              <w:t>月</w:t>
            </w:r>
            <w:r>
              <w:rPr>
                <w:rFonts w:hint="eastAsia" w:eastAsia="宋体"/>
                <w:color w:val="auto"/>
                <w:sz w:val="24"/>
                <w:szCs w:val="24"/>
                <w:u w:val="single"/>
              </w:rPr>
              <w:t>1</w:t>
            </w:r>
            <w:r>
              <w:rPr>
                <w:rFonts w:hint="eastAsia"/>
                <w:color w:val="auto"/>
                <w:sz w:val="24"/>
                <w:szCs w:val="24"/>
              </w:rPr>
              <w:t>日</w:t>
            </w:r>
            <w:r>
              <w:rPr>
                <w:rFonts w:hint="eastAsia" w:eastAsia="宋体"/>
                <w:color w:val="auto"/>
                <w:sz w:val="24"/>
                <w:szCs w:val="24"/>
              </w:rPr>
              <w:t>—</w:t>
            </w:r>
            <w:r>
              <w:rPr>
                <w:rFonts w:hint="eastAsia" w:eastAsia="宋体"/>
                <w:color w:val="auto"/>
                <w:sz w:val="24"/>
                <w:szCs w:val="24"/>
                <w:u w:val="single"/>
              </w:rPr>
              <w:t>2025</w:t>
            </w:r>
            <w:r>
              <w:rPr>
                <w:color w:val="auto"/>
                <w:sz w:val="24"/>
                <w:szCs w:val="24"/>
              </w:rPr>
              <w:t>年</w:t>
            </w:r>
            <w:r>
              <w:rPr>
                <w:rFonts w:hint="eastAsia" w:eastAsia="宋体"/>
                <w:color w:val="auto"/>
                <w:sz w:val="24"/>
                <w:szCs w:val="24"/>
                <w:u w:val="single"/>
              </w:rPr>
              <w:t>1</w:t>
            </w:r>
            <w:r>
              <w:rPr>
                <w:color w:val="auto"/>
                <w:sz w:val="24"/>
                <w:szCs w:val="24"/>
              </w:rPr>
              <w:t>月</w:t>
            </w:r>
            <w:r>
              <w:rPr>
                <w:rFonts w:hint="eastAsia" w:eastAsia="宋体"/>
                <w:color w:val="auto"/>
                <w:sz w:val="24"/>
                <w:szCs w:val="24"/>
                <w:u w:val="single"/>
              </w:rPr>
              <w:t>1</w:t>
            </w:r>
            <w:r>
              <w:rPr>
                <w:rFonts w:hint="eastAsia"/>
                <w:color w:val="auto"/>
                <w:sz w:val="24"/>
                <w:szCs w:val="24"/>
              </w:rPr>
              <w:t>日</w:t>
            </w:r>
            <w:r>
              <w:rPr>
                <w:color w:val="auto"/>
                <w:sz w:val="24"/>
                <w:szCs w:val="24"/>
              </w:rPr>
              <w:t>）</w:t>
            </w:r>
          </w:p>
        </w:tc>
      </w:tr>
      <w:tr w14:paraId="16ACE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2D1753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3.6.1</w:t>
            </w:r>
          </w:p>
        </w:tc>
        <w:tc>
          <w:tcPr>
            <w:tcW w:w="1379" w:type="pct"/>
            <w:tcBorders>
              <w:tl2br w:val="nil"/>
              <w:tr2bl w:val="nil"/>
            </w:tcBorders>
            <w:vAlign w:val="center"/>
          </w:tcPr>
          <w:p w14:paraId="388A5EF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是否允许递交备选投标方案</w:t>
            </w:r>
          </w:p>
        </w:tc>
        <w:tc>
          <w:tcPr>
            <w:tcW w:w="3020" w:type="pct"/>
            <w:tcBorders>
              <w:tl2br w:val="nil"/>
              <w:tr2bl w:val="nil"/>
            </w:tcBorders>
            <w:vAlign w:val="center"/>
          </w:tcPr>
          <w:p w14:paraId="2F6A65CE">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☑不允许 </w:t>
            </w:r>
          </w:p>
          <w:p w14:paraId="1FD0572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□允许 </w:t>
            </w:r>
          </w:p>
        </w:tc>
      </w:tr>
      <w:tr w14:paraId="44D4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019F13B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3.7.3</w:t>
            </w:r>
          </w:p>
        </w:tc>
        <w:tc>
          <w:tcPr>
            <w:tcW w:w="1379" w:type="pct"/>
            <w:tcBorders>
              <w:tl2br w:val="nil"/>
              <w:tr2bl w:val="nil"/>
            </w:tcBorders>
            <w:vAlign w:val="center"/>
          </w:tcPr>
          <w:p w14:paraId="4EC411E5">
            <w:pPr>
              <w:spacing w:line="400" w:lineRule="exact"/>
              <w:jc w:val="center"/>
              <w:rPr>
                <w:rFonts w:ascii="Times New Roman" w:hAnsi="Times New Roman" w:eastAsia="宋体" w:cs="宋体"/>
                <w:color w:val="auto"/>
                <w:sz w:val="24"/>
                <w:szCs w:val="24"/>
              </w:rPr>
            </w:pPr>
            <w:r>
              <w:rPr>
                <w:rFonts w:hint="eastAsia" w:ascii="Times New Roman" w:hAnsi="Times New Roman" w:eastAsia="宋体"/>
                <w:color w:val="auto"/>
                <w:sz w:val="24"/>
                <w:szCs w:val="24"/>
              </w:rPr>
              <w:t>投标文件</w:t>
            </w:r>
            <w:r>
              <w:rPr>
                <w:rFonts w:ascii="Times New Roman" w:hAnsi="Times New Roman" w:eastAsia="宋体"/>
                <w:color w:val="auto"/>
                <w:sz w:val="24"/>
                <w:szCs w:val="24"/>
              </w:rPr>
              <w:t>签章要求</w:t>
            </w:r>
          </w:p>
        </w:tc>
        <w:tc>
          <w:tcPr>
            <w:tcW w:w="3020" w:type="pct"/>
            <w:tcBorders>
              <w:tl2br w:val="nil"/>
              <w:tr2bl w:val="nil"/>
            </w:tcBorders>
            <w:vAlign w:val="center"/>
          </w:tcPr>
          <w:p w14:paraId="52EF63CB">
            <w:pPr>
              <w:spacing w:after="0" w:line="380" w:lineRule="exact"/>
              <w:rPr>
                <w:rFonts w:ascii="Times New Roman" w:hAnsi="Times New Roman" w:eastAsia="宋体" w:cs="宋体"/>
                <w:color w:val="auto"/>
                <w:sz w:val="24"/>
                <w:szCs w:val="24"/>
              </w:rPr>
            </w:pPr>
            <w:r>
              <w:rPr>
                <w:rFonts w:hint="eastAsia" w:ascii="Times New Roman" w:hAnsi="Times New Roman" w:eastAsia="宋体"/>
                <w:color w:val="auto"/>
                <w:sz w:val="24"/>
                <w:szCs w:val="24"/>
              </w:rPr>
              <w:t>（1）第八章“投标文件格式”中要求盖单位公章、</w:t>
            </w:r>
            <w:r>
              <w:rPr>
                <w:rFonts w:ascii="Times New Roman" w:hAnsi="Times New Roman" w:eastAsia="宋体"/>
                <w:color w:val="auto"/>
                <w:sz w:val="24"/>
                <w:szCs w:val="24"/>
              </w:rPr>
              <w:t>法定代表人或授权委托代理人签章</w:t>
            </w:r>
            <w:r>
              <w:rPr>
                <w:rFonts w:hint="eastAsia" w:ascii="Times New Roman" w:hAnsi="Times New Roman" w:eastAsia="宋体"/>
                <w:color w:val="auto"/>
                <w:sz w:val="24"/>
                <w:szCs w:val="24"/>
              </w:rPr>
              <w:t>的地方，投标人均应使用</w:t>
            </w:r>
            <w:r>
              <w:rPr>
                <w:rFonts w:ascii="Times New Roman" w:hAnsi="Times New Roman" w:eastAsia="宋体"/>
                <w:color w:val="auto"/>
                <w:sz w:val="24"/>
                <w:szCs w:val="24"/>
              </w:rPr>
              <w:t>CA</w:t>
            </w:r>
            <w:r>
              <w:rPr>
                <w:rFonts w:hint="eastAsia" w:ascii="Times New Roman" w:hAnsi="Times New Roman" w:eastAsia="宋体"/>
                <w:color w:val="auto"/>
                <w:sz w:val="24"/>
                <w:szCs w:val="24"/>
              </w:rPr>
              <w:t>数字证书进行签章。</w:t>
            </w:r>
          </w:p>
        </w:tc>
      </w:tr>
      <w:tr w14:paraId="67C0C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09D503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w:t>
            </w:r>
          </w:p>
        </w:tc>
        <w:tc>
          <w:tcPr>
            <w:tcW w:w="1379" w:type="pct"/>
            <w:tcBorders>
              <w:tl2br w:val="nil"/>
              <w:tr2bl w:val="nil"/>
            </w:tcBorders>
            <w:vAlign w:val="center"/>
          </w:tcPr>
          <w:p w14:paraId="4E1AACDD">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投标文件加密要求</w:t>
            </w:r>
          </w:p>
        </w:tc>
        <w:tc>
          <w:tcPr>
            <w:tcW w:w="3020" w:type="pct"/>
            <w:tcBorders>
              <w:tl2br w:val="nil"/>
              <w:tr2bl w:val="nil"/>
            </w:tcBorders>
            <w:vAlign w:val="center"/>
          </w:tcPr>
          <w:p w14:paraId="7066692F">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（1）投标文件应按照本章第3.7项要求制作，并按投标人须知表3.7.4项要求使用带有电子印章的CA数字证书进行签章。 </w:t>
            </w:r>
          </w:p>
          <w:p w14:paraId="23DE142E">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（2）未按要求使用电子投标文件制作工具制作的投标文件并使用带有电子印章的CA数字证书进行签章的，电子开标软件将无法接收，招标人不予受理。</w:t>
            </w:r>
          </w:p>
          <w:p w14:paraId="19B8F5F7">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（3）投标文件制作完成后，投标人应使用CA数字证书对投标文件进行文件加密，生成加密的投标文件。</w:t>
            </w:r>
          </w:p>
        </w:tc>
      </w:tr>
      <w:tr w14:paraId="113C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8F728F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w:t>
            </w:r>
          </w:p>
        </w:tc>
        <w:tc>
          <w:tcPr>
            <w:tcW w:w="1379" w:type="pct"/>
            <w:tcBorders>
              <w:tl2br w:val="nil"/>
              <w:tr2bl w:val="nil"/>
            </w:tcBorders>
            <w:vAlign w:val="center"/>
          </w:tcPr>
          <w:p w14:paraId="6CEACE49">
            <w:pPr>
              <w:spacing w:after="0" w:line="380" w:lineRule="exact"/>
              <w:jc w:val="center"/>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投标截止时间</w:t>
            </w:r>
          </w:p>
        </w:tc>
        <w:tc>
          <w:tcPr>
            <w:tcW w:w="3020" w:type="pct"/>
            <w:tcBorders>
              <w:tl2br w:val="nil"/>
              <w:tr2bl w:val="nil"/>
            </w:tcBorders>
            <w:vAlign w:val="center"/>
          </w:tcPr>
          <w:p w14:paraId="06F8C8D3">
            <w:pPr>
              <w:spacing w:after="0" w:line="380" w:lineRule="exact"/>
              <w:jc w:val="both"/>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u w:val="single"/>
              </w:rPr>
              <w:t>2025</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lang w:val="en-US" w:eastAsia="zh-CN"/>
              </w:rPr>
              <w:t>10</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lang w:val="en-US" w:eastAsia="zh-CN"/>
              </w:rPr>
              <w:t>20</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09</w:t>
            </w:r>
            <w:r>
              <w:rPr>
                <w:rFonts w:hint="eastAsia" w:ascii="Times New Roman" w:hAnsi="Times New Roman" w:eastAsia="宋体" w:cs="宋体"/>
                <w:color w:val="auto"/>
                <w:sz w:val="24"/>
                <w:szCs w:val="24"/>
                <w:highlight w:val="none"/>
              </w:rPr>
              <w:t>时</w:t>
            </w:r>
            <w:r>
              <w:rPr>
                <w:rFonts w:hint="eastAsia" w:ascii="Times New Roman" w:hAnsi="Times New Roman" w:eastAsia="宋体" w:cs="宋体"/>
                <w:color w:val="auto"/>
                <w:sz w:val="24"/>
                <w:szCs w:val="24"/>
                <w:highlight w:val="none"/>
                <w:u w:val="single"/>
              </w:rPr>
              <w:t>30</w:t>
            </w:r>
            <w:r>
              <w:rPr>
                <w:rFonts w:hint="eastAsia" w:ascii="Times New Roman" w:hAnsi="Times New Roman" w:eastAsia="宋体" w:cs="宋体"/>
                <w:color w:val="auto"/>
                <w:sz w:val="24"/>
                <w:szCs w:val="24"/>
                <w:highlight w:val="none"/>
              </w:rPr>
              <w:t xml:space="preserve">分   </w:t>
            </w:r>
          </w:p>
        </w:tc>
      </w:tr>
      <w:tr w14:paraId="0029F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A9C9DEF">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4.2.2</w:t>
            </w:r>
          </w:p>
        </w:tc>
        <w:tc>
          <w:tcPr>
            <w:tcW w:w="1379" w:type="pct"/>
            <w:tcBorders>
              <w:tl2br w:val="nil"/>
              <w:tr2bl w:val="nil"/>
            </w:tcBorders>
            <w:vAlign w:val="center"/>
          </w:tcPr>
          <w:p w14:paraId="1563D4C9">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投标文件的递交</w:t>
            </w:r>
          </w:p>
        </w:tc>
        <w:tc>
          <w:tcPr>
            <w:tcW w:w="3020" w:type="pct"/>
            <w:tcBorders>
              <w:tl2br w:val="nil"/>
              <w:tr2bl w:val="nil"/>
            </w:tcBorders>
            <w:vAlign w:val="center"/>
          </w:tcPr>
          <w:p w14:paraId="31E6D945">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bCs/>
                <w:color w:val="auto"/>
                <w:sz w:val="24"/>
                <w:szCs w:val="24"/>
                <w:u w:val="single"/>
              </w:rPr>
              <w:t>辽宁省公共资源交易一张网电子化平台 （网址：https://www.lnsggzy.com/EpointSSO/login/oauth2login</w:t>
            </w:r>
            <w:r>
              <w:rPr>
                <w:rFonts w:hint="eastAsia" w:ascii="Times New Roman" w:hAnsi="Times New Roman" w:eastAsia="宋体" w:cs="宋体"/>
                <w:bCs/>
                <w:color w:val="auto"/>
                <w:sz w:val="24"/>
                <w:szCs w:val="24"/>
              </w:rPr>
              <w:t>）</w:t>
            </w:r>
          </w:p>
        </w:tc>
      </w:tr>
      <w:tr w14:paraId="104FC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45D078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w:t>
            </w:r>
          </w:p>
        </w:tc>
        <w:tc>
          <w:tcPr>
            <w:tcW w:w="1379" w:type="pct"/>
            <w:tcBorders>
              <w:tl2br w:val="nil"/>
              <w:tr2bl w:val="nil"/>
            </w:tcBorders>
            <w:vAlign w:val="center"/>
          </w:tcPr>
          <w:p w14:paraId="5FF73B95">
            <w:pPr>
              <w:spacing w:after="0" w:line="400" w:lineRule="exact"/>
              <w:jc w:val="center"/>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开标时间和</w:t>
            </w:r>
            <w:r>
              <w:rPr>
                <w:rFonts w:ascii="Times New Roman" w:hAnsi="Times New Roman" w:eastAsia="宋体"/>
                <w:color w:val="auto"/>
                <w:sz w:val="24"/>
                <w:szCs w:val="24"/>
                <w:highlight w:val="none"/>
              </w:rPr>
              <w:t>地点</w:t>
            </w:r>
          </w:p>
        </w:tc>
        <w:tc>
          <w:tcPr>
            <w:tcW w:w="3020" w:type="pct"/>
            <w:tcBorders>
              <w:tl2br w:val="nil"/>
              <w:tr2bl w:val="nil"/>
            </w:tcBorders>
            <w:vAlign w:val="center"/>
          </w:tcPr>
          <w:p w14:paraId="2AB5B46C">
            <w:pPr>
              <w:wordWrap w:val="0"/>
              <w:spacing w:after="0" w:line="400" w:lineRule="exac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（1）</w:t>
            </w:r>
            <w:r>
              <w:rPr>
                <w:rFonts w:hint="eastAsia" w:ascii="Times New Roman" w:hAnsi="Times New Roman" w:eastAsia="宋体"/>
                <w:color w:val="auto"/>
                <w:sz w:val="24"/>
                <w:szCs w:val="24"/>
                <w:highlight w:val="none"/>
              </w:rPr>
              <w:t>开标时间</w:t>
            </w:r>
            <w:r>
              <w:rPr>
                <w:rFonts w:ascii="Times New Roman" w:hAnsi="Times New Roman" w:eastAsia="宋体"/>
                <w:color w:val="auto"/>
                <w:sz w:val="24"/>
                <w:szCs w:val="24"/>
                <w:highlight w:val="none"/>
              </w:rPr>
              <w:t>：</w:t>
            </w:r>
            <w:r>
              <w:rPr>
                <w:rFonts w:hint="eastAsia" w:ascii="Times New Roman" w:hAnsi="Times New Roman" w:eastAsia="宋体" w:cs="宋体"/>
                <w:color w:val="auto"/>
                <w:sz w:val="24"/>
                <w:szCs w:val="24"/>
                <w:highlight w:val="none"/>
                <w:u w:val="single"/>
              </w:rPr>
              <w:t>2025</w:t>
            </w:r>
            <w:r>
              <w:rPr>
                <w:rFonts w:hint="eastAsia" w:ascii="Times New Roman" w:hAnsi="Times New Roman" w:eastAsia="宋体" w:cs="宋体"/>
                <w:color w:val="auto"/>
                <w:sz w:val="24"/>
                <w:szCs w:val="24"/>
                <w:highlight w:val="none"/>
              </w:rPr>
              <w:t>年</w:t>
            </w:r>
            <w:r>
              <w:rPr>
                <w:rFonts w:hint="eastAsia" w:ascii="Times New Roman" w:hAnsi="Times New Roman" w:eastAsia="宋体" w:cs="宋体"/>
                <w:color w:val="auto"/>
                <w:sz w:val="24"/>
                <w:szCs w:val="24"/>
                <w:highlight w:val="none"/>
                <w:u w:val="single"/>
                <w:lang w:val="en-US" w:eastAsia="zh-CN"/>
              </w:rPr>
              <w:t>10</w:t>
            </w:r>
            <w:r>
              <w:rPr>
                <w:rFonts w:hint="eastAsia" w:ascii="Times New Roman" w:hAnsi="Times New Roman" w:eastAsia="宋体" w:cs="宋体"/>
                <w:color w:val="auto"/>
                <w:sz w:val="24"/>
                <w:szCs w:val="24"/>
                <w:highlight w:val="none"/>
              </w:rPr>
              <w:t>月</w:t>
            </w:r>
            <w:r>
              <w:rPr>
                <w:rFonts w:hint="eastAsia" w:ascii="Times New Roman" w:hAnsi="Times New Roman" w:eastAsia="宋体" w:cs="宋体"/>
                <w:color w:val="auto"/>
                <w:sz w:val="24"/>
                <w:szCs w:val="24"/>
                <w:highlight w:val="none"/>
                <w:u w:val="single"/>
                <w:lang w:val="en-US" w:eastAsia="zh-CN"/>
              </w:rPr>
              <w:t>20</w:t>
            </w:r>
            <w:r>
              <w:rPr>
                <w:rFonts w:hint="eastAsia" w:ascii="Times New Roman" w:hAnsi="Times New Roman" w:eastAsia="宋体" w:cs="宋体"/>
                <w:color w:val="auto"/>
                <w:sz w:val="24"/>
                <w:szCs w:val="24"/>
                <w:highlight w:val="none"/>
              </w:rPr>
              <w:t>日</w:t>
            </w:r>
            <w:r>
              <w:rPr>
                <w:rFonts w:hint="eastAsia" w:ascii="Times New Roman" w:hAnsi="Times New Roman" w:eastAsia="宋体" w:cs="宋体"/>
                <w:color w:val="auto"/>
                <w:sz w:val="24"/>
                <w:szCs w:val="24"/>
                <w:highlight w:val="none"/>
                <w:u w:val="single"/>
              </w:rPr>
              <w:t>09</w:t>
            </w:r>
            <w:r>
              <w:rPr>
                <w:rFonts w:hint="eastAsia" w:ascii="Times New Roman" w:hAnsi="Times New Roman" w:eastAsia="宋体" w:cs="宋体"/>
                <w:color w:val="auto"/>
                <w:sz w:val="24"/>
                <w:szCs w:val="24"/>
                <w:highlight w:val="none"/>
              </w:rPr>
              <w:t>时</w:t>
            </w:r>
            <w:r>
              <w:rPr>
                <w:rFonts w:hint="eastAsia" w:ascii="Times New Roman" w:hAnsi="Times New Roman" w:eastAsia="宋体" w:cs="宋体"/>
                <w:color w:val="auto"/>
                <w:sz w:val="24"/>
                <w:szCs w:val="24"/>
                <w:highlight w:val="none"/>
                <w:u w:val="single"/>
              </w:rPr>
              <w:t>30</w:t>
            </w:r>
            <w:r>
              <w:rPr>
                <w:rFonts w:hint="eastAsia" w:ascii="Times New Roman" w:hAnsi="Times New Roman" w:eastAsia="宋体" w:cs="宋体"/>
                <w:color w:val="auto"/>
                <w:sz w:val="24"/>
                <w:szCs w:val="24"/>
                <w:highlight w:val="none"/>
              </w:rPr>
              <w:t>分</w:t>
            </w:r>
            <w:r>
              <w:rPr>
                <w:rFonts w:ascii="Times New Roman" w:hAnsi="Times New Roman" w:eastAsia="宋体"/>
                <w:color w:val="auto"/>
                <w:sz w:val="24"/>
                <w:szCs w:val="24"/>
                <w:highlight w:val="none"/>
              </w:rPr>
              <w:t>。</w:t>
            </w:r>
          </w:p>
          <w:p w14:paraId="17D75F4A">
            <w:pPr>
              <w:wordWrap w:val="0"/>
              <w:spacing w:after="0" w:line="400" w:lineRule="exact"/>
              <w:ind w:left="720" w:hanging="720" w:hangingChars="3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（2）开标</w:t>
            </w:r>
            <w:r>
              <w:rPr>
                <w:rFonts w:hint="eastAsia" w:ascii="Times New Roman" w:hAnsi="Times New Roman" w:eastAsia="宋体"/>
                <w:color w:val="auto"/>
                <w:sz w:val="24"/>
                <w:szCs w:val="24"/>
                <w:highlight w:val="none"/>
              </w:rPr>
              <w:t>方式</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采用不见面开标，开标地点名称</w:t>
            </w:r>
          </w:p>
          <w:p w14:paraId="3C6F5B5F">
            <w:pPr>
              <w:wordWrap w:val="0"/>
              <w:spacing w:after="0" w:line="400" w:lineRule="exact"/>
              <w:ind w:left="720" w:hanging="720" w:hangingChars="300"/>
              <w:rPr>
                <w:rFonts w:ascii="Times New Roman" w:hAnsi="Times New Roman" w:eastAsia="宋体"/>
                <w:b/>
                <w:bCs/>
                <w:color w:val="auto"/>
                <w:sz w:val="24"/>
                <w:szCs w:val="24"/>
                <w:highlight w:val="none"/>
              </w:rPr>
            </w:pPr>
            <w:r>
              <w:rPr>
                <w:rFonts w:hint="eastAsia" w:ascii="Times New Roman" w:hAnsi="Times New Roman" w:eastAsia="宋体" w:cs="宋体"/>
                <w:bCs/>
                <w:color w:val="auto"/>
                <w:sz w:val="24"/>
                <w:szCs w:val="24"/>
                <w:highlight w:val="none"/>
                <w:u w:val="single"/>
              </w:rPr>
              <w:t>辽宁省公共资源交易一张网电子化平台</w:t>
            </w:r>
            <w:r>
              <w:rPr>
                <w:rFonts w:hint="eastAsia" w:ascii="Times New Roman" w:hAnsi="Times New Roman" w:eastAsia="宋体"/>
                <w:bCs/>
                <w:color w:val="auto"/>
                <w:sz w:val="24"/>
                <w:szCs w:val="24"/>
                <w:highlight w:val="none"/>
              </w:rPr>
              <w:t>（网址：</w:t>
            </w:r>
            <w:r>
              <w:rPr>
                <w:rFonts w:hint="eastAsia" w:ascii="Times New Roman" w:hAnsi="Times New Roman" w:eastAsia="宋体" w:cs="宋体"/>
                <w:bCs/>
                <w:color w:val="auto"/>
                <w:sz w:val="24"/>
                <w:szCs w:val="24"/>
                <w:highlight w:val="none"/>
                <w:u w:val="single"/>
              </w:rPr>
              <w:t>https://www.lnsggzy.com/EpointSSO/login/oauth2login</w:t>
            </w:r>
            <w:r>
              <w:rPr>
                <w:rFonts w:hint="eastAsia" w:ascii="Times New Roman" w:hAnsi="Times New Roman" w:eastAsia="宋体"/>
                <w:bCs/>
                <w:color w:val="auto"/>
                <w:sz w:val="24"/>
                <w:szCs w:val="24"/>
                <w:highlight w:val="none"/>
              </w:rPr>
              <w:t>）</w:t>
            </w:r>
          </w:p>
          <w:p w14:paraId="17111BEA">
            <w:pPr>
              <w:spacing w:after="0" w:line="400" w:lineRule="exact"/>
              <w:ind w:firstLine="240" w:firstLineChars="1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w:t>
            </w:r>
            <w:r>
              <w:rPr>
                <w:rFonts w:ascii="Times New Roman" w:hAnsi="Times New Roman" w:eastAsia="宋体"/>
                <w:color w:val="auto"/>
                <w:sz w:val="24"/>
                <w:szCs w:val="24"/>
                <w:highlight w:val="none"/>
              </w:rPr>
              <w:t>）电子投标文件解密时间为发出解密指令后（</w:t>
            </w:r>
            <w:r>
              <w:rPr>
                <w:rFonts w:hint="eastAsia" w:ascii="Times New Roman" w:hAnsi="Times New Roman" w:eastAsia="宋体"/>
                <w:color w:val="auto"/>
                <w:sz w:val="24"/>
                <w:szCs w:val="24"/>
                <w:highlight w:val="none"/>
                <w:u w:val="single"/>
              </w:rPr>
              <w:t>30</w:t>
            </w:r>
            <w:r>
              <w:rPr>
                <w:rFonts w:ascii="Times New Roman" w:hAnsi="Times New Roman" w:eastAsia="宋体"/>
                <w:color w:val="auto"/>
                <w:sz w:val="24"/>
                <w:szCs w:val="24"/>
                <w:highlight w:val="none"/>
              </w:rPr>
              <w:t>）分钟内完成。</w:t>
            </w:r>
          </w:p>
          <w:p w14:paraId="06688FAB">
            <w:pPr>
              <w:spacing w:after="0" w:line="400" w:lineRule="exact"/>
              <w:ind w:firstLine="240" w:firstLineChars="1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w:t>
            </w:r>
            <w:r>
              <w:rPr>
                <w:rFonts w:ascii="Times New Roman" w:hAnsi="Times New Roman" w:eastAsia="宋体"/>
                <w:color w:val="auto"/>
                <w:sz w:val="24"/>
                <w:szCs w:val="24"/>
                <w:highlight w:val="none"/>
              </w:rPr>
              <w:t>）电子投标开标解密时，必须使用生成投标文件时的CA</w:t>
            </w:r>
            <w:r>
              <w:rPr>
                <w:rFonts w:hint="eastAsia" w:ascii="Times New Roman" w:hAnsi="Times New Roman" w:eastAsia="宋体"/>
                <w:color w:val="auto"/>
                <w:sz w:val="24"/>
                <w:szCs w:val="24"/>
                <w:highlight w:val="none"/>
              </w:rPr>
              <w:t>数字证书</w:t>
            </w:r>
            <w:r>
              <w:rPr>
                <w:rFonts w:ascii="Times New Roman" w:hAnsi="Times New Roman" w:eastAsia="宋体"/>
                <w:color w:val="auto"/>
                <w:sz w:val="24"/>
                <w:szCs w:val="24"/>
                <w:highlight w:val="none"/>
              </w:rPr>
              <w:t>进行解密，因无法解密造成的一切后果由投标人自行承担</w:t>
            </w:r>
            <w:r>
              <w:rPr>
                <w:rFonts w:hint="eastAsia" w:ascii="Times New Roman" w:hAnsi="Times New Roman" w:eastAsia="宋体"/>
                <w:color w:val="auto"/>
                <w:sz w:val="24"/>
                <w:szCs w:val="24"/>
                <w:highlight w:val="none"/>
              </w:rPr>
              <w:t>。</w:t>
            </w:r>
          </w:p>
          <w:p w14:paraId="745C3450">
            <w:pPr>
              <w:spacing w:after="0" w:line="400" w:lineRule="exact"/>
              <w:ind w:firstLine="240" w:firstLineChars="100"/>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3</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其他：</w:t>
            </w:r>
            <w:r>
              <w:rPr>
                <w:rFonts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u w:val="single"/>
              </w:rPr>
              <w:t xml:space="preserve">          </w:t>
            </w:r>
            <w:r>
              <w:rPr>
                <w:rFonts w:hint="eastAsia" w:ascii="Times New Roman" w:hAnsi="Times New Roman" w:eastAsia="宋体"/>
                <w:color w:val="auto"/>
                <w:sz w:val="24"/>
                <w:szCs w:val="24"/>
                <w:highlight w:val="none"/>
              </w:rPr>
              <w:t>。</w:t>
            </w:r>
          </w:p>
        </w:tc>
      </w:tr>
      <w:tr w14:paraId="32A6E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07102D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6.1.1</w:t>
            </w:r>
          </w:p>
        </w:tc>
        <w:tc>
          <w:tcPr>
            <w:tcW w:w="1379" w:type="pct"/>
            <w:tcBorders>
              <w:tl2br w:val="nil"/>
              <w:tr2bl w:val="nil"/>
            </w:tcBorders>
            <w:vAlign w:val="center"/>
          </w:tcPr>
          <w:p w14:paraId="6A8672DA">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评标委员会的组建</w:t>
            </w:r>
          </w:p>
        </w:tc>
        <w:tc>
          <w:tcPr>
            <w:tcW w:w="3020" w:type="pct"/>
            <w:tcBorders>
              <w:tl2br w:val="nil"/>
              <w:tr2bl w:val="nil"/>
            </w:tcBorders>
            <w:vAlign w:val="center"/>
          </w:tcPr>
          <w:p w14:paraId="42F10E5B">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评标委员会构成：</w:t>
            </w:r>
            <w:r>
              <w:rPr>
                <w:rFonts w:hint="eastAsia" w:ascii="Times New Roman" w:hAnsi="Times New Roman" w:eastAsia="宋体" w:cs="宋体"/>
                <w:color w:val="auto"/>
                <w:sz w:val="24"/>
                <w:szCs w:val="24"/>
                <w:u w:val="single" w:color="000000"/>
              </w:rPr>
              <w:t>7</w:t>
            </w:r>
            <w:r>
              <w:rPr>
                <w:rFonts w:hint="eastAsia" w:ascii="Times New Roman" w:hAnsi="Times New Roman" w:eastAsia="宋体" w:cs="宋体"/>
                <w:color w:val="auto"/>
                <w:sz w:val="24"/>
                <w:szCs w:val="24"/>
              </w:rPr>
              <w:t>人</w:t>
            </w:r>
          </w:p>
          <w:p w14:paraId="34C087E2">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其中招标人代表</w:t>
            </w:r>
            <w:r>
              <w:rPr>
                <w:rFonts w:hint="eastAsia" w:ascii="Times New Roman" w:hAnsi="Times New Roman" w:eastAsia="宋体" w:cs="宋体"/>
                <w:color w:val="auto"/>
                <w:sz w:val="24"/>
                <w:szCs w:val="24"/>
                <w:u w:val="single" w:color="000000"/>
              </w:rPr>
              <w:t>2</w:t>
            </w:r>
            <w:r>
              <w:rPr>
                <w:rFonts w:hint="eastAsia" w:ascii="Times New Roman" w:hAnsi="Times New Roman" w:eastAsia="宋体" w:cs="宋体"/>
                <w:color w:val="auto"/>
                <w:sz w:val="24"/>
                <w:szCs w:val="24"/>
              </w:rPr>
              <w:t>人，专家</w:t>
            </w:r>
            <w:r>
              <w:rPr>
                <w:rFonts w:hint="eastAsia" w:ascii="Times New Roman" w:hAnsi="Times New Roman" w:eastAsia="宋体" w:cs="宋体"/>
                <w:color w:val="auto"/>
                <w:sz w:val="24"/>
                <w:szCs w:val="24"/>
                <w:u w:val="single" w:color="000000"/>
              </w:rPr>
              <w:t>5</w:t>
            </w:r>
            <w:r>
              <w:rPr>
                <w:rFonts w:hint="eastAsia" w:ascii="Times New Roman" w:hAnsi="Times New Roman" w:eastAsia="宋体" w:cs="宋体"/>
                <w:color w:val="auto"/>
                <w:sz w:val="24"/>
                <w:szCs w:val="24"/>
              </w:rPr>
              <w:t>人；</w:t>
            </w:r>
          </w:p>
          <w:p w14:paraId="5929C63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评标专家确定方式：在</w:t>
            </w:r>
            <w:r>
              <w:rPr>
                <w:rFonts w:hint="eastAsia" w:ascii="Times New Roman" w:hAnsi="Times New Roman" w:eastAsia="宋体" w:cs="宋体"/>
                <w:color w:val="auto"/>
                <w:sz w:val="24"/>
                <w:szCs w:val="24"/>
                <w:u w:val="single"/>
              </w:rPr>
              <w:t xml:space="preserve"> 辽宁省综合 </w:t>
            </w:r>
            <w:r>
              <w:rPr>
                <w:rFonts w:hint="eastAsia" w:ascii="Times New Roman" w:hAnsi="Times New Roman" w:eastAsia="宋体" w:cs="宋体"/>
                <w:color w:val="auto"/>
                <w:sz w:val="24"/>
                <w:szCs w:val="24"/>
              </w:rPr>
              <w:t>评标专家库中随机抽取。</w:t>
            </w:r>
          </w:p>
        </w:tc>
      </w:tr>
      <w:tr w14:paraId="368FE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773BC4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6.3.2</w:t>
            </w:r>
          </w:p>
        </w:tc>
        <w:tc>
          <w:tcPr>
            <w:tcW w:w="1379" w:type="pct"/>
            <w:tcBorders>
              <w:tl2br w:val="nil"/>
              <w:tr2bl w:val="nil"/>
            </w:tcBorders>
            <w:vAlign w:val="center"/>
          </w:tcPr>
          <w:p w14:paraId="3E0B1B3B">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评标委员会推荐中标候选人的人数</w:t>
            </w:r>
          </w:p>
        </w:tc>
        <w:tc>
          <w:tcPr>
            <w:tcW w:w="3020" w:type="pct"/>
            <w:tcBorders>
              <w:tl2br w:val="nil"/>
              <w:tr2bl w:val="nil"/>
            </w:tcBorders>
            <w:vAlign w:val="center"/>
          </w:tcPr>
          <w:p w14:paraId="4B2070B0">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color="000000"/>
              </w:rPr>
              <w:t xml:space="preserve">      3      </w:t>
            </w:r>
            <w:r>
              <w:rPr>
                <w:rFonts w:hint="eastAsia" w:ascii="Times New Roman" w:hAnsi="Times New Roman" w:eastAsia="宋体" w:cs="宋体"/>
                <w:color w:val="auto"/>
                <w:sz w:val="24"/>
                <w:szCs w:val="24"/>
              </w:rPr>
              <w:t>个（不超过3个）</w:t>
            </w:r>
          </w:p>
        </w:tc>
      </w:tr>
      <w:tr w14:paraId="55BA4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A10E89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7.1</w:t>
            </w:r>
          </w:p>
        </w:tc>
        <w:tc>
          <w:tcPr>
            <w:tcW w:w="1379" w:type="pct"/>
            <w:tcBorders>
              <w:tl2br w:val="nil"/>
              <w:tr2bl w:val="nil"/>
            </w:tcBorders>
            <w:vAlign w:val="center"/>
          </w:tcPr>
          <w:p w14:paraId="05B742CC">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中标候选人公示</w:t>
            </w:r>
          </w:p>
        </w:tc>
        <w:tc>
          <w:tcPr>
            <w:tcW w:w="3020" w:type="pct"/>
            <w:tcBorders>
              <w:tl2br w:val="nil"/>
              <w:tr2bl w:val="nil"/>
            </w:tcBorders>
            <w:vAlign w:val="center"/>
          </w:tcPr>
          <w:p w14:paraId="628A3518">
            <w:pPr>
              <w:spacing w:line="400" w:lineRule="exact"/>
              <w:rPr>
                <w:color w:val="auto"/>
                <w:sz w:val="24"/>
                <w:szCs w:val="24"/>
              </w:rPr>
            </w:pPr>
            <w:r>
              <w:rPr>
                <w:color w:val="auto"/>
                <w:sz w:val="24"/>
                <w:szCs w:val="24"/>
              </w:rPr>
              <w:t>公示媒介：</w:t>
            </w:r>
            <w:r>
              <w:rPr>
                <w:rFonts w:hint="eastAsia"/>
                <w:color w:val="auto"/>
                <w:sz w:val="24"/>
                <w:szCs w:val="24"/>
                <w:u w:val="single"/>
              </w:rPr>
              <w:t>辽宁省招标投标监管网、辽宁省公共资源交易网</w:t>
            </w:r>
            <w:r>
              <w:rPr>
                <w:color w:val="auto"/>
                <w:sz w:val="24"/>
                <w:szCs w:val="24"/>
              </w:rPr>
              <w:t>。</w:t>
            </w:r>
          </w:p>
          <w:p w14:paraId="6B23C14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公示期限：</w:t>
            </w:r>
            <w:r>
              <w:rPr>
                <w:rFonts w:hint="eastAsia" w:ascii="Times New Roman" w:hAnsi="Times New Roman" w:eastAsia="宋体" w:cs="宋体"/>
                <w:color w:val="auto"/>
                <w:sz w:val="24"/>
                <w:szCs w:val="24"/>
                <w:u w:val="single" w:color="000000"/>
              </w:rPr>
              <w:t xml:space="preserve">    3    </w:t>
            </w:r>
            <w:r>
              <w:rPr>
                <w:rFonts w:hint="eastAsia" w:ascii="Times New Roman" w:hAnsi="Times New Roman" w:eastAsia="宋体" w:cs="宋体"/>
                <w:color w:val="auto"/>
                <w:sz w:val="24"/>
                <w:szCs w:val="24"/>
              </w:rPr>
              <w:t>日(不少于3日)</w:t>
            </w:r>
          </w:p>
        </w:tc>
      </w:tr>
      <w:tr w14:paraId="63F4F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6773CD3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7.4</w:t>
            </w:r>
          </w:p>
        </w:tc>
        <w:tc>
          <w:tcPr>
            <w:tcW w:w="1379" w:type="pct"/>
            <w:tcBorders>
              <w:tl2br w:val="nil"/>
              <w:tr2bl w:val="nil"/>
            </w:tcBorders>
            <w:vAlign w:val="center"/>
          </w:tcPr>
          <w:p w14:paraId="6094AA5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是否授权评标委员会确定中标人</w:t>
            </w:r>
          </w:p>
        </w:tc>
        <w:tc>
          <w:tcPr>
            <w:tcW w:w="3020" w:type="pct"/>
            <w:tcBorders>
              <w:tl2br w:val="nil"/>
              <w:tr2bl w:val="nil"/>
            </w:tcBorders>
            <w:vAlign w:val="center"/>
          </w:tcPr>
          <w:p w14:paraId="4258CDD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w:t>
            </w:r>
          </w:p>
          <w:p w14:paraId="63DE5879">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□否</w:t>
            </w:r>
          </w:p>
        </w:tc>
      </w:tr>
      <w:tr w14:paraId="511F9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761E8F8">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7.6.1</w:t>
            </w:r>
          </w:p>
        </w:tc>
        <w:tc>
          <w:tcPr>
            <w:tcW w:w="1379" w:type="pct"/>
            <w:tcBorders>
              <w:tl2br w:val="nil"/>
              <w:tr2bl w:val="nil"/>
            </w:tcBorders>
            <w:vAlign w:val="center"/>
          </w:tcPr>
          <w:p w14:paraId="12335E8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履约保证金</w:t>
            </w:r>
          </w:p>
        </w:tc>
        <w:tc>
          <w:tcPr>
            <w:tcW w:w="3020" w:type="pct"/>
            <w:tcBorders>
              <w:tl2br w:val="nil"/>
              <w:tr2bl w:val="nil"/>
            </w:tcBorders>
            <w:vAlign w:val="center"/>
          </w:tcPr>
          <w:p w14:paraId="57BDC16C">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是否要求中标人提交履约保证金：</w:t>
            </w:r>
          </w:p>
          <w:p w14:paraId="25B2336A">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□要求，履约保证金的形式：</w:t>
            </w:r>
            <w:r>
              <w:rPr>
                <w:rFonts w:hint="eastAsia" w:ascii="Times New Roman" w:hAnsi="Times New Roman" w:eastAsia="宋体" w:cs="宋体"/>
                <w:color w:val="auto"/>
                <w:sz w:val="24"/>
                <w:szCs w:val="24"/>
                <w:u w:val="single" w:color="000000"/>
              </w:rPr>
              <w:t xml:space="preserve">             </w:t>
            </w:r>
          </w:p>
          <w:p w14:paraId="406B218E">
            <w:pPr>
              <w:widowControl w:val="0"/>
              <w:adjustRightInd w:val="0"/>
              <w:snapToGrid w:val="0"/>
              <w:spacing w:after="0" w:line="380" w:lineRule="exact"/>
              <w:ind w:firstLine="960" w:firstLineChars="4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履约保证金的金额：</w:t>
            </w:r>
            <w:r>
              <w:rPr>
                <w:rFonts w:hint="eastAsia" w:ascii="Times New Roman" w:hAnsi="Times New Roman" w:eastAsia="宋体" w:cs="宋体"/>
                <w:color w:val="auto"/>
                <w:sz w:val="24"/>
                <w:szCs w:val="24"/>
                <w:u w:val="single" w:color="000000"/>
              </w:rPr>
              <w:t xml:space="preserve">              </w:t>
            </w:r>
          </w:p>
          <w:p w14:paraId="68F31954">
            <w:pPr>
              <w:widowControl w:val="0"/>
              <w:adjustRightInd w:val="0"/>
              <w:snapToGrid w:val="0"/>
              <w:spacing w:after="0" w:line="380" w:lineRule="exact"/>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☑不要求</w:t>
            </w:r>
          </w:p>
        </w:tc>
      </w:tr>
      <w:tr w14:paraId="1974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3CCC8E4">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w:t>
            </w:r>
          </w:p>
        </w:tc>
        <w:tc>
          <w:tcPr>
            <w:tcW w:w="4399" w:type="pct"/>
            <w:gridSpan w:val="2"/>
            <w:tcBorders>
              <w:tl2br w:val="nil"/>
              <w:tr2bl w:val="nil"/>
            </w:tcBorders>
            <w:vAlign w:val="center"/>
          </w:tcPr>
          <w:p w14:paraId="2243ADF1">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b/>
                <w:bCs/>
                <w:color w:val="auto"/>
                <w:sz w:val="24"/>
                <w:szCs w:val="24"/>
              </w:rPr>
              <w:t>需要补充的其他内容</w:t>
            </w:r>
          </w:p>
        </w:tc>
      </w:tr>
      <w:tr w14:paraId="5ED4D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30B3664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w:t>
            </w:r>
          </w:p>
        </w:tc>
        <w:tc>
          <w:tcPr>
            <w:tcW w:w="1379" w:type="pct"/>
            <w:tcBorders>
              <w:tl2br w:val="nil"/>
              <w:tr2bl w:val="nil"/>
            </w:tcBorders>
            <w:vAlign w:val="center"/>
          </w:tcPr>
          <w:p w14:paraId="6D678662">
            <w:pPr>
              <w:pStyle w:val="34"/>
              <w:spacing w:line="380" w:lineRule="exact"/>
              <w:jc w:val="center"/>
              <w:rPr>
                <w:rFonts w:ascii="Times New Roman"/>
                <w:color w:val="auto"/>
              </w:rPr>
            </w:pPr>
            <w:r>
              <w:rPr>
                <w:rFonts w:hint="eastAsia" w:ascii="Times New Roman"/>
                <w:color w:val="auto"/>
              </w:rPr>
              <w:t>设备结算款支付账户</w:t>
            </w:r>
          </w:p>
        </w:tc>
        <w:tc>
          <w:tcPr>
            <w:tcW w:w="3020" w:type="pct"/>
            <w:tcBorders>
              <w:tl2br w:val="nil"/>
              <w:tr2bl w:val="nil"/>
            </w:tcBorders>
            <w:vAlign w:val="center"/>
          </w:tcPr>
          <w:p w14:paraId="379B6094">
            <w:pPr>
              <w:widowControl w:val="0"/>
              <w:adjustRightInd w:val="0"/>
              <w:snapToGrid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投标人必须在投标文件中列明设备结算款支付账户，项目法人支付货款拨付到中标人列明设备结算款支付账户。</w:t>
            </w:r>
          </w:p>
        </w:tc>
      </w:tr>
      <w:tr w14:paraId="4E105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5F19793">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w:t>
            </w:r>
          </w:p>
        </w:tc>
        <w:tc>
          <w:tcPr>
            <w:tcW w:w="1379" w:type="pct"/>
            <w:tcBorders>
              <w:tl2br w:val="nil"/>
              <w:tr2bl w:val="nil"/>
            </w:tcBorders>
            <w:vAlign w:val="center"/>
          </w:tcPr>
          <w:p w14:paraId="40509820">
            <w:pPr>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特殊情况处置</w:t>
            </w:r>
          </w:p>
        </w:tc>
        <w:tc>
          <w:tcPr>
            <w:tcW w:w="3020" w:type="pct"/>
            <w:tcBorders>
              <w:tl2br w:val="nil"/>
              <w:tr2bl w:val="nil"/>
            </w:tcBorders>
            <w:vAlign w:val="center"/>
          </w:tcPr>
          <w:p w14:paraId="6EE8E687">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（1）如遇断网、断电、网络安全问题等意外情况，所有投标人均无法解密，招标人应向监管部门申请并征得同意后可延长开标时间或推迟时间重新开标，具体安排另行通知。</w:t>
            </w:r>
          </w:p>
          <w:p w14:paraId="77E0C040">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（2）因电子交易系统故障、投标人数量过多等非投标人原因，导致投标文件不能在规定时间内完成解密的，招标人可延长解密时间，并告知在线的投标人。</w:t>
            </w:r>
          </w:p>
          <w:p w14:paraId="043C5728">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（3）其他原因，按以下原则处理：</w:t>
            </w:r>
          </w:p>
          <w:p w14:paraId="19E84F68">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a.投标截止时间前未完成投标文件传输递交，视为撤回投标文件。</w:t>
            </w:r>
          </w:p>
          <w:p w14:paraId="003B1344">
            <w:pPr>
              <w:spacing w:after="0" w:line="380" w:lineRule="exact"/>
              <w:ind w:firstLine="240" w:firstLineChars="1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b.因投标人原因造成投标文件未在规定时间内解密的，视为撤销其投标文件。</w:t>
            </w:r>
          </w:p>
          <w:p w14:paraId="755EB9F1">
            <w:pPr>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（4）其他：</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tc>
      </w:tr>
      <w:tr w14:paraId="0D06D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780" w:hRule="atLeast"/>
          <w:jc w:val="center"/>
        </w:trPr>
        <w:tc>
          <w:tcPr>
            <w:tcW w:w="600" w:type="pct"/>
            <w:tcBorders>
              <w:tl2br w:val="nil"/>
              <w:tr2bl w:val="nil"/>
            </w:tcBorders>
            <w:vAlign w:val="center"/>
          </w:tcPr>
          <w:p w14:paraId="6351F586">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9.3</w:t>
            </w:r>
          </w:p>
        </w:tc>
        <w:tc>
          <w:tcPr>
            <w:tcW w:w="1379" w:type="pct"/>
            <w:tcBorders>
              <w:tl2br w:val="nil"/>
              <w:tr2bl w:val="nil"/>
            </w:tcBorders>
            <w:vAlign w:val="center"/>
          </w:tcPr>
          <w:p w14:paraId="5A44FC08">
            <w:pPr>
              <w:jc w:val="center"/>
              <w:rPr>
                <w:rFonts w:ascii="Times New Roman" w:hAnsi="Times New Roman" w:eastAsia="宋体" w:cs="宋体"/>
                <w:color w:val="auto"/>
                <w:sz w:val="24"/>
                <w:szCs w:val="24"/>
              </w:rPr>
            </w:pPr>
            <w:r>
              <w:rPr>
                <w:rFonts w:hint="eastAsia"/>
                <w:color w:val="auto"/>
                <w:sz w:val="24"/>
                <w:szCs w:val="24"/>
              </w:rPr>
              <w:t>类似项目业绩</w:t>
            </w:r>
          </w:p>
        </w:tc>
        <w:tc>
          <w:tcPr>
            <w:tcW w:w="3020" w:type="pct"/>
            <w:tcBorders>
              <w:tl2br w:val="nil"/>
              <w:tr2bl w:val="nil"/>
            </w:tcBorders>
            <w:vAlign w:val="center"/>
          </w:tcPr>
          <w:p w14:paraId="23859D65">
            <w:pPr>
              <w:spacing w:after="0" w:line="400" w:lineRule="exact"/>
              <w:rPr>
                <w:rFonts w:ascii="Times New Roman" w:hAnsi="Times New Roman" w:eastAsia="宋体" w:cs="仿宋"/>
                <w:color w:val="auto"/>
                <w:sz w:val="24"/>
                <w:szCs w:val="24"/>
              </w:rPr>
            </w:pPr>
            <w:r>
              <w:rPr>
                <w:rFonts w:hint="eastAsia" w:ascii="Times New Roman" w:hAnsi="Times New Roman" w:eastAsia="宋体" w:cs="仿宋"/>
                <w:color w:val="auto"/>
                <w:sz w:val="24"/>
                <w:szCs w:val="24"/>
              </w:rPr>
              <w:t>指</w:t>
            </w:r>
            <w:r>
              <w:rPr>
                <w:rFonts w:hint="eastAsia" w:ascii="Times New Roman" w:hAnsi="Times New Roman" w:eastAsia="宋体" w:cs="仿宋"/>
                <w:color w:val="auto"/>
                <w:sz w:val="24"/>
                <w:szCs w:val="24"/>
                <w:u w:val="single"/>
              </w:rPr>
              <w:t xml:space="preserve"> 类似项目软件采购等 </w:t>
            </w:r>
            <w:r>
              <w:rPr>
                <w:rFonts w:hint="eastAsia" w:ascii="Times New Roman" w:hAnsi="Times New Roman" w:eastAsia="宋体" w:cs="仿宋"/>
                <w:color w:val="auto"/>
                <w:sz w:val="24"/>
                <w:szCs w:val="24"/>
              </w:rPr>
              <w:t>项目。</w:t>
            </w:r>
          </w:p>
          <w:p w14:paraId="57F3E10A">
            <w:pPr>
              <w:spacing w:after="0" w:line="400" w:lineRule="exact"/>
              <w:rPr>
                <w:rFonts w:ascii="Times New Roman" w:hAnsi="Times New Roman" w:eastAsia="宋体" w:cs="仿宋"/>
                <w:color w:val="auto"/>
                <w:sz w:val="24"/>
                <w:szCs w:val="24"/>
              </w:rPr>
            </w:pPr>
            <w:r>
              <w:rPr>
                <w:rFonts w:hint="eastAsia" w:ascii="Times New Roman" w:hAnsi="Times New Roman" w:eastAsia="宋体" w:cs="仿宋"/>
                <w:color w:val="auto"/>
                <w:sz w:val="24"/>
                <w:szCs w:val="24"/>
              </w:rPr>
              <w:t>要求业绩证明资料：</w:t>
            </w:r>
            <w:r>
              <w:rPr>
                <w:rFonts w:hint="eastAsia" w:ascii="Times New Roman" w:hAnsi="Times New Roman" w:eastAsia="宋体" w:cs="仿宋"/>
                <w:color w:val="auto"/>
                <w:sz w:val="24"/>
                <w:szCs w:val="24"/>
                <w:u w:val="single"/>
              </w:rPr>
              <w:t xml:space="preserve"> 以辽宁省水利建设市场主体数据库业绩信息或投标人上传业绩证明材料为准（以相应交易系统实际情况确定） </w:t>
            </w:r>
            <w:r>
              <w:rPr>
                <w:rFonts w:hint="eastAsia" w:ascii="Times New Roman" w:hAnsi="Times New Roman" w:eastAsia="宋体" w:cs="仿宋"/>
                <w:color w:val="auto"/>
                <w:sz w:val="24"/>
                <w:szCs w:val="24"/>
              </w:rPr>
              <w:t>。</w:t>
            </w:r>
          </w:p>
          <w:p w14:paraId="420D230F">
            <w:pPr>
              <w:spacing w:line="360" w:lineRule="auto"/>
              <w:rPr>
                <w:rFonts w:ascii="Times New Roman" w:hAnsi="Times New Roman" w:eastAsia="宋体" w:cs="Times New Roman"/>
                <w:color w:val="auto"/>
                <w:sz w:val="24"/>
                <w:szCs w:val="24"/>
              </w:rPr>
            </w:pPr>
            <w:r>
              <w:rPr>
                <w:rFonts w:hint="eastAsia" w:ascii="Times New Roman" w:hAnsi="Times New Roman" w:eastAsia="宋体" w:cs="仿宋"/>
                <w:color w:val="auto"/>
                <w:sz w:val="24"/>
                <w:szCs w:val="24"/>
              </w:rPr>
              <w:t>时间要求：</w:t>
            </w:r>
            <w:r>
              <w:rPr>
                <w:rFonts w:hint="eastAsia" w:ascii="Times New Roman" w:hAnsi="Times New Roman" w:eastAsia="宋体" w:cs="仿宋"/>
                <w:color w:val="auto"/>
                <w:sz w:val="24"/>
                <w:szCs w:val="24"/>
                <w:u w:val="single"/>
              </w:rPr>
              <w:t xml:space="preserve"> 2022年1月1日至今（近三年） </w:t>
            </w:r>
            <w:r>
              <w:rPr>
                <w:rFonts w:hint="eastAsia" w:ascii="Times New Roman" w:hAnsi="Times New Roman" w:eastAsia="宋体" w:cs="仿宋"/>
                <w:color w:val="auto"/>
                <w:sz w:val="24"/>
                <w:szCs w:val="24"/>
              </w:rPr>
              <w:t>。</w:t>
            </w:r>
          </w:p>
        </w:tc>
      </w:tr>
      <w:tr w14:paraId="7F0B5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5B2F0482">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w:t>
            </w:r>
          </w:p>
        </w:tc>
        <w:tc>
          <w:tcPr>
            <w:tcW w:w="1379" w:type="pct"/>
            <w:tcBorders>
              <w:tl2br w:val="nil"/>
              <w:tr2bl w:val="nil"/>
            </w:tcBorders>
            <w:vAlign w:val="center"/>
          </w:tcPr>
          <w:p w14:paraId="35CCD607">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招标代理费</w:t>
            </w:r>
          </w:p>
        </w:tc>
        <w:tc>
          <w:tcPr>
            <w:tcW w:w="3020" w:type="pct"/>
            <w:tcBorders>
              <w:tl2br w:val="nil"/>
              <w:tr2bl w:val="nil"/>
            </w:tcBorders>
            <w:vAlign w:val="center"/>
          </w:tcPr>
          <w:p w14:paraId="0E3BAC7A">
            <w:pPr>
              <w:pStyle w:val="34"/>
              <w:snapToGrid w:val="0"/>
              <w:spacing w:line="380" w:lineRule="exact"/>
              <w:rPr>
                <w:rFonts w:ascii="Times New Roman"/>
                <w:color w:val="auto"/>
              </w:rPr>
            </w:pPr>
            <w:r>
              <w:rPr>
                <w:rFonts w:hint="eastAsia" w:ascii="Times New Roman"/>
                <w:color w:val="auto"/>
              </w:rPr>
              <w:t>招标代理服务费：</w:t>
            </w:r>
            <w:r>
              <w:rPr>
                <w:rFonts w:hint="eastAsia" w:ascii="Times New Roman"/>
                <w:color w:val="auto"/>
                <w:u w:val="single"/>
              </w:rPr>
              <w:t xml:space="preserve"> 收取 </w:t>
            </w:r>
            <w:r>
              <w:rPr>
                <w:rFonts w:hint="eastAsia" w:ascii="Times New Roman"/>
                <w:color w:val="auto"/>
              </w:rPr>
              <w:t>。</w:t>
            </w:r>
          </w:p>
          <w:p w14:paraId="2254874F">
            <w:pPr>
              <w:pStyle w:val="34"/>
              <w:snapToGrid w:val="0"/>
              <w:spacing w:line="380" w:lineRule="exact"/>
              <w:rPr>
                <w:rFonts w:ascii="Times New Roman"/>
                <w:color w:val="auto"/>
              </w:rPr>
            </w:pPr>
            <w:r>
              <w:rPr>
                <w:rFonts w:hint="eastAsia" w:ascii="Times New Roman"/>
                <w:color w:val="auto"/>
              </w:rPr>
              <w:t>支付标准：</w:t>
            </w:r>
            <w:r>
              <w:rPr>
                <w:rFonts w:hint="eastAsia" w:ascii="Times New Roman"/>
                <w:color w:val="auto"/>
                <w:u w:val="single"/>
              </w:rPr>
              <w:t xml:space="preserve"> 按照&lt;&lt;招标代理服务收费管理暂行办法&gt;（计价格〔2002〕1980号）货物类别计算代理服务费的方法（差额定率累进法）收费 </w:t>
            </w:r>
            <w:r>
              <w:rPr>
                <w:rFonts w:hint="eastAsia" w:ascii="Times New Roman"/>
                <w:color w:val="auto"/>
              </w:rPr>
              <w:t>。</w:t>
            </w:r>
          </w:p>
          <w:p w14:paraId="1FD7A403">
            <w:pPr>
              <w:pStyle w:val="34"/>
              <w:snapToGrid w:val="0"/>
              <w:spacing w:line="380" w:lineRule="exact"/>
              <w:rPr>
                <w:rFonts w:ascii="Times New Roman"/>
                <w:color w:val="auto"/>
              </w:rPr>
            </w:pPr>
            <w:r>
              <w:rPr>
                <w:rFonts w:hint="eastAsia" w:ascii="Times New Roman"/>
                <w:color w:val="auto"/>
              </w:rPr>
              <w:t>支付形式：</w:t>
            </w:r>
            <w:r>
              <w:rPr>
                <w:rFonts w:hint="eastAsia" w:ascii="Times New Roman"/>
                <w:color w:val="auto"/>
                <w:u w:val="single"/>
              </w:rPr>
              <w:t xml:space="preserve"> 电汇、现金 </w:t>
            </w:r>
            <w:r>
              <w:rPr>
                <w:rFonts w:hint="eastAsia" w:ascii="Times New Roman"/>
                <w:color w:val="auto"/>
              </w:rPr>
              <w:t>。</w:t>
            </w:r>
          </w:p>
          <w:p w14:paraId="2EBBD76A">
            <w:pPr>
              <w:pStyle w:val="34"/>
              <w:snapToGrid w:val="0"/>
              <w:spacing w:line="380" w:lineRule="exact"/>
              <w:rPr>
                <w:rFonts w:ascii="Times New Roman"/>
                <w:color w:val="auto"/>
              </w:rPr>
            </w:pPr>
            <w:r>
              <w:rPr>
                <w:rFonts w:hint="eastAsia" w:ascii="Times New Roman"/>
                <w:color w:val="auto"/>
              </w:rPr>
              <w:t>支付时间：</w:t>
            </w:r>
            <w:r>
              <w:rPr>
                <w:rFonts w:hint="eastAsia" w:ascii="Times New Roman"/>
                <w:color w:val="auto"/>
                <w:u w:val="single"/>
              </w:rPr>
              <w:t xml:space="preserve"> 中标结果公示后领取中标通知书前 </w:t>
            </w:r>
            <w:r>
              <w:rPr>
                <w:rFonts w:hint="eastAsia" w:ascii="Times New Roman"/>
                <w:color w:val="auto"/>
              </w:rPr>
              <w:t>。</w:t>
            </w:r>
          </w:p>
          <w:p w14:paraId="7743CC8E">
            <w:pPr>
              <w:pStyle w:val="34"/>
              <w:snapToGrid w:val="0"/>
              <w:spacing w:line="380" w:lineRule="exact"/>
              <w:rPr>
                <w:rFonts w:ascii="Times New Roman"/>
                <w:color w:val="auto"/>
              </w:rPr>
            </w:pPr>
            <w:r>
              <w:rPr>
                <w:rFonts w:hint="eastAsia" w:ascii="Times New Roman"/>
                <w:color w:val="auto"/>
              </w:rPr>
              <w:t>其他要求：</w:t>
            </w:r>
            <w:r>
              <w:rPr>
                <w:rFonts w:hint="eastAsia" w:ascii="Times New Roman"/>
                <w:color w:val="auto"/>
                <w:u w:val="single"/>
              </w:rPr>
              <w:t xml:space="preserve"> 投标人投标时必须充分考虑，但不得在投标报价中单列 </w:t>
            </w:r>
            <w:r>
              <w:rPr>
                <w:rFonts w:hint="eastAsia" w:ascii="Times New Roman"/>
                <w:color w:val="auto"/>
              </w:rPr>
              <w:t>。</w:t>
            </w:r>
          </w:p>
        </w:tc>
      </w:tr>
      <w:tr w14:paraId="6694F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70E0C6A5">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9.5</w:t>
            </w:r>
          </w:p>
        </w:tc>
        <w:tc>
          <w:tcPr>
            <w:tcW w:w="1379" w:type="pct"/>
            <w:tcBorders>
              <w:tl2br w:val="nil"/>
              <w:tr2bl w:val="nil"/>
            </w:tcBorders>
            <w:vAlign w:val="center"/>
          </w:tcPr>
          <w:p w14:paraId="7A319AF4">
            <w:pPr>
              <w:pStyle w:val="34"/>
              <w:spacing w:line="380" w:lineRule="exact"/>
              <w:jc w:val="center"/>
              <w:rPr>
                <w:rFonts w:ascii="Times New Roman"/>
                <w:color w:val="auto"/>
              </w:rPr>
            </w:pPr>
            <w:r>
              <w:rPr>
                <w:rFonts w:hint="eastAsia" w:ascii="Times New Roman"/>
                <w:color w:val="auto"/>
              </w:rPr>
              <w:t>技术投标文件</w:t>
            </w:r>
          </w:p>
        </w:tc>
        <w:tc>
          <w:tcPr>
            <w:tcW w:w="3020" w:type="pct"/>
            <w:tcBorders>
              <w:tl2br w:val="nil"/>
              <w:tr2bl w:val="nil"/>
            </w:tcBorders>
            <w:vAlign w:val="center"/>
          </w:tcPr>
          <w:p w14:paraId="5C127BF3">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是否暗标</w:t>
            </w:r>
          </w:p>
          <w:p w14:paraId="4C29F61D">
            <w:pPr>
              <w:widowControl w:val="0"/>
              <w:spacing w:after="0" w:line="380" w:lineRule="exac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是</w:t>
            </w:r>
          </w:p>
          <w:p w14:paraId="00D39267">
            <w:pPr>
              <w:widowControl w:val="0"/>
              <w:spacing w:after="0" w:line="380" w:lineRule="exact"/>
              <w:rPr>
                <w:rFonts w:ascii="Times New Roman" w:hAnsi="Times New Roman" w:eastAsia="宋体" w:cs="宋体"/>
                <w:b/>
                <w:color w:val="auto"/>
                <w:sz w:val="24"/>
                <w:szCs w:val="24"/>
              </w:rPr>
            </w:pPr>
            <w:r>
              <w:rPr>
                <w:rFonts w:hint="eastAsia" w:ascii="Times New Roman" w:hAnsi="Times New Roman" w:eastAsia="宋体" w:cs="宋体"/>
                <w:color w:val="auto"/>
                <w:sz w:val="24"/>
                <w:szCs w:val="24"/>
              </w:rPr>
              <w:t>投标人应严格按照第六章“投标文件格式”的暗标要求编制</w:t>
            </w:r>
            <w:r>
              <w:rPr>
                <w:rFonts w:hint="eastAsia" w:ascii="Times New Roman" w:hAnsi="Times New Roman" w:eastAsia="宋体" w:cs="宋体"/>
                <w:b/>
                <w:color w:val="auto"/>
                <w:sz w:val="24"/>
                <w:szCs w:val="24"/>
              </w:rPr>
              <w:t>。</w:t>
            </w:r>
          </w:p>
          <w:p w14:paraId="4FA4210E">
            <w:pPr>
              <w:widowControl w:val="0"/>
              <w:spacing w:after="0" w:line="380" w:lineRule="exact"/>
              <w:rPr>
                <w:color w:val="auto"/>
                <w:sz w:val="24"/>
                <w:szCs w:val="24"/>
              </w:rPr>
            </w:pPr>
            <w:r>
              <w:rPr>
                <w:rFonts w:hint="eastAsia" w:ascii="Times New Roman" w:hAnsi="Times New Roman" w:eastAsia="宋体" w:cs="宋体"/>
                <w:color w:val="auto"/>
                <w:sz w:val="24"/>
                <w:szCs w:val="24"/>
              </w:rPr>
              <w:t>☑ 否</w:t>
            </w:r>
          </w:p>
        </w:tc>
      </w:tr>
      <w:tr w14:paraId="1B793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866" w:hRule="atLeast"/>
          <w:jc w:val="center"/>
        </w:trPr>
        <w:tc>
          <w:tcPr>
            <w:tcW w:w="600" w:type="pct"/>
            <w:tcBorders>
              <w:tl2br w:val="nil"/>
              <w:tr2bl w:val="nil"/>
            </w:tcBorders>
            <w:vAlign w:val="center"/>
          </w:tcPr>
          <w:p w14:paraId="7B468E6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9.6</w:t>
            </w:r>
          </w:p>
        </w:tc>
        <w:tc>
          <w:tcPr>
            <w:tcW w:w="1379" w:type="pct"/>
            <w:tcBorders>
              <w:tl2br w:val="nil"/>
              <w:tr2bl w:val="nil"/>
            </w:tcBorders>
            <w:vAlign w:val="center"/>
          </w:tcPr>
          <w:p w14:paraId="5CD2503F">
            <w:pPr>
              <w:pStyle w:val="34"/>
              <w:adjustRightInd/>
              <w:snapToGrid w:val="0"/>
              <w:spacing w:line="380" w:lineRule="exact"/>
              <w:jc w:val="center"/>
              <w:rPr>
                <w:rFonts w:ascii="Times New Roman"/>
                <w:color w:val="auto"/>
              </w:rPr>
            </w:pPr>
            <w:r>
              <w:rPr>
                <w:rFonts w:hint="eastAsia" w:ascii="Times New Roman"/>
                <w:color w:val="auto"/>
              </w:rPr>
              <w:t>信用记录</w:t>
            </w:r>
          </w:p>
        </w:tc>
        <w:tc>
          <w:tcPr>
            <w:tcW w:w="3020" w:type="pct"/>
            <w:tcBorders>
              <w:tl2br w:val="nil"/>
              <w:tr2bl w:val="nil"/>
            </w:tcBorders>
            <w:vAlign w:val="center"/>
          </w:tcPr>
          <w:p w14:paraId="0B5D75B4">
            <w:pPr>
              <w:pStyle w:val="34"/>
              <w:adjustRightInd/>
              <w:snapToGrid w:val="0"/>
              <w:spacing w:line="380" w:lineRule="exact"/>
              <w:rPr>
                <w:rFonts w:ascii="Times New Roman"/>
                <w:color w:val="auto"/>
              </w:rPr>
            </w:pPr>
            <w:r>
              <w:rPr>
                <w:rFonts w:hint="eastAsia" w:ascii="Times New Roman"/>
                <w:color w:val="auto"/>
              </w:rPr>
              <w:t>根据投标人须知1.4的信用要求，提供投标截止时间前7天内的查询结果截图。</w:t>
            </w:r>
          </w:p>
        </w:tc>
      </w:tr>
      <w:tr w14:paraId="1178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3E7038E">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9.7</w:t>
            </w:r>
          </w:p>
        </w:tc>
        <w:tc>
          <w:tcPr>
            <w:tcW w:w="1379" w:type="pct"/>
            <w:tcBorders>
              <w:tl2br w:val="nil"/>
              <w:tr2bl w:val="nil"/>
            </w:tcBorders>
            <w:vAlign w:val="center"/>
          </w:tcPr>
          <w:p w14:paraId="20801A3B">
            <w:pPr>
              <w:pStyle w:val="34"/>
              <w:snapToGrid w:val="0"/>
              <w:spacing w:line="380" w:lineRule="exact"/>
              <w:jc w:val="center"/>
              <w:rPr>
                <w:rFonts w:ascii="Times New Roman"/>
                <w:color w:val="auto"/>
              </w:rPr>
            </w:pPr>
            <w:r>
              <w:rPr>
                <w:rFonts w:hint="eastAsia" w:ascii="Times New Roman"/>
                <w:color w:val="auto"/>
              </w:rPr>
              <w:t>监督</w:t>
            </w:r>
          </w:p>
        </w:tc>
        <w:tc>
          <w:tcPr>
            <w:tcW w:w="3020" w:type="pct"/>
            <w:tcBorders>
              <w:tl2br w:val="nil"/>
              <w:tr2bl w:val="nil"/>
            </w:tcBorders>
            <w:vAlign w:val="center"/>
          </w:tcPr>
          <w:p w14:paraId="6D7B1363">
            <w:pPr>
              <w:pStyle w:val="34"/>
              <w:adjustRightInd/>
              <w:snapToGrid w:val="0"/>
              <w:spacing w:line="380" w:lineRule="exact"/>
              <w:rPr>
                <w:rFonts w:ascii="Times New Roman"/>
                <w:color w:val="auto"/>
              </w:rPr>
            </w:pPr>
            <w:r>
              <w:rPr>
                <w:rFonts w:hint="eastAsia" w:ascii="Times New Roman"/>
                <w:color w:val="auto"/>
              </w:rPr>
              <w:t>监督部门名称：大石桥市水利局</w:t>
            </w:r>
          </w:p>
          <w:p w14:paraId="25A3A185">
            <w:pPr>
              <w:pStyle w:val="34"/>
              <w:adjustRightInd/>
              <w:snapToGrid w:val="0"/>
              <w:spacing w:line="380" w:lineRule="exact"/>
              <w:rPr>
                <w:rFonts w:ascii="Times New Roman"/>
                <w:color w:val="auto"/>
              </w:rPr>
            </w:pPr>
            <w:r>
              <w:rPr>
                <w:rFonts w:hint="eastAsia" w:ascii="Times New Roman"/>
                <w:color w:val="auto"/>
              </w:rPr>
              <w:t>电话：0417-5813639</w:t>
            </w:r>
          </w:p>
        </w:tc>
      </w:tr>
      <w:tr w14:paraId="11023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4CA8F0B9">
            <w:pPr>
              <w:widowControl w:val="0"/>
              <w:adjustRightInd w:val="0"/>
              <w:snapToGrid w:val="0"/>
              <w:spacing w:after="0" w:line="380" w:lineRule="exact"/>
              <w:jc w:val="center"/>
              <w:rPr>
                <w:rFonts w:ascii="Times New Roman" w:hAnsi="Times New Roman" w:eastAsia="宋体" w:cs="宋体"/>
                <w:color w:val="auto"/>
                <w:sz w:val="24"/>
                <w:szCs w:val="24"/>
              </w:rPr>
            </w:pPr>
            <w:r>
              <w:rPr>
                <w:rFonts w:hint="eastAsia" w:ascii="Times New Roman" w:hAnsi="Times New Roman" w:eastAsia="宋体" w:cs="Times New Roman"/>
                <w:color w:val="auto"/>
                <w:sz w:val="24"/>
                <w:szCs w:val="24"/>
              </w:rPr>
              <w:t>9.8</w:t>
            </w:r>
          </w:p>
        </w:tc>
        <w:tc>
          <w:tcPr>
            <w:tcW w:w="1379" w:type="pct"/>
            <w:tcBorders>
              <w:tl2br w:val="nil"/>
              <w:tr2bl w:val="nil"/>
            </w:tcBorders>
            <w:vAlign w:val="center"/>
          </w:tcPr>
          <w:p w14:paraId="0827BE67">
            <w:pPr>
              <w:pStyle w:val="34"/>
              <w:snapToGrid w:val="0"/>
              <w:spacing w:line="380" w:lineRule="exact"/>
              <w:jc w:val="center"/>
              <w:rPr>
                <w:rFonts w:ascii="Times New Roman"/>
                <w:color w:val="auto"/>
              </w:rPr>
            </w:pPr>
            <w:r>
              <w:rPr>
                <w:rFonts w:hint="eastAsia" w:ascii="Times New Roman"/>
                <w:color w:val="auto"/>
              </w:rPr>
              <w:t>报价说明</w:t>
            </w:r>
          </w:p>
        </w:tc>
        <w:tc>
          <w:tcPr>
            <w:tcW w:w="3020" w:type="pct"/>
            <w:tcBorders>
              <w:tl2br w:val="nil"/>
              <w:tr2bl w:val="nil"/>
            </w:tcBorders>
            <w:vAlign w:val="center"/>
          </w:tcPr>
          <w:p w14:paraId="77C03D0C">
            <w:pPr>
              <w:pStyle w:val="34"/>
              <w:snapToGrid w:val="0"/>
              <w:spacing w:line="380" w:lineRule="exact"/>
            </w:pPr>
            <w:r>
              <w:rPr>
                <w:rFonts w:hint="eastAsia"/>
              </w:rPr>
              <w:t>1、本合同为总价合同。</w:t>
            </w:r>
          </w:p>
          <w:p w14:paraId="24F2E814">
            <w:pPr>
              <w:pStyle w:val="34"/>
              <w:snapToGrid w:val="0"/>
              <w:spacing w:line="380" w:lineRule="exact"/>
            </w:pPr>
            <w:r>
              <w:rPr>
                <w:rFonts w:hint="eastAsia"/>
              </w:rPr>
              <w:t>2、每个投标人对每种货物只允许提供一个方案，该方案只允许有一个报价。任何有选择的方案或报价将不被接受，其投标将被拒绝。</w:t>
            </w:r>
          </w:p>
          <w:p w14:paraId="15BDFE57">
            <w:pPr>
              <w:pStyle w:val="34"/>
              <w:snapToGrid w:val="0"/>
              <w:spacing w:line="380" w:lineRule="exact"/>
            </w:pPr>
            <w:r>
              <w:rPr>
                <w:rFonts w:hint="eastAsia"/>
              </w:rPr>
              <w:t>3、所有投标均按投标人须知表3.2.4款中要求货币进行报价。投标人的投标报价应遵守《中华人民共和国价格法》。</w:t>
            </w:r>
          </w:p>
          <w:p w14:paraId="34D3167D">
            <w:pPr>
              <w:pStyle w:val="34"/>
              <w:snapToGrid w:val="0"/>
              <w:spacing w:line="380" w:lineRule="exact"/>
            </w:pPr>
            <w:r>
              <w:rPr>
                <w:rFonts w:hint="eastAsia"/>
              </w:rPr>
              <w:t>4、投标人填报的单价和总价，均考虑了符合合同规定的由卖方为本合同供货所发生的设计、制造、厂内检测、包装运输、卸货、安装、试运行、验收、培训、售后服务、保险、管理费、利润、各种政策性收费和税金等全部费用，合同规定应由卖方承担而在分项报价表中未详细列出的项目，其费用和利润应认为已包括各单价和合价中。</w:t>
            </w:r>
          </w:p>
          <w:p w14:paraId="21128CCF">
            <w:pPr>
              <w:pStyle w:val="34"/>
              <w:snapToGrid w:val="0"/>
              <w:spacing w:line="380" w:lineRule="exact"/>
            </w:pPr>
            <w:r>
              <w:rPr>
                <w:rFonts w:hint="eastAsia"/>
              </w:rPr>
              <w:t>上述费用包括但不限于以下内容：</w:t>
            </w:r>
          </w:p>
          <w:p w14:paraId="5FB09B0B">
            <w:pPr>
              <w:pStyle w:val="34"/>
              <w:snapToGrid w:val="0"/>
              <w:spacing w:line="380" w:lineRule="exact"/>
            </w:pPr>
            <w:r>
              <w:rPr>
                <w:rFonts w:hint="eastAsia"/>
              </w:rPr>
              <w:t>（1）投标人准备和参加招投标活动发生的费用。</w:t>
            </w:r>
          </w:p>
          <w:p w14:paraId="1538D788">
            <w:pPr>
              <w:pStyle w:val="34"/>
              <w:snapToGrid w:val="0"/>
              <w:spacing w:line="380" w:lineRule="exact"/>
            </w:pPr>
            <w:r>
              <w:rPr>
                <w:rFonts w:hint="eastAsia"/>
              </w:rPr>
              <w:t>（2）招标代理服务费。</w:t>
            </w:r>
          </w:p>
          <w:p w14:paraId="40B12A6A">
            <w:pPr>
              <w:pStyle w:val="34"/>
              <w:snapToGrid w:val="0"/>
              <w:spacing w:line="380" w:lineRule="exact"/>
            </w:pPr>
            <w:r>
              <w:rPr>
                <w:rFonts w:hint="eastAsia"/>
              </w:rPr>
              <w:t>（3）卖方应承担的保险费用。</w:t>
            </w:r>
          </w:p>
          <w:p w14:paraId="67B4EC36">
            <w:pPr>
              <w:pStyle w:val="34"/>
              <w:snapToGrid w:val="0"/>
              <w:spacing w:line="380" w:lineRule="exact"/>
            </w:pPr>
            <w:r>
              <w:rPr>
                <w:rFonts w:hint="eastAsia"/>
              </w:rPr>
              <w:t>（4）分项报价表中所涉及的所有货物的设计、制造、厂内检测、包装运输、卸货、安装、试运行、验收、培训、售后服务、保险、管理费、利润、各种政策性收费和税金等全部费用。</w:t>
            </w:r>
          </w:p>
          <w:p w14:paraId="22D6CD4E">
            <w:pPr>
              <w:pStyle w:val="34"/>
              <w:snapToGrid w:val="0"/>
              <w:spacing w:line="380" w:lineRule="exact"/>
            </w:pPr>
            <w:r>
              <w:rPr>
                <w:rFonts w:hint="eastAsia"/>
              </w:rPr>
              <w:t>（5）卖方运输时所缴纳的相关费用，包括运输超大超重件所需的附加费用，公路、桥梁临时加固等费用。</w:t>
            </w:r>
          </w:p>
          <w:p w14:paraId="258EDC37">
            <w:pPr>
              <w:pStyle w:val="34"/>
              <w:snapToGrid w:val="0"/>
              <w:spacing w:line="380" w:lineRule="exact"/>
            </w:pPr>
            <w:r>
              <w:rPr>
                <w:rFonts w:hint="eastAsia"/>
              </w:rPr>
              <w:t>（6）提供给买方和监理人的所有图纸、文件资料等费用。</w:t>
            </w:r>
          </w:p>
          <w:p w14:paraId="74A2EA44">
            <w:pPr>
              <w:pStyle w:val="34"/>
              <w:snapToGrid w:val="0"/>
              <w:spacing w:line="380" w:lineRule="exact"/>
            </w:pPr>
            <w:r>
              <w:rPr>
                <w:rFonts w:hint="eastAsia"/>
              </w:rPr>
              <w:t>（7）售后服务（包括现场技术交底、安装技术指导和修补缺陷等）所需的全部费用。</w:t>
            </w:r>
          </w:p>
          <w:p w14:paraId="29022D10">
            <w:pPr>
              <w:pStyle w:val="34"/>
              <w:snapToGrid w:val="0"/>
              <w:spacing w:line="380" w:lineRule="exact"/>
            </w:pPr>
            <w:r>
              <w:rPr>
                <w:rFonts w:hint="eastAsia"/>
              </w:rPr>
              <w:t>（8）在基准日期所依据的国家法律、行政法规、国务院有关部门的规章以及工程所在地的省、自治区、直辖市的地方性法规和规章中规定应由卖方缴纳的税金（含增值税）和其他费用。</w:t>
            </w:r>
          </w:p>
          <w:p w14:paraId="53878A1D">
            <w:pPr>
              <w:pStyle w:val="34"/>
              <w:snapToGrid w:val="0"/>
              <w:spacing w:line="380" w:lineRule="exact"/>
            </w:pPr>
            <w:r>
              <w:rPr>
                <w:rFonts w:hint="eastAsia"/>
              </w:rPr>
              <w:t>（9）合同约定的卖方应承担的其他费用。</w:t>
            </w:r>
          </w:p>
          <w:p w14:paraId="11CA696F">
            <w:pPr>
              <w:pStyle w:val="34"/>
              <w:snapToGrid w:val="0"/>
              <w:spacing w:line="380" w:lineRule="exact"/>
            </w:pPr>
            <w:r>
              <w:rPr>
                <w:rFonts w:hint="eastAsia"/>
              </w:rPr>
              <w:t>5、投标人应按招标文件要求在相关表格中标明提供货物及伴随服务的单价和总价。</w:t>
            </w:r>
          </w:p>
          <w:p w14:paraId="1D3B7435">
            <w:pPr>
              <w:pStyle w:val="34"/>
              <w:snapToGrid w:val="0"/>
              <w:spacing w:line="380" w:lineRule="exact"/>
            </w:pPr>
            <w:r>
              <w:rPr>
                <w:rFonts w:hint="eastAsia"/>
              </w:rPr>
              <w:t>6、投标人所报的各标段的投标总价在合同履行过程中是固定不变的，不得以任何理由予以变更。任何包含价格调整要求的投标，其投标将被认定为投标无效。</w:t>
            </w:r>
          </w:p>
          <w:p w14:paraId="0CE5E787">
            <w:pPr>
              <w:pStyle w:val="34"/>
              <w:snapToGrid w:val="0"/>
              <w:spacing w:line="380" w:lineRule="exact"/>
            </w:pPr>
            <w:r>
              <w:rPr>
                <w:rFonts w:hint="eastAsia"/>
              </w:rPr>
              <w:t>7、每种货物只能有一个投标报价。招标人不接受具有附加条件的报价。</w:t>
            </w:r>
          </w:p>
          <w:p w14:paraId="6AEFEA73">
            <w:pPr>
              <w:pStyle w:val="34"/>
              <w:snapToGrid w:val="0"/>
              <w:spacing w:line="380" w:lineRule="exact"/>
              <w:rPr>
                <w:rFonts w:ascii="Times New Roman"/>
                <w:color w:val="auto"/>
              </w:rPr>
            </w:pPr>
            <w:r>
              <w:rPr>
                <w:rFonts w:hint="eastAsia"/>
              </w:rPr>
              <w:t>8、除非招标文件另有规定，投标报价原则上精确到小数点后两位。</w:t>
            </w:r>
          </w:p>
        </w:tc>
      </w:tr>
      <w:tr w14:paraId="08D31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1D220298">
            <w:pPr>
              <w:widowControl w:val="0"/>
              <w:adjustRightInd w:val="0"/>
              <w:snapToGrid w:val="0"/>
              <w:spacing w:after="0" w:line="38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9.9</w:t>
            </w:r>
          </w:p>
        </w:tc>
        <w:tc>
          <w:tcPr>
            <w:tcW w:w="1379" w:type="pct"/>
            <w:tcBorders>
              <w:tl2br w:val="nil"/>
              <w:tr2bl w:val="nil"/>
            </w:tcBorders>
            <w:vAlign w:val="center"/>
          </w:tcPr>
          <w:p w14:paraId="3CCA3106">
            <w:pPr>
              <w:pStyle w:val="34"/>
              <w:snapToGrid w:val="0"/>
              <w:spacing w:line="380" w:lineRule="exact"/>
              <w:jc w:val="center"/>
              <w:rPr>
                <w:rFonts w:ascii="Times New Roman"/>
                <w:color w:val="auto"/>
              </w:rPr>
            </w:pPr>
            <w:r>
              <w:rPr>
                <w:rFonts w:hint="eastAsia" w:ascii="Times New Roman"/>
                <w:color w:val="auto"/>
              </w:rPr>
              <w:t>付款方式及条件</w:t>
            </w:r>
          </w:p>
        </w:tc>
        <w:tc>
          <w:tcPr>
            <w:tcW w:w="3020" w:type="pct"/>
            <w:tcBorders>
              <w:tl2br w:val="nil"/>
              <w:tr2bl w:val="nil"/>
            </w:tcBorders>
            <w:vAlign w:val="center"/>
          </w:tcPr>
          <w:p w14:paraId="33C788AD">
            <w:pPr>
              <w:pStyle w:val="34"/>
              <w:snapToGrid w:val="0"/>
              <w:spacing w:line="380" w:lineRule="exact"/>
            </w:pPr>
            <w:r>
              <w:rPr>
                <w:rFonts w:hint="eastAsia"/>
              </w:rPr>
              <w:t>供货商向业主提供预付款保函后，业主支付硬件设备款的40%，硬件设备到场安装；硬、软件设备完成安装调试后，支付至设备款的70%；设备正常运行半年后，支付至设备款的90%；设备正常运行一年且质量保修期满后一次性付清；设备款包含安装费，由供货商负责。</w:t>
            </w:r>
          </w:p>
        </w:tc>
      </w:tr>
      <w:tr w14:paraId="0FE40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23" w:hRule="atLeast"/>
          <w:jc w:val="center"/>
        </w:trPr>
        <w:tc>
          <w:tcPr>
            <w:tcW w:w="600" w:type="pct"/>
            <w:tcBorders>
              <w:tl2br w:val="nil"/>
              <w:tr2bl w:val="nil"/>
            </w:tcBorders>
            <w:vAlign w:val="center"/>
          </w:tcPr>
          <w:p w14:paraId="2465F925">
            <w:pPr>
              <w:widowControl w:val="0"/>
              <w:adjustRightInd w:val="0"/>
              <w:snapToGrid w:val="0"/>
              <w:spacing w:after="0" w:line="38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9.10</w:t>
            </w:r>
          </w:p>
        </w:tc>
        <w:tc>
          <w:tcPr>
            <w:tcW w:w="1379" w:type="pct"/>
            <w:tcBorders>
              <w:tl2br w:val="nil"/>
              <w:tr2bl w:val="nil"/>
            </w:tcBorders>
            <w:vAlign w:val="center"/>
          </w:tcPr>
          <w:p w14:paraId="7713B8EF">
            <w:pPr>
              <w:pStyle w:val="34"/>
              <w:snapToGrid w:val="0"/>
              <w:spacing w:line="380" w:lineRule="exact"/>
              <w:jc w:val="center"/>
              <w:rPr>
                <w:rFonts w:ascii="Times New Roman"/>
                <w:color w:val="auto"/>
              </w:rPr>
            </w:pPr>
            <w:r>
              <w:rPr>
                <w:rFonts w:hint="eastAsia" w:ascii="Times New Roman"/>
                <w:color w:val="auto"/>
              </w:rPr>
              <w:t>安全措施</w:t>
            </w:r>
          </w:p>
        </w:tc>
        <w:tc>
          <w:tcPr>
            <w:tcW w:w="3020" w:type="pct"/>
            <w:tcBorders>
              <w:tl2br w:val="nil"/>
              <w:tr2bl w:val="nil"/>
            </w:tcBorders>
            <w:vAlign w:val="center"/>
          </w:tcPr>
          <w:p w14:paraId="4AAAA761">
            <w:pPr>
              <w:pStyle w:val="34"/>
              <w:snapToGrid w:val="0"/>
              <w:spacing w:line="380" w:lineRule="exact"/>
            </w:pPr>
            <w:r>
              <w:rPr>
                <w:rFonts w:hint="eastAsia"/>
              </w:rPr>
              <w:t>在供货及安装过程中，卖方必须严格遵守安全的有关规定，采取可靠的安全措施，安排专业安全专员，确保作业或施工安全；在合同履行过程中，一切安全责任由卖方负责。</w:t>
            </w:r>
          </w:p>
        </w:tc>
      </w:tr>
    </w:tbl>
    <w:p w14:paraId="39CC34A6">
      <w:pPr>
        <w:rPr>
          <w:rFonts w:ascii="Times New Roman" w:hAnsi="Times New Roman" w:eastAsia="宋体" w:cs="宋体"/>
          <w:color w:val="auto"/>
        </w:rPr>
        <w:sectPr>
          <w:pgSz w:w="11906" w:h="16838"/>
          <w:pgMar w:top="1440" w:right="1800" w:bottom="1440" w:left="1800" w:header="737" w:footer="850" w:gutter="0"/>
          <w:cols w:space="720" w:num="1"/>
          <w:docGrid w:type="lines" w:linePitch="312" w:charSpace="0"/>
        </w:sectPr>
      </w:pPr>
      <w:r>
        <w:rPr>
          <w:rFonts w:hint="eastAsia"/>
          <w:color w:val="auto"/>
        </w:rPr>
        <w:t>注：“投标人须知前附表”与“投标人须知”内容不一致处，以“投标人须知前附表”为准。</w:t>
      </w:r>
      <w:bookmarkStart w:id="97" w:name="_Toc56792757"/>
      <w:bookmarkStart w:id="98" w:name="_Toc6322"/>
      <w:r>
        <w:rPr>
          <w:rFonts w:hint="eastAsia" w:ascii="Times New Roman" w:hAnsi="Times New Roman" w:eastAsia="宋体" w:cs="宋体"/>
          <w:color w:val="auto"/>
        </w:rPr>
        <w:t xml:space="preserve">        </w:t>
      </w:r>
    </w:p>
    <w:bookmarkEnd w:id="97"/>
    <w:bookmarkEnd w:id="98"/>
    <w:p w14:paraId="6A0C862A">
      <w:pPr>
        <w:pStyle w:val="3"/>
        <w:keepNext w:val="0"/>
        <w:keepLines w:val="0"/>
        <w:widowControl w:val="0"/>
        <w:adjustRightInd w:val="0"/>
        <w:snapToGrid w:val="0"/>
        <w:spacing w:line="490" w:lineRule="exact"/>
        <w:ind w:left="0" w:right="0" w:firstLine="562" w:firstLineChars="200"/>
        <w:jc w:val="both"/>
        <w:rPr>
          <w:rFonts w:ascii="Times New Roman" w:hAnsi="Times New Roman" w:cs="宋体"/>
          <w:color w:val="auto"/>
          <w:szCs w:val="28"/>
        </w:rPr>
      </w:pPr>
      <w:bookmarkStart w:id="99" w:name="_Toc2076"/>
      <w:bookmarkStart w:id="100" w:name="_Toc38287104"/>
      <w:bookmarkStart w:id="101" w:name="_Toc53"/>
      <w:r>
        <w:rPr>
          <w:rFonts w:hint="eastAsia" w:ascii="Times New Roman" w:hAnsi="Times New Roman" w:cs="宋体"/>
          <w:color w:val="auto"/>
          <w:szCs w:val="28"/>
        </w:rPr>
        <w:t>1.总则</w:t>
      </w:r>
      <w:bookmarkEnd w:id="99"/>
    </w:p>
    <w:p w14:paraId="7D83EC7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1.1 招标项目概况</w:t>
      </w:r>
      <w:bookmarkEnd w:id="100"/>
      <w:bookmarkEnd w:id="101"/>
      <w:r>
        <w:rPr>
          <w:rFonts w:hint="eastAsia" w:ascii="Times New Roman" w:hAnsi="Times New Roman" w:eastAsia="宋体" w:cs="宋体"/>
          <w:b/>
          <w:bCs/>
          <w:color w:val="auto"/>
          <w:szCs w:val="28"/>
        </w:rPr>
        <w:t xml:space="preserve"> </w:t>
      </w:r>
    </w:p>
    <w:p w14:paraId="4914AB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 根据《中华人民共和国招标投标法》《中华人民共和国招标投标法实施条例》等有关法律法规和规章的规定，本招标项目已具备招标条件，现对设备采购进行招标。</w:t>
      </w:r>
    </w:p>
    <w:p w14:paraId="3913F98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1.1.2 招标人：见投标人须知前附表。</w:t>
      </w:r>
    </w:p>
    <w:p w14:paraId="4E57F7B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1.1.3 招标代理机构：见投标人须知前附表。</w:t>
      </w:r>
    </w:p>
    <w:p w14:paraId="1FC6511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1.1.4 </w:t>
      </w:r>
      <w:r>
        <w:rPr>
          <w:color w:val="auto"/>
          <w:sz w:val="28"/>
          <w:szCs w:val="32"/>
        </w:rPr>
        <w:t>本招标项目名称</w:t>
      </w:r>
      <w:r>
        <w:rPr>
          <w:rFonts w:hint="eastAsia"/>
          <w:color w:val="auto"/>
          <w:sz w:val="28"/>
          <w:szCs w:val="32"/>
        </w:rPr>
        <w:t>和标段名称</w:t>
      </w:r>
      <w:r>
        <w:rPr>
          <w:color w:val="auto"/>
          <w:sz w:val="28"/>
          <w:szCs w:val="32"/>
        </w:rPr>
        <w:t>：见投标人须知前附表。</w:t>
      </w:r>
    </w:p>
    <w:p w14:paraId="1621A8A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2" w:name="_Toc38287105"/>
      <w:bookmarkStart w:id="103" w:name="_Toc23053"/>
      <w:r>
        <w:rPr>
          <w:rFonts w:hint="eastAsia" w:ascii="Times New Roman" w:hAnsi="Times New Roman" w:eastAsia="宋体" w:cs="宋体"/>
          <w:b/>
          <w:bCs/>
          <w:color w:val="auto"/>
          <w:szCs w:val="28"/>
        </w:rPr>
        <w:t>1.2 招标项目的资金来源和落实情况</w:t>
      </w:r>
      <w:bookmarkEnd w:id="102"/>
      <w:bookmarkEnd w:id="103"/>
      <w:r>
        <w:rPr>
          <w:rFonts w:hint="eastAsia" w:ascii="Times New Roman" w:hAnsi="Times New Roman" w:eastAsia="宋体" w:cs="宋体"/>
          <w:b/>
          <w:bCs/>
          <w:color w:val="auto"/>
          <w:szCs w:val="28"/>
        </w:rPr>
        <w:t xml:space="preserve"> </w:t>
      </w:r>
    </w:p>
    <w:p w14:paraId="244F416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1.2.1 资金来源：见投标人须知前附表。</w:t>
      </w:r>
    </w:p>
    <w:p w14:paraId="0F8D754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1.2.2 资金落实情况：见投标人须知前附表。</w:t>
      </w:r>
    </w:p>
    <w:p w14:paraId="40D9ACC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4" w:name="_Toc7053"/>
      <w:bookmarkStart w:id="105" w:name="_Toc38287106"/>
      <w:r>
        <w:rPr>
          <w:rFonts w:hint="eastAsia" w:ascii="Times New Roman" w:hAnsi="Times New Roman" w:eastAsia="宋体" w:cs="宋体"/>
          <w:b/>
          <w:bCs/>
          <w:color w:val="auto"/>
          <w:szCs w:val="28"/>
        </w:rPr>
        <w:t>1.3 招标范围、交货期、交货地点及方式和技术性能指标</w:t>
      </w:r>
      <w:bookmarkEnd w:id="104"/>
      <w:bookmarkEnd w:id="105"/>
      <w:r>
        <w:rPr>
          <w:rFonts w:hint="eastAsia" w:ascii="Times New Roman" w:hAnsi="Times New Roman" w:eastAsia="宋体" w:cs="宋体"/>
          <w:b/>
          <w:bCs/>
          <w:color w:val="auto"/>
          <w:szCs w:val="28"/>
        </w:rPr>
        <w:t xml:space="preserve"> </w:t>
      </w:r>
    </w:p>
    <w:p w14:paraId="79C5B1F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1.3.1 招标范围：见投标人须知前附表。</w:t>
      </w:r>
    </w:p>
    <w:p w14:paraId="30495DF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 交货期：见投标人须知前附表。</w:t>
      </w:r>
    </w:p>
    <w:p w14:paraId="09A6DC1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1.3.3 交货地点：见投标人须知前附表。</w:t>
      </w:r>
    </w:p>
    <w:p w14:paraId="6155645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1.3.4 技术性能指标：见投标人须知前附表。</w:t>
      </w:r>
    </w:p>
    <w:p w14:paraId="23F87571">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6" w:name="_Toc38287107"/>
      <w:bookmarkStart w:id="107" w:name="_Toc10595"/>
      <w:r>
        <w:rPr>
          <w:rFonts w:hint="eastAsia" w:ascii="Times New Roman" w:hAnsi="Times New Roman" w:eastAsia="宋体" w:cs="宋体"/>
          <w:b/>
          <w:bCs/>
          <w:color w:val="auto"/>
          <w:szCs w:val="28"/>
        </w:rPr>
        <w:t>1.4 投标人资格要求</w:t>
      </w:r>
      <w:bookmarkEnd w:id="106"/>
      <w:bookmarkEnd w:id="107"/>
      <w:r>
        <w:rPr>
          <w:rFonts w:hint="eastAsia" w:ascii="Times New Roman" w:hAnsi="Times New Roman" w:eastAsia="宋体" w:cs="宋体"/>
          <w:b/>
          <w:bCs/>
          <w:color w:val="auto"/>
          <w:szCs w:val="28"/>
        </w:rPr>
        <w:t xml:space="preserve"> </w:t>
      </w:r>
    </w:p>
    <w:p w14:paraId="0DBE3D3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1.4.1 投标人应具备承担本招标项目资质条件、能力和信誉： </w:t>
      </w:r>
    </w:p>
    <w:p w14:paraId="563FB75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（1）资质要求：见投标人须知前附表；</w:t>
      </w:r>
    </w:p>
    <w:p w14:paraId="6569FD5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（2）财务要求：见投标人须知前附表；</w:t>
      </w:r>
    </w:p>
    <w:p w14:paraId="2E29DA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（3）业绩要求：见投标人须知前附表； </w:t>
      </w:r>
    </w:p>
    <w:p w14:paraId="16BB307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（4）信誉要求：见投标人须知前附表；</w:t>
      </w:r>
    </w:p>
    <w:p w14:paraId="263FA1E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（5）其他要求：见投标人须知前附表。</w:t>
      </w:r>
    </w:p>
    <w:p w14:paraId="7232A568">
      <w:pPr>
        <w:widowControl w:val="0"/>
        <w:adjustRightInd w:val="0"/>
        <w:snapToGrid w:val="0"/>
        <w:spacing w:after="0" w:line="490" w:lineRule="exact"/>
        <w:ind w:firstLine="562" w:firstLineChars="200"/>
        <w:jc w:val="both"/>
        <w:rPr>
          <w:rFonts w:ascii="Times New Roman" w:hAnsi="Times New Roman" w:eastAsia="宋体" w:cs="宋体"/>
          <w:b/>
          <w:bCs/>
          <w:color w:val="auto"/>
          <w:sz w:val="28"/>
          <w:szCs w:val="28"/>
        </w:rPr>
      </w:pPr>
      <w:r>
        <w:rPr>
          <w:rFonts w:hint="eastAsia" w:ascii="Times New Roman" w:hAnsi="Times New Roman" w:eastAsia="宋体" w:cs="宋体"/>
          <w:b/>
          <w:bCs/>
          <w:color w:val="auto"/>
          <w:sz w:val="28"/>
          <w:szCs w:val="28"/>
        </w:rPr>
        <w:t>投标人为代理经销商的，对投标人的资质要求包含对制造商的资质要求，对投标人的业绩要求包含对投标设备的业绩要求。</w:t>
      </w:r>
    </w:p>
    <w:p w14:paraId="1C00711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需要提交的相关证明材料见本章第 3.5 款的规定。</w:t>
      </w:r>
    </w:p>
    <w:p w14:paraId="57FFE90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1.4.2 投标人须知前附表规定接受联合体投标的，联合体除应符合本章第 1.4.1 项和投标人须知前附表的要求外，还应遵守以下规定： </w:t>
      </w:r>
    </w:p>
    <w:p w14:paraId="0F9CAC8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（1）联合体各方应按招标文件提供的格式签订联合体协议书，明确联合体牵头人和各方权利义务，并承诺就中标项目向招标人承担连带责任； </w:t>
      </w:r>
    </w:p>
    <w:p w14:paraId="0893AD3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（2）由同一专业的单位组成的联合体，按照资质等级较低的单位确定资质等级； </w:t>
      </w:r>
    </w:p>
    <w:p w14:paraId="24688EE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（3）联合体各方不得再以自己名义单独或参加其他联合体在本招标项目中投标，否则各相关投标均无效。</w:t>
      </w:r>
    </w:p>
    <w:p w14:paraId="5A3E82F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1.4.3 投标人不得存在下列情形之一： </w:t>
      </w:r>
    </w:p>
    <w:p w14:paraId="2B340CA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（1）与招标人存在利害关系且可能影响招标公正性； </w:t>
      </w:r>
    </w:p>
    <w:p w14:paraId="06D686B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（2）与本招标项目的其他投标人为同一个单位负责人；</w:t>
      </w:r>
    </w:p>
    <w:p w14:paraId="6EF9D8D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（3）与本招标项目的其他投标人存在控股、管理关系； </w:t>
      </w:r>
    </w:p>
    <w:p w14:paraId="020188B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（4）与本招标项目其他投标人代理同一个制造商同一品牌和同一型号的设备投标；</w:t>
      </w:r>
    </w:p>
    <w:p w14:paraId="0FE622F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（5）为本招标项目提供过设计、编制技术规范和其他文件的咨询服务； </w:t>
      </w:r>
    </w:p>
    <w:p w14:paraId="0AD7C2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（6）为本工程项目的相关监理人，或者与本工程项目的相关监理人存在隶属关系或者其他利害关系； </w:t>
      </w:r>
    </w:p>
    <w:p w14:paraId="123AAF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（7）为本招标项目的代建人； </w:t>
      </w:r>
    </w:p>
    <w:p w14:paraId="7070725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（8）为本招标项目的招标代理机构； </w:t>
      </w:r>
    </w:p>
    <w:p w14:paraId="24DFCFB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（9）与本招标项目的监理人或代建人或招标代理机构同为一个法定代表人； </w:t>
      </w:r>
    </w:p>
    <w:p w14:paraId="39319F5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（10）与本招标项目的监理人或代建人或招标代理机构存在控股或参股关系； </w:t>
      </w:r>
    </w:p>
    <w:p w14:paraId="3FBA94F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（11）被依法暂停或者取消投标资格； </w:t>
      </w:r>
    </w:p>
    <w:p w14:paraId="73F2733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（12）被责令停产停业、暂扣或者吊销许可证、暂扣或者吊销执照； </w:t>
      </w:r>
    </w:p>
    <w:p w14:paraId="373B05D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（13）进入清算程序，或被宣告破产，或其他丧失履约能力的情形； </w:t>
      </w:r>
    </w:p>
    <w:p w14:paraId="6E5C8C9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（14）在最近三年内发生重大产品质量问题（以相关行业主管部门的行政处罚决定或司法机关出具的有关法律文书为准）； </w:t>
      </w:r>
    </w:p>
    <w:p w14:paraId="6F8A0A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（15）被工商行政管理机关在国家企业信用信息公示系统</w:t>
      </w:r>
      <w:r>
        <w:rPr>
          <w:rFonts w:hint="eastAsia" w:ascii="Times New Roman" w:hAnsi="Times New Roman" w:eastAsia="宋体" w:cs="Times New Roman"/>
          <w:color w:val="auto"/>
          <w:sz w:val="28"/>
          <w:szCs w:val="32"/>
        </w:rPr>
        <w:t>（</w:t>
      </w:r>
      <w:r>
        <w:rPr>
          <w:rFonts w:ascii="Times New Roman" w:hAnsi="Times New Roman" w:eastAsia="宋体" w:cs="Times New Roman"/>
          <w:color w:val="auto"/>
          <w:sz w:val="28"/>
          <w:szCs w:val="32"/>
        </w:rPr>
        <w:t>www.gsxt.gov.cn</w:t>
      </w:r>
      <w:r>
        <w:rPr>
          <w:rFonts w:hint="eastAsia" w:ascii="Times New Roman" w:hAnsi="Times New Roman" w:eastAsia="宋体" w:cs="Times New Roman"/>
          <w:color w:val="auto"/>
          <w:sz w:val="28"/>
          <w:szCs w:val="32"/>
        </w:rPr>
        <w:t>）</w:t>
      </w:r>
      <w:r>
        <w:rPr>
          <w:rFonts w:hint="eastAsia" w:ascii="Times New Roman" w:hAnsi="Times New Roman" w:eastAsia="宋体" w:cs="宋体"/>
          <w:color w:val="auto"/>
          <w:sz w:val="28"/>
          <w:szCs w:val="28"/>
        </w:rPr>
        <w:t xml:space="preserve">中列入严重违法失信企业名单； </w:t>
      </w:r>
    </w:p>
    <w:p w14:paraId="1DCCDF7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（16）在“信用中国”网站（www.creditchina.gov.cn）被列入失信被执行人名单；</w:t>
      </w:r>
    </w:p>
    <w:p w14:paraId="57A6C53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（17）</w:t>
      </w:r>
      <w:r>
        <w:rPr>
          <w:rFonts w:hint="eastAsia"/>
          <w:color w:val="auto"/>
          <w:sz w:val="28"/>
          <w:szCs w:val="32"/>
        </w:rPr>
        <w:t>在“</w:t>
      </w:r>
      <w:r>
        <w:rPr>
          <w:color w:val="auto"/>
          <w:sz w:val="28"/>
          <w:szCs w:val="32"/>
        </w:rPr>
        <w:t>信用中国</w:t>
      </w:r>
      <w:r>
        <w:rPr>
          <w:rFonts w:hint="eastAsia"/>
          <w:color w:val="auto"/>
          <w:sz w:val="28"/>
          <w:szCs w:val="32"/>
        </w:rPr>
        <w:t>”（</w:t>
      </w:r>
      <w:r>
        <w:rPr>
          <w:color w:val="auto"/>
          <w:sz w:val="28"/>
          <w:szCs w:val="32"/>
        </w:rPr>
        <w:t>www.creditchina.gov.cn</w:t>
      </w:r>
      <w:r>
        <w:rPr>
          <w:rFonts w:hint="eastAsia"/>
          <w:color w:val="auto"/>
          <w:sz w:val="28"/>
          <w:szCs w:val="32"/>
        </w:rPr>
        <w:t>）中被列入重大税收违法失信主体名单、安全生产领域严重失信惩戒名单、拖欠农民工工资失信联合惩戒对象名单；</w:t>
      </w:r>
    </w:p>
    <w:p w14:paraId="33E8535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（18）在近三年内投标人或其法定代表人、拟委派的项目负责人有行贿犯罪行为的；</w:t>
      </w:r>
    </w:p>
    <w:p w14:paraId="72D1858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（19）法律法规或投标人须知前附表规定的其他情形。</w:t>
      </w:r>
    </w:p>
    <w:p w14:paraId="6AFC2E8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08" w:name="_Toc2705"/>
      <w:bookmarkStart w:id="109" w:name="_Toc38287108"/>
      <w:r>
        <w:rPr>
          <w:rFonts w:hint="eastAsia" w:ascii="Times New Roman" w:hAnsi="Times New Roman" w:eastAsia="宋体" w:cs="宋体"/>
          <w:b/>
          <w:bCs/>
          <w:color w:val="auto"/>
          <w:szCs w:val="28"/>
        </w:rPr>
        <w:t>1.5 费用承担</w:t>
      </w:r>
      <w:bookmarkEnd w:id="108"/>
      <w:bookmarkEnd w:id="109"/>
      <w:r>
        <w:rPr>
          <w:rFonts w:hint="eastAsia" w:ascii="Times New Roman" w:hAnsi="Times New Roman" w:eastAsia="宋体" w:cs="宋体"/>
          <w:b/>
          <w:bCs/>
          <w:color w:val="auto"/>
          <w:szCs w:val="28"/>
        </w:rPr>
        <w:t xml:space="preserve"> </w:t>
      </w:r>
    </w:p>
    <w:p w14:paraId="6791205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投标人准备和参加投标活动发生的费用自理。</w:t>
      </w:r>
    </w:p>
    <w:p w14:paraId="4592B83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0" w:name="_Toc481"/>
      <w:bookmarkStart w:id="111" w:name="_Toc38287109"/>
      <w:r>
        <w:rPr>
          <w:rFonts w:hint="eastAsia" w:ascii="Times New Roman" w:hAnsi="Times New Roman" w:eastAsia="宋体" w:cs="宋体"/>
          <w:b/>
          <w:bCs/>
          <w:color w:val="auto"/>
          <w:szCs w:val="28"/>
        </w:rPr>
        <w:t>1.6 保密</w:t>
      </w:r>
      <w:bookmarkEnd w:id="110"/>
      <w:bookmarkEnd w:id="111"/>
      <w:r>
        <w:rPr>
          <w:rFonts w:hint="eastAsia" w:ascii="Times New Roman" w:hAnsi="Times New Roman" w:eastAsia="宋体" w:cs="宋体"/>
          <w:b/>
          <w:bCs/>
          <w:color w:val="auto"/>
          <w:szCs w:val="28"/>
        </w:rPr>
        <w:t xml:space="preserve"> </w:t>
      </w:r>
    </w:p>
    <w:p w14:paraId="28B1230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参与招标投标活动的各方应对招标文件和投标文件中的商业和技术等秘密保密，否则应承担相应的法律责任。</w:t>
      </w:r>
    </w:p>
    <w:p w14:paraId="2E9A1E69">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2" w:name="_Toc23187"/>
      <w:bookmarkStart w:id="113" w:name="_Toc38287110"/>
      <w:r>
        <w:rPr>
          <w:rFonts w:hint="eastAsia" w:ascii="Times New Roman" w:hAnsi="Times New Roman" w:eastAsia="宋体" w:cs="宋体"/>
          <w:b/>
          <w:bCs/>
          <w:color w:val="auto"/>
          <w:szCs w:val="28"/>
        </w:rPr>
        <w:t>1.7 语言文字</w:t>
      </w:r>
      <w:bookmarkEnd w:id="112"/>
      <w:bookmarkEnd w:id="113"/>
      <w:r>
        <w:rPr>
          <w:rFonts w:hint="eastAsia" w:ascii="Times New Roman" w:hAnsi="Times New Roman" w:eastAsia="宋体" w:cs="宋体"/>
          <w:b/>
          <w:bCs/>
          <w:color w:val="auto"/>
          <w:szCs w:val="28"/>
        </w:rPr>
        <w:t xml:space="preserve"> </w:t>
      </w:r>
    </w:p>
    <w:p w14:paraId="698D6B9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招标投标文件使用的语言文字为中文。专用术语使用外文的，应附有中文注释。</w:t>
      </w:r>
    </w:p>
    <w:p w14:paraId="7164C08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4" w:name="_Toc38287111"/>
      <w:bookmarkStart w:id="115" w:name="_Toc9993"/>
      <w:r>
        <w:rPr>
          <w:rFonts w:hint="eastAsia" w:ascii="Times New Roman" w:hAnsi="Times New Roman" w:eastAsia="宋体" w:cs="宋体"/>
          <w:b/>
          <w:bCs/>
          <w:color w:val="auto"/>
          <w:szCs w:val="28"/>
        </w:rPr>
        <w:t>1.8 计量单位</w:t>
      </w:r>
      <w:bookmarkEnd w:id="114"/>
      <w:bookmarkEnd w:id="115"/>
      <w:r>
        <w:rPr>
          <w:rFonts w:hint="eastAsia" w:ascii="Times New Roman" w:hAnsi="Times New Roman" w:eastAsia="宋体" w:cs="宋体"/>
          <w:b/>
          <w:bCs/>
          <w:color w:val="auto"/>
          <w:szCs w:val="28"/>
        </w:rPr>
        <w:t xml:space="preserve"> </w:t>
      </w:r>
    </w:p>
    <w:p w14:paraId="413B5BA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所有计量均采用中华人民共和国法定计量单位。</w:t>
      </w:r>
    </w:p>
    <w:p w14:paraId="1D38EB4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6" w:name="_Toc38287112"/>
      <w:bookmarkStart w:id="117" w:name="_Toc18103"/>
      <w:r>
        <w:rPr>
          <w:rFonts w:hint="eastAsia" w:ascii="Times New Roman" w:hAnsi="Times New Roman" w:eastAsia="宋体" w:cs="宋体"/>
          <w:b/>
          <w:bCs/>
          <w:color w:val="auto"/>
          <w:szCs w:val="28"/>
        </w:rPr>
        <w:t>1.9 投标预备会</w:t>
      </w:r>
      <w:bookmarkEnd w:id="116"/>
      <w:bookmarkEnd w:id="117"/>
      <w:r>
        <w:rPr>
          <w:rFonts w:hint="eastAsia" w:ascii="Times New Roman" w:hAnsi="Times New Roman" w:eastAsia="宋体" w:cs="宋体"/>
          <w:b/>
          <w:bCs/>
          <w:color w:val="auto"/>
          <w:szCs w:val="28"/>
        </w:rPr>
        <w:t xml:space="preserve"> </w:t>
      </w:r>
    </w:p>
    <w:p w14:paraId="2BA66D5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1.9.1 投标人须知前附表规定召开投标预备会的，招标人按投标人须知前附表规定的时间和地点召开投标预备会，澄清投标人提出的问题。</w:t>
      </w:r>
    </w:p>
    <w:p w14:paraId="2ABE649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1.9.2 投标人应按投标人须知前附表规定的时间和形式将提出的问题送达招标人，以便招标人在会议期间澄清。</w:t>
      </w:r>
    </w:p>
    <w:p w14:paraId="6525226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1.9.3 投标预备会后，招标人将对投标人所提问题的澄清，以投标人须知前附表规定的形式通知所有购买招标文件的投标人。该澄清内容为招标文件的组成部分。</w:t>
      </w:r>
    </w:p>
    <w:p w14:paraId="5CA6DDA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18" w:name="_Toc38287113"/>
      <w:bookmarkStart w:id="119" w:name="_Toc32363"/>
      <w:r>
        <w:rPr>
          <w:rFonts w:hint="eastAsia" w:ascii="Times New Roman" w:hAnsi="Times New Roman" w:eastAsia="宋体" w:cs="宋体"/>
          <w:b/>
          <w:bCs/>
          <w:color w:val="auto"/>
          <w:szCs w:val="28"/>
        </w:rPr>
        <w:t>1.10 分包</w:t>
      </w:r>
      <w:bookmarkEnd w:id="118"/>
      <w:bookmarkEnd w:id="119"/>
      <w:r>
        <w:rPr>
          <w:rFonts w:hint="eastAsia" w:ascii="Times New Roman" w:hAnsi="Times New Roman" w:eastAsia="宋体" w:cs="宋体"/>
          <w:b/>
          <w:bCs/>
          <w:color w:val="auto"/>
          <w:szCs w:val="28"/>
        </w:rPr>
        <w:t xml:space="preserve"> </w:t>
      </w:r>
    </w:p>
    <w:p w14:paraId="08924E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6FC712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1.10.2 中标人不得向他人转让中标项目，接受分包的人不得再次分包。中标人应当就分包项目向招标人负责，接受分包的人就分包项目承担连带责任。</w:t>
      </w:r>
    </w:p>
    <w:p w14:paraId="432D8EB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20" w:name="_Toc24903"/>
      <w:bookmarkStart w:id="121" w:name="_Toc38287114"/>
      <w:r>
        <w:rPr>
          <w:rFonts w:hint="eastAsia" w:ascii="Times New Roman" w:hAnsi="Times New Roman" w:eastAsia="宋体" w:cs="宋体"/>
          <w:b/>
          <w:bCs/>
          <w:color w:val="auto"/>
          <w:szCs w:val="28"/>
        </w:rPr>
        <w:t>1.11 响应和偏差</w:t>
      </w:r>
      <w:bookmarkEnd w:id="120"/>
      <w:bookmarkEnd w:id="121"/>
      <w:r>
        <w:rPr>
          <w:rFonts w:hint="eastAsia" w:ascii="Times New Roman" w:hAnsi="Times New Roman" w:eastAsia="宋体" w:cs="宋体"/>
          <w:b/>
          <w:bCs/>
          <w:color w:val="auto"/>
          <w:szCs w:val="28"/>
        </w:rPr>
        <w:t xml:space="preserve"> </w:t>
      </w:r>
    </w:p>
    <w:p w14:paraId="45C82DE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1.11.1 投标文件应当对招标文件的实质性要求和条件作出满足性或更有利于招标人的响应，否则，投标人的投标将被否决。实质性要求和条件见投标人须知前附表。</w:t>
      </w:r>
    </w:p>
    <w:p w14:paraId="2B95348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1.11.2 投标人应根据招标文件的要求提供投标设备技术性能指标的详细描述、技术支持资料及相关服务和质保期服务计划等内容以对招标文件作出响应。</w:t>
      </w:r>
    </w:p>
    <w:p w14:paraId="160D21C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10D641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1.11.4 投标人须知前附表规定了可以偏差的范围和最高偏差项数的，偏差应当符合投标人须知前附表规定的偏差范围和最高项数，超出偏差范围和最高偏差项数的投标将被否决。</w:t>
      </w:r>
    </w:p>
    <w:p w14:paraId="068EA8A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1.11.5 投标文件对招标文件的全部偏差，均应在投标文件的商务和技术偏差表中列明，除列明的内容外，视为投标人响应招标文件的全部要求。</w:t>
      </w:r>
    </w:p>
    <w:p w14:paraId="29E7B6BA">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22" w:name="_Toc1568"/>
      <w:bookmarkStart w:id="123" w:name="_Toc28734"/>
      <w:bookmarkStart w:id="124" w:name="_Toc30574"/>
      <w:bookmarkStart w:id="125" w:name="_Toc6346"/>
      <w:bookmarkStart w:id="126" w:name="_Toc18245"/>
      <w:bookmarkStart w:id="127" w:name="_Toc56792758"/>
      <w:bookmarkStart w:id="128" w:name="_Toc13905"/>
      <w:r>
        <w:rPr>
          <w:rFonts w:hint="eastAsia" w:ascii="Times New Roman" w:hAnsi="Times New Roman" w:cs="宋体"/>
          <w:b w:val="0"/>
          <w:color w:val="auto"/>
          <w:szCs w:val="28"/>
        </w:rPr>
        <w:t>2.招标文件</w:t>
      </w:r>
      <w:bookmarkEnd w:id="122"/>
      <w:bookmarkEnd w:id="123"/>
      <w:bookmarkEnd w:id="124"/>
      <w:bookmarkEnd w:id="125"/>
      <w:bookmarkEnd w:id="126"/>
      <w:bookmarkEnd w:id="127"/>
      <w:bookmarkEnd w:id="128"/>
      <w:r>
        <w:rPr>
          <w:rFonts w:hint="eastAsia" w:ascii="Times New Roman" w:hAnsi="Times New Roman" w:cs="宋体"/>
          <w:b w:val="0"/>
          <w:color w:val="auto"/>
          <w:szCs w:val="28"/>
        </w:rPr>
        <w:t xml:space="preserve"> </w:t>
      </w:r>
    </w:p>
    <w:p w14:paraId="3959C4A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29" w:name="_Toc38287116"/>
      <w:bookmarkStart w:id="130" w:name="_Toc23651"/>
      <w:r>
        <w:rPr>
          <w:rFonts w:hint="eastAsia" w:ascii="Times New Roman" w:hAnsi="Times New Roman" w:eastAsia="宋体" w:cs="宋体"/>
          <w:b/>
          <w:bCs/>
          <w:color w:val="auto"/>
          <w:szCs w:val="28"/>
        </w:rPr>
        <w:t>2.1 招标文件的组成</w:t>
      </w:r>
      <w:bookmarkEnd w:id="129"/>
      <w:bookmarkEnd w:id="130"/>
      <w:r>
        <w:rPr>
          <w:rFonts w:hint="eastAsia" w:ascii="Times New Roman" w:hAnsi="Times New Roman" w:eastAsia="宋体" w:cs="宋体"/>
          <w:b/>
          <w:bCs/>
          <w:color w:val="auto"/>
          <w:szCs w:val="28"/>
        </w:rPr>
        <w:t xml:space="preserve"> </w:t>
      </w:r>
    </w:p>
    <w:p w14:paraId="43DB092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2.1.1 本招标文件包括： </w:t>
      </w:r>
    </w:p>
    <w:p w14:paraId="44FACAA6">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招标公告（或投标邀请书）； </w:t>
      </w:r>
    </w:p>
    <w:p w14:paraId="643D25F5">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投标人须知； </w:t>
      </w:r>
    </w:p>
    <w:p w14:paraId="18E6182D">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评标办法； </w:t>
      </w:r>
    </w:p>
    <w:p w14:paraId="4E3A269A">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合同条款及格式； </w:t>
      </w:r>
    </w:p>
    <w:p w14:paraId="27E7BAE3">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供货要求； </w:t>
      </w:r>
    </w:p>
    <w:p w14:paraId="7FF9613D">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投标文件格式； </w:t>
      </w:r>
    </w:p>
    <w:p w14:paraId="1D146C01">
      <w:pPr>
        <w:widowControl w:val="0"/>
        <w:numPr>
          <w:ilvl w:val="0"/>
          <w:numId w:val="3"/>
        </w:numPr>
        <w:adjustRightInd w:val="0"/>
        <w:snapToGrid w:val="0"/>
        <w:spacing w:after="0" w:line="490" w:lineRule="exact"/>
        <w:ind w:left="0"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投标人须知前附表规定的其他资料。</w:t>
      </w:r>
    </w:p>
    <w:p w14:paraId="33802C2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根据本章第 1.9 款、第 2.2 款和第 2.3 款对招标文件所作的澄清、修改，构成招标文件的组成部分。</w:t>
      </w:r>
    </w:p>
    <w:p w14:paraId="572B443D">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1" w:name="_Toc38287117"/>
      <w:bookmarkStart w:id="132" w:name="_Toc19906"/>
      <w:r>
        <w:rPr>
          <w:rFonts w:hint="eastAsia" w:ascii="Times New Roman" w:hAnsi="Times New Roman" w:eastAsia="宋体" w:cs="宋体"/>
          <w:b/>
          <w:bCs/>
          <w:color w:val="auto"/>
          <w:szCs w:val="28"/>
        </w:rPr>
        <w:t>2.2 招标文件的澄清</w:t>
      </w:r>
      <w:bookmarkEnd w:id="131"/>
      <w:bookmarkEnd w:id="132"/>
      <w:r>
        <w:rPr>
          <w:rFonts w:hint="eastAsia" w:ascii="Times New Roman" w:hAnsi="Times New Roman" w:eastAsia="宋体" w:cs="宋体"/>
          <w:b/>
          <w:bCs/>
          <w:color w:val="auto"/>
          <w:szCs w:val="28"/>
        </w:rPr>
        <w:t xml:space="preserve"> </w:t>
      </w:r>
    </w:p>
    <w:p w14:paraId="31E5B11A">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2.2.1 投标人应仔细阅读和检查招标文件的全部内容。如发现缺页或附件不全，应及时向招标人提出，以便补齐。如有疑问，应在投标人须知前附表规定的时间和形式将提出的问题送达招标人，要求招标人对招标文件予以澄清。</w:t>
      </w:r>
    </w:p>
    <w:p w14:paraId="53C7FD39">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2.2.2 招标文件的澄清将在投标人须知前附表规定的形式上发布，但不指明澄清问题的来源，投标人自行下载，招标人不另行通知。该澄清作为招标文件的组成部分。澄清发出的时间不满足投标人须知前附表规定时间要求的，并且澄清内容可能影响投标文件编制的，</w:t>
      </w:r>
      <w:r>
        <w:rPr>
          <w:rFonts w:ascii="Times New Roman" w:hAnsi="Times New Roman" w:eastAsia="宋体" w:cs="Times New Roman"/>
          <w:color w:val="auto"/>
          <w:sz w:val="28"/>
          <w:szCs w:val="32"/>
        </w:rPr>
        <w:t>将</w:t>
      </w:r>
      <w:r>
        <w:rPr>
          <w:rFonts w:hint="eastAsia" w:ascii="Times New Roman" w:hAnsi="Times New Roman" w:eastAsia="宋体" w:cs="宋体"/>
          <w:color w:val="auto"/>
          <w:sz w:val="28"/>
          <w:szCs w:val="28"/>
        </w:rPr>
        <w:t>相应延长投标截止时间。</w:t>
      </w:r>
    </w:p>
    <w:p w14:paraId="3A4A5830">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2.2.3 投标人须留意投标人须知前附表第2.2.2款所列网站发布的澄清通知，在浏览澄清通知后，投标人自行下载该澄清文件。</w:t>
      </w:r>
    </w:p>
    <w:p w14:paraId="5125F32B">
      <w:pPr>
        <w:widowControl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2.2.4 除非招标人认为确有必要答复，否则，招标人有权拒绝回复投标人在本章第 2.2.1 项规定的时间后的任何澄清要求。</w:t>
      </w:r>
    </w:p>
    <w:p w14:paraId="37EE884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3" w:name="_Toc38287118"/>
      <w:bookmarkStart w:id="134" w:name="_Toc5486"/>
      <w:r>
        <w:rPr>
          <w:rFonts w:hint="eastAsia" w:ascii="Times New Roman" w:hAnsi="Times New Roman" w:eastAsia="宋体" w:cs="宋体"/>
          <w:b/>
          <w:bCs/>
          <w:color w:val="auto"/>
          <w:szCs w:val="28"/>
        </w:rPr>
        <w:t>2.3 招标文件的修改</w:t>
      </w:r>
      <w:bookmarkEnd w:id="133"/>
      <w:bookmarkEnd w:id="134"/>
      <w:r>
        <w:rPr>
          <w:rFonts w:hint="eastAsia" w:ascii="Times New Roman" w:hAnsi="Times New Roman" w:eastAsia="宋体" w:cs="宋体"/>
          <w:b/>
          <w:bCs/>
          <w:color w:val="auto"/>
          <w:szCs w:val="28"/>
        </w:rPr>
        <w:t xml:space="preserve"> </w:t>
      </w:r>
    </w:p>
    <w:p w14:paraId="54EE9C2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35" w:name="_Hlk39762241"/>
      <w:r>
        <w:rPr>
          <w:rFonts w:hint="eastAsia" w:ascii="Times New Roman" w:hAnsi="Times New Roman" w:eastAsia="宋体" w:cs="宋体"/>
          <w:color w:val="auto"/>
          <w:sz w:val="28"/>
          <w:szCs w:val="28"/>
        </w:rPr>
        <w:t>2.3.1</w:t>
      </w:r>
      <w:r>
        <w:rPr>
          <w:color w:val="auto"/>
          <w:sz w:val="28"/>
          <w:szCs w:val="32"/>
        </w:rPr>
        <w:t>招标文件</w:t>
      </w:r>
      <w:r>
        <w:rPr>
          <w:rFonts w:hint="eastAsia"/>
          <w:color w:val="auto"/>
          <w:sz w:val="28"/>
          <w:szCs w:val="32"/>
        </w:rPr>
        <w:t>的修改</w:t>
      </w:r>
      <w:r>
        <w:rPr>
          <w:color w:val="auto"/>
          <w:sz w:val="28"/>
          <w:szCs w:val="32"/>
        </w:rPr>
        <w:t>在投标人须知前附表规定的</w:t>
      </w:r>
      <w:r>
        <w:rPr>
          <w:rFonts w:hint="eastAsia"/>
          <w:color w:val="auto"/>
          <w:sz w:val="28"/>
          <w:szCs w:val="32"/>
        </w:rPr>
        <w:t>形式</w:t>
      </w:r>
      <w:r>
        <w:rPr>
          <w:color w:val="auto"/>
          <w:sz w:val="28"/>
          <w:szCs w:val="32"/>
        </w:rPr>
        <w:t>上发布</w:t>
      </w:r>
      <w:r>
        <w:rPr>
          <w:rFonts w:hint="eastAsia" w:ascii="Times New Roman" w:hAnsi="Times New Roman" w:eastAsia="宋体" w:cs="宋体"/>
          <w:color w:val="auto"/>
          <w:sz w:val="28"/>
          <w:szCs w:val="28"/>
        </w:rPr>
        <w:t>。该修改内容作为招标文件的组成部分。修改招标文件的时间距本章第4.2.1项规定的投标截止时间不足15日的，并且修改内容可能影响投标文件编制的，将相应延长投标截止时间。</w:t>
      </w:r>
    </w:p>
    <w:p w14:paraId="60E868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2.3.2 投标人须留意投标人须知前附表第2.3.1款所列网站发布的修改通知，在浏览修改通知后，投标人自行下载该修改文件。</w:t>
      </w:r>
      <w:bookmarkEnd w:id="135"/>
    </w:p>
    <w:p w14:paraId="4EF9AC5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36" w:name="_Toc29570"/>
      <w:bookmarkStart w:id="137" w:name="_Toc38287119"/>
      <w:r>
        <w:rPr>
          <w:rFonts w:hint="eastAsia" w:ascii="Times New Roman" w:hAnsi="Times New Roman" w:eastAsia="宋体" w:cs="宋体"/>
          <w:b/>
          <w:bCs/>
          <w:color w:val="auto"/>
          <w:szCs w:val="28"/>
        </w:rPr>
        <w:t>2.4 招标文件的异议</w:t>
      </w:r>
      <w:bookmarkEnd w:id="136"/>
      <w:bookmarkEnd w:id="137"/>
      <w:r>
        <w:rPr>
          <w:rFonts w:hint="eastAsia" w:ascii="Times New Roman" w:hAnsi="Times New Roman" w:eastAsia="宋体" w:cs="宋体"/>
          <w:b/>
          <w:bCs/>
          <w:color w:val="auto"/>
          <w:szCs w:val="28"/>
        </w:rPr>
        <w:t xml:space="preserve"> </w:t>
      </w:r>
    </w:p>
    <w:p w14:paraId="5B54F0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38" w:name="_Hlk39762250"/>
      <w:r>
        <w:rPr>
          <w:rFonts w:hint="eastAsia" w:ascii="Times New Roman" w:hAnsi="Times New Roman" w:eastAsia="宋体" w:cs="宋体"/>
          <w:color w:val="auto"/>
          <w:sz w:val="28"/>
          <w:szCs w:val="28"/>
        </w:rPr>
        <w:t xml:space="preserve">投标人或者其他利害关系人对招标文件有异议的，应当在投标截止时间 10 日前以书面形式提出。招标人将在收到异议之日起 3 日内作出答复；作出答复前，将暂停招标投标活动。 </w:t>
      </w:r>
      <w:bookmarkEnd w:id="138"/>
    </w:p>
    <w:p w14:paraId="64A8A8F8">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39" w:name="_Toc1599"/>
      <w:bookmarkStart w:id="140" w:name="_Toc24417"/>
      <w:bookmarkStart w:id="141" w:name="_Toc26025"/>
      <w:bookmarkStart w:id="142" w:name="_Toc12378"/>
      <w:bookmarkStart w:id="143" w:name="_Toc24745"/>
      <w:bookmarkStart w:id="144" w:name="_Toc20464"/>
      <w:bookmarkStart w:id="145" w:name="_Toc56792759"/>
      <w:r>
        <w:rPr>
          <w:rFonts w:hint="eastAsia" w:ascii="Times New Roman" w:hAnsi="Times New Roman" w:cs="宋体"/>
          <w:b w:val="0"/>
          <w:color w:val="auto"/>
          <w:szCs w:val="28"/>
        </w:rPr>
        <w:t>3.投标文件</w:t>
      </w:r>
      <w:bookmarkEnd w:id="139"/>
      <w:bookmarkEnd w:id="140"/>
      <w:bookmarkEnd w:id="141"/>
      <w:bookmarkEnd w:id="142"/>
      <w:bookmarkEnd w:id="143"/>
      <w:bookmarkEnd w:id="144"/>
      <w:bookmarkEnd w:id="145"/>
      <w:r>
        <w:rPr>
          <w:rFonts w:hint="eastAsia" w:ascii="Times New Roman" w:hAnsi="Times New Roman" w:cs="宋体"/>
          <w:b w:val="0"/>
          <w:color w:val="auto"/>
          <w:szCs w:val="28"/>
        </w:rPr>
        <w:t xml:space="preserve"> </w:t>
      </w:r>
    </w:p>
    <w:p w14:paraId="356720C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6" w:name="_Toc20220"/>
      <w:r>
        <w:rPr>
          <w:rFonts w:hint="eastAsia" w:ascii="Times New Roman" w:hAnsi="Times New Roman" w:eastAsia="宋体" w:cs="宋体"/>
          <w:b/>
          <w:bCs/>
          <w:color w:val="auto"/>
          <w:szCs w:val="28"/>
        </w:rPr>
        <w:t>3.1 投标文件的组成</w:t>
      </w:r>
      <w:bookmarkEnd w:id="146"/>
      <w:r>
        <w:rPr>
          <w:rFonts w:hint="eastAsia" w:ascii="Times New Roman" w:hAnsi="Times New Roman" w:eastAsia="宋体" w:cs="宋体"/>
          <w:b/>
          <w:bCs/>
          <w:color w:val="auto"/>
          <w:szCs w:val="28"/>
        </w:rPr>
        <w:t xml:space="preserve"> </w:t>
      </w:r>
    </w:p>
    <w:p w14:paraId="5060BD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3.1.1 投标文件应包括下列内容： </w:t>
      </w:r>
    </w:p>
    <w:p w14:paraId="2A545C2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（1）投标函； </w:t>
      </w:r>
    </w:p>
    <w:p w14:paraId="015F47A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（2）法定代表人（单位负责人）身份证明或授权委托书； </w:t>
      </w:r>
    </w:p>
    <w:p w14:paraId="3F4C166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（3）联合体协议书； </w:t>
      </w:r>
    </w:p>
    <w:p w14:paraId="65042D4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（4）投标保证金； </w:t>
      </w:r>
    </w:p>
    <w:p w14:paraId="6C4918F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（5）商务和技术偏差表； </w:t>
      </w:r>
    </w:p>
    <w:p w14:paraId="4B507D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（6）分项报价表； </w:t>
      </w:r>
    </w:p>
    <w:p w14:paraId="69F8C2E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（7）资格审查资料； </w:t>
      </w:r>
    </w:p>
    <w:p w14:paraId="0758EB7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（8）投标设备技术性能指标的详细描述；</w:t>
      </w:r>
    </w:p>
    <w:p w14:paraId="794CD5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（9）技术支持资料； </w:t>
      </w:r>
    </w:p>
    <w:p w14:paraId="13B774F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（10）</w:t>
      </w:r>
      <w:r>
        <w:rPr>
          <w:rFonts w:hint="eastAsia" w:ascii="Times New Roman" w:hAnsi="Times New Roman" w:eastAsia="宋体" w:cs="宋体"/>
          <w:color w:val="auto"/>
          <w:sz w:val="28"/>
          <w:szCs w:val="28"/>
        </w:rPr>
        <w:tab/>
      </w:r>
      <w:r>
        <w:rPr>
          <w:rFonts w:hint="eastAsia" w:ascii="Times New Roman" w:hAnsi="Times New Roman" w:eastAsia="宋体" w:cs="宋体"/>
          <w:color w:val="auto"/>
          <w:sz w:val="28"/>
          <w:szCs w:val="28"/>
        </w:rPr>
        <w:t xml:space="preserve">技术服务和质保期服务计划； </w:t>
      </w:r>
    </w:p>
    <w:p w14:paraId="000FAE8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（11）投标人须知前附表规定的其他资料。</w:t>
      </w:r>
    </w:p>
    <w:p w14:paraId="74A6653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投标人在评标过程中作出的符合法律法规和招标文件规定的澄清确认，构成投标文件的组成部分。</w:t>
      </w:r>
    </w:p>
    <w:p w14:paraId="2E863E2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3.1.2 投标人须知前附表规定不接受联合体投标的，或投标人没有组成联合体的，投标文件不包括本章第 3.1.1（3）目所指的联合体协议书。</w:t>
      </w:r>
    </w:p>
    <w:p w14:paraId="6F0B752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3.1.3 投标人须知前附表未要求提交投标保证金的，投标文件不包括本章第 3.1.1（4）目所指的投标保证金。</w:t>
      </w:r>
    </w:p>
    <w:p w14:paraId="259A0CDF">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7" w:name="_Toc16087"/>
      <w:r>
        <w:rPr>
          <w:rFonts w:hint="eastAsia" w:ascii="Times New Roman" w:hAnsi="Times New Roman" w:eastAsia="宋体" w:cs="宋体"/>
          <w:b/>
          <w:bCs/>
          <w:color w:val="auto"/>
          <w:szCs w:val="28"/>
        </w:rPr>
        <w:t>3.2 投标报价</w:t>
      </w:r>
      <w:bookmarkEnd w:id="147"/>
      <w:r>
        <w:rPr>
          <w:rFonts w:hint="eastAsia" w:ascii="Times New Roman" w:hAnsi="Times New Roman" w:eastAsia="宋体" w:cs="宋体"/>
          <w:b/>
          <w:bCs/>
          <w:color w:val="auto"/>
          <w:szCs w:val="28"/>
        </w:rPr>
        <w:t xml:space="preserve"> </w:t>
      </w:r>
    </w:p>
    <w:p w14:paraId="21EC876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3.2.1 投标报价应包括国家规定的增值税税金，除投标人须知前附表另有规定外，增值税税金按一般计税方法计算。投标人应按第六章“投标文件格式”的要求在投标函中进行报价并填写分项报价表。</w:t>
      </w:r>
    </w:p>
    <w:p w14:paraId="0A1248D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3.2.2 投标人应充分了解该项目的总体情况以及影响投标报价的其他要素。</w:t>
      </w:r>
    </w:p>
    <w:p w14:paraId="7A81273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14:paraId="47CA2AE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3.2.4 招标人设有最高投标限价的，投标人的投标报价不得超过最高投标限价，最高投标限价在投标人须知前附表中载明。</w:t>
      </w:r>
    </w:p>
    <w:p w14:paraId="31DD4D3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3.2.5 投标报价的其他要求见投标人须知前附表。</w:t>
      </w:r>
    </w:p>
    <w:p w14:paraId="11E81AA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8" w:name="_Toc27194"/>
      <w:r>
        <w:rPr>
          <w:rFonts w:hint="eastAsia" w:ascii="Times New Roman" w:hAnsi="Times New Roman" w:eastAsia="宋体" w:cs="宋体"/>
          <w:b/>
          <w:bCs/>
          <w:color w:val="auto"/>
          <w:szCs w:val="28"/>
        </w:rPr>
        <w:t>3.3 投标有效期</w:t>
      </w:r>
      <w:bookmarkEnd w:id="148"/>
      <w:r>
        <w:rPr>
          <w:rFonts w:hint="eastAsia" w:ascii="Times New Roman" w:hAnsi="Times New Roman" w:eastAsia="宋体" w:cs="宋体"/>
          <w:b/>
          <w:bCs/>
          <w:color w:val="auto"/>
          <w:szCs w:val="28"/>
        </w:rPr>
        <w:t xml:space="preserve"> </w:t>
      </w:r>
    </w:p>
    <w:p w14:paraId="1052A90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3.3.1 除投标人须知前附表另有规定外，投标有效期为90天。</w:t>
      </w:r>
    </w:p>
    <w:p w14:paraId="4E2AFB6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3.3.2 在投标有效期内，投标人撤销投标文件的，应承担招标文件和法律规定的责任。</w:t>
      </w:r>
    </w:p>
    <w:p w14:paraId="61FCAA4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51CBD7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49" w:name="_Toc13543"/>
      <w:r>
        <w:rPr>
          <w:rFonts w:hint="eastAsia" w:ascii="Times New Roman" w:hAnsi="Times New Roman" w:eastAsia="宋体" w:cs="宋体"/>
          <w:b/>
          <w:bCs/>
          <w:color w:val="auto"/>
          <w:szCs w:val="28"/>
        </w:rPr>
        <w:t xml:space="preserve">3.4 </w:t>
      </w:r>
      <w:bookmarkEnd w:id="149"/>
      <w:r>
        <w:rPr>
          <w:rFonts w:hint="eastAsia" w:ascii="Times New Roman" w:hAnsi="Times New Roman" w:eastAsia="宋体" w:cs="宋体"/>
          <w:b/>
          <w:bCs/>
          <w:color w:val="auto"/>
          <w:szCs w:val="28"/>
        </w:rPr>
        <w:t xml:space="preserve">投标保证金 </w:t>
      </w:r>
    </w:p>
    <w:p w14:paraId="2A9DFC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投标保证金递交应符合投标人须知前附表的规定。</w:t>
      </w:r>
    </w:p>
    <w:p w14:paraId="09DFA0F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3.4.2 投标人不按本章第3.4.1项要求提交投标保证金的，评标委员会将否决其投标。</w:t>
      </w:r>
    </w:p>
    <w:p w14:paraId="632FD98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3.4.3 招标人最迟将在与中标人签订合同后5日内，向未中标的投标人和中标人退还投标保证金。投标保证金以现金或者支票形式递交的，还应退还银行同期存款利息。</w:t>
      </w:r>
    </w:p>
    <w:p w14:paraId="3DBA20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3.4.4 有下列情形之一的，投标保证金不予退还：</w:t>
      </w:r>
    </w:p>
    <w:p w14:paraId="286ADD7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（1）投标人在投标有效期内撤销或修改其投标文件；</w:t>
      </w:r>
    </w:p>
    <w:p w14:paraId="26C012C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（2）中标人在收到中标通知书后，无正当理由不与招标人订立合同，在签订合同时向招标人提出附加条件，或者不按照招标文件要求提交履约保证金；</w:t>
      </w:r>
    </w:p>
    <w:p w14:paraId="319D1444">
      <w:pPr>
        <w:ind w:firstLine="560" w:firstLineChars="200"/>
      </w:pPr>
      <w:r>
        <w:rPr>
          <w:rFonts w:hint="eastAsia" w:ascii="Times New Roman" w:hAnsi="Times New Roman" w:eastAsia="宋体" w:cs="宋体"/>
          <w:color w:val="auto"/>
          <w:sz w:val="28"/>
          <w:szCs w:val="28"/>
        </w:rPr>
        <w:t>（3）发生投标人须知前附表规定的其他可以不予退还投标保证金的情形。</w:t>
      </w:r>
    </w:p>
    <w:p w14:paraId="721F427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0" w:name="_Toc32236"/>
      <w:r>
        <w:rPr>
          <w:rFonts w:hint="eastAsia" w:ascii="Times New Roman" w:hAnsi="Times New Roman" w:eastAsia="宋体" w:cs="宋体"/>
          <w:b/>
          <w:bCs/>
          <w:color w:val="auto"/>
          <w:szCs w:val="28"/>
        </w:rPr>
        <w:t xml:space="preserve">3.5 资格审查资料（适用于已进行资格预审的） </w:t>
      </w:r>
    </w:p>
    <w:p w14:paraId="344630FE">
      <w:pPr>
        <w:ind w:firstLine="560" w:firstLineChars="200"/>
      </w:pPr>
      <w:r>
        <w:rPr>
          <w:rFonts w:hint="eastAsia" w:ascii="Times New Roman" w:hAnsi="Times New Roman" w:eastAsia="宋体" w:cs="宋体"/>
          <w:color w:val="auto"/>
          <w:sz w:val="28"/>
          <w:szCs w:val="28"/>
        </w:rPr>
        <w:t>投标人在递交投标文件前，发生可能影响其投标资格的新情况的，应更新或补充其在申请资格预审时提供的资料，以证实其各项资格条件仍能继续满足资格预审文件的要求，且没有实质性降低。</w:t>
      </w:r>
      <w:r>
        <w:rPr>
          <w:rFonts w:hint="eastAsia"/>
        </w:rPr>
        <w:t xml:space="preserve"> </w:t>
      </w:r>
    </w:p>
    <w:p w14:paraId="03D23EB1">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3.5 资格审查资料</w:t>
      </w:r>
      <w:bookmarkEnd w:id="150"/>
      <w:r>
        <w:rPr>
          <w:rFonts w:hint="eastAsia" w:ascii="Times New Roman" w:hAnsi="Times New Roman" w:eastAsia="宋体" w:cs="宋体"/>
          <w:b/>
          <w:bCs/>
          <w:color w:val="auto"/>
          <w:szCs w:val="28"/>
        </w:rPr>
        <w:t xml:space="preserve">（适用于未进行资格预审的） </w:t>
      </w:r>
    </w:p>
    <w:p w14:paraId="33BBCB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除投标人须知前附表另有规定外，投标人应按下列规定提供资格审查资料，以证明其满足本章第 1.4 款规定的资质、财务、业绩、信誉等要求。</w:t>
      </w:r>
    </w:p>
    <w:p w14:paraId="467C52A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51" w:name="_Hlk39762361"/>
      <w:r>
        <w:rPr>
          <w:rFonts w:hint="eastAsia" w:ascii="Times New Roman" w:hAnsi="Times New Roman" w:eastAsia="宋体" w:cs="宋体"/>
          <w:color w:val="auto"/>
          <w:sz w:val="28"/>
          <w:szCs w:val="28"/>
        </w:rPr>
        <w:t>3.5.1 “投标人基本情况表”应附企业法人营业执照和组织机构代码证的扫描件（按照“三证合一”或“五证合一”登记制度进行登记的，可仅提供营业执照扫描件）：</w:t>
      </w:r>
    </w:p>
    <w:p w14:paraId="2A7BFBF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（1）投标人为企业的，应提交营业执照和组织机构代码证的扫描件（按照“三证合一”或“五证合一”登记制度进行登记的，可仅提供营业执照扫描件）； </w:t>
      </w:r>
    </w:p>
    <w:p w14:paraId="717DA252">
      <w:pPr>
        <w:widowControl w:val="0"/>
        <w:numPr>
          <w:ilvl w:val="0"/>
          <w:numId w:val="4"/>
        </w:numPr>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投标人为依法允许经营的事业单位的，应提交事业单位法人证书和组织机构代码证的扫描件。</w:t>
      </w:r>
    </w:p>
    <w:p w14:paraId="7BC9061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3.5.2 “近年财务状况表”应附经会计师事务所或审计机构审计的财务会计报表，包括资产负债表、现金流量表、利润表和财务情况说明书的扫描件，具体时间要求见投标人须知前附表。投标人的成立时间少于投标人须知前附表规定时间的，应提供成立以来的财务状况表。</w:t>
      </w:r>
    </w:p>
    <w:bookmarkEnd w:id="151"/>
    <w:p w14:paraId="69FBAC8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3.5.3 “近年完成的类似项目情况表”应附中标通知书、合同协议书、设备进场验收证书等的扫描件，具体时间要求见投标人须知前附表。每张表格只填写一个项目，并标明序号。</w:t>
      </w:r>
    </w:p>
    <w:p w14:paraId="77174B0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3.5.4  “正在供货和新承接的项目情况表”应附中标通知书、合同协议书扫描件。每张表格只填写一个项目，并标明序号。</w:t>
      </w:r>
    </w:p>
    <w:p w14:paraId="53A53E8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3.5.5 “近年发生的诉讼及仲裁情况”应说明投标人败诉的设备买卖合同的相关情况，并附法院或仲裁机构作出的判决、裁决等有关法律文书扫描件，具体时间要求见投标人须知前附表。</w:t>
      </w:r>
    </w:p>
    <w:p w14:paraId="055CA0E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3.5.6 投标人须知前附表规定接受联合体投标的，本章第3.5.1项至第3.5.5项规定的表格和资料应包括联合体各方相关情况。</w:t>
      </w:r>
    </w:p>
    <w:p w14:paraId="4D94976D">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2" w:name="_Toc17656"/>
      <w:r>
        <w:rPr>
          <w:rFonts w:hint="eastAsia" w:ascii="Times New Roman" w:hAnsi="Times New Roman" w:eastAsia="宋体" w:cs="宋体"/>
          <w:b/>
          <w:bCs/>
          <w:color w:val="auto"/>
          <w:szCs w:val="28"/>
        </w:rPr>
        <w:t>3.6 备选投标方案</w:t>
      </w:r>
      <w:bookmarkEnd w:id="152"/>
      <w:r>
        <w:rPr>
          <w:rFonts w:hint="eastAsia" w:ascii="Times New Roman" w:hAnsi="Times New Roman" w:eastAsia="宋体" w:cs="宋体"/>
          <w:b/>
          <w:bCs/>
          <w:color w:val="auto"/>
          <w:szCs w:val="28"/>
        </w:rPr>
        <w:t xml:space="preserve"> </w:t>
      </w:r>
    </w:p>
    <w:p w14:paraId="5882199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3.6.1 除投标人须知前附表规定允许外，投标人不得递交备选投标方案，否则其投标将被否决。</w:t>
      </w:r>
    </w:p>
    <w:p w14:paraId="121BE23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2C2FCB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3.6.3 投标人提供两个或两个以上投标报价，或者在投标文件中提供一个报价，但同时提供两个或两个以上供货方案的，视为提供备选方案。</w:t>
      </w:r>
    </w:p>
    <w:p w14:paraId="1D6638C0">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53" w:name="_Toc20983"/>
      <w:r>
        <w:rPr>
          <w:rFonts w:hint="eastAsia" w:ascii="Times New Roman" w:hAnsi="Times New Roman" w:eastAsia="宋体" w:cs="宋体"/>
          <w:b/>
          <w:bCs/>
          <w:color w:val="auto"/>
          <w:szCs w:val="28"/>
        </w:rPr>
        <w:t>3.7 投标文件的编制</w:t>
      </w:r>
      <w:bookmarkEnd w:id="153"/>
      <w:r>
        <w:rPr>
          <w:rFonts w:hint="eastAsia" w:ascii="Times New Roman" w:hAnsi="Times New Roman" w:eastAsia="宋体" w:cs="宋体"/>
          <w:b/>
          <w:bCs/>
          <w:color w:val="auto"/>
          <w:szCs w:val="28"/>
        </w:rPr>
        <w:t xml:space="preserve"> </w:t>
      </w:r>
    </w:p>
    <w:p w14:paraId="759BD4A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3.7.1 投标文件应按第六章“投标文件格式”进行编写，如有必要，可以增加附页，作为投标文件的组成部分。 </w:t>
      </w:r>
    </w:p>
    <w:p w14:paraId="763AA9C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3.7.2 投标文件应当对招标文件有关供货期、投标有效期、供货要求、招标范围等实质性内容作出响应。投标文件在满足招标文件实质性要求的基础上，可以提出比招标文件要求更有利于招标人的承诺。 </w:t>
      </w:r>
    </w:p>
    <w:p w14:paraId="4390AC6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3.7.3投标文件签章的具体要求见投标人须知前附表。 </w:t>
      </w:r>
    </w:p>
    <w:p w14:paraId="20320B23">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54" w:name="_Toc13952"/>
      <w:bookmarkStart w:id="155" w:name="_Toc31810"/>
      <w:bookmarkStart w:id="156" w:name="_Toc16283"/>
      <w:bookmarkStart w:id="157" w:name="_Toc17669"/>
      <w:bookmarkStart w:id="158" w:name="_Toc24687"/>
      <w:bookmarkStart w:id="159" w:name="_Toc12068"/>
      <w:bookmarkStart w:id="160" w:name="_Toc56792760"/>
      <w:r>
        <w:rPr>
          <w:rFonts w:hint="eastAsia" w:ascii="Times New Roman" w:hAnsi="Times New Roman" w:cs="宋体"/>
          <w:b w:val="0"/>
          <w:color w:val="auto"/>
          <w:szCs w:val="28"/>
        </w:rPr>
        <w:t>4.投标</w:t>
      </w:r>
      <w:bookmarkEnd w:id="154"/>
      <w:bookmarkEnd w:id="155"/>
      <w:bookmarkEnd w:id="156"/>
      <w:bookmarkEnd w:id="157"/>
      <w:bookmarkEnd w:id="158"/>
      <w:bookmarkEnd w:id="159"/>
      <w:bookmarkEnd w:id="160"/>
      <w:r>
        <w:rPr>
          <w:rFonts w:hint="eastAsia" w:ascii="Times New Roman" w:hAnsi="Times New Roman" w:cs="宋体"/>
          <w:b w:val="0"/>
          <w:color w:val="auto"/>
          <w:szCs w:val="28"/>
        </w:rPr>
        <w:t xml:space="preserve"> </w:t>
      </w:r>
    </w:p>
    <w:p w14:paraId="3AE207E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61" w:name="_Toc34749680"/>
      <w:bookmarkStart w:id="162" w:name="_Toc21417"/>
      <w:r>
        <w:rPr>
          <w:rFonts w:hint="eastAsia" w:ascii="Times New Roman" w:hAnsi="Times New Roman" w:eastAsia="宋体" w:cs="宋体"/>
          <w:b/>
          <w:bCs/>
          <w:color w:val="auto"/>
          <w:szCs w:val="28"/>
        </w:rPr>
        <w:t>4.1 投标文件的加密和标记</w:t>
      </w:r>
      <w:bookmarkEnd w:id="161"/>
    </w:p>
    <w:p w14:paraId="0C55AF4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4.1.1投标人应当按照招标文件和电子招标投标交易平台的要求加密投标文件，具体要求见投标人须知前附表。 </w:t>
      </w:r>
    </w:p>
    <w:p w14:paraId="4E326E3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63" w:name="_Toc34749681"/>
      <w:r>
        <w:rPr>
          <w:rFonts w:hint="eastAsia" w:ascii="Times New Roman" w:hAnsi="Times New Roman" w:eastAsia="宋体" w:cs="宋体"/>
          <w:b/>
          <w:bCs/>
          <w:color w:val="auto"/>
          <w:szCs w:val="28"/>
        </w:rPr>
        <w:t>4.2 投标文件的递交</w:t>
      </w:r>
      <w:bookmarkEnd w:id="163"/>
    </w:p>
    <w:p w14:paraId="7FBB26F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4.2.1 投标人应在投标人须知前附表规定的投标截止时间前递交投标文件。 </w:t>
      </w:r>
    </w:p>
    <w:p w14:paraId="49D3D78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4.2.2 投标人通过下载招标文件的电子招标投标交易平台递交电子投标文件。</w:t>
      </w:r>
      <w:r>
        <w:rPr>
          <w:rFonts w:hint="eastAsia"/>
          <w:color w:val="auto"/>
          <w:sz w:val="28"/>
          <w:szCs w:val="32"/>
        </w:rPr>
        <w:t>电子招标投标交易平台详见</w:t>
      </w:r>
      <w:r>
        <w:rPr>
          <w:color w:val="auto"/>
          <w:sz w:val="28"/>
          <w:szCs w:val="32"/>
        </w:rPr>
        <w:t>投标人</w:t>
      </w:r>
      <w:r>
        <w:rPr>
          <w:rFonts w:hint="eastAsia"/>
          <w:color w:val="auto"/>
          <w:sz w:val="28"/>
          <w:szCs w:val="32"/>
        </w:rPr>
        <w:t>须知前附表。</w:t>
      </w:r>
      <w:r>
        <w:rPr>
          <w:rFonts w:hint="eastAsia" w:ascii="Times New Roman" w:hAnsi="Times New Roman" w:eastAsia="宋体" w:cs="宋体"/>
          <w:color w:val="auto"/>
          <w:sz w:val="28"/>
          <w:szCs w:val="28"/>
        </w:rPr>
        <w:t xml:space="preserve"> </w:t>
      </w:r>
    </w:p>
    <w:p w14:paraId="5EFF6C2B">
      <w:pPr>
        <w:pStyle w:val="4"/>
        <w:keepNext w:val="0"/>
        <w:keepLines w:val="0"/>
        <w:widowControl w:val="0"/>
        <w:adjustRightInd w:val="0"/>
        <w:snapToGrid w:val="0"/>
        <w:spacing w:after="0" w:line="490" w:lineRule="exact"/>
        <w:ind w:left="0" w:right="0" w:firstLine="560" w:firstLineChars="200"/>
        <w:jc w:val="both"/>
        <w:rPr>
          <w:rFonts w:ascii="Times New Roman" w:hAnsi="Times New Roman" w:eastAsia="宋体" w:cs="宋体"/>
          <w:color w:val="auto"/>
          <w:szCs w:val="28"/>
        </w:rPr>
      </w:pPr>
      <w:r>
        <w:rPr>
          <w:rFonts w:hint="eastAsia" w:ascii="Times New Roman" w:hAnsi="Times New Roman" w:eastAsia="宋体" w:cs="宋体"/>
          <w:color w:val="auto"/>
          <w:szCs w:val="28"/>
        </w:rPr>
        <w:t xml:space="preserve">4.2.3逾期送达的投标文件，电子招标投标交易平台将予以拒收。 </w:t>
      </w:r>
    </w:p>
    <w:p w14:paraId="07E5949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4.3 投标文件的修改与撤回</w:t>
      </w:r>
      <w:bookmarkEnd w:id="162"/>
      <w:r>
        <w:rPr>
          <w:rFonts w:hint="eastAsia" w:ascii="Times New Roman" w:hAnsi="Times New Roman" w:eastAsia="宋体" w:cs="宋体"/>
          <w:b/>
          <w:bCs/>
          <w:color w:val="auto"/>
          <w:szCs w:val="28"/>
        </w:rPr>
        <w:t xml:space="preserve"> </w:t>
      </w:r>
    </w:p>
    <w:p w14:paraId="0D8194E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64" w:name="_Toc14443"/>
      <w:r>
        <w:rPr>
          <w:rFonts w:hint="eastAsia" w:ascii="Times New Roman" w:hAnsi="Times New Roman" w:eastAsia="宋体" w:cs="宋体"/>
          <w:color w:val="auto"/>
          <w:sz w:val="28"/>
          <w:szCs w:val="28"/>
        </w:rPr>
        <w:t xml:space="preserve">4.3.1 在本章第 4.2.1 项规定的投标截止时间前，投标人可以修改或撤回已递交的投标文件，但应以书面形式通知招标人。 </w:t>
      </w:r>
    </w:p>
    <w:p w14:paraId="3F3A69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4.3.2投标人修改或撤回已递交投标文件的通知，应按照本章第 3.7.3项的要求加盖电子印章。电子招标投标交易平台收到通知后，即时向投标人发出确认回执通知。 </w:t>
      </w:r>
    </w:p>
    <w:p w14:paraId="3EE9E464">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4.3.3 投标人撤回投标文件的，招标人自收到投标人书面撤回通知之日起 5 日内退还已收取的投标保证金。 </w:t>
      </w:r>
    </w:p>
    <w:p w14:paraId="2DEB999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4.3.4 修改的内容为投标文件的组成部分。修改的投标文件应按照本章第 3 条、第 4 条的规定进行编制、密封、标记和递交。 </w:t>
      </w:r>
    </w:p>
    <w:p w14:paraId="4270C1E0">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65" w:name="_Toc21341"/>
      <w:bookmarkStart w:id="166" w:name="_Toc56792761"/>
      <w:bookmarkStart w:id="167" w:name="_Toc21827"/>
      <w:bookmarkStart w:id="168" w:name="_Toc15458"/>
      <w:bookmarkStart w:id="169" w:name="_Toc14268"/>
      <w:bookmarkStart w:id="170" w:name="_Toc15364"/>
      <w:r>
        <w:rPr>
          <w:rFonts w:hint="eastAsia" w:ascii="Times New Roman" w:hAnsi="Times New Roman" w:cs="宋体"/>
          <w:b w:val="0"/>
          <w:color w:val="auto"/>
          <w:szCs w:val="28"/>
        </w:rPr>
        <w:t>5.开标</w:t>
      </w:r>
      <w:bookmarkEnd w:id="164"/>
      <w:bookmarkEnd w:id="165"/>
      <w:bookmarkEnd w:id="166"/>
      <w:bookmarkEnd w:id="167"/>
      <w:bookmarkEnd w:id="168"/>
      <w:bookmarkEnd w:id="169"/>
      <w:bookmarkEnd w:id="170"/>
      <w:r>
        <w:rPr>
          <w:rFonts w:hint="eastAsia" w:ascii="Times New Roman" w:hAnsi="Times New Roman" w:cs="宋体"/>
          <w:b w:val="0"/>
          <w:color w:val="auto"/>
          <w:szCs w:val="28"/>
        </w:rPr>
        <w:t xml:space="preserve"> </w:t>
      </w:r>
    </w:p>
    <w:p w14:paraId="7ACA7DC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71" w:name="_Toc16125"/>
      <w:r>
        <w:rPr>
          <w:rFonts w:hint="eastAsia" w:ascii="Times New Roman" w:hAnsi="Times New Roman" w:eastAsia="宋体" w:cs="宋体"/>
          <w:b/>
          <w:bCs/>
          <w:color w:val="auto"/>
          <w:szCs w:val="28"/>
        </w:rPr>
        <w:t>5.1 开标时间和地点</w:t>
      </w:r>
      <w:bookmarkEnd w:id="171"/>
    </w:p>
    <w:p w14:paraId="4548E9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招标人在本章第 4.2.1 项规定的投标截止时间（开标时间）,通过电子招标投标交易平台公开开标，所有投标人的法定代表人（单位负责人）或其委托代理人应当准时参加。 </w:t>
      </w:r>
    </w:p>
    <w:p w14:paraId="19379C5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72" w:name="_Toc22640"/>
      <w:r>
        <w:rPr>
          <w:rFonts w:hint="eastAsia" w:ascii="Times New Roman" w:hAnsi="Times New Roman" w:eastAsia="宋体" w:cs="宋体"/>
          <w:b/>
          <w:bCs/>
          <w:color w:val="auto"/>
          <w:szCs w:val="28"/>
        </w:rPr>
        <w:t>5.2 开标程序</w:t>
      </w:r>
      <w:bookmarkEnd w:id="172"/>
      <w:r>
        <w:rPr>
          <w:rFonts w:hint="eastAsia" w:ascii="Times New Roman" w:hAnsi="Times New Roman" w:eastAsia="宋体" w:cs="宋体"/>
          <w:b/>
          <w:bCs/>
          <w:color w:val="auto"/>
          <w:szCs w:val="28"/>
        </w:rPr>
        <w:t xml:space="preserve"> </w:t>
      </w:r>
    </w:p>
    <w:p w14:paraId="0575305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bookmarkStart w:id="173" w:name="_Toc518"/>
      <w:r>
        <w:rPr>
          <w:rFonts w:hint="eastAsia" w:ascii="Times New Roman" w:hAnsi="Times New Roman" w:eastAsia="宋体" w:cs="宋体"/>
          <w:color w:val="auto"/>
          <w:sz w:val="28"/>
          <w:szCs w:val="28"/>
        </w:rPr>
        <w:t>采用电子招标方式的，开标程序按交易平台的规定要求执行。</w:t>
      </w:r>
    </w:p>
    <w:p w14:paraId="7BCD1E3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（1）宣布开标； </w:t>
      </w:r>
    </w:p>
    <w:p w14:paraId="070C702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（2）公布在投标截止时间前递交投标文件的投标人名称； </w:t>
      </w:r>
    </w:p>
    <w:p w14:paraId="03368785">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（3）设置解密时间；</w:t>
      </w:r>
    </w:p>
    <w:p w14:paraId="5DF9B18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（4）投标人解密投标文件；</w:t>
      </w:r>
    </w:p>
    <w:p w14:paraId="4F1BD146">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（5）导入投标文件；</w:t>
      </w:r>
    </w:p>
    <w:p w14:paraId="79383D5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（6）公布招标项目名称、投标人名称、投标保证金的递交情况、投标报价、交货期、交货地点及其他内容，并记录在案； </w:t>
      </w:r>
    </w:p>
    <w:p w14:paraId="7D9768A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（7）投标人对开标结果进行确认； </w:t>
      </w:r>
    </w:p>
    <w:p w14:paraId="34960A42">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（8）系统生成开标记录，开标结束。 </w:t>
      </w:r>
    </w:p>
    <w:p w14:paraId="7B14661B">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5.3 开标异议</w:t>
      </w:r>
      <w:bookmarkEnd w:id="173"/>
      <w:r>
        <w:rPr>
          <w:rFonts w:hint="eastAsia" w:ascii="Times New Roman" w:hAnsi="Times New Roman" w:eastAsia="宋体" w:cs="宋体"/>
          <w:b/>
          <w:bCs/>
          <w:color w:val="auto"/>
          <w:szCs w:val="28"/>
        </w:rPr>
        <w:t xml:space="preserve"> </w:t>
      </w:r>
    </w:p>
    <w:p w14:paraId="589E1BBC">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投标人对开标有异议的，应当在开标现场提出，招标人或招标代理机构当场作出答复，并制作记录。</w:t>
      </w:r>
    </w:p>
    <w:p w14:paraId="449AD3F0">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74" w:name="_Toc12911"/>
      <w:bookmarkStart w:id="175" w:name="_Toc23458"/>
      <w:bookmarkStart w:id="176" w:name="_Toc3525"/>
      <w:bookmarkStart w:id="177" w:name="_Toc2493"/>
      <w:bookmarkStart w:id="178" w:name="_Toc32736"/>
      <w:bookmarkStart w:id="179" w:name="_Toc56792762"/>
      <w:bookmarkStart w:id="180" w:name="_Toc8670"/>
      <w:r>
        <w:rPr>
          <w:rFonts w:hint="eastAsia" w:ascii="Times New Roman" w:hAnsi="Times New Roman" w:cs="宋体"/>
          <w:b w:val="0"/>
          <w:color w:val="auto"/>
          <w:szCs w:val="28"/>
        </w:rPr>
        <w:t>6.评标</w:t>
      </w:r>
      <w:bookmarkEnd w:id="174"/>
      <w:bookmarkEnd w:id="175"/>
      <w:bookmarkEnd w:id="176"/>
      <w:bookmarkEnd w:id="177"/>
      <w:bookmarkEnd w:id="178"/>
      <w:bookmarkEnd w:id="179"/>
      <w:bookmarkEnd w:id="180"/>
      <w:r>
        <w:rPr>
          <w:rFonts w:hint="eastAsia" w:ascii="Times New Roman" w:hAnsi="Times New Roman" w:cs="宋体"/>
          <w:b w:val="0"/>
          <w:color w:val="auto"/>
          <w:szCs w:val="28"/>
        </w:rPr>
        <w:t xml:space="preserve"> </w:t>
      </w:r>
    </w:p>
    <w:p w14:paraId="02C17376">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1" w:name="_Toc25378"/>
      <w:r>
        <w:rPr>
          <w:rFonts w:hint="eastAsia" w:ascii="Times New Roman" w:hAnsi="Times New Roman" w:eastAsia="宋体" w:cs="宋体"/>
          <w:b/>
          <w:bCs/>
          <w:color w:val="auto"/>
          <w:szCs w:val="28"/>
        </w:rPr>
        <w:t>6.1 评标委员会</w:t>
      </w:r>
      <w:bookmarkEnd w:id="181"/>
      <w:r>
        <w:rPr>
          <w:rFonts w:hint="eastAsia" w:ascii="Times New Roman" w:hAnsi="Times New Roman" w:eastAsia="宋体" w:cs="宋体"/>
          <w:b/>
          <w:bCs/>
          <w:color w:val="auto"/>
          <w:szCs w:val="28"/>
        </w:rPr>
        <w:t xml:space="preserve"> </w:t>
      </w:r>
    </w:p>
    <w:p w14:paraId="52771E1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CABA0B">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6.1.2 评标委员会成员有下列情形之一的，应当回避： </w:t>
      </w:r>
    </w:p>
    <w:p w14:paraId="0250066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（1）投标人或投标人主要负责人的近亲属； </w:t>
      </w:r>
    </w:p>
    <w:p w14:paraId="5311443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（2）项目主管部门或者行政监督部门的人员； </w:t>
      </w:r>
    </w:p>
    <w:p w14:paraId="587242A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（3）与投标人有经济利益关系，可能影响对投标公正评审的； </w:t>
      </w:r>
    </w:p>
    <w:p w14:paraId="3272ECC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（4）曾因在招标、评标以及其他与招标投标有关活动中从事违法行为而受过行政处罚或刑事处罚的； </w:t>
      </w:r>
    </w:p>
    <w:p w14:paraId="7DF1B93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（5）与投标人有其他利害关系。</w:t>
      </w:r>
    </w:p>
    <w:p w14:paraId="3D5C9FD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6.1.3 评标过程中，评标委员会成员有回避事由、擅离职守或者因健康等原因不能继续评标的，招标人有权更换。被更换的评标委员会成员作出的评审结论无效，由更换后的评标委员会成员重新进行评审。</w:t>
      </w:r>
    </w:p>
    <w:p w14:paraId="256DFCC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2" w:name="_Toc2395"/>
      <w:r>
        <w:rPr>
          <w:rFonts w:hint="eastAsia" w:ascii="Times New Roman" w:hAnsi="Times New Roman" w:eastAsia="宋体" w:cs="宋体"/>
          <w:b/>
          <w:bCs/>
          <w:color w:val="auto"/>
          <w:szCs w:val="28"/>
        </w:rPr>
        <w:t>6.2 评标原则</w:t>
      </w:r>
      <w:bookmarkEnd w:id="182"/>
      <w:r>
        <w:rPr>
          <w:rFonts w:hint="eastAsia" w:ascii="Times New Roman" w:hAnsi="Times New Roman" w:eastAsia="宋体" w:cs="宋体"/>
          <w:b/>
          <w:bCs/>
          <w:color w:val="auto"/>
          <w:szCs w:val="28"/>
        </w:rPr>
        <w:t xml:space="preserve"> </w:t>
      </w:r>
    </w:p>
    <w:p w14:paraId="07869B0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评标活动遵循公平、公正、科学和择优的原则。</w:t>
      </w:r>
    </w:p>
    <w:p w14:paraId="51F57138">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83" w:name="_Toc13174"/>
      <w:r>
        <w:rPr>
          <w:rFonts w:hint="eastAsia" w:ascii="Times New Roman" w:hAnsi="Times New Roman" w:eastAsia="宋体" w:cs="宋体"/>
          <w:b/>
          <w:bCs/>
          <w:color w:val="auto"/>
          <w:szCs w:val="28"/>
        </w:rPr>
        <w:t>6.3 评标</w:t>
      </w:r>
      <w:bookmarkEnd w:id="183"/>
      <w:r>
        <w:rPr>
          <w:rFonts w:hint="eastAsia" w:ascii="Times New Roman" w:hAnsi="Times New Roman" w:eastAsia="宋体" w:cs="宋体"/>
          <w:b/>
          <w:bCs/>
          <w:color w:val="auto"/>
          <w:szCs w:val="28"/>
        </w:rPr>
        <w:t xml:space="preserve"> </w:t>
      </w:r>
    </w:p>
    <w:p w14:paraId="500554D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6.3.1 评标委员会按照第三章“评标办法”规定的方法、评审因素、标准和程序对投标文件进行评审。第三章“评标办法”没有规定的方法、评审因素和标准，不作为评标依据。</w:t>
      </w:r>
    </w:p>
    <w:p w14:paraId="7794EB0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6.3.2 评标完成后，评标委员会应当向招标人提交书面评标报告和中标候选人名单。评标委员会推荐中标候选人的人数见投标人须知前附表。</w:t>
      </w:r>
    </w:p>
    <w:p w14:paraId="270AA3AC">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84" w:name="_Toc56792763"/>
      <w:bookmarkStart w:id="185" w:name="_Toc5707"/>
      <w:bookmarkStart w:id="186" w:name="_Toc29348"/>
      <w:bookmarkStart w:id="187" w:name="_Toc12424"/>
      <w:bookmarkStart w:id="188" w:name="_Toc24405"/>
      <w:bookmarkStart w:id="189" w:name="_Toc1175"/>
      <w:bookmarkStart w:id="190" w:name="_Toc9725"/>
      <w:r>
        <w:rPr>
          <w:rFonts w:hint="eastAsia" w:ascii="Times New Roman" w:hAnsi="Times New Roman" w:cs="宋体"/>
          <w:b w:val="0"/>
          <w:color w:val="auto"/>
          <w:szCs w:val="28"/>
        </w:rPr>
        <w:t>7.合同授予</w:t>
      </w:r>
      <w:bookmarkEnd w:id="184"/>
      <w:bookmarkEnd w:id="185"/>
      <w:bookmarkEnd w:id="186"/>
      <w:bookmarkEnd w:id="187"/>
      <w:bookmarkEnd w:id="188"/>
      <w:bookmarkEnd w:id="189"/>
      <w:bookmarkEnd w:id="190"/>
      <w:r>
        <w:rPr>
          <w:rFonts w:hint="eastAsia" w:ascii="Times New Roman" w:hAnsi="Times New Roman" w:cs="宋体"/>
          <w:b w:val="0"/>
          <w:color w:val="auto"/>
          <w:szCs w:val="28"/>
        </w:rPr>
        <w:t xml:space="preserve"> </w:t>
      </w:r>
    </w:p>
    <w:p w14:paraId="5E35D5D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1" w:name="_Toc26195"/>
      <w:r>
        <w:rPr>
          <w:rFonts w:hint="eastAsia" w:ascii="Times New Roman" w:hAnsi="Times New Roman" w:eastAsia="宋体" w:cs="宋体"/>
          <w:b/>
          <w:bCs/>
          <w:color w:val="auto"/>
          <w:szCs w:val="28"/>
        </w:rPr>
        <w:t>7.1 中标候选人公示</w:t>
      </w:r>
      <w:bookmarkEnd w:id="191"/>
      <w:r>
        <w:rPr>
          <w:rFonts w:hint="eastAsia" w:ascii="Times New Roman" w:hAnsi="Times New Roman" w:eastAsia="宋体" w:cs="宋体"/>
          <w:b/>
          <w:bCs/>
          <w:color w:val="auto"/>
          <w:szCs w:val="28"/>
        </w:rPr>
        <w:t xml:space="preserve"> </w:t>
      </w:r>
    </w:p>
    <w:p w14:paraId="5258DF6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招标人应当在中标候选人公示前，认真审查评标委员会提交的书面评标报告，发现异常情形的，依照法定程序进行复核，确认存在问题的，依照法定程序予以纠正。如果评标报告审查无异常，招标人在收到评标报告之日起3日内，按照投标人须知前附表规定的公示媒介和期限公示中标候选人，公示期不得少于3日。</w:t>
      </w:r>
    </w:p>
    <w:p w14:paraId="367F9E3B">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2" w:name="_Toc24135"/>
      <w:r>
        <w:rPr>
          <w:rFonts w:hint="eastAsia" w:ascii="Times New Roman" w:hAnsi="Times New Roman" w:eastAsia="宋体" w:cs="宋体"/>
          <w:b/>
          <w:bCs/>
          <w:color w:val="auto"/>
          <w:szCs w:val="28"/>
        </w:rPr>
        <w:t>7.2 评标结果异议</w:t>
      </w:r>
      <w:bookmarkEnd w:id="192"/>
      <w:r>
        <w:rPr>
          <w:rFonts w:hint="eastAsia" w:ascii="Times New Roman" w:hAnsi="Times New Roman" w:eastAsia="宋体" w:cs="宋体"/>
          <w:b/>
          <w:bCs/>
          <w:color w:val="auto"/>
          <w:szCs w:val="28"/>
        </w:rPr>
        <w:t xml:space="preserve"> </w:t>
      </w:r>
    </w:p>
    <w:p w14:paraId="58E6042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投标人或者其他利害关系人对评标结果有异议的，应当在中标候选人公示期间提出。招标人将在收到异议之日起3日内作出答复；作出答复前，应当暂停招标投标活动。</w:t>
      </w:r>
    </w:p>
    <w:p w14:paraId="0B3AAB15">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3" w:name="_Toc2421"/>
      <w:r>
        <w:rPr>
          <w:rFonts w:hint="eastAsia" w:ascii="Times New Roman" w:hAnsi="Times New Roman" w:eastAsia="宋体" w:cs="宋体"/>
          <w:b/>
          <w:bCs/>
          <w:color w:val="auto"/>
          <w:szCs w:val="28"/>
        </w:rPr>
        <w:t>7.3 中标候选人履约能力审查</w:t>
      </w:r>
      <w:bookmarkEnd w:id="193"/>
      <w:r>
        <w:rPr>
          <w:rFonts w:hint="eastAsia" w:ascii="Times New Roman" w:hAnsi="Times New Roman" w:eastAsia="宋体" w:cs="宋体"/>
          <w:b/>
          <w:bCs/>
          <w:color w:val="auto"/>
          <w:szCs w:val="28"/>
        </w:rPr>
        <w:t xml:space="preserve"> </w:t>
      </w:r>
    </w:p>
    <w:p w14:paraId="64C206B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中标候选人的经营、财务状况发生较大变化或存在违法行为，招标人认为可能影响其履约能力的，将在发出中标通知书前提请原评标委员会按照招标文件规定的标准和方法进行审查确认。</w:t>
      </w:r>
    </w:p>
    <w:p w14:paraId="02887C44">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4" w:name="_Toc21753"/>
      <w:r>
        <w:rPr>
          <w:rFonts w:hint="eastAsia" w:ascii="Times New Roman" w:hAnsi="Times New Roman" w:eastAsia="宋体" w:cs="宋体"/>
          <w:b/>
          <w:bCs/>
          <w:color w:val="auto"/>
          <w:szCs w:val="28"/>
        </w:rPr>
        <w:t>7.4 定标</w:t>
      </w:r>
      <w:bookmarkEnd w:id="194"/>
      <w:r>
        <w:rPr>
          <w:rFonts w:hint="eastAsia" w:ascii="Times New Roman" w:hAnsi="Times New Roman" w:eastAsia="宋体" w:cs="宋体"/>
          <w:b/>
          <w:bCs/>
          <w:color w:val="auto"/>
          <w:szCs w:val="28"/>
        </w:rPr>
        <w:t xml:space="preserve"> </w:t>
      </w:r>
    </w:p>
    <w:p w14:paraId="4913F1C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按照投标人须知前附表的规定，招标人或招标人授权的评标委员会依法确定中标人。</w:t>
      </w:r>
    </w:p>
    <w:p w14:paraId="1D2E43AC">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5" w:name="_Toc14517"/>
      <w:r>
        <w:rPr>
          <w:rFonts w:hint="eastAsia" w:ascii="Times New Roman" w:hAnsi="Times New Roman" w:eastAsia="宋体" w:cs="宋体"/>
          <w:b/>
          <w:bCs/>
          <w:color w:val="auto"/>
          <w:szCs w:val="28"/>
        </w:rPr>
        <w:t>7.5 中标通知</w:t>
      </w:r>
      <w:bookmarkEnd w:id="195"/>
      <w:r>
        <w:rPr>
          <w:rFonts w:hint="eastAsia" w:ascii="Times New Roman" w:hAnsi="Times New Roman" w:eastAsia="宋体" w:cs="宋体"/>
          <w:b/>
          <w:bCs/>
          <w:color w:val="auto"/>
          <w:szCs w:val="28"/>
        </w:rPr>
        <w:t xml:space="preserve"> </w:t>
      </w:r>
    </w:p>
    <w:p w14:paraId="12E6DDB3">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在本章第 3.3 款规定的投标有效期内，招标人以书面形式向中标人发出中标通知书，同时将中标结果通知未中标的投标人。</w:t>
      </w:r>
    </w:p>
    <w:p w14:paraId="3DD3E90E">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6" w:name="_Toc29268"/>
      <w:r>
        <w:rPr>
          <w:rFonts w:hint="eastAsia" w:ascii="Times New Roman" w:hAnsi="Times New Roman" w:eastAsia="宋体" w:cs="宋体"/>
          <w:b/>
          <w:bCs/>
          <w:color w:val="auto"/>
          <w:szCs w:val="28"/>
        </w:rPr>
        <w:t xml:space="preserve">7.6 </w:t>
      </w:r>
      <w:bookmarkEnd w:id="196"/>
      <w:r>
        <w:rPr>
          <w:rFonts w:hint="eastAsia" w:ascii="Times New Roman" w:hAnsi="Times New Roman" w:eastAsia="宋体" w:cs="宋体"/>
          <w:b/>
          <w:bCs/>
          <w:color w:val="auto"/>
          <w:szCs w:val="28"/>
        </w:rPr>
        <w:t xml:space="preserve">履约保证金 </w:t>
      </w:r>
    </w:p>
    <w:p w14:paraId="05A08D70">
      <w:pPr>
        <w:widowControl w:val="0"/>
        <w:tabs>
          <w:tab w:val="left" w:pos="0"/>
        </w:tabs>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金额为中标合同金额的 10%。联合体中标的，其履约保证金以联合体各方或者联合体中牵头人的名义提交。</w:t>
      </w:r>
    </w:p>
    <w:p w14:paraId="7B5EC2DF">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7.6.2 中标人不能按本章第7.6.1项要求提交履约保证金的，视为放弃中标，其投标保证金不予退还，给招标人造成的损失超过投标保证金数额的，中标人还应当对超过部分予以赔偿。</w:t>
      </w:r>
    </w:p>
    <w:p w14:paraId="7D66E642">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197" w:name="_Toc12276"/>
      <w:r>
        <w:rPr>
          <w:rFonts w:hint="eastAsia" w:ascii="Times New Roman" w:hAnsi="Times New Roman" w:eastAsia="宋体" w:cs="宋体"/>
          <w:b/>
          <w:bCs/>
          <w:color w:val="auto"/>
          <w:szCs w:val="28"/>
        </w:rPr>
        <w:t>7.7 签订合同</w:t>
      </w:r>
      <w:bookmarkEnd w:id="197"/>
      <w:r>
        <w:rPr>
          <w:rFonts w:hint="eastAsia" w:ascii="Times New Roman" w:hAnsi="Times New Roman" w:eastAsia="宋体" w:cs="宋体"/>
          <w:b/>
          <w:bCs/>
          <w:color w:val="auto"/>
          <w:szCs w:val="28"/>
        </w:rPr>
        <w:t xml:space="preserve"> </w:t>
      </w:r>
    </w:p>
    <w:p w14:paraId="6F9C7EEA">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1BDCA78">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7.7.2 发出中标通知书后，招标人无正当理由拒签合同，或者在签订合同时向中标人提出附加条件的，招标人向中标人退还投标保证金；给中标人造成损失的，还应当赔偿损失。</w:t>
      </w:r>
    </w:p>
    <w:p w14:paraId="490D5A59">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7.7.3 联合体中标的，联合体各方应当共同与招标人签订合同，就中标项目向招标人承担连带责任。</w:t>
      </w:r>
    </w:p>
    <w:p w14:paraId="204FF2BC">
      <w:pPr>
        <w:pStyle w:val="3"/>
        <w:keepNext w:val="0"/>
        <w:keepLines w:val="0"/>
        <w:widowControl w:val="0"/>
        <w:adjustRightInd w:val="0"/>
        <w:snapToGrid w:val="0"/>
        <w:spacing w:line="490" w:lineRule="exact"/>
        <w:ind w:left="0" w:right="0" w:firstLine="560" w:firstLineChars="200"/>
        <w:jc w:val="both"/>
        <w:rPr>
          <w:rFonts w:ascii="Times New Roman" w:hAnsi="Times New Roman" w:cs="宋体"/>
          <w:b w:val="0"/>
          <w:color w:val="auto"/>
          <w:szCs w:val="28"/>
        </w:rPr>
      </w:pPr>
      <w:bookmarkStart w:id="198" w:name="_Toc6407"/>
      <w:bookmarkStart w:id="199" w:name="_Toc17193"/>
      <w:bookmarkStart w:id="200" w:name="_Toc11685"/>
      <w:bookmarkStart w:id="201" w:name="_Toc11472"/>
      <w:bookmarkStart w:id="202" w:name="_Toc15989"/>
      <w:bookmarkStart w:id="203" w:name="_Toc14020"/>
      <w:bookmarkStart w:id="204" w:name="_Toc56792764"/>
      <w:r>
        <w:rPr>
          <w:rFonts w:hint="eastAsia" w:ascii="Times New Roman" w:hAnsi="Times New Roman" w:cs="宋体"/>
          <w:b w:val="0"/>
          <w:color w:val="auto"/>
          <w:szCs w:val="28"/>
        </w:rPr>
        <w:t>8.纪律和监督</w:t>
      </w:r>
      <w:bookmarkEnd w:id="198"/>
      <w:bookmarkEnd w:id="199"/>
      <w:bookmarkEnd w:id="200"/>
      <w:bookmarkEnd w:id="201"/>
      <w:bookmarkEnd w:id="202"/>
      <w:bookmarkEnd w:id="203"/>
      <w:bookmarkEnd w:id="204"/>
      <w:r>
        <w:rPr>
          <w:rFonts w:hint="eastAsia" w:ascii="Times New Roman" w:hAnsi="Times New Roman" w:cs="宋体"/>
          <w:b w:val="0"/>
          <w:color w:val="auto"/>
          <w:szCs w:val="28"/>
        </w:rPr>
        <w:t xml:space="preserve"> </w:t>
      </w:r>
    </w:p>
    <w:p w14:paraId="361FC713">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5" w:name="_Toc30066"/>
      <w:r>
        <w:rPr>
          <w:rFonts w:hint="eastAsia" w:ascii="Times New Roman" w:hAnsi="Times New Roman" w:eastAsia="宋体" w:cs="宋体"/>
          <w:b/>
          <w:bCs/>
          <w:color w:val="auto"/>
          <w:szCs w:val="28"/>
        </w:rPr>
        <w:t>8.1 对招标人的纪律要求</w:t>
      </w:r>
      <w:bookmarkEnd w:id="205"/>
      <w:r>
        <w:rPr>
          <w:rFonts w:hint="eastAsia" w:ascii="Times New Roman" w:hAnsi="Times New Roman" w:eastAsia="宋体" w:cs="宋体"/>
          <w:b/>
          <w:bCs/>
          <w:color w:val="auto"/>
          <w:szCs w:val="28"/>
        </w:rPr>
        <w:t xml:space="preserve"> </w:t>
      </w:r>
    </w:p>
    <w:p w14:paraId="7C250741">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招标人不得泄露招标投标活动中应当保密的情况和资料，不得与投标人串通损害国家利益、社会公共利益或者他人合法利益。</w:t>
      </w:r>
    </w:p>
    <w:p w14:paraId="33944346">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6" w:name="_Toc31893"/>
      <w:r>
        <w:rPr>
          <w:rFonts w:hint="eastAsia" w:ascii="Times New Roman" w:hAnsi="Times New Roman" w:eastAsia="宋体" w:cs="宋体"/>
          <w:b/>
          <w:bCs/>
          <w:color w:val="auto"/>
          <w:szCs w:val="28"/>
        </w:rPr>
        <w:t>8.2 对投标人的纪律要求</w:t>
      </w:r>
      <w:bookmarkEnd w:id="206"/>
      <w:r>
        <w:rPr>
          <w:rFonts w:hint="eastAsia" w:ascii="Times New Roman" w:hAnsi="Times New Roman" w:eastAsia="宋体" w:cs="宋体"/>
          <w:b/>
          <w:bCs/>
          <w:color w:val="auto"/>
          <w:szCs w:val="28"/>
        </w:rPr>
        <w:t xml:space="preserve"> </w:t>
      </w:r>
    </w:p>
    <w:p w14:paraId="59E5953E">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79B49EF">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7" w:name="_Toc10244"/>
      <w:r>
        <w:rPr>
          <w:rFonts w:hint="eastAsia" w:ascii="Times New Roman" w:hAnsi="Times New Roman" w:eastAsia="宋体" w:cs="宋体"/>
          <w:b/>
          <w:bCs/>
          <w:color w:val="auto"/>
          <w:szCs w:val="28"/>
        </w:rPr>
        <w:t>8.3 对评标委员会成员的纪律要求</w:t>
      </w:r>
      <w:bookmarkEnd w:id="207"/>
      <w:r>
        <w:rPr>
          <w:rFonts w:hint="eastAsia" w:ascii="Times New Roman" w:hAnsi="Times New Roman" w:eastAsia="宋体" w:cs="宋体"/>
          <w:b/>
          <w:bCs/>
          <w:color w:val="auto"/>
          <w:szCs w:val="28"/>
        </w:rPr>
        <w:t xml:space="preserve"> </w:t>
      </w:r>
    </w:p>
    <w:p w14:paraId="7B702A91">
      <w:pPr>
        <w:ind w:firstLine="560" w:firstLineChars="200"/>
      </w:pPr>
      <w:r>
        <w:rPr>
          <w:rFonts w:hint="eastAsia" w:ascii="Times New Roman" w:hAnsi="Times New Roman" w:eastAsia="宋体" w:cs="宋体"/>
          <w:color w:val="auto"/>
          <w:sz w:val="28"/>
          <w:szCs w:val="28"/>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bookmarkStart w:id="208" w:name="_Toc30562"/>
    </w:p>
    <w:p w14:paraId="191DE73A">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r>
        <w:rPr>
          <w:rFonts w:hint="eastAsia" w:ascii="Times New Roman" w:hAnsi="Times New Roman" w:eastAsia="宋体" w:cs="宋体"/>
          <w:b/>
          <w:bCs/>
          <w:color w:val="auto"/>
          <w:szCs w:val="28"/>
        </w:rPr>
        <w:t>8.4 对与评标活动有关的工作人员的纪律要求</w:t>
      </w:r>
      <w:bookmarkEnd w:id="208"/>
      <w:r>
        <w:rPr>
          <w:rFonts w:hint="eastAsia" w:ascii="Times New Roman" w:hAnsi="Times New Roman" w:eastAsia="宋体" w:cs="宋体"/>
          <w:b/>
          <w:bCs/>
          <w:color w:val="auto"/>
          <w:szCs w:val="28"/>
        </w:rPr>
        <w:t xml:space="preserve"> </w:t>
      </w:r>
    </w:p>
    <w:p w14:paraId="2B3C5AF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5796BE0">
      <w:pPr>
        <w:pStyle w:val="4"/>
        <w:keepNext w:val="0"/>
        <w:keepLines w:val="0"/>
        <w:widowControl w:val="0"/>
        <w:adjustRightInd w:val="0"/>
        <w:snapToGrid w:val="0"/>
        <w:spacing w:after="0" w:line="490" w:lineRule="exact"/>
        <w:ind w:left="0" w:right="0" w:firstLine="562" w:firstLineChars="200"/>
        <w:jc w:val="both"/>
        <w:rPr>
          <w:rFonts w:ascii="Times New Roman" w:hAnsi="Times New Roman" w:eastAsia="宋体" w:cs="宋体"/>
          <w:b/>
          <w:bCs/>
          <w:color w:val="auto"/>
          <w:szCs w:val="28"/>
        </w:rPr>
      </w:pPr>
      <w:bookmarkStart w:id="209" w:name="_Toc6074"/>
      <w:r>
        <w:rPr>
          <w:rFonts w:hint="eastAsia" w:ascii="Times New Roman" w:hAnsi="Times New Roman" w:eastAsia="宋体" w:cs="宋体"/>
          <w:b/>
          <w:bCs/>
          <w:color w:val="auto"/>
          <w:szCs w:val="28"/>
        </w:rPr>
        <w:t>8.5 投诉</w:t>
      </w:r>
      <w:bookmarkEnd w:id="209"/>
      <w:r>
        <w:rPr>
          <w:rFonts w:hint="eastAsia" w:ascii="Times New Roman" w:hAnsi="Times New Roman" w:eastAsia="宋体" w:cs="宋体"/>
          <w:b/>
          <w:bCs/>
          <w:color w:val="auto"/>
          <w:szCs w:val="28"/>
        </w:rPr>
        <w:t xml:space="preserve"> </w:t>
      </w:r>
    </w:p>
    <w:p w14:paraId="5E2C3D2D">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8.5.1投标人或者其他利害关系人认为招标投标活动不符合法律、行政法规规定的，可以自知道或者应当知道之日起10日内向有关行政监督部门投诉。投诉应当有明确的请求和必要的证明材料</w:t>
      </w:r>
    </w:p>
    <w:p w14:paraId="6233C827">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8.5.2 投标人或者其他利害关系人对招标文件、开标和评标结果提出投诉的，应当按照投标人须知第2.4 款、第5.3 款和第 7.2 款的规定先向招标人提出异议。异议答复期间不计算在第 8.5.1 项规定的期限内。</w:t>
      </w:r>
    </w:p>
    <w:p w14:paraId="77927414">
      <w:pPr>
        <w:pStyle w:val="3"/>
        <w:keepNext w:val="0"/>
        <w:keepLines w:val="0"/>
        <w:widowControl w:val="0"/>
        <w:adjustRightInd w:val="0"/>
        <w:snapToGrid w:val="0"/>
        <w:spacing w:line="490" w:lineRule="exact"/>
        <w:ind w:left="0" w:right="0" w:firstLine="562" w:firstLineChars="200"/>
        <w:jc w:val="both"/>
        <w:rPr>
          <w:rFonts w:ascii="Times New Roman" w:hAnsi="Times New Roman" w:cs="宋体"/>
          <w:color w:val="auto"/>
          <w:szCs w:val="28"/>
        </w:rPr>
      </w:pPr>
      <w:bookmarkStart w:id="210" w:name="_Toc17654"/>
      <w:bookmarkStart w:id="211" w:name="_Toc9374"/>
      <w:bookmarkStart w:id="212" w:name="_Toc56792765"/>
      <w:r>
        <w:rPr>
          <w:rFonts w:hint="eastAsia" w:ascii="Times New Roman" w:hAnsi="Times New Roman" w:cs="宋体"/>
          <w:color w:val="auto"/>
          <w:szCs w:val="28"/>
        </w:rPr>
        <w:t>9.需要补充的其他内容</w:t>
      </w:r>
      <w:bookmarkEnd w:id="210"/>
      <w:bookmarkEnd w:id="211"/>
      <w:bookmarkEnd w:id="212"/>
      <w:r>
        <w:rPr>
          <w:rFonts w:hint="eastAsia" w:ascii="Times New Roman" w:hAnsi="Times New Roman" w:cs="宋体"/>
          <w:color w:val="auto"/>
          <w:szCs w:val="28"/>
        </w:rPr>
        <w:t xml:space="preserve"> </w:t>
      </w:r>
    </w:p>
    <w:p w14:paraId="487C2365">
      <w:pPr>
        <w:widowControl w:val="0"/>
        <w:adjustRightInd w:val="0"/>
        <w:snapToGrid w:val="0"/>
        <w:spacing w:after="0" w:line="490" w:lineRule="exact"/>
        <w:ind w:firstLine="56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t>需要补充的其他内容：见投标人须知前附表。</w:t>
      </w:r>
    </w:p>
    <w:p w14:paraId="5D66A48B">
      <w:pPr>
        <w:pStyle w:val="3"/>
        <w:rPr>
          <w:bCs/>
          <w:szCs w:val="20"/>
        </w:rPr>
      </w:pPr>
      <w:r>
        <w:rPr>
          <w:rFonts w:hint="eastAsia" w:ascii="Times New Roman" w:hAnsi="Times New Roman" w:cs="宋体"/>
          <w:color w:val="auto"/>
          <w:szCs w:val="28"/>
        </w:rPr>
        <w:br w:type="page"/>
      </w:r>
      <w:bookmarkStart w:id="213" w:name="_Toc269742737"/>
      <w:bookmarkStart w:id="214" w:name="_Toc259698637"/>
      <w:bookmarkStart w:id="215" w:name="_Toc511317219"/>
      <w:bookmarkStart w:id="216" w:name="_Toc511317968"/>
      <w:bookmarkStart w:id="217" w:name="_Toc15480"/>
      <w:bookmarkStart w:id="218" w:name="_Toc27399"/>
      <w:bookmarkStart w:id="219" w:name="_Toc7369"/>
      <w:r>
        <w:rPr>
          <w:rFonts w:hint="eastAsia" w:ascii="宋体" w:hAnsi="宋体" w:cs="宋体"/>
          <w:szCs w:val="20"/>
        </w:rPr>
        <w:t>附件一</w:t>
      </w:r>
      <w:bookmarkEnd w:id="213"/>
      <w:bookmarkEnd w:id="214"/>
      <w:bookmarkEnd w:id="215"/>
      <w:bookmarkEnd w:id="216"/>
      <w:r>
        <w:rPr>
          <w:rFonts w:hint="eastAsia" w:ascii="宋体" w:hAnsi="宋体" w:cs="宋体"/>
          <w:szCs w:val="20"/>
        </w:rPr>
        <w:t>：</w:t>
      </w:r>
      <w:bookmarkEnd w:id="217"/>
      <w:r>
        <w:rPr>
          <w:rFonts w:hint="eastAsia" w:ascii="宋体" w:hAnsi="宋体" w:cs="宋体"/>
          <w:szCs w:val="20"/>
        </w:rPr>
        <w:t>招标文件澄清申请函</w:t>
      </w:r>
      <w:bookmarkEnd w:id="218"/>
    </w:p>
    <w:p w14:paraId="45C353F1">
      <w:bookmarkStart w:id="220" w:name="_Toc259698638"/>
    </w:p>
    <w:p w14:paraId="71783085">
      <w:pPr>
        <w:spacing w:line="490" w:lineRule="exact"/>
        <w:jc w:val="center"/>
        <w:rPr>
          <w:b/>
          <w:bCs/>
          <w:sz w:val="40"/>
          <w:szCs w:val="20"/>
        </w:rPr>
      </w:pPr>
      <w:r>
        <w:rPr>
          <w:b/>
          <w:bCs/>
          <w:sz w:val="40"/>
          <w:szCs w:val="20"/>
        </w:rPr>
        <w:t>招标文件澄清申请函</w:t>
      </w:r>
      <w:bookmarkEnd w:id="220"/>
    </w:p>
    <w:p w14:paraId="2AEA54B4">
      <w:pPr>
        <w:spacing w:line="490" w:lineRule="exact"/>
        <w:jc w:val="center"/>
        <w:rPr>
          <w:b/>
          <w:bCs/>
          <w:sz w:val="56"/>
          <w:szCs w:val="20"/>
        </w:rPr>
      </w:pPr>
    </w:p>
    <w:p w14:paraId="7AC056ED">
      <w:pPr>
        <w:pStyle w:val="12"/>
        <w:spacing w:line="490" w:lineRule="exact"/>
        <w:ind w:left="560" w:hanging="560"/>
        <w:jc w:val="center"/>
        <w:rPr>
          <w:sz w:val="28"/>
          <w:u w:val="single"/>
        </w:rPr>
      </w:pPr>
      <w:r>
        <w:rPr>
          <w:sz w:val="28"/>
        </w:rPr>
        <w:t xml:space="preserve">                      编号：</w:t>
      </w:r>
      <w:r>
        <w:rPr>
          <w:sz w:val="28"/>
          <w:u w:val="single"/>
        </w:rPr>
        <w:t xml:space="preserve">                </w:t>
      </w:r>
    </w:p>
    <w:p w14:paraId="3FD3C4A0">
      <w:pPr>
        <w:spacing w:line="490" w:lineRule="exact"/>
        <w:rPr>
          <w:sz w:val="28"/>
        </w:rPr>
      </w:pPr>
    </w:p>
    <w:p w14:paraId="3A2AF1C9">
      <w:pPr>
        <w:pStyle w:val="7"/>
        <w:spacing w:line="490" w:lineRule="exact"/>
        <w:ind w:left="0" w:leftChars="0"/>
        <w:rPr>
          <w:sz w:val="28"/>
        </w:rPr>
      </w:pPr>
      <w:r>
        <w:rPr>
          <w:sz w:val="28"/>
          <w:u w:val="single"/>
        </w:rPr>
        <w:t xml:space="preserve">                </w:t>
      </w:r>
      <w:r>
        <w:rPr>
          <w:sz w:val="28"/>
        </w:rPr>
        <w:t>（招标人名称）：</w:t>
      </w:r>
    </w:p>
    <w:p w14:paraId="1C8A86AF">
      <w:pPr>
        <w:autoSpaceDE w:val="0"/>
        <w:autoSpaceDN w:val="0"/>
        <w:adjustRightInd w:val="0"/>
        <w:spacing w:line="490" w:lineRule="exact"/>
        <w:ind w:firstLine="560" w:firstLineChars="200"/>
        <w:rPr>
          <w:sz w:val="28"/>
        </w:rPr>
      </w:pPr>
      <w:r>
        <w:rPr>
          <w:sz w:val="28"/>
        </w:rPr>
        <w:t>经过仔细阅读</w:t>
      </w:r>
      <w:r>
        <w:rPr>
          <w:sz w:val="28"/>
          <w:u w:val="single"/>
        </w:rPr>
        <w:t xml:space="preserve">             </w:t>
      </w:r>
      <w:r>
        <w:rPr>
          <w:sz w:val="28"/>
        </w:rPr>
        <w:t>（项目名称）</w:t>
      </w:r>
      <w:r>
        <w:rPr>
          <w:sz w:val="28"/>
          <w:u w:val="single"/>
        </w:rPr>
        <w:t xml:space="preserve">            </w:t>
      </w:r>
      <w:r>
        <w:rPr>
          <w:sz w:val="28"/>
        </w:rPr>
        <w:t>（标段名称）招标文件后，我方申请对以下问题予以澄清：</w:t>
      </w:r>
    </w:p>
    <w:p w14:paraId="095DB92D">
      <w:pPr>
        <w:autoSpaceDE w:val="0"/>
        <w:autoSpaceDN w:val="0"/>
        <w:adjustRightInd w:val="0"/>
        <w:spacing w:line="490" w:lineRule="exact"/>
        <w:ind w:firstLine="560" w:firstLineChars="200"/>
        <w:rPr>
          <w:sz w:val="28"/>
        </w:rPr>
      </w:pPr>
      <w:r>
        <w:rPr>
          <w:sz w:val="28"/>
        </w:rPr>
        <w:t>1.……</w:t>
      </w:r>
    </w:p>
    <w:p w14:paraId="6B959F67">
      <w:pPr>
        <w:autoSpaceDE w:val="0"/>
        <w:autoSpaceDN w:val="0"/>
        <w:adjustRightInd w:val="0"/>
        <w:spacing w:line="490" w:lineRule="exact"/>
        <w:ind w:firstLine="560" w:firstLineChars="200"/>
        <w:rPr>
          <w:sz w:val="28"/>
        </w:rPr>
      </w:pPr>
      <w:r>
        <w:rPr>
          <w:sz w:val="28"/>
        </w:rPr>
        <w:t>2.……</w:t>
      </w:r>
    </w:p>
    <w:p w14:paraId="66112B20">
      <w:pPr>
        <w:autoSpaceDE w:val="0"/>
        <w:autoSpaceDN w:val="0"/>
        <w:adjustRightInd w:val="0"/>
        <w:spacing w:line="490" w:lineRule="exact"/>
        <w:ind w:firstLine="560" w:firstLineChars="200"/>
        <w:rPr>
          <w:sz w:val="28"/>
        </w:rPr>
      </w:pPr>
      <w:r>
        <w:rPr>
          <w:sz w:val="28"/>
        </w:rPr>
        <w:t>……</w:t>
      </w:r>
    </w:p>
    <w:p w14:paraId="3BB05C71">
      <w:pPr>
        <w:spacing w:line="490" w:lineRule="exact"/>
        <w:rPr>
          <w:sz w:val="28"/>
        </w:rPr>
      </w:pPr>
    </w:p>
    <w:p w14:paraId="77D73184">
      <w:pPr>
        <w:pStyle w:val="12"/>
        <w:spacing w:line="490" w:lineRule="exact"/>
        <w:ind w:left="0" w:right="560" w:firstLine="5180" w:firstLineChars="1850"/>
        <w:rPr>
          <w:sz w:val="28"/>
          <w:u w:val="single"/>
        </w:rPr>
      </w:pPr>
      <w:r>
        <w:rPr>
          <w:sz w:val="28"/>
        </w:rPr>
        <w:t>投标人：</w:t>
      </w:r>
      <w:r>
        <w:rPr>
          <w:sz w:val="28"/>
          <w:u w:val="single"/>
        </w:rPr>
        <w:t xml:space="preserve">                   </w:t>
      </w:r>
    </w:p>
    <w:p w14:paraId="15938653">
      <w:pPr>
        <w:pStyle w:val="12"/>
        <w:spacing w:line="490" w:lineRule="exact"/>
        <w:ind w:left="440" w:leftChars="200" w:right="560" w:firstLine="0" w:firstLineChars="0"/>
        <w:jc w:val="center"/>
        <w:rPr>
          <w:sz w:val="28"/>
        </w:rPr>
      </w:pPr>
      <w:r>
        <w:rPr>
          <w:sz w:val="28"/>
        </w:rPr>
        <w:t xml:space="preserve">                                         </w:t>
      </w:r>
      <w:r>
        <w:rPr>
          <w:rFonts w:hint="eastAsia"/>
          <w:sz w:val="28"/>
        </w:rPr>
        <w:t xml:space="preserve">              </w:t>
      </w:r>
      <w:r>
        <w:rPr>
          <w:sz w:val="28"/>
        </w:rPr>
        <w:t>（盖单位公章）</w:t>
      </w:r>
    </w:p>
    <w:p w14:paraId="5794CAE2">
      <w:pPr>
        <w:pStyle w:val="12"/>
        <w:tabs>
          <w:tab w:val="left" w:pos="6237"/>
        </w:tabs>
        <w:spacing w:line="490" w:lineRule="exact"/>
        <w:ind w:left="440" w:leftChars="200" w:firstLine="0" w:firstLineChars="0"/>
        <w:jc w:val="center"/>
        <w:rPr>
          <w:sz w:val="28"/>
        </w:rPr>
      </w:pPr>
      <w:r>
        <w:rPr>
          <w:rFonts w:hint="eastAsia"/>
          <w:sz w:val="28"/>
        </w:rPr>
        <w:t xml:space="preserve">                                           </w:t>
      </w:r>
      <w:r>
        <w:rPr>
          <w:sz w:val="28"/>
        </w:rPr>
        <w:t xml:space="preserve"> </w:t>
      </w: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14:paraId="02382ACE">
      <w:pPr>
        <w:spacing w:line="490" w:lineRule="exact"/>
        <w:rPr>
          <w:sz w:val="28"/>
        </w:rPr>
      </w:pPr>
    </w:p>
    <w:p w14:paraId="3FCEC720">
      <w:pPr>
        <w:pStyle w:val="3"/>
        <w:rPr>
          <w:bCs/>
          <w:szCs w:val="20"/>
        </w:rPr>
      </w:pPr>
      <w:r>
        <w:rPr>
          <w:sz w:val="20"/>
        </w:rPr>
        <w:br w:type="page"/>
      </w:r>
      <w:bookmarkStart w:id="221" w:name="_Toc511317969"/>
      <w:bookmarkStart w:id="222" w:name="_Toc259698639"/>
      <w:bookmarkStart w:id="223" w:name="_Toc269742738"/>
      <w:bookmarkStart w:id="224" w:name="_Toc511317220"/>
      <w:bookmarkStart w:id="225" w:name="_Toc8070"/>
      <w:bookmarkStart w:id="226" w:name="_Toc25264"/>
      <w:r>
        <w:rPr>
          <w:szCs w:val="20"/>
        </w:rPr>
        <w:t>附件二</w:t>
      </w:r>
      <w:bookmarkEnd w:id="221"/>
      <w:bookmarkEnd w:id="222"/>
      <w:bookmarkEnd w:id="223"/>
      <w:bookmarkEnd w:id="224"/>
      <w:r>
        <w:rPr>
          <w:rFonts w:hint="eastAsia"/>
          <w:szCs w:val="20"/>
        </w:rPr>
        <w:t>：</w:t>
      </w:r>
      <w:bookmarkEnd w:id="225"/>
      <w:r>
        <w:rPr>
          <w:rFonts w:hint="eastAsia"/>
          <w:szCs w:val="20"/>
        </w:rPr>
        <w:t>招标文件澄清通知</w:t>
      </w:r>
      <w:bookmarkEnd w:id="226"/>
    </w:p>
    <w:p w14:paraId="7AB9E97F">
      <w:pPr>
        <w:spacing w:line="490" w:lineRule="exact"/>
        <w:jc w:val="center"/>
        <w:rPr>
          <w:b/>
          <w:bCs/>
          <w:sz w:val="40"/>
          <w:szCs w:val="20"/>
        </w:rPr>
      </w:pPr>
      <w:bookmarkStart w:id="227" w:name="_Toc259698640"/>
      <w:r>
        <w:rPr>
          <w:b/>
          <w:bCs/>
          <w:sz w:val="40"/>
          <w:szCs w:val="20"/>
        </w:rPr>
        <w:t>招标文件澄清通知</w:t>
      </w:r>
      <w:bookmarkEnd w:id="227"/>
    </w:p>
    <w:p w14:paraId="493F99EF">
      <w:pPr>
        <w:spacing w:line="490" w:lineRule="exact"/>
        <w:jc w:val="center"/>
        <w:rPr>
          <w:b/>
          <w:bCs/>
          <w:sz w:val="40"/>
          <w:szCs w:val="20"/>
        </w:rPr>
      </w:pPr>
    </w:p>
    <w:p w14:paraId="280135C6">
      <w:pPr>
        <w:spacing w:line="490" w:lineRule="exact"/>
        <w:jc w:val="center"/>
        <w:rPr>
          <w:sz w:val="28"/>
          <w:szCs w:val="32"/>
        </w:rPr>
      </w:pPr>
      <w:r>
        <w:rPr>
          <w:sz w:val="28"/>
          <w:szCs w:val="32"/>
        </w:rPr>
        <w:t xml:space="preserve">                       编号：</w:t>
      </w:r>
      <w:r>
        <w:rPr>
          <w:sz w:val="28"/>
          <w:szCs w:val="32"/>
          <w:u w:val="single"/>
        </w:rPr>
        <w:t xml:space="preserve">                </w:t>
      </w:r>
    </w:p>
    <w:p w14:paraId="5178BF80">
      <w:pPr>
        <w:spacing w:line="490" w:lineRule="exact"/>
        <w:rPr>
          <w:sz w:val="28"/>
          <w:szCs w:val="32"/>
        </w:rPr>
      </w:pPr>
    </w:p>
    <w:p w14:paraId="205771C9">
      <w:pPr>
        <w:autoSpaceDE w:val="0"/>
        <w:autoSpaceDN w:val="0"/>
        <w:adjustRightInd w:val="0"/>
        <w:spacing w:line="490" w:lineRule="exact"/>
        <w:ind w:firstLine="560" w:firstLineChars="200"/>
        <w:rPr>
          <w:sz w:val="28"/>
          <w:szCs w:val="32"/>
        </w:rPr>
      </w:pPr>
      <w:r>
        <w:rPr>
          <w:sz w:val="28"/>
          <w:szCs w:val="32"/>
        </w:rPr>
        <w:t>经研究，对</w:t>
      </w:r>
      <w:r>
        <w:rPr>
          <w:sz w:val="28"/>
          <w:szCs w:val="32"/>
          <w:u w:val="single"/>
        </w:rPr>
        <w:t xml:space="preserve">                </w:t>
      </w:r>
      <w:r>
        <w:rPr>
          <w:sz w:val="28"/>
          <w:szCs w:val="32"/>
        </w:rPr>
        <w:t>（项目名称）</w:t>
      </w:r>
      <w:r>
        <w:rPr>
          <w:sz w:val="28"/>
          <w:szCs w:val="32"/>
          <w:u w:val="single"/>
        </w:rPr>
        <w:t xml:space="preserve">                </w:t>
      </w:r>
      <w:r>
        <w:rPr>
          <w:sz w:val="28"/>
          <w:szCs w:val="32"/>
        </w:rPr>
        <w:t>（标段名称）招标文件，作如下澄清：</w:t>
      </w:r>
    </w:p>
    <w:p w14:paraId="55B4EF27">
      <w:pPr>
        <w:autoSpaceDE w:val="0"/>
        <w:autoSpaceDN w:val="0"/>
        <w:adjustRightInd w:val="0"/>
        <w:spacing w:line="490" w:lineRule="exact"/>
        <w:ind w:firstLine="560" w:firstLineChars="200"/>
        <w:rPr>
          <w:sz w:val="28"/>
          <w:szCs w:val="32"/>
        </w:rPr>
      </w:pPr>
      <w:r>
        <w:rPr>
          <w:sz w:val="28"/>
          <w:szCs w:val="32"/>
        </w:rPr>
        <w:t>1.……</w:t>
      </w:r>
    </w:p>
    <w:p w14:paraId="1947A1C8">
      <w:pPr>
        <w:autoSpaceDE w:val="0"/>
        <w:autoSpaceDN w:val="0"/>
        <w:adjustRightInd w:val="0"/>
        <w:spacing w:line="490" w:lineRule="exact"/>
        <w:ind w:firstLine="560" w:firstLineChars="200"/>
        <w:rPr>
          <w:sz w:val="28"/>
          <w:szCs w:val="32"/>
        </w:rPr>
      </w:pPr>
      <w:r>
        <w:rPr>
          <w:sz w:val="28"/>
          <w:szCs w:val="32"/>
        </w:rPr>
        <w:t>2.……</w:t>
      </w:r>
    </w:p>
    <w:p w14:paraId="6C163DBC">
      <w:pPr>
        <w:pStyle w:val="12"/>
        <w:spacing w:line="490" w:lineRule="exact"/>
        <w:ind w:left="0" w:firstLine="560" w:firstLineChars="200"/>
        <w:rPr>
          <w:sz w:val="28"/>
          <w:szCs w:val="32"/>
        </w:rPr>
      </w:pPr>
      <w:r>
        <w:rPr>
          <w:sz w:val="28"/>
          <w:szCs w:val="32"/>
        </w:rPr>
        <w:t>……</w:t>
      </w:r>
    </w:p>
    <w:p w14:paraId="2C4B4B76">
      <w:pPr>
        <w:spacing w:line="490" w:lineRule="exact"/>
        <w:rPr>
          <w:sz w:val="28"/>
          <w:szCs w:val="32"/>
        </w:rPr>
      </w:pPr>
    </w:p>
    <w:p w14:paraId="5F9AB293">
      <w:pPr>
        <w:spacing w:line="490" w:lineRule="exact"/>
        <w:rPr>
          <w:sz w:val="28"/>
          <w:szCs w:val="32"/>
        </w:rPr>
      </w:pPr>
    </w:p>
    <w:p w14:paraId="4CC1A0E5">
      <w:pPr>
        <w:spacing w:line="490" w:lineRule="exact"/>
        <w:rPr>
          <w:sz w:val="28"/>
          <w:szCs w:val="32"/>
        </w:rPr>
      </w:pPr>
    </w:p>
    <w:p w14:paraId="3B4655D2">
      <w:pPr>
        <w:spacing w:line="490" w:lineRule="exact"/>
        <w:ind w:firstLine="3360" w:firstLineChars="1200"/>
        <w:rPr>
          <w:sz w:val="28"/>
          <w:szCs w:val="32"/>
          <w:u w:val="single"/>
        </w:rPr>
      </w:pPr>
      <w:r>
        <w:rPr>
          <w:sz w:val="28"/>
          <w:szCs w:val="32"/>
        </w:rPr>
        <w:t>招标人（或招标代理机构）：</w:t>
      </w:r>
      <w:r>
        <w:rPr>
          <w:sz w:val="28"/>
          <w:szCs w:val="32"/>
          <w:u w:val="single"/>
        </w:rPr>
        <w:t xml:space="preserve">                </w:t>
      </w:r>
    </w:p>
    <w:p w14:paraId="145730F5">
      <w:pPr>
        <w:spacing w:line="490" w:lineRule="exact"/>
        <w:jc w:val="right"/>
        <w:rPr>
          <w:sz w:val="28"/>
          <w:szCs w:val="32"/>
        </w:rPr>
      </w:pPr>
      <w:r>
        <w:rPr>
          <w:sz w:val="28"/>
          <w:szCs w:val="32"/>
        </w:rPr>
        <w:t>（盖单位公章）</w:t>
      </w:r>
    </w:p>
    <w:p w14:paraId="6FFDEE68">
      <w:pPr>
        <w:pStyle w:val="12"/>
        <w:spacing w:line="490" w:lineRule="exact"/>
        <w:ind w:left="440" w:leftChars="200" w:firstLine="0" w:firstLineChars="0"/>
        <w:jc w:val="right"/>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7BB00FF4">
      <w:pPr>
        <w:pStyle w:val="3"/>
        <w:rPr>
          <w:bCs/>
          <w:szCs w:val="20"/>
        </w:rPr>
      </w:pPr>
      <w:r>
        <w:rPr>
          <w:sz w:val="20"/>
        </w:rPr>
        <w:br w:type="page"/>
      </w:r>
      <w:bookmarkStart w:id="228" w:name="_Toc511317221"/>
      <w:bookmarkStart w:id="229" w:name="_Toc259698641"/>
      <w:bookmarkStart w:id="230" w:name="_Toc269742739"/>
      <w:bookmarkStart w:id="231" w:name="_Toc511317970"/>
      <w:bookmarkStart w:id="232" w:name="_Toc6985"/>
      <w:bookmarkStart w:id="233" w:name="_Toc18362"/>
      <w:r>
        <w:rPr>
          <w:szCs w:val="20"/>
        </w:rPr>
        <w:t>附件三</w:t>
      </w:r>
      <w:bookmarkEnd w:id="228"/>
      <w:bookmarkEnd w:id="229"/>
      <w:bookmarkEnd w:id="230"/>
      <w:bookmarkEnd w:id="231"/>
      <w:r>
        <w:rPr>
          <w:rFonts w:hint="eastAsia"/>
          <w:szCs w:val="20"/>
        </w:rPr>
        <w:t>：</w:t>
      </w:r>
      <w:bookmarkEnd w:id="232"/>
      <w:r>
        <w:rPr>
          <w:rFonts w:hint="eastAsia"/>
          <w:szCs w:val="20"/>
        </w:rPr>
        <w:t>招标文件修改通知</w:t>
      </w:r>
      <w:bookmarkEnd w:id="233"/>
    </w:p>
    <w:p w14:paraId="2C60ED5E"/>
    <w:p w14:paraId="1D7EEE04">
      <w:pPr>
        <w:spacing w:line="490" w:lineRule="exact"/>
        <w:jc w:val="center"/>
        <w:rPr>
          <w:b/>
          <w:bCs/>
          <w:sz w:val="40"/>
          <w:szCs w:val="20"/>
        </w:rPr>
      </w:pPr>
      <w:bookmarkStart w:id="234" w:name="_Toc259698642"/>
      <w:r>
        <w:rPr>
          <w:b/>
          <w:bCs/>
          <w:sz w:val="40"/>
          <w:szCs w:val="20"/>
        </w:rPr>
        <w:t>招标文件修改通知</w:t>
      </w:r>
      <w:bookmarkEnd w:id="234"/>
    </w:p>
    <w:p w14:paraId="297DD224">
      <w:pPr>
        <w:spacing w:line="490" w:lineRule="exact"/>
        <w:jc w:val="center"/>
        <w:rPr>
          <w:b/>
          <w:bCs/>
          <w:sz w:val="40"/>
          <w:szCs w:val="20"/>
        </w:rPr>
      </w:pPr>
    </w:p>
    <w:p w14:paraId="5AF37BE1">
      <w:pPr>
        <w:spacing w:line="490" w:lineRule="exact"/>
        <w:jc w:val="center"/>
        <w:rPr>
          <w:sz w:val="28"/>
          <w:szCs w:val="32"/>
        </w:rPr>
      </w:pPr>
      <w:r>
        <w:rPr>
          <w:sz w:val="28"/>
          <w:szCs w:val="32"/>
        </w:rPr>
        <w:t xml:space="preserve">                           编号：</w:t>
      </w:r>
      <w:r>
        <w:rPr>
          <w:sz w:val="28"/>
          <w:szCs w:val="32"/>
          <w:u w:val="single"/>
        </w:rPr>
        <w:t xml:space="preserve">                </w:t>
      </w:r>
    </w:p>
    <w:p w14:paraId="49E4478C">
      <w:pPr>
        <w:spacing w:line="490" w:lineRule="exact"/>
        <w:rPr>
          <w:sz w:val="28"/>
          <w:szCs w:val="32"/>
        </w:rPr>
      </w:pPr>
    </w:p>
    <w:p w14:paraId="55999369">
      <w:pPr>
        <w:autoSpaceDE w:val="0"/>
        <w:autoSpaceDN w:val="0"/>
        <w:adjustRightInd w:val="0"/>
        <w:spacing w:line="490" w:lineRule="exact"/>
        <w:ind w:firstLine="560" w:firstLineChars="200"/>
        <w:rPr>
          <w:sz w:val="28"/>
          <w:szCs w:val="32"/>
        </w:rPr>
      </w:pPr>
      <w:r>
        <w:rPr>
          <w:sz w:val="28"/>
          <w:szCs w:val="32"/>
        </w:rPr>
        <w:t>经研究，对</w:t>
      </w:r>
      <w:r>
        <w:rPr>
          <w:sz w:val="28"/>
          <w:szCs w:val="32"/>
          <w:u w:val="single"/>
        </w:rPr>
        <w:t xml:space="preserve">            </w:t>
      </w:r>
      <w:r>
        <w:rPr>
          <w:sz w:val="28"/>
          <w:szCs w:val="32"/>
        </w:rPr>
        <w:t>（项目名称）</w:t>
      </w:r>
      <w:r>
        <w:rPr>
          <w:sz w:val="28"/>
          <w:szCs w:val="32"/>
          <w:u w:val="single"/>
        </w:rPr>
        <w:t xml:space="preserve">             </w:t>
      </w:r>
      <w:r>
        <w:rPr>
          <w:sz w:val="28"/>
          <w:szCs w:val="32"/>
        </w:rPr>
        <w:t>（标段名称）招标文件，作如下修改：</w:t>
      </w:r>
    </w:p>
    <w:p w14:paraId="7FB8FCE8">
      <w:pPr>
        <w:autoSpaceDE w:val="0"/>
        <w:autoSpaceDN w:val="0"/>
        <w:adjustRightInd w:val="0"/>
        <w:spacing w:line="490" w:lineRule="exact"/>
        <w:ind w:firstLine="560" w:firstLineChars="200"/>
        <w:rPr>
          <w:sz w:val="28"/>
          <w:szCs w:val="32"/>
        </w:rPr>
      </w:pPr>
      <w:r>
        <w:rPr>
          <w:sz w:val="28"/>
          <w:szCs w:val="32"/>
        </w:rPr>
        <w:t>1.……</w:t>
      </w:r>
    </w:p>
    <w:p w14:paraId="76CB4158">
      <w:pPr>
        <w:autoSpaceDE w:val="0"/>
        <w:autoSpaceDN w:val="0"/>
        <w:adjustRightInd w:val="0"/>
        <w:spacing w:line="490" w:lineRule="exact"/>
        <w:ind w:firstLine="560" w:firstLineChars="200"/>
        <w:rPr>
          <w:sz w:val="28"/>
          <w:szCs w:val="32"/>
        </w:rPr>
      </w:pPr>
      <w:r>
        <w:rPr>
          <w:sz w:val="28"/>
          <w:szCs w:val="32"/>
        </w:rPr>
        <w:t>2.……</w:t>
      </w:r>
    </w:p>
    <w:p w14:paraId="6E96D0EA">
      <w:pPr>
        <w:autoSpaceDE w:val="0"/>
        <w:autoSpaceDN w:val="0"/>
        <w:adjustRightInd w:val="0"/>
        <w:spacing w:line="490" w:lineRule="exact"/>
        <w:ind w:firstLine="560" w:firstLineChars="200"/>
        <w:rPr>
          <w:sz w:val="28"/>
          <w:szCs w:val="32"/>
        </w:rPr>
      </w:pPr>
      <w:r>
        <w:rPr>
          <w:sz w:val="28"/>
          <w:szCs w:val="32"/>
        </w:rPr>
        <w:t>……</w:t>
      </w:r>
    </w:p>
    <w:p w14:paraId="2AD99C44">
      <w:pPr>
        <w:spacing w:line="490" w:lineRule="exact"/>
        <w:rPr>
          <w:sz w:val="28"/>
          <w:szCs w:val="32"/>
        </w:rPr>
      </w:pPr>
    </w:p>
    <w:p w14:paraId="794CAEE5">
      <w:pPr>
        <w:spacing w:line="490" w:lineRule="exact"/>
        <w:rPr>
          <w:sz w:val="28"/>
          <w:szCs w:val="32"/>
        </w:rPr>
      </w:pPr>
    </w:p>
    <w:p w14:paraId="0DDE915D">
      <w:pPr>
        <w:spacing w:line="490" w:lineRule="exact"/>
        <w:rPr>
          <w:sz w:val="28"/>
          <w:szCs w:val="32"/>
        </w:rPr>
      </w:pPr>
    </w:p>
    <w:p w14:paraId="2E7B4E2A">
      <w:pPr>
        <w:spacing w:line="490" w:lineRule="exact"/>
        <w:ind w:firstLine="3360" w:firstLineChars="1200"/>
        <w:rPr>
          <w:sz w:val="28"/>
          <w:szCs w:val="32"/>
          <w:u w:val="single"/>
        </w:rPr>
      </w:pPr>
      <w:r>
        <w:rPr>
          <w:sz w:val="28"/>
          <w:szCs w:val="32"/>
        </w:rPr>
        <w:t>招标人（或招标代理机构）：</w:t>
      </w:r>
      <w:r>
        <w:rPr>
          <w:sz w:val="28"/>
          <w:szCs w:val="32"/>
          <w:u w:val="single"/>
        </w:rPr>
        <w:t xml:space="preserve">                </w:t>
      </w:r>
    </w:p>
    <w:p w14:paraId="4B726FA2">
      <w:pPr>
        <w:spacing w:line="490" w:lineRule="exact"/>
        <w:jc w:val="right"/>
        <w:rPr>
          <w:sz w:val="28"/>
          <w:szCs w:val="32"/>
        </w:rPr>
      </w:pPr>
      <w:r>
        <w:rPr>
          <w:sz w:val="28"/>
          <w:szCs w:val="32"/>
        </w:rPr>
        <w:t>（盖单位公章）</w:t>
      </w:r>
    </w:p>
    <w:p w14:paraId="0031738C">
      <w:pPr>
        <w:jc w:val="right"/>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042A5F3C">
      <w:pPr>
        <w:pStyle w:val="3"/>
        <w:rPr>
          <w:rFonts w:ascii="Times New Roman" w:hAnsi="Times New Roman" w:cs="宋体"/>
          <w:bCs/>
          <w:color w:val="auto"/>
          <w:szCs w:val="28"/>
        </w:rPr>
      </w:pPr>
      <w:r>
        <w:rPr>
          <w:rFonts w:hint="eastAsia" w:ascii="Times New Roman" w:hAnsi="Times New Roman" w:cs="宋体"/>
          <w:color w:val="auto"/>
          <w:szCs w:val="28"/>
        </w:rPr>
        <w:br w:type="page"/>
      </w:r>
      <w:bookmarkStart w:id="235" w:name="_Toc28284"/>
      <w:r>
        <w:rPr>
          <w:rFonts w:hint="eastAsia"/>
          <w:szCs w:val="20"/>
        </w:rPr>
        <w:t>附件四：开标记录表</w:t>
      </w:r>
      <w:bookmarkEnd w:id="219"/>
      <w:bookmarkEnd w:id="235"/>
      <w:r>
        <w:rPr>
          <w:rFonts w:hint="eastAsia"/>
          <w:szCs w:val="20"/>
        </w:rPr>
        <w:t xml:space="preserve"> </w:t>
      </w:r>
    </w:p>
    <w:p w14:paraId="68943C11">
      <w:pPr>
        <w:widowControl w:val="0"/>
        <w:spacing w:after="0" w:line="500" w:lineRule="exact"/>
        <w:jc w:val="center"/>
        <w:rPr>
          <w:rFonts w:ascii="Times New Roman" w:hAnsi="Times New Roman" w:eastAsia="宋体" w:cs="宋体"/>
          <w:b/>
          <w:bCs/>
          <w:color w:val="auto"/>
          <w:sz w:val="36"/>
          <w:szCs w:val="32"/>
        </w:rPr>
      </w:pPr>
      <w:r>
        <w:rPr>
          <w:rFonts w:hint="eastAsia" w:ascii="Times New Roman" w:hAnsi="Times New Roman" w:eastAsia="宋体" w:cs="宋体"/>
          <w:b/>
          <w:bCs/>
          <w:color w:val="auto"/>
          <w:sz w:val="36"/>
          <w:szCs w:val="32"/>
        </w:rPr>
        <w:t>开标记录表</w:t>
      </w:r>
    </w:p>
    <w:p w14:paraId="19D13407">
      <w:pPr>
        <w:widowControl w:val="0"/>
        <w:spacing w:after="0" w:line="500" w:lineRule="exact"/>
        <w:rPr>
          <w:rFonts w:ascii="Times New Roman" w:hAnsi="Times New Roman" w:eastAsia="宋体" w:cs="宋体"/>
          <w:b/>
          <w:bCs/>
          <w:color w:val="auto"/>
          <w:sz w:val="28"/>
          <w:szCs w:val="28"/>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8"/>
          <w:szCs w:val="28"/>
          <w:u w:val="single"/>
        </w:rPr>
        <w:t xml:space="preserve">            </w:t>
      </w:r>
      <w:r>
        <w:rPr>
          <w:rFonts w:hint="eastAsia" w:ascii="Times New Roman" w:hAnsi="Times New Roman" w:eastAsia="宋体" w:cs="宋体"/>
          <w:color w:val="auto"/>
          <w:sz w:val="28"/>
          <w:szCs w:val="28"/>
        </w:rPr>
        <w:t>（项目名称）</w:t>
      </w:r>
      <w:r>
        <w:rPr>
          <w:rFonts w:hint="eastAsia" w:ascii="Times New Roman" w:hAnsi="Times New Roman" w:eastAsia="宋体" w:cs="宋体"/>
          <w:color w:val="auto"/>
          <w:sz w:val="28"/>
          <w:szCs w:val="28"/>
          <w:u w:val="single"/>
        </w:rPr>
        <w:t xml:space="preserve">                </w:t>
      </w:r>
      <w:r>
        <w:rPr>
          <w:rFonts w:hint="eastAsia" w:ascii="Times New Roman" w:hAnsi="Times New Roman" w:eastAsia="宋体" w:cs="宋体"/>
          <w:color w:val="auto"/>
          <w:sz w:val="28"/>
          <w:szCs w:val="28"/>
        </w:rPr>
        <w:t>（标段名称）</w:t>
      </w:r>
    </w:p>
    <w:p w14:paraId="09C5A7B2">
      <w:pPr>
        <w:widowControl w:val="0"/>
        <w:adjustRightInd w:val="0"/>
        <w:snapToGrid w:val="0"/>
        <w:spacing w:after="0" w:line="265" w:lineRule="auto"/>
        <w:ind w:hanging="10"/>
        <w:rPr>
          <w:rFonts w:ascii="Times New Roman" w:hAnsi="Times New Roman" w:eastAsia="宋体" w:cs="宋体"/>
          <w:color w:val="auto"/>
          <w:sz w:val="28"/>
          <w:szCs w:val="28"/>
        </w:rPr>
      </w:pPr>
    </w:p>
    <w:p w14:paraId="7EBEFF26">
      <w:pPr>
        <w:widowControl w:val="0"/>
        <w:adjustRightInd w:val="0"/>
        <w:snapToGrid w:val="0"/>
        <w:spacing w:after="0" w:line="265" w:lineRule="auto"/>
        <w:ind w:hanging="1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开标时间：</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年</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月</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日</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时</w:t>
      </w:r>
      <w:r>
        <w:rPr>
          <w:rFonts w:hint="eastAsia" w:ascii="Times New Roman" w:hAnsi="Times New Roman" w:eastAsia="宋体" w:cs="宋体"/>
          <w:color w:val="auto"/>
          <w:sz w:val="28"/>
          <w:szCs w:val="28"/>
          <w:u w:val="single" w:color="000000"/>
        </w:rPr>
        <w:t xml:space="preserve">         </w:t>
      </w:r>
      <w:r>
        <w:rPr>
          <w:rFonts w:hint="eastAsia" w:ascii="Times New Roman" w:hAnsi="Times New Roman" w:eastAsia="宋体" w:cs="宋体"/>
          <w:color w:val="auto"/>
          <w:sz w:val="28"/>
          <w:szCs w:val="28"/>
        </w:rPr>
        <w:t xml:space="preserve">分 </w:t>
      </w:r>
    </w:p>
    <w:tbl>
      <w:tblPr>
        <w:tblStyle w:val="17"/>
        <w:tblW w:w="5120" w:type="pct"/>
        <w:jc w:val="center"/>
        <w:tblLayout w:type="autofit"/>
        <w:tblCellMar>
          <w:top w:w="0" w:type="dxa"/>
          <w:left w:w="106" w:type="dxa"/>
          <w:bottom w:w="58" w:type="dxa"/>
          <w:right w:w="99" w:type="dxa"/>
        </w:tblCellMar>
      </w:tblPr>
      <w:tblGrid>
        <w:gridCol w:w="1213"/>
        <w:gridCol w:w="1417"/>
        <w:gridCol w:w="1522"/>
        <w:gridCol w:w="1607"/>
        <w:gridCol w:w="1283"/>
        <w:gridCol w:w="1673"/>
      </w:tblGrid>
      <w:tr w14:paraId="2A48CC7C">
        <w:tblPrEx>
          <w:tblCellMar>
            <w:top w:w="0" w:type="dxa"/>
            <w:left w:w="106" w:type="dxa"/>
            <w:bottom w:w="58" w:type="dxa"/>
            <w:right w:w="99" w:type="dxa"/>
          </w:tblCellMar>
        </w:tblPrEx>
        <w:trPr>
          <w:trHeight w:val="101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004F4A72">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序号</w:t>
            </w:r>
          </w:p>
        </w:tc>
        <w:tc>
          <w:tcPr>
            <w:tcW w:w="812" w:type="pct"/>
            <w:tcBorders>
              <w:top w:val="single" w:color="000000" w:sz="4" w:space="0"/>
              <w:left w:val="single" w:color="000000" w:sz="4" w:space="0"/>
              <w:bottom w:val="single" w:color="000000" w:sz="4" w:space="0"/>
              <w:right w:val="single" w:color="000000" w:sz="4" w:space="0"/>
            </w:tcBorders>
            <w:vAlign w:val="center"/>
          </w:tcPr>
          <w:p w14:paraId="7CE7B1C8">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w:t>
            </w:r>
          </w:p>
        </w:tc>
        <w:tc>
          <w:tcPr>
            <w:tcW w:w="873" w:type="pct"/>
            <w:tcBorders>
              <w:top w:val="single" w:color="000000" w:sz="4" w:space="0"/>
              <w:left w:val="single" w:color="000000" w:sz="4" w:space="0"/>
              <w:bottom w:val="single" w:color="000000" w:sz="4" w:space="0"/>
              <w:right w:val="single" w:color="000000" w:sz="4" w:space="0"/>
            </w:tcBorders>
            <w:vAlign w:val="center"/>
          </w:tcPr>
          <w:p w14:paraId="5F9C329A">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投标保证金</w:t>
            </w:r>
          </w:p>
        </w:tc>
        <w:tc>
          <w:tcPr>
            <w:tcW w:w="922" w:type="pct"/>
            <w:tcBorders>
              <w:top w:val="single" w:color="000000" w:sz="4" w:space="0"/>
              <w:left w:val="single" w:color="000000" w:sz="4" w:space="0"/>
              <w:bottom w:val="single" w:color="000000" w:sz="4" w:space="0"/>
              <w:right w:val="single" w:color="000000" w:sz="4" w:space="0"/>
            </w:tcBorders>
            <w:vAlign w:val="center"/>
          </w:tcPr>
          <w:p w14:paraId="064E2A38">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投标报价（元）</w:t>
            </w:r>
          </w:p>
        </w:tc>
        <w:tc>
          <w:tcPr>
            <w:tcW w:w="736" w:type="pct"/>
            <w:tcBorders>
              <w:top w:val="single" w:color="000000" w:sz="4" w:space="0"/>
              <w:left w:val="single" w:color="000000" w:sz="4" w:space="0"/>
              <w:bottom w:val="single" w:color="000000" w:sz="4" w:space="0"/>
              <w:right w:val="single" w:color="000000" w:sz="4" w:space="0"/>
            </w:tcBorders>
            <w:vAlign w:val="center"/>
          </w:tcPr>
          <w:p w14:paraId="7FB66BE0">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备注</w:t>
            </w:r>
          </w:p>
        </w:tc>
        <w:tc>
          <w:tcPr>
            <w:tcW w:w="958" w:type="pct"/>
            <w:tcBorders>
              <w:top w:val="single" w:color="000000" w:sz="4" w:space="0"/>
              <w:left w:val="single" w:color="000000" w:sz="4" w:space="0"/>
              <w:bottom w:val="single" w:color="000000" w:sz="4" w:space="0"/>
              <w:right w:val="single" w:color="000000" w:sz="4" w:space="0"/>
            </w:tcBorders>
            <w:vAlign w:val="center"/>
          </w:tcPr>
          <w:p w14:paraId="14555FCC">
            <w:pPr>
              <w:widowControl w:val="0"/>
              <w:adjustRightInd w:val="0"/>
              <w:snapToGrid w:val="0"/>
              <w:spacing w:after="0" w:line="240" w:lineRule="auto"/>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投标人确认</w:t>
            </w:r>
          </w:p>
        </w:tc>
      </w:tr>
      <w:tr w14:paraId="57FE0BB6">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5D96D70">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1484AF6">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0D70A114">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34E02A59">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6C56702">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E0D86ED">
            <w:pPr>
              <w:widowControl w:val="0"/>
              <w:adjustRightInd w:val="0"/>
              <w:snapToGrid w:val="0"/>
              <w:spacing w:after="0" w:line="240" w:lineRule="auto"/>
              <w:jc w:val="center"/>
              <w:rPr>
                <w:rFonts w:ascii="Times New Roman" w:hAnsi="Times New Roman" w:eastAsia="宋体" w:cs="宋体"/>
                <w:color w:val="auto"/>
                <w:sz w:val="28"/>
                <w:szCs w:val="28"/>
              </w:rPr>
            </w:pPr>
          </w:p>
        </w:tc>
      </w:tr>
      <w:tr w14:paraId="7E473152">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4814283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858DEA4">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146206AF">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0FA71788">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183E797A">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FC6F239">
            <w:pPr>
              <w:widowControl w:val="0"/>
              <w:adjustRightInd w:val="0"/>
              <w:snapToGrid w:val="0"/>
              <w:spacing w:after="0" w:line="240" w:lineRule="auto"/>
              <w:jc w:val="center"/>
              <w:rPr>
                <w:rFonts w:ascii="Times New Roman" w:hAnsi="Times New Roman" w:eastAsia="宋体" w:cs="宋体"/>
                <w:color w:val="auto"/>
                <w:sz w:val="28"/>
                <w:szCs w:val="28"/>
              </w:rPr>
            </w:pPr>
          </w:p>
        </w:tc>
      </w:tr>
      <w:tr w14:paraId="15BE034A">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0C3C14F9">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77FD436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4A10F541">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079DA93D">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6724ED8">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A478B76">
            <w:pPr>
              <w:widowControl w:val="0"/>
              <w:adjustRightInd w:val="0"/>
              <w:snapToGrid w:val="0"/>
              <w:spacing w:after="0" w:line="240" w:lineRule="auto"/>
              <w:jc w:val="center"/>
              <w:rPr>
                <w:rFonts w:ascii="Times New Roman" w:hAnsi="Times New Roman" w:eastAsia="宋体" w:cs="宋体"/>
                <w:color w:val="auto"/>
                <w:sz w:val="28"/>
                <w:szCs w:val="28"/>
              </w:rPr>
            </w:pPr>
          </w:p>
        </w:tc>
      </w:tr>
      <w:tr w14:paraId="51CACFCA">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3590E40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1289D371">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4C814E2C">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17A0C9B3">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0E669818">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10E58FD0">
            <w:pPr>
              <w:widowControl w:val="0"/>
              <w:adjustRightInd w:val="0"/>
              <w:snapToGrid w:val="0"/>
              <w:spacing w:after="0" w:line="240" w:lineRule="auto"/>
              <w:jc w:val="center"/>
              <w:rPr>
                <w:rFonts w:ascii="Times New Roman" w:hAnsi="Times New Roman" w:eastAsia="宋体" w:cs="宋体"/>
                <w:color w:val="auto"/>
                <w:sz w:val="28"/>
                <w:szCs w:val="28"/>
              </w:rPr>
            </w:pPr>
          </w:p>
        </w:tc>
      </w:tr>
      <w:tr w14:paraId="0031F1C7">
        <w:tblPrEx>
          <w:tblCellMar>
            <w:top w:w="0" w:type="dxa"/>
            <w:left w:w="106" w:type="dxa"/>
            <w:bottom w:w="58" w:type="dxa"/>
            <w:right w:w="99" w:type="dxa"/>
          </w:tblCellMar>
        </w:tblPrEx>
        <w:trPr>
          <w:trHeight w:val="509"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6C925F2F">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465A7001">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1687BFCA">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70D571A9">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77652F6">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215976DE">
            <w:pPr>
              <w:widowControl w:val="0"/>
              <w:adjustRightInd w:val="0"/>
              <w:snapToGrid w:val="0"/>
              <w:spacing w:after="0" w:line="240" w:lineRule="auto"/>
              <w:jc w:val="center"/>
              <w:rPr>
                <w:rFonts w:ascii="Times New Roman" w:hAnsi="Times New Roman" w:eastAsia="宋体" w:cs="宋体"/>
                <w:color w:val="auto"/>
                <w:sz w:val="28"/>
                <w:szCs w:val="28"/>
              </w:rPr>
            </w:pPr>
          </w:p>
        </w:tc>
      </w:tr>
      <w:tr w14:paraId="787F43B5">
        <w:tblPrEx>
          <w:tblCellMar>
            <w:top w:w="0" w:type="dxa"/>
            <w:left w:w="106" w:type="dxa"/>
            <w:bottom w:w="58" w:type="dxa"/>
            <w:right w:w="99" w:type="dxa"/>
          </w:tblCellMar>
        </w:tblPrEx>
        <w:trPr>
          <w:trHeight w:val="511"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17150B94">
            <w:pPr>
              <w:widowControl w:val="0"/>
              <w:adjustRightInd w:val="0"/>
              <w:snapToGrid w:val="0"/>
              <w:spacing w:after="0" w:line="240" w:lineRule="auto"/>
              <w:jc w:val="center"/>
              <w:rPr>
                <w:rFonts w:ascii="Times New Roman" w:hAnsi="Times New Roman" w:eastAsia="宋体" w:cs="宋体"/>
                <w:color w:val="auto"/>
                <w:sz w:val="28"/>
                <w:szCs w:val="28"/>
              </w:rPr>
            </w:pPr>
          </w:p>
        </w:tc>
        <w:tc>
          <w:tcPr>
            <w:tcW w:w="812" w:type="pct"/>
            <w:tcBorders>
              <w:top w:val="single" w:color="000000" w:sz="4" w:space="0"/>
              <w:left w:val="single" w:color="000000" w:sz="4" w:space="0"/>
              <w:bottom w:val="single" w:color="000000" w:sz="4" w:space="0"/>
              <w:right w:val="single" w:color="000000" w:sz="4" w:space="0"/>
            </w:tcBorders>
            <w:vAlign w:val="center"/>
          </w:tcPr>
          <w:p w14:paraId="1D69EDA8">
            <w:pPr>
              <w:widowControl w:val="0"/>
              <w:adjustRightInd w:val="0"/>
              <w:snapToGrid w:val="0"/>
              <w:spacing w:after="0" w:line="240" w:lineRule="auto"/>
              <w:jc w:val="center"/>
              <w:rPr>
                <w:rFonts w:ascii="Times New Roman" w:hAnsi="Times New Roman" w:eastAsia="宋体" w:cs="宋体"/>
                <w:color w:val="auto"/>
                <w:sz w:val="28"/>
                <w:szCs w:val="28"/>
              </w:rPr>
            </w:pPr>
          </w:p>
        </w:tc>
        <w:tc>
          <w:tcPr>
            <w:tcW w:w="873" w:type="pct"/>
            <w:tcBorders>
              <w:top w:val="single" w:color="000000" w:sz="4" w:space="0"/>
              <w:left w:val="single" w:color="000000" w:sz="4" w:space="0"/>
              <w:bottom w:val="single" w:color="000000" w:sz="4" w:space="0"/>
              <w:right w:val="single" w:color="000000" w:sz="4" w:space="0"/>
            </w:tcBorders>
            <w:vAlign w:val="center"/>
          </w:tcPr>
          <w:p w14:paraId="03CF136B">
            <w:pPr>
              <w:widowControl w:val="0"/>
              <w:adjustRightInd w:val="0"/>
              <w:snapToGrid w:val="0"/>
              <w:spacing w:after="0" w:line="240" w:lineRule="auto"/>
              <w:jc w:val="center"/>
              <w:rPr>
                <w:rFonts w:ascii="Times New Roman" w:hAnsi="Times New Roman" w:eastAsia="宋体" w:cs="宋体"/>
                <w:color w:val="auto"/>
                <w:sz w:val="28"/>
                <w:szCs w:val="28"/>
              </w:rPr>
            </w:pPr>
          </w:p>
        </w:tc>
        <w:tc>
          <w:tcPr>
            <w:tcW w:w="922" w:type="pct"/>
            <w:tcBorders>
              <w:top w:val="single" w:color="000000" w:sz="4" w:space="0"/>
              <w:left w:val="single" w:color="000000" w:sz="4" w:space="0"/>
              <w:bottom w:val="single" w:color="000000" w:sz="4" w:space="0"/>
              <w:right w:val="single" w:color="000000" w:sz="4" w:space="0"/>
            </w:tcBorders>
            <w:vAlign w:val="center"/>
          </w:tcPr>
          <w:p w14:paraId="3A289D34">
            <w:pPr>
              <w:widowControl w:val="0"/>
              <w:adjustRightInd w:val="0"/>
              <w:snapToGrid w:val="0"/>
              <w:spacing w:after="0" w:line="240" w:lineRule="auto"/>
              <w:jc w:val="center"/>
              <w:rPr>
                <w:rFonts w:ascii="Times New Roman" w:hAnsi="Times New Roman" w:eastAsia="宋体" w:cs="宋体"/>
                <w:color w:val="auto"/>
                <w:sz w:val="28"/>
                <w:szCs w:val="28"/>
              </w:rPr>
            </w:pPr>
          </w:p>
        </w:tc>
        <w:tc>
          <w:tcPr>
            <w:tcW w:w="736" w:type="pct"/>
            <w:tcBorders>
              <w:top w:val="single" w:color="000000" w:sz="4" w:space="0"/>
              <w:left w:val="single" w:color="000000" w:sz="4" w:space="0"/>
              <w:bottom w:val="single" w:color="000000" w:sz="4" w:space="0"/>
              <w:right w:val="single" w:color="000000" w:sz="4" w:space="0"/>
            </w:tcBorders>
            <w:vAlign w:val="center"/>
          </w:tcPr>
          <w:p w14:paraId="4323A99C">
            <w:pPr>
              <w:widowControl w:val="0"/>
              <w:adjustRightInd w:val="0"/>
              <w:snapToGrid w:val="0"/>
              <w:spacing w:after="0" w:line="240" w:lineRule="auto"/>
              <w:jc w:val="center"/>
              <w:rPr>
                <w:rFonts w:ascii="Times New Roman" w:hAnsi="Times New Roman" w:eastAsia="宋体" w:cs="宋体"/>
                <w:color w:val="auto"/>
                <w:sz w:val="28"/>
                <w:szCs w:val="28"/>
              </w:rPr>
            </w:pPr>
          </w:p>
        </w:tc>
        <w:tc>
          <w:tcPr>
            <w:tcW w:w="958" w:type="pct"/>
            <w:tcBorders>
              <w:top w:val="single" w:color="000000" w:sz="4" w:space="0"/>
              <w:left w:val="single" w:color="000000" w:sz="4" w:space="0"/>
              <w:bottom w:val="single" w:color="000000" w:sz="4" w:space="0"/>
              <w:right w:val="single" w:color="000000" w:sz="4" w:space="0"/>
            </w:tcBorders>
            <w:vAlign w:val="center"/>
          </w:tcPr>
          <w:p w14:paraId="4A2E97B8">
            <w:pPr>
              <w:widowControl w:val="0"/>
              <w:adjustRightInd w:val="0"/>
              <w:snapToGrid w:val="0"/>
              <w:spacing w:after="0" w:line="240" w:lineRule="auto"/>
              <w:jc w:val="center"/>
              <w:rPr>
                <w:rFonts w:ascii="Times New Roman" w:hAnsi="Times New Roman" w:eastAsia="宋体" w:cs="宋体"/>
                <w:color w:val="auto"/>
                <w:sz w:val="28"/>
                <w:szCs w:val="28"/>
              </w:rPr>
            </w:pPr>
          </w:p>
        </w:tc>
      </w:tr>
      <w:tr w14:paraId="3B1D9F25">
        <w:tblPrEx>
          <w:tblCellMar>
            <w:top w:w="0" w:type="dxa"/>
            <w:left w:w="106" w:type="dxa"/>
            <w:bottom w:w="58" w:type="dxa"/>
            <w:right w:w="99" w:type="dxa"/>
          </w:tblCellMar>
        </w:tblPrEx>
        <w:trPr>
          <w:trHeight w:val="511" w:hRule="atLeast"/>
          <w:jc w:val="center"/>
        </w:trPr>
        <w:tc>
          <w:tcPr>
            <w:tcW w:w="1509" w:type="pct"/>
            <w:gridSpan w:val="2"/>
            <w:tcBorders>
              <w:top w:val="single" w:color="000000" w:sz="4" w:space="0"/>
              <w:left w:val="single" w:color="000000" w:sz="4" w:space="0"/>
              <w:bottom w:val="single" w:color="000000" w:sz="4" w:space="0"/>
              <w:right w:val="single" w:color="000000" w:sz="4" w:space="0"/>
            </w:tcBorders>
            <w:vAlign w:val="center"/>
          </w:tcPr>
          <w:p w14:paraId="45557D1A">
            <w:pPr>
              <w:widowControl w:val="0"/>
              <w:adjustRightInd w:val="0"/>
              <w:snapToGrid w:val="0"/>
              <w:spacing w:after="0" w:line="240" w:lineRule="auto"/>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最高限价：（元）</w:t>
            </w:r>
          </w:p>
        </w:tc>
        <w:tc>
          <w:tcPr>
            <w:tcW w:w="3490" w:type="pct"/>
            <w:gridSpan w:val="4"/>
            <w:tcBorders>
              <w:top w:val="single" w:color="000000" w:sz="4" w:space="0"/>
              <w:left w:val="single" w:color="000000" w:sz="4" w:space="0"/>
              <w:bottom w:val="single" w:color="000000" w:sz="4" w:space="0"/>
              <w:right w:val="single" w:color="000000" w:sz="4" w:space="0"/>
            </w:tcBorders>
            <w:vAlign w:val="center"/>
          </w:tcPr>
          <w:p w14:paraId="7BAD1C25">
            <w:pPr>
              <w:widowControl w:val="0"/>
              <w:adjustRightInd w:val="0"/>
              <w:snapToGrid w:val="0"/>
              <w:spacing w:after="0" w:line="240" w:lineRule="auto"/>
              <w:rPr>
                <w:rFonts w:ascii="Times New Roman" w:hAnsi="Times New Roman" w:eastAsia="宋体" w:cs="宋体"/>
                <w:color w:val="auto"/>
                <w:sz w:val="28"/>
                <w:szCs w:val="28"/>
              </w:rPr>
            </w:pPr>
          </w:p>
        </w:tc>
      </w:tr>
    </w:tbl>
    <w:p w14:paraId="7A6F10E6">
      <w:pPr>
        <w:widowControl w:val="0"/>
        <w:adjustRightInd w:val="0"/>
        <w:snapToGrid w:val="0"/>
        <w:spacing w:before="156" w:beforeLines="50" w:after="156" w:afterLines="50" w:line="240" w:lineRule="auto"/>
        <w:jc w:val="right"/>
        <w:rPr>
          <w:rFonts w:ascii="Times New Roman" w:hAnsi="Times New Roman" w:eastAsia="宋体" w:cs="宋体"/>
          <w:color w:val="auto"/>
          <w:sz w:val="28"/>
          <w:szCs w:val="28"/>
        </w:rPr>
      </w:pPr>
    </w:p>
    <w:p w14:paraId="11E84C2E">
      <w:pPr>
        <w:rPr>
          <w:rFonts w:ascii="Times New Roman" w:hAnsi="Times New Roman" w:eastAsia="宋体" w:cs="宋体"/>
          <w:color w:val="auto"/>
          <w:sz w:val="28"/>
          <w:szCs w:val="28"/>
        </w:rPr>
      </w:pPr>
      <w:r>
        <w:rPr>
          <w:rFonts w:hint="eastAsia" w:ascii="Times New Roman" w:hAnsi="Times New Roman" w:eastAsia="宋体" w:cs="宋体"/>
          <w:bCs/>
          <w:color w:val="auto"/>
          <w:sz w:val="28"/>
          <w:szCs w:val="28"/>
        </w:rPr>
        <w:t>招标人代表：</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bCs/>
          <w:color w:val="auto"/>
          <w:sz w:val="28"/>
          <w:szCs w:val="28"/>
        </w:rPr>
        <w:t xml:space="preserve"> 唱标人：</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bCs/>
          <w:color w:val="auto"/>
          <w:sz w:val="28"/>
          <w:szCs w:val="28"/>
        </w:rPr>
        <w:t xml:space="preserve"> 监标人：</w:t>
      </w:r>
      <w:r>
        <w:rPr>
          <w:rFonts w:hint="eastAsia" w:ascii="Times New Roman" w:hAnsi="Times New Roman" w:eastAsia="宋体" w:cs="宋体"/>
          <w:bCs/>
          <w:color w:val="auto"/>
          <w:sz w:val="28"/>
          <w:szCs w:val="28"/>
          <w:u w:val="single"/>
        </w:rPr>
        <w:t xml:space="preserve">         </w:t>
      </w:r>
      <w:r>
        <w:rPr>
          <w:rFonts w:hint="eastAsia" w:ascii="Times New Roman" w:hAnsi="Times New Roman" w:eastAsia="宋体" w:cs="宋体"/>
          <w:color w:val="auto"/>
          <w:sz w:val="28"/>
          <w:szCs w:val="28"/>
        </w:rPr>
        <w:br w:type="page"/>
      </w:r>
    </w:p>
    <w:p w14:paraId="17BF47AC">
      <w:pPr>
        <w:outlineLvl w:val="1"/>
        <w:rPr>
          <w:rFonts w:ascii="Times New Roman" w:hAnsi="Times New Roman" w:eastAsia="宋体" w:cs="宋体"/>
          <w:bCs/>
          <w:color w:val="auto"/>
          <w:sz w:val="28"/>
          <w:szCs w:val="28"/>
        </w:rPr>
      </w:pPr>
      <w:bookmarkStart w:id="236" w:name="_Toc2760"/>
      <w:r>
        <w:rPr>
          <w:rFonts w:hint="eastAsia"/>
          <w:b/>
          <w:sz w:val="28"/>
          <w:szCs w:val="20"/>
        </w:rPr>
        <w:t>附件五：</w:t>
      </w:r>
      <w:bookmarkStart w:id="237" w:name="_Toc1217"/>
      <w:r>
        <w:rPr>
          <w:rFonts w:hint="eastAsia"/>
          <w:b/>
          <w:sz w:val="28"/>
          <w:szCs w:val="20"/>
        </w:rPr>
        <w:t>定标决定</w:t>
      </w:r>
      <w:bookmarkEnd w:id="236"/>
    </w:p>
    <w:p w14:paraId="202D457D">
      <w:pPr>
        <w:spacing w:line="490" w:lineRule="exact"/>
        <w:jc w:val="center"/>
        <w:rPr>
          <w:rFonts w:ascii="Times New Roman" w:hAnsi="Times New Roman" w:eastAsia="宋体" w:cs="Times New Roman"/>
          <w:b/>
          <w:bCs/>
          <w:color w:val="auto"/>
          <w:sz w:val="40"/>
          <w:szCs w:val="20"/>
        </w:rPr>
      </w:pPr>
      <w:r>
        <w:rPr>
          <w:rFonts w:hint="eastAsia" w:ascii="Times New Roman" w:hAnsi="Times New Roman" w:eastAsia="宋体" w:cs="Times New Roman"/>
          <w:b/>
          <w:bCs/>
          <w:color w:val="auto"/>
          <w:sz w:val="40"/>
          <w:szCs w:val="20"/>
        </w:rPr>
        <w:t>定标决定</w:t>
      </w:r>
    </w:p>
    <w:p w14:paraId="03CF8223">
      <w:pPr>
        <w:rPr>
          <w:rFonts w:cs="仿宋"/>
          <w:color w:val="auto"/>
        </w:rPr>
      </w:pPr>
    </w:p>
    <w:p w14:paraId="4AC03542">
      <w:pPr>
        <w:spacing w:line="360" w:lineRule="auto"/>
        <w:rPr>
          <w:rFonts w:ascii="宋体" w:hAnsi="宋体" w:eastAsia="宋体"/>
          <w:color w:val="auto"/>
          <w:sz w:val="24"/>
          <w:szCs w:val="24"/>
        </w:rPr>
      </w:pPr>
      <w:r>
        <w:rPr>
          <w:rFonts w:hint="eastAsia" w:ascii="宋体" w:hAnsi="宋体" w:eastAsia="宋体"/>
          <w:color w:val="auto"/>
          <w:sz w:val="24"/>
          <w:szCs w:val="24"/>
          <w:u w:val="single"/>
        </w:rPr>
        <w:t>（代理机构名称）</w:t>
      </w:r>
      <w:r>
        <w:rPr>
          <w:rFonts w:ascii="宋体" w:hAnsi="宋体" w:eastAsia="宋体"/>
          <w:color w:val="auto"/>
          <w:sz w:val="24"/>
          <w:szCs w:val="24"/>
          <w:u w:val="single"/>
        </w:rPr>
        <w:t xml:space="preserve"> </w:t>
      </w:r>
      <w:r>
        <w:rPr>
          <w:rFonts w:hint="eastAsia" w:ascii="宋体" w:hAnsi="宋体" w:eastAsia="宋体"/>
          <w:color w:val="auto"/>
          <w:sz w:val="24"/>
          <w:szCs w:val="24"/>
        </w:rPr>
        <w:t>：</w:t>
      </w:r>
    </w:p>
    <w:p w14:paraId="4AC7F5D3">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项目名称：</w:t>
      </w:r>
    </w:p>
    <w:p w14:paraId="742E791D">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标段名称：</w:t>
      </w:r>
    </w:p>
    <w:p w14:paraId="35E94918">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标段编号：</w:t>
      </w:r>
    </w:p>
    <w:p w14:paraId="51A5E56D">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本项目于</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日在</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（评标地点）</w:t>
      </w:r>
      <w:r>
        <w:rPr>
          <w:rFonts w:ascii="宋体" w:hAnsi="宋体" w:eastAsia="宋体"/>
          <w:color w:val="auto"/>
          <w:sz w:val="24"/>
          <w:szCs w:val="24"/>
          <w:u w:val="single"/>
        </w:rPr>
        <w:t xml:space="preserve">    </w:t>
      </w:r>
      <w:r>
        <w:rPr>
          <w:rFonts w:hint="eastAsia" w:ascii="宋体" w:hAnsi="宋体" w:eastAsia="宋体"/>
          <w:color w:val="auto"/>
          <w:sz w:val="24"/>
          <w:szCs w:val="24"/>
        </w:rPr>
        <w:t>评标结束，候选人公示期内无异议及投诉，根据评标委员会的推荐意见，按照相关法律法规和招标文件规定，</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（招标人名称）</w:t>
      </w:r>
      <w:r>
        <w:rPr>
          <w:rFonts w:ascii="宋体" w:hAnsi="宋体" w:eastAsia="宋体"/>
          <w:color w:val="auto"/>
          <w:sz w:val="24"/>
          <w:szCs w:val="24"/>
          <w:u w:val="single"/>
        </w:rPr>
        <w:t xml:space="preserve">    </w:t>
      </w:r>
      <w:r>
        <w:rPr>
          <w:rFonts w:hint="eastAsia" w:ascii="宋体" w:hAnsi="宋体" w:eastAsia="宋体"/>
          <w:color w:val="auto"/>
          <w:sz w:val="24"/>
          <w:szCs w:val="24"/>
        </w:rPr>
        <w:t>确定本项目（标段）中标人为：</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（中标人名称）</w:t>
      </w:r>
      <w:r>
        <w:rPr>
          <w:rFonts w:ascii="宋体" w:hAnsi="宋体" w:eastAsia="宋体"/>
          <w:color w:val="auto"/>
          <w:sz w:val="24"/>
          <w:szCs w:val="24"/>
          <w:u w:val="single"/>
        </w:rPr>
        <w:t xml:space="preserve">   </w:t>
      </w:r>
      <w:r>
        <w:rPr>
          <w:rFonts w:hint="eastAsia" w:ascii="宋体" w:hAnsi="宋体" w:eastAsia="宋体"/>
          <w:color w:val="auto"/>
          <w:sz w:val="24"/>
          <w:szCs w:val="24"/>
        </w:rPr>
        <w:t>，中标金额为：</w:t>
      </w:r>
      <w:r>
        <w:rPr>
          <w:rFonts w:hint="eastAsia" w:ascii="宋体" w:hAnsi="宋体" w:eastAsia="宋体"/>
          <w:color w:val="auto"/>
          <w:sz w:val="24"/>
          <w:szCs w:val="24"/>
          <w:u w:val="single"/>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rPr>
        <w:t>。</w:t>
      </w:r>
    </w:p>
    <w:p w14:paraId="645F59EB">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特此决定。</w:t>
      </w:r>
    </w:p>
    <w:p w14:paraId="3909659D">
      <w:pPr>
        <w:spacing w:before="312" w:beforeLines="100" w:after="312" w:afterLines="100" w:line="480" w:lineRule="auto"/>
        <w:rPr>
          <w:rFonts w:ascii="宋体" w:hAnsi="宋体" w:eastAsia="宋体"/>
          <w:color w:val="auto"/>
          <w:sz w:val="24"/>
          <w:szCs w:val="24"/>
        </w:rPr>
      </w:pPr>
    </w:p>
    <w:p w14:paraId="388BF853">
      <w:pPr>
        <w:spacing w:line="480" w:lineRule="auto"/>
        <w:ind w:firstLine="4200" w:firstLineChars="1750"/>
        <w:rPr>
          <w:rFonts w:ascii="宋体" w:hAnsi="宋体" w:eastAsia="宋体"/>
          <w:color w:val="auto"/>
          <w:sz w:val="24"/>
          <w:szCs w:val="24"/>
        </w:rPr>
      </w:pPr>
    </w:p>
    <w:p w14:paraId="6CC25C25">
      <w:pPr>
        <w:wordWrap w:val="0"/>
        <w:spacing w:line="480" w:lineRule="auto"/>
        <w:jc w:val="right"/>
        <w:rPr>
          <w:rFonts w:ascii="宋体" w:hAnsi="宋体" w:eastAsia="宋体"/>
          <w:color w:val="auto"/>
          <w:sz w:val="24"/>
          <w:szCs w:val="24"/>
        </w:rPr>
      </w:pPr>
      <w:r>
        <w:rPr>
          <w:rFonts w:hint="eastAsia" w:ascii="宋体" w:hAnsi="宋体" w:eastAsia="宋体"/>
          <w:color w:val="auto"/>
          <w:sz w:val="24"/>
          <w:szCs w:val="24"/>
        </w:rPr>
        <w:t>招标人：</w:t>
      </w:r>
      <w:r>
        <w:rPr>
          <w:color w:val="auto"/>
          <w:sz w:val="24"/>
          <w:szCs w:val="24"/>
          <w:u w:val="single"/>
        </w:rPr>
        <w:t xml:space="preserve">       （全称）         </w:t>
      </w:r>
      <w:r>
        <w:rPr>
          <w:color w:val="auto"/>
          <w:sz w:val="24"/>
          <w:szCs w:val="24"/>
        </w:rPr>
        <w:t>（</w:t>
      </w:r>
      <w:r>
        <w:rPr>
          <w:rFonts w:hint="eastAsia" w:cs="仿宋"/>
          <w:color w:val="auto"/>
          <w:sz w:val="24"/>
          <w:szCs w:val="24"/>
        </w:rPr>
        <w:t>盖单位公章</w:t>
      </w:r>
      <w:r>
        <w:rPr>
          <w:color w:val="auto"/>
          <w:sz w:val="24"/>
          <w:szCs w:val="24"/>
        </w:rPr>
        <w:t>）</w:t>
      </w:r>
      <w:r>
        <w:rPr>
          <w:rFonts w:ascii="宋体" w:hAnsi="宋体" w:eastAsia="宋体"/>
          <w:color w:val="auto"/>
          <w:sz w:val="24"/>
          <w:szCs w:val="24"/>
        </w:rPr>
        <w:t xml:space="preserve">  </w:t>
      </w:r>
    </w:p>
    <w:p w14:paraId="7755E908">
      <w:pPr>
        <w:widowControl w:val="0"/>
        <w:adjustRightInd w:val="0"/>
        <w:snapToGrid w:val="0"/>
        <w:spacing w:after="0" w:line="490" w:lineRule="exact"/>
        <w:jc w:val="right"/>
        <w:rPr>
          <w:rFonts w:ascii="Times New Roman" w:hAnsi="Times New Roman" w:eastAsia="宋体" w:cs="宋体"/>
          <w:color w:val="auto"/>
          <w:sz w:val="24"/>
          <w:szCs w:val="24"/>
        </w:rPr>
        <w:sectPr>
          <w:pgSz w:w="11906" w:h="16838"/>
          <w:pgMar w:top="1440" w:right="1800" w:bottom="1440" w:left="1800" w:header="737" w:footer="850" w:gutter="0"/>
          <w:cols w:space="720" w:num="1"/>
          <w:docGrid w:type="lines" w:linePitch="312" w:charSpace="0"/>
        </w:sectPr>
      </w:pPr>
      <w:r>
        <w:rPr>
          <w:color w:val="auto"/>
          <w:sz w:val="24"/>
          <w:szCs w:val="24"/>
          <w:u w:val="single"/>
        </w:rPr>
        <w:t xml:space="preserve">      </w:t>
      </w:r>
      <w:r>
        <w:rPr>
          <w:color w:val="auto"/>
          <w:sz w:val="24"/>
          <w:szCs w:val="24"/>
        </w:rPr>
        <w:t>年</w:t>
      </w:r>
      <w:r>
        <w:rPr>
          <w:color w:val="auto"/>
          <w:sz w:val="24"/>
          <w:szCs w:val="24"/>
          <w:u w:val="single"/>
        </w:rPr>
        <w:t xml:space="preserve">       </w:t>
      </w:r>
      <w:r>
        <w:rPr>
          <w:color w:val="auto"/>
          <w:sz w:val="24"/>
          <w:szCs w:val="24"/>
        </w:rPr>
        <w:t>月</w:t>
      </w:r>
      <w:r>
        <w:rPr>
          <w:color w:val="auto"/>
          <w:sz w:val="24"/>
          <w:szCs w:val="24"/>
          <w:u w:val="single"/>
        </w:rPr>
        <w:t xml:space="preserve">       </w:t>
      </w:r>
      <w:r>
        <w:rPr>
          <w:color w:val="auto"/>
          <w:sz w:val="24"/>
          <w:szCs w:val="24"/>
        </w:rPr>
        <w:t>日</w:t>
      </w:r>
      <w:r>
        <w:rPr>
          <w:rFonts w:hint="eastAsia" w:ascii="Times New Roman" w:hAnsi="Times New Roman" w:eastAsia="宋体" w:cs="宋体"/>
          <w:color w:val="auto"/>
          <w:sz w:val="24"/>
          <w:szCs w:val="24"/>
        </w:rPr>
        <w:t xml:space="preserve"> </w:t>
      </w:r>
      <w:bookmarkEnd w:id="237"/>
      <w:bookmarkStart w:id="238" w:name="_Toc511317223"/>
      <w:bookmarkStart w:id="239" w:name="_Toc511317972"/>
      <w:bookmarkStart w:id="240" w:name="_Toc20031"/>
      <w:bookmarkStart w:id="241" w:name="_Toc259698647"/>
    </w:p>
    <w:p w14:paraId="35D9BFD5">
      <w:pPr>
        <w:pStyle w:val="3"/>
      </w:pPr>
      <w:bookmarkStart w:id="242" w:name="_Toc3481"/>
      <w:r>
        <w:rPr>
          <w:rFonts w:hint="eastAsia"/>
        </w:rPr>
        <w:t>附件</w:t>
      </w:r>
      <w:bookmarkEnd w:id="238"/>
      <w:bookmarkEnd w:id="239"/>
      <w:r>
        <w:rPr>
          <w:rFonts w:hint="eastAsia"/>
        </w:rPr>
        <w:t>六：</w:t>
      </w:r>
      <w:bookmarkEnd w:id="240"/>
      <w:r>
        <w:rPr>
          <w:rFonts w:hint="eastAsia"/>
        </w:rPr>
        <w:t>中标通知书</w:t>
      </w:r>
      <w:bookmarkEnd w:id="242"/>
      <w:r>
        <w:rPr>
          <w:rFonts w:hint="eastAsia"/>
        </w:rPr>
        <w:t xml:space="preserve"> </w:t>
      </w:r>
    </w:p>
    <w:p w14:paraId="7DA125D1">
      <w:pPr>
        <w:spacing w:line="490" w:lineRule="exact"/>
        <w:jc w:val="center"/>
        <w:rPr>
          <w:rFonts w:ascii="宋体" w:hAnsi="宋体" w:eastAsia="宋体" w:cs="宋体"/>
          <w:b/>
          <w:bCs/>
          <w:color w:val="auto"/>
          <w:sz w:val="30"/>
          <w:szCs w:val="30"/>
        </w:rPr>
      </w:pPr>
      <w:r>
        <w:rPr>
          <w:rFonts w:hint="eastAsia" w:ascii="宋体" w:hAnsi="宋体" w:eastAsia="宋体" w:cs="宋体"/>
          <w:b/>
          <w:bCs/>
          <w:color w:val="auto"/>
          <w:sz w:val="30"/>
          <w:szCs w:val="30"/>
        </w:rPr>
        <w:t>中标通知书（货物类）</w:t>
      </w:r>
    </w:p>
    <w:p w14:paraId="2A34C228">
      <w:pPr>
        <w:spacing w:line="240" w:lineRule="exact"/>
        <w:rPr>
          <w:rFonts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编号：</w:t>
      </w:r>
      <w:r>
        <w:rPr>
          <w:rFonts w:hint="eastAsia" w:ascii="宋体" w:hAnsi="宋体" w:eastAsia="宋体" w:cs="宋体"/>
          <w:color w:val="auto"/>
          <w:sz w:val="21"/>
          <w:szCs w:val="21"/>
          <w:u w:val="single"/>
        </w:rPr>
        <w:t xml:space="preserve">                     </w:t>
      </w:r>
    </w:p>
    <w:p w14:paraId="45093C7E">
      <w:pPr>
        <w:spacing w:line="24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你方于</w:t>
      </w:r>
      <w:r>
        <w:rPr>
          <w:rFonts w:hint="eastAsia" w:ascii="宋体" w:hAnsi="宋体" w:eastAsia="宋体" w:cs="宋体"/>
          <w:color w:val="auto"/>
          <w:sz w:val="21"/>
          <w:szCs w:val="21"/>
          <w:u w:val="single"/>
        </w:rPr>
        <w:t xml:space="preserve">   年 月  日 </w:t>
      </w:r>
      <w:r>
        <w:rPr>
          <w:rFonts w:hint="eastAsia" w:ascii="宋体" w:hAnsi="宋体" w:eastAsia="宋体" w:cs="宋体"/>
          <w:color w:val="auto"/>
          <w:sz w:val="21"/>
          <w:szCs w:val="21"/>
        </w:rPr>
        <w:t>所递交的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的投标文件已被我方接受，被确定为中标人。请你单位派代表持本中标通知书及相关资料在接到本通知书后30日内到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与我方签订承包合同。在此之前按照招标文件规定向我方提交履约担保。</w:t>
      </w:r>
    </w:p>
    <w:p w14:paraId="0E627DF3">
      <w:pPr>
        <w:spacing w:line="240" w:lineRule="exact"/>
        <w:ind w:firstLine="422" w:firstLineChars="200"/>
        <w:jc w:val="center"/>
        <w:rPr>
          <w:rFonts w:ascii="宋体" w:hAnsi="宋体" w:eastAsia="宋体" w:cs="宋体"/>
          <w:b/>
          <w:bCs/>
          <w:color w:val="auto"/>
          <w:sz w:val="21"/>
          <w:szCs w:val="21"/>
        </w:rPr>
      </w:pPr>
      <w:r>
        <w:rPr>
          <w:rFonts w:hint="eastAsia" w:ascii="宋体" w:hAnsi="宋体" w:eastAsia="宋体" w:cs="宋体"/>
          <w:b/>
          <w:bCs/>
          <w:color w:val="auto"/>
          <w:sz w:val="21"/>
          <w:szCs w:val="21"/>
        </w:rPr>
        <w:t>工程概况及中标内容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2680"/>
        <w:gridCol w:w="1584"/>
        <w:gridCol w:w="2808"/>
        <w:gridCol w:w="4720"/>
      </w:tblGrid>
      <w:tr w14:paraId="10FF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0" w:type="dxa"/>
            <w:vAlign w:val="center"/>
          </w:tcPr>
          <w:p w14:paraId="73869463">
            <w:pPr>
              <w:pStyle w:val="36"/>
              <w:jc w:val="center"/>
              <w:rPr>
                <w:sz w:val="21"/>
                <w:szCs w:val="21"/>
              </w:rPr>
            </w:pPr>
            <w:r>
              <w:rPr>
                <w:rFonts w:hint="eastAsia"/>
                <w:sz w:val="21"/>
                <w:szCs w:val="21"/>
              </w:rPr>
              <w:t>标段名称</w:t>
            </w:r>
          </w:p>
        </w:tc>
        <w:tc>
          <w:tcPr>
            <w:tcW w:w="11792" w:type="dxa"/>
            <w:gridSpan w:val="4"/>
            <w:vAlign w:val="center"/>
          </w:tcPr>
          <w:p w14:paraId="0CF79440">
            <w:pPr>
              <w:spacing w:line="240" w:lineRule="exact"/>
              <w:ind w:firstLine="420" w:firstLineChars="200"/>
              <w:rPr>
                <w:rFonts w:ascii="宋体" w:hAnsi="宋体" w:eastAsia="宋体" w:cs="宋体"/>
                <w:color w:val="auto"/>
                <w:sz w:val="21"/>
                <w:szCs w:val="21"/>
              </w:rPr>
            </w:pPr>
          </w:p>
        </w:tc>
      </w:tr>
      <w:tr w14:paraId="2CBE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860" w:type="dxa"/>
            <w:vAlign w:val="center"/>
          </w:tcPr>
          <w:p w14:paraId="2668AA46">
            <w:pPr>
              <w:pStyle w:val="36"/>
              <w:jc w:val="center"/>
              <w:rPr>
                <w:sz w:val="21"/>
                <w:szCs w:val="21"/>
              </w:rPr>
            </w:pPr>
            <w:r>
              <w:rPr>
                <w:rFonts w:hint="eastAsia"/>
                <w:sz w:val="21"/>
                <w:szCs w:val="21"/>
              </w:rPr>
              <w:t>供货地址</w:t>
            </w:r>
          </w:p>
        </w:tc>
        <w:tc>
          <w:tcPr>
            <w:tcW w:w="11792" w:type="dxa"/>
            <w:gridSpan w:val="4"/>
            <w:vAlign w:val="center"/>
          </w:tcPr>
          <w:p w14:paraId="1859166D">
            <w:pPr>
              <w:spacing w:line="240" w:lineRule="exact"/>
              <w:ind w:firstLine="420" w:firstLineChars="200"/>
              <w:rPr>
                <w:rFonts w:ascii="宋体" w:hAnsi="宋体" w:eastAsia="宋体" w:cs="宋体"/>
                <w:color w:val="auto"/>
                <w:sz w:val="21"/>
                <w:szCs w:val="21"/>
              </w:rPr>
            </w:pPr>
          </w:p>
        </w:tc>
      </w:tr>
      <w:tr w14:paraId="217C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60" w:type="dxa"/>
            <w:vAlign w:val="center"/>
          </w:tcPr>
          <w:p w14:paraId="10789D35">
            <w:pPr>
              <w:pStyle w:val="36"/>
              <w:jc w:val="center"/>
              <w:rPr>
                <w:sz w:val="21"/>
                <w:szCs w:val="21"/>
              </w:rPr>
            </w:pPr>
            <w:r>
              <w:rPr>
                <w:rFonts w:hint="eastAsia"/>
                <w:sz w:val="21"/>
                <w:szCs w:val="21"/>
              </w:rPr>
              <w:t>中标内容</w:t>
            </w:r>
          </w:p>
        </w:tc>
        <w:tc>
          <w:tcPr>
            <w:tcW w:w="11792" w:type="dxa"/>
            <w:gridSpan w:val="4"/>
            <w:vAlign w:val="center"/>
          </w:tcPr>
          <w:p w14:paraId="7E33BA3D">
            <w:pPr>
              <w:spacing w:line="240" w:lineRule="exact"/>
              <w:ind w:firstLine="420" w:firstLineChars="200"/>
              <w:rPr>
                <w:rFonts w:ascii="宋体" w:hAnsi="宋体" w:eastAsia="宋体" w:cs="宋体"/>
                <w:color w:val="auto"/>
                <w:sz w:val="21"/>
                <w:szCs w:val="21"/>
              </w:rPr>
            </w:pPr>
          </w:p>
        </w:tc>
      </w:tr>
      <w:tr w14:paraId="1358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60" w:type="dxa"/>
            <w:vAlign w:val="center"/>
          </w:tcPr>
          <w:p w14:paraId="491F1783">
            <w:pPr>
              <w:pStyle w:val="36"/>
              <w:jc w:val="center"/>
              <w:rPr>
                <w:sz w:val="21"/>
                <w:szCs w:val="21"/>
              </w:rPr>
            </w:pPr>
            <w:r>
              <w:rPr>
                <w:rFonts w:hint="eastAsia"/>
                <w:sz w:val="21"/>
                <w:szCs w:val="21"/>
              </w:rPr>
              <w:t>计划供货期</w:t>
            </w:r>
          </w:p>
        </w:tc>
        <w:tc>
          <w:tcPr>
            <w:tcW w:w="4264" w:type="dxa"/>
            <w:gridSpan w:val="2"/>
            <w:vAlign w:val="center"/>
          </w:tcPr>
          <w:p w14:paraId="48D5E9FC">
            <w:pPr>
              <w:spacing w:line="240" w:lineRule="exact"/>
              <w:ind w:firstLine="420" w:firstLineChars="200"/>
              <w:rPr>
                <w:rFonts w:ascii="宋体" w:hAnsi="宋体" w:eastAsia="宋体" w:cs="宋体"/>
                <w:color w:val="auto"/>
                <w:sz w:val="21"/>
                <w:szCs w:val="21"/>
              </w:rPr>
            </w:pPr>
          </w:p>
        </w:tc>
        <w:tc>
          <w:tcPr>
            <w:tcW w:w="2808" w:type="dxa"/>
            <w:vAlign w:val="center"/>
          </w:tcPr>
          <w:p w14:paraId="517E49E1">
            <w:pPr>
              <w:pStyle w:val="36"/>
              <w:jc w:val="center"/>
              <w:rPr>
                <w:sz w:val="21"/>
                <w:szCs w:val="21"/>
              </w:rPr>
            </w:pPr>
            <w:r>
              <w:rPr>
                <w:rFonts w:hint="eastAsia"/>
                <w:sz w:val="21"/>
                <w:szCs w:val="21"/>
              </w:rPr>
              <w:t>总供货期（日历天）</w:t>
            </w:r>
          </w:p>
        </w:tc>
        <w:tc>
          <w:tcPr>
            <w:tcW w:w="4720" w:type="dxa"/>
            <w:vAlign w:val="center"/>
          </w:tcPr>
          <w:p w14:paraId="74E514B4">
            <w:pPr>
              <w:spacing w:line="240" w:lineRule="exact"/>
              <w:ind w:firstLine="420" w:firstLineChars="200"/>
              <w:rPr>
                <w:rFonts w:ascii="宋体" w:hAnsi="宋体" w:eastAsia="宋体" w:cs="宋体"/>
                <w:color w:val="auto"/>
                <w:sz w:val="21"/>
                <w:szCs w:val="21"/>
              </w:rPr>
            </w:pPr>
          </w:p>
        </w:tc>
      </w:tr>
      <w:tr w14:paraId="6508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860" w:type="dxa"/>
            <w:vAlign w:val="center"/>
          </w:tcPr>
          <w:p w14:paraId="36EA33E3">
            <w:pPr>
              <w:pStyle w:val="36"/>
              <w:jc w:val="center"/>
              <w:rPr>
                <w:sz w:val="21"/>
                <w:szCs w:val="21"/>
              </w:rPr>
            </w:pPr>
            <w:r>
              <w:rPr>
                <w:rFonts w:hint="eastAsia"/>
                <w:sz w:val="21"/>
                <w:szCs w:val="21"/>
              </w:rPr>
              <w:t>项目负责人</w:t>
            </w:r>
          </w:p>
        </w:tc>
        <w:tc>
          <w:tcPr>
            <w:tcW w:w="4264" w:type="dxa"/>
            <w:gridSpan w:val="2"/>
            <w:vAlign w:val="center"/>
          </w:tcPr>
          <w:p w14:paraId="51D5574B">
            <w:pPr>
              <w:spacing w:line="240" w:lineRule="exact"/>
              <w:ind w:firstLine="420" w:firstLineChars="200"/>
              <w:rPr>
                <w:rFonts w:ascii="宋体" w:hAnsi="宋体" w:eastAsia="宋体" w:cs="宋体"/>
                <w:color w:val="auto"/>
                <w:sz w:val="21"/>
                <w:szCs w:val="21"/>
              </w:rPr>
            </w:pPr>
          </w:p>
        </w:tc>
        <w:tc>
          <w:tcPr>
            <w:tcW w:w="2808" w:type="dxa"/>
            <w:vAlign w:val="center"/>
          </w:tcPr>
          <w:p w14:paraId="0082AB32">
            <w:pPr>
              <w:pStyle w:val="36"/>
              <w:jc w:val="center"/>
              <w:rPr>
                <w:sz w:val="21"/>
                <w:szCs w:val="21"/>
              </w:rPr>
            </w:pPr>
            <w:r>
              <w:rPr>
                <w:rFonts w:hint="eastAsia"/>
                <w:sz w:val="21"/>
                <w:szCs w:val="21"/>
              </w:rPr>
              <w:t>质量标准</w:t>
            </w:r>
          </w:p>
        </w:tc>
        <w:tc>
          <w:tcPr>
            <w:tcW w:w="4720" w:type="dxa"/>
            <w:vAlign w:val="center"/>
          </w:tcPr>
          <w:p w14:paraId="2FEE5390">
            <w:pPr>
              <w:spacing w:line="240" w:lineRule="exact"/>
              <w:ind w:firstLine="420" w:firstLineChars="200"/>
              <w:rPr>
                <w:rFonts w:ascii="宋体" w:hAnsi="宋体" w:eastAsia="宋体" w:cs="宋体"/>
                <w:color w:val="auto"/>
                <w:sz w:val="21"/>
                <w:szCs w:val="21"/>
              </w:rPr>
            </w:pPr>
          </w:p>
        </w:tc>
      </w:tr>
      <w:tr w14:paraId="0C8D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860" w:type="dxa"/>
            <w:vMerge w:val="restart"/>
            <w:vAlign w:val="center"/>
          </w:tcPr>
          <w:p w14:paraId="14911EE1">
            <w:pPr>
              <w:pStyle w:val="36"/>
              <w:jc w:val="center"/>
              <w:rPr>
                <w:sz w:val="21"/>
                <w:szCs w:val="21"/>
              </w:rPr>
            </w:pPr>
            <w:r>
              <w:rPr>
                <w:rFonts w:hint="eastAsia"/>
                <w:sz w:val="21"/>
                <w:szCs w:val="21"/>
              </w:rPr>
              <w:t>中标金额</w:t>
            </w:r>
          </w:p>
        </w:tc>
        <w:tc>
          <w:tcPr>
            <w:tcW w:w="11792" w:type="dxa"/>
            <w:gridSpan w:val="4"/>
            <w:vAlign w:val="center"/>
          </w:tcPr>
          <w:p w14:paraId="1E5A62D3">
            <w:pPr>
              <w:pStyle w:val="36"/>
              <w:rPr>
                <w:sz w:val="21"/>
                <w:szCs w:val="21"/>
              </w:rPr>
            </w:pPr>
            <w:r>
              <w:rPr>
                <w:rFonts w:hint="eastAsia"/>
                <w:sz w:val="21"/>
                <w:szCs w:val="21"/>
              </w:rPr>
              <w:t>大写：</w:t>
            </w:r>
          </w:p>
        </w:tc>
      </w:tr>
      <w:tr w14:paraId="3EC3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60" w:type="dxa"/>
            <w:vMerge w:val="continue"/>
            <w:vAlign w:val="center"/>
          </w:tcPr>
          <w:p w14:paraId="3E60205D">
            <w:pPr>
              <w:pStyle w:val="36"/>
              <w:rPr>
                <w:sz w:val="21"/>
                <w:szCs w:val="21"/>
              </w:rPr>
            </w:pPr>
          </w:p>
        </w:tc>
        <w:tc>
          <w:tcPr>
            <w:tcW w:w="11792" w:type="dxa"/>
            <w:gridSpan w:val="4"/>
            <w:vAlign w:val="center"/>
          </w:tcPr>
          <w:p w14:paraId="08C66954">
            <w:pPr>
              <w:pStyle w:val="36"/>
              <w:rPr>
                <w:sz w:val="21"/>
                <w:szCs w:val="21"/>
              </w:rPr>
            </w:pPr>
            <w:r>
              <w:rPr>
                <w:rFonts w:hint="eastAsia"/>
                <w:sz w:val="21"/>
                <w:szCs w:val="21"/>
              </w:rPr>
              <w:t>小写：</w:t>
            </w:r>
          </w:p>
        </w:tc>
      </w:tr>
      <w:tr w14:paraId="084C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60" w:type="dxa"/>
            <w:vAlign w:val="center"/>
          </w:tcPr>
          <w:p w14:paraId="6ADEF3EF">
            <w:pPr>
              <w:pStyle w:val="36"/>
              <w:jc w:val="center"/>
              <w:rPr>
                <w:sz w:val="21"/>
                <w:szCs w:val="21"/>
              </w:rPr>
            </w:pPr>
            <w:r>
              <w:rPr>
                <w:rFonts w:hint="eastAsia"/>
                <w:sz w:val="21"/>
                <w:szCs w:val="21"/>
              </w:rPr>
              <w:t>需要说明的事项</w:t>
            </w:r>
          </w:p>
        </w:tc>
        <w:tc>
          <w:tcPr>
            <w:tcW w:w="11792" w:type="dxa"/>
            <w:gridSpan w:val="4"/>
            <w:vAlign w:val="center"/>
          </w:tcPr>
          <w:p w14:paraId="06410AEB">
            <w:pPr>
              <w:spacing w:line="240" w:lineRule="exact"/>
              <w:ind w:firstLine="420" w:firstLineChars="200"/>
              <w:rPr>
                <w:rFonts w:ascii="宋体" w:hAnsi="宋体" w:eastAsia="宋体" w:cs="宋体"/>
                <w:color w:val="auto"/>
                <w:sz w:val="21"/>
                <w:szCs w:val="21"/>
              </w:rPr>
            </w:pPr>
          </w:p>
        </w:tc>
      </w:tr>
      <w:tr w14:paraId="78A2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4540" w:type="dxa"/>
            <w:gridSpan w:val="2"/>
            <w:vAlign w:val="center"/>
          </w:tcPr>
          <w:p w14:paraId="7BC43280">
            <w:pPr>
              <w:pStyle w:val="36"/>
              <w:rPr>
                <w:sz w:val="21"/>
                <w:szCs w:val="21"/>
              </w:rPr>
            </w:pPr>
            <w:r>
              <w:rPr>
                <w:rFonts w:hint="eastAsia"/>
                <w:sz w:val="21"/>
                <w:szCs w:val="21"/>
              </w:rPr>
              <w:t>招标人（盖章）</w:t>
            </w:r>
          </w:p>
          <w:p w14:paraId="30D25841">
            <w:pPr>
              <w:pStyle w:val="36"/>
              <w:rPr>
                <w:sz w:val="21"/>
                <w:szCs w:val="21"/>
              </w:rPr>
            </w:pPr>
            <w:r>
              <w:rPr>
                <w:rFonts w:hint="eastAsia"/>
                <w:sz w:val="21"/>
                <w:szCs w:val="21"/>
              </w:rPr>
              <w:t>法定代表（签章）</w:t>
            </w:r>
          </w:p>
          <w:p w14:paraId="109083EB">
            <w:pPr>
              <w:pStyle w:val="36"/>
              <w:ind w:firstLine="2100" w:firstLineChars="1000"/>
              <w:rPr>
                <w:rFonts w:hAnsi="宋体" w:cs="宋体"/>
                <w:sz w:val="21"/>
                <w:szCs w:val="21"/>
              </w:rPr>
            </w:pPr>
            <w:r>
              <w:rPr>
                <w:rFonts w:hint="eastAsia"/>
                <w:sz w:val="21"/>
                <w:szCs w:val="21"/>
              </w:rPr>
              <w:t>年   月   日</w:t>
            </w:r>
          </w:p>
        </w:tc>
        <w:tc>
          <w:tcPr>
            <w:tcW w:w="4392" w:type="dxa"/>
            <w:gridSpan w:val="2"/>
            <w:vAlign w:val="center"/>
          </w:tcPr>
          <w:p w14:paraId="13217ABB">
            <w:pPr>
              <w:pStyle w:val="36"/>
              <w:rPr>
                <w:sz w:val="21"/>
                <w:szCs w:val="21"/>
              </w:rPr>
            </w:pPr>
            <w:r>
              <w:rPr>
                <w:rFonts w:hint="eastAsia"/>
                <w:sz w:val="21"/>
                <w:szCs w:val="21"/>
              </w:rPr>
              <w:t>招标代理（盖章）</w:t>
            </w:r>
          </w:p>
          <w:p w14:paraId="066E1FCB">
            <w:pPr>
              <w:pStyle w:val="36"/>
              <w:rPr>
                <w:sz w:val="21"/>
                <w:szCs w:val="21"/>
              </w:rPr>
            </w:pPr>
            <w:r>
              <w:rPr>
                <w:rFonts w:hint="eastAsia"/>
                <w:sz w:val="21"/>
                <w:szCs w:val="21"/>
              </w:rPr>
              <w:t>法定代表（签章）</w:t>
            </w:r>
          </w:p>
          <w:p w14:paraId="49C669A4">
            <w:pPr>
              <w:pStyle w:val="36"/>
              <w:ind w:firstLine="2100" w:firstLineChars="1000"/>
              <w:rPr>
                <w:rFonts w:hAnsi="宋体" w:cs="宋体"/>
                <w:sz w:val="21"/>
                <w:szCs w:val="21"/>
              </w:rPr>
            </w:pPr>
            <w:r>
              <w:rPr>
                <w:rFonts w:hint="eastAsia"/>
                <w:sz w:val="21"/>
                <w:szCs w:val="21"/>
              </w:rPr>
              <w:t>年   月   日</w:t>
            </w:r>
          </w:p>
        </w:tc>
        <w:tc>
          <w:tcPr>
            <w:tcW w:w="4720" w:type="dxa"/>
            <w:vAlign w:val="center"/>
          </w:tcPr>
          <w:p w14:paraId="5BCF8993">
            <w:pPr>
              <w:pStyle w:val="36"/>
              <w:rPr>
                <w:sz w:val="21"/>
                <w:szCs w:val="21"/>
              </w:rPr>
            </w:pPr>
            <w:r>
              <w:rPr>
                <w:rFonts w:hint="eastAsia"/>
                <w:sz w:val="21"/>
                <w:szCs w:val="21"/>
              </w:rPr>
              <w:t>监管部门（盖章）</w:t>
            </w:r>
          </w:p>
          <w:p w14:paraId="43DDB3CE">
            <w:pPr>
              <w:pStyle w:val="36"/>
              <w:rPr>
                <w:sz w:val="21"/>
                <w:szCs w:val="21"/>
              </w:rPr>
            </w:pPr>
            <w:r>
              <w:rPr>
                <w:rFonts w:hint="eastAsia"/>
                <w:sz w:val="21"/>
                <w:szCs w:val="21"/>
              </w:rPr>
              <w:t>经办人（签章）</w:t>
            </w:r>
          </w:p>
          <w:p w14:paraId="2B47B2CA">
            <w:pPr>
              <w:pStyle w:val="36"/>
              <w:ind w:firstLine="2520" w:firstLineChars="1200"/>
              <w:rPr>
                <w:rFonts w:hAnsi="宋体" w:cs="宋体"/>
                <w:sz w:val="21"/>
                <w:szCs w:val="21"/>
              </w:rPr>
            </w:pPr>
            <w:r>
              <w:rPr>
                <w:rFonts w:hint="eastAsia"/>
                <w:sz w:val="21"/>
                <w:szCs w:val="21"/>
              </w:rPr>
              <w:t>年  月  日</w:t>
            </w:r>
          </w:p>
        </w:tc>
      </w:tr>
      <w:bookmarkEnd w:id="241"/>
    </w:tbl>
    <w:p w14:paraId="15709F84">
      <w:pPr>
        <w:spacing w:line="490" w:lineRule="exact"/>
        <w:outlineLvl w:val="2"/>
        <w:rPr>
          <w:b/>
          <w:sz w:val="28"/>
          <w:szCs w:val="20"/>
        </w:rPr>
        <w:sectPr>
          <w:pgSz w:w="16838" w:h="11906" w:orient="landscape"/>
          <w:pgMar w:top="1800" w:right="1440" w:bottom="1800" w:left="1440" w:header="737" w:footer="850" w:gutter="0"/>
          <w:cols w:space="720" w:num="1"/>
          <w:docGrid w:type="lines" w:linePitch="312" w:charSpace="0"/>
        </w:sectPr>
      </w:pPr>
      <w:bookmarkStart w:id="243" w:name="_Toc23852"/>
      <w:bookmarkStart w:id="244" w:name="_Toc17550"/>
      <w:bookmarkStart w:id="245" w:name="_Toc18341"/>
      <w:bookmarkStart w:id="246" w:name="_Toc8185"/>
      <w:bookmarkStart w:id="247" w:name="_Toc56792767"/>
      <w:bookmarkStart w:id="248" w:name="_Toc7781"/>
      <w:bookmarkStart w:id="249" w:name="_Toc27545"/>
    </w:p>
    <w:p w14:paraId="1CA43F2E">
      <w:pPr>
        <w:pStyle w:val="3"/>
      </w:pPr>
      <w:bookmarkStart w:id="250" w:name="_Toc8632"/>
      <w:r>
        <w:t>附件</w:t>
      </w:r>
      <w:r>
        <w:rPr>
          <w:rFonts w:hint="eastAsia"/>
        </w:rPr>
        <w:t>七：中标结果通知书</w:t>
      </w:r>
      <w:bookmarkEnd w:id="250"/>
    </w:p>
    <w:p w14:paraId="64189256">
      <w:pPr>
        <w:spacing w:line="490" w:lineRule="exact"/>
        <w:jc w:val="center"/>
        <w:rPr>
          <w:bCs/>
          <w:sz w:val="36"/>
          <w:szCs w:val="20"/>
        </w:rPr>
      </w:pPr>
    </w:p>
    <w:p w14:paraId="1DB2EA26">
      <w:pPr>
        <w:pStyle w:val="12"/>
        <w:spacing w:line="490" w:lineRule="exact"/>
        <w:ind w:left="803" w:hanging="803"/>
        <w:jc w:val="center"/>
        <w:rPr>
          <w:b/>
          <w:sz w:val="40"/>
          <w:szCs w:val="28"/>
        </w:rPr>
      </w:pPr>
      <w:bookmarkStart w:id="251" w:name="_Toc259698650"/>
      <w:r>
        <w:rPr>
          <w:b/>
          <w:sz w:val="40"/>
          <w:szCs w:val="28"/>
        </w:rPr>
        <w:t>中标结果通知书</w:t>
      </w:r>
      <w:bookmarkEnd w:id="251"/>
      <w:r>
        <w:rPr>
          <w:b/>
          <w:sz w:val="40"/>
          <w:szCs w:val="28"/>
        </w:rPr>
        <w:t>（如有）</w:t>
      </w:r>
    </w:p>
    <w:p w14:paraId="73CD85C6">
      <w:pPr>
        <w:spacing w:line="490" w:lineRule="exact"/>
        <w:jc w:val="center"/>
        <w:rPr>
          <w:sz w:val="28"/>
        </w:rPr>
      </w:pPr>
    </w:p>
    <w:p w14:paraId="2E91F232">
      <w:pPr>
        <w:spacing w:line="490" w:lineRule="exact"/>
        <w:jc w:val="center"/>
        <w:rPr>
          <w:sz w:val="28"/>
          <w:szCs w:val="28"/>
          <w:u w:val="single"/>
        </w:rPr>
      </w:pPr>
      <w:r>
        <w:rPr>
          <w:sz w:val="28"/>
          <w:szCs w:val="28"/>
        </w:rPr>
        <w:t xml:space="preserve">                                 编号：</w:t>
      </w:r>
      <w:r>
        <w:rPr>
          <w:sz w:val="28"/>
          <w:szCs w:val="28"/>
          <w:u w:val="single"/>
        </w:rPr>
        <w:t xml:space="preserve">             </w:t>
      </w:r>
    </w:p>
    <w:p w14:paraId="300525FB">
      <w:pPr>
        <w:spacing w:line="490" w:lineRule="exact"/>
        <w:jc w:val="center"/>
        <w:rPr>
          <w:sz w:val="28"/>
          <w:szCs w:val="32"/>
        </w:rPr>
      </w:pPr>
    </w:p>
    <w:p w14:paraId="508EE267">
      <w:pPr>
        <w:pStyle w:val="7"/>
        <w:spacing w:line="490" w:lineRule="exact"/>
        <w:ind w:left="0" w:leftChars="0"/>
        <w:rPr>
          <w:sz w:val="28"/>
          <w:szCs w:val="32"/>
        </w:rPr>
      </w:pPr>
      <w:r>
        <w:rPr>
          <w:sz w:val="28"/>
          <w:szCs w:val="32"/>
          <w:u w:val="single"/>
        </w:rPr>
        <w:t xml:space="preserve">                </w:t>
      </w:r>
      <w:r>
        <w:rPr>
          <w:sz w:val="28"/>
          <w:szCs w:val="32"/>
        </w:rPr>
        <w:t>（未中标人名称）：</w:t>
      </w:r>
    </w:p>
    <w:p w14:paraId="1490698E">
      <w:pPr>
        <w:autoSpaceDE w:val="0"/>
        <w:autoSpaceDN w:val="0"/>
        <w:adjustRightInd w:val="0"/>
        <w:spacing w:line="490" w:lineRule="exact"/>
        <w:ind w:firstLine="560" w:firstLineChars="200"/>
        <w:rPr>
          <w:sz w:val="28"/>
          <w:szCs w:val="32"/>
        </w:rPr>
      </w:pPr>
      <w:r>
        <w:rPr>
          <w:sz w:val="28"/>
          <w:szCs w:val="32"/>
        </w:rPr>
        <w:t>我方已接受</w:t>
      </w:r>
      <w:r>
        <w:rPr>
          <w:sz w:val="28"/>
          <w:szCs w:val="32"/>
          <w:u w:val="single"/>
        </w:rPr>
        <w:t xml:space="preserve">          </w:t>
      </w:r>
      <w:r>
        <w:rPr>
          <w:sz w:val="28"/>
          <w:szCs w:val="32"/>
        </w:rPr>
        <w:t>（中标人名称）于</w:t>
      </w:r>
      <w:r>
        <w:rPr>
          <w:sz w:val="28"/>
          <w:szCs w:val="32"/>
          <w:u w:val="single"/>
        </w:rPr>
        <w:t xml:space="preserve">         </w:t>
      </w:r>
      <w:r>
        <w:rPr>
          <w:sz w:val="28"/>
          <w:szCs w:val="32"/>
        </w:rPr>
        <w:t>（投标日期）所递交的</w:t>
      </w:r>
      <w:r>
        <w:rPr>
          <w:sz w:val="28"/>
          <w:szCs w:val="32"/>
          <w:u w:val="single"/>
        </w:rPr>
        <w:t xml:space="preserve">           </w:t>
      </w:r>
      <w:r>
        <w:rPr>
          <w:sz w:val="28"/>
          <w:szCs w:val="32"/>
        </w:rPr>
        <w:t>（项目名称）</w:t>
      </w:r>
      <w:r>
        <w:rPr>
          <w:sz w:val="28"/>
          <w:szCs w:val="32"/>
          <w:u w:val="single"/>
        </w:rPr>
        <w:t xml:space="preserve">             </w:t>
      </w:r>
      <w:r>
        <w:rPr>
          <w:sz w:val="28"/>
          <w:szCs w:val="32"/>
        </w:rPr>
        <w:t>（标段名称）投标文件，确定</w:t>
      </w:r>
      <w:r>
        <w:rPr>
          <w:sz w:val="28"/>
          <w:szCs w:val="32"/>
          <w:u w:val="single"/>
        </w:rPr>
        <w:t xml:space="preserve">           </w:t>
      </w:r>
      <w:r>
        <w:rPr>
          <w:sz w:val="28"/>
          <w:szCs w:val="32"/>
        </w:rPr>
        <w:t>（中标人名称）为中标人。</w:t>
      </w:r>
    </w:p>
    <w:p w14:paraId="032E21CA">
      <w:pPr>
        <w:autoSpaceDE w:val="0"/>
        <w:autoSpaceDN w:val="0"/>
        <w:adjustRightInd w:val="0"/>
        <w:spacing w:line="490" w:lineRule="exact"/>
        <w:ind w:firstLine="560" w:firstLineChars="200"/>
        <w:rPr>
          <w:sz w:val="28"/>
          <w:szCs w:val="32"/>
        </w:rPr>
      </w:pPr>
      <w:r>
        <w:rPr>
          <w:sz w:val="28"/>
          <w:szCs w:val="32"/>
        </w:rPr>
        <w:t>感谢你单位对我方工作的大力支持！</w:t>
      </w:r>
    </w:p>
    <w:p w14:paraId="1BD2F483">
      <w:pPr>
        <w:spacing w:line="490" w:lineRule="exact"/>
        <w:rPr>
          <w:sz w:val="28"/>
          <w:szCs w:val="32"/>
        </w:rPr>
      </w:pPr>
    </w:p>
    <w:p w14:paraId="06FB0CED">
      <w:pPr>
        <w:spacing w:line="490" w:lineRule="exact"/>
        <w:rPr>
          <w:sz w:val="28"/>
          <w:szCs w:val="32"/>
        </w:rPr>
      </w:pPr>
    </w:p>
    <w:p w14:paraId="682BA794">
      <w:pPr>
        <w:spacing w:line="490" w:lineRule="exact"/>
        <w:rPr>
          <w:sz w:val="28"/>
          <w:szCs w:val="32"/>
        </w:rPr>
      </w:pPr>
    </w:p>
    <w:p w14:paraId="6DC8BD8B">
      <w:pPr>
        <w:spacing w:line="490" w:lineRule="exact"/>
        <w:ind w:firstLine="1822" w:firstLineChars="651"/>
        <w:rPr>
          <w:sz w:val="28"/>
          <w:szCs w:val="32"/>
        </w:rPr>
      </w:pPr>
      <w:r>
        <w:rPr>
          <w:sz w:val="28"/>
          <w:szCs w:val="32"/>
        </w:rPr>
        <w:t>招  标  人：</w:t>
      </w:r>
      <w:r>
        <w:rPr>
          <w:sz w:val="28"/>
          <w:szCs w:val="32"/>
          <w:u w:val="single"/>
        </w:rPr>
        <w:t xml:space="preserve">       （全称）   </w:t>
      </w:r>
      <w:r>
        <w:rPr>
          <w:rFonts w:hint="eastAsia"/>
          <w:sz w:val="28"/>
          <w:szCs w:val="32"/>
          <w:u w:val="single"/>
        </w:rPr>
        <w:t xml:space="preserve">  </w:t>
      </w:r>
      <w:r>
        <w:rPr>
          <w:sz w:val="28"/>
          <w:szCs w:val="32"/>
          <w:u w:val="single"/>
        </w:rPr>
        <w:t xml:space="preserve">   </w:t>
      </w:r>
      <w:r>
        <w:rPr>
          <w:sz w:val="28"/>
          <w:szCs w:val="32"/>
        </w:rPr>
        <w:t>（</w:t>
      </w:r>
      <w:r>
        <w:rPr>
          <w:rFonts w:hint="eastAsia" w:cs="仿宋"/>
          <w:sz w:val="28"/>
          <w:szCs w:val="32"/>
        </w:rPr>
        <w:t>盖单位公章</w:t>
      </w:r>
      <w:r>
        <w:rPr>
          <w:sz w:val="28"/>
          <w:szCs w:val="32"/>
        </w:rPr>
        <w:t>）</w:t>
      </w:r>
    </w:p>
    <w:p w14:paraId="491C6319">
      <w:pPr>
        <w:spacing w:line="490" w:lineRule="exact"/>
        <w:ind w:right="420" w:firstLine="1822" w:firstLineChars="651"/>
        <w:rPr>
          <w:sz w:val="28"/>
          <w:szCs w:val="32"/>
        </w:rPr>
      </w:pPr>
      <w:r>
        <w:rPr>
          <w:sz w:val="28"/>
          <w:szCs w:val="32"/>
        </w:rPr>
        <w:t>法定代表人：</w:t>
      </w:r>
      <w:r>
        <w:rPr>
          <w:sz w:val="28"/>
          <w:szCs w:val="32"/>
          <w:u w:val="single"/>
        </w:rPr>
        <w:t xml:space="preserve">      </w:t>
      </w:r>
      <w:r>
        <w:rPr>
          <w:rFonts w:hint="eastAsia" w:cs="仿宋"/>
          <w:sz w:val="28"/>
          <w:szCs w:val="32"/>
          <w:u w:val="single"/>
        </w:rPr>
        <w:t>（签字或盖章）</w:t>
      </w:r>
      <w:r>
        <w:rPr>
          <w:sz w:val="28"/>
          <w:szCs w:val="32"/>
          <w:u w:val="single"/>
        </w:rPr>
        <w:t xml:space="preserve">        </w:t>
      </w:r>
    </w:p>
    <w:p w14:paraId="61129B9C">
      <w:pPr>
        <w:spacing w:line="490" w:lineRule="exact"/>
        <w:ind w:right="420" w:firstLine="3780" w:firstLineChars="1350"/>
        <w:rPr>
          <w:sz w:val="28"/>
          <w:szCs w:val="32"/>
        </w:rPr>
      </w:pPr>
      <w:r>
        <w:rPr>
          <w:sz w:val="28"/>
          <w:szCs w:val="32"/>
          <w:u w:val="single"/>
        </w:rPr>
        <w:t xml:space="preserve">       </w:t>
      </w:r>
      <w:r>
        <w:rPr>
          <w:sz w:val="28"/>
          <w:szCs w:val="32"/>
        </w:rPr>
        <w:t>年</w:t>
      </w:r>
      <w:r>
        <w:rPr>
          <w:sz w:val="28"/>
          <w:szCs w:val="32"/>
          <w:u w:val="single"/>
        </w:rPr>
        <w:t xml:space="preserve">       </w:t>
      </w:r>
      <w:r>
        <w:rPr>
          <w:sz w:val="28"/>
          <w:szCs w:val="32"/>
        </w:rPr>
        <w:t>月</w:t>
      </w:r>
      <w:r>
        <w:rPr>
          <w:sz w:val="28"/>
          <w:szCs w:val="32"/>
          <w:u w:val="single"/>
        </w:rPr>
        <w:t xml:space="preserve">       </w:t>
      </w:r>
      <w:r>
        <w:rPr>
          <w:sz w:val="28"/>
          <w:szCs w:val="32"/>
        </w:rPr>
        <w:t>日</w:t>
      </w:r>
    </w:p>
    <w:p w14:paraId="21E88E3C">
      <w:pPr>
        <w:sectPr>
          <w:pgSz w:w="11906" w:h="16838"/>
          <w:pgMar w:top="1440" w:right="1800" w:bottom="1440" w:left="1800" w:header="737" w:footer="850" w:gutter="0"/>
          <w:cols w:space="720" w:num="1"/>
          <w:docGrid w:type="lines" w:linePitch="312" w:charSpace="0"/>
        </w:sectPr>
      </w:pPr>
    </w:p>
    <w:p w14:paraId="71A5501D">
      <w:pPr>
        <w:pStyle w:val="2"/>
        <w:keepNext w:val="0"/>
        <w:keepLines w:val="0"/>
        <w:widowControl w:val="0"/>
        <w:adjustRightInd w:val="0"/>
        <w:snapToGrid w:val="0"/>
        <w:spacing w:after="0"/>
        <w:ind w:left="0" w:right="0"/>
        <w:rPr>
          <w:rFonts w:ascii="Times New Roman" w:hAnsi="Times New Roman" w:eastAsia="宋体" w:cs="Times New Roman"/>
          <w:b/>
          <w:bCs/>
          <w:color w:val="auto"/>
          <w:sz w:val="36"/>
        </w:rPr>
      </w:pPr>
      <w:bookmarkStart w:id="252" w:name="_Toc25754"/>
      <w:r>
        <w:rPr>
          <w:rFonts w:hint="eastAsia" w:ascii="Times New Roman" w:hAnsi="Times New Roman" w:eastAsia="宋体" w:cs="Times New Roman"/>
          <w:b/>
          <w:bCs/>
          <w:color w:val="auto"/>
          <w:sz w:val="36"/>
          <w:szCs w:val="44"/>
        </w:rPr>
        <w:t>第三章 评标办法（综合评估法）</w:t>
      </w:r>
      <w:bookmarkEnd w:id="243"/>
      <w:bookmarkEnd w:id="252"/>
    </w:p>
    <w:p w14:paraId="6DFF4AD7">
      <w:pPr>
        <w:pStyle w:val="3"/>
        <w:spacing w:after="156" w:afterLines="50"/>
        <w:jc w:val="center"/>
      </w:pPr>
      <w:bookmarkStart w:id="253" w:name="_Toc24424"/>
      <w:r>
        <w:rPr>
          <w:rFonts w:hint="eastAsia"/>
        </w:rPr>
        <w:t>评标办法前附表</w:t>
      </w:r>
      <w:bookmarkEnd w:id="244"/>
      <w:bookmarkEnd w:id="245"/>
      <w:bookmarkEnd w:id="246"/>
      <w:bookmarkEnd w:id="247"/>
      <w:bookmarkEnd w:id="248"/>
      <w:bookmarkEnd w:id="249"/>
      <w:bookmarkEnd w:id="253"/>
    </w:p>
    <w:tbl>
      <w:tblPr>
        <w:tblStyle w:val="17"/>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85" w:type="dxa"/>
          <w:bottom w:w="57" w:type="dxa"/>
          <w:right w:w="85" w:type="dxa"/>
        </w:tblCellMar>
      </w:tblPr>
      <w:tblGrid>
        <w:gridCol w:w="846"/>
        <w:gridCol w:w="73"/>
        <w:gridCol w:w="1129"/>
        <w:gridCol w:w="2058"/>
        <w:gridCol w:w="5528"/>
      </w:tblGrid>
      <w:tr w14:paraId="78B67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blHeader/>
          <w:jc w:val="center"/>
        </w:trPr>
        <w:tc>
          <w:tcPr>
            <w:tcW w:w="2048" w:type="dxa"/>
            <w:gridSpan w:val="3"/>
            <w:vAlign w:val="center"/>
          </w:tcPr>
          <w:p w14:paraId="75E6FFEE">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条款号</w:t>
            </w:r>
          </w:p>
        </w:tc>
        <w:tc>
          <w:tcPr>
            <w:tcW w:w="2058" w:type="dxa"/>
            <w:vAlign w:val="center"/>
          </w:tcPr>
          <w:p w14:paraId="39F547F8">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评审因素</w:t>
            </w:r>
          </w:p>
        </w:tc>
        <w:tc>
          <w:tcPr>
            <w:tcW w:w="5528" w:type="dxa"/>
            <w:vAlign w:val="center"/>
          </w:tcPr>
          <w:p w14:paraId="11D6CE56">
            <w:pPr>
              <w:widowControl w:val="0"/>
              <w:adjustRightInd w:val="0"/>
              <w:snapToGrid w:val="0"/>
              <w:spacing w:before="156" w:beforeLines="50" w:after="156" w:afterLines="50" w:line="280" w:lineRule="exact"/>
              <w:jc w:val="center"/>
              <w:rPr>
                <w:rFonts w:ascii="Times New Roman" w:hAnsi="Times New Roman" w:eastAsia="宋体" w:cs="宋体"/>
                <w:b/>
                <w:color w:val="auto"/>
                <w:sz w:val="21"/>
                <w:szCs w:val="21"/>
              </w:rPr>
            </w:pPr>
            <w:r>
              <w:rPr>
                <w:rFonts w:hint="eastAsia" w:ascii="Times New Roman" w:hAnsi="Times New Roman" w:eastAsia="宋体" w:cs="宋体"/>
                <w:b/>
                <w:color w:val="auto"/>
                <w:sz w:val="21"/>
                <w:szCs w:val="21"/>
              </w:rPr>
              <w:t>评审标准</w:t>
            </w:r>
          </w:p>
        </w:tc>
      </w:tr>
      <w:tr w14:paraId="12C0B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Align w:val="center"/>
          </w:tcPr>
          <w:p w14:paraId="0B612A6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1202" w:type="dxa"/>
            <w:gridSpan w:val="2"/>
            <w:vAlign w:val="center"/>
          </w:tcPr>
          <w:p w14:paraId="29A47CB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评标办法</w:t>
            </w:r>
          </w:p>
        </w:tc>
        <w:tc>
          <w:tcPr>
            <w:tcW w:w="2058" w:type="dxa"/>
            <w:vAlign w:val="center"/>
          </w:tcPr>
          <w:p w14:paraId="26518DB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中标候选人排序方法</w:t>
            </w:r>
          </w:p>
        </w:tc>
        <w:tc>
          <w:tcPr>
            <w:tcW w:w="5528" w:type="dxa"/>
            <w:vAlign w:val="center"/>
          </w:tcPr>
          <w:p w14:paraId="21B75EE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综合评分相等时，以投标报价低的优先；投标报价也相等的，以技术得分高的优先；技术得分也相等的，以商务得分高的优先；商务得分也相同，由评标委员会研究确定。</w:t>
            </w:r>
          </w:p>
        </w:tc>
      </w:tr>
      <w:tr w14:paraId="6591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070E580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2.1.1</w:t>
            </w:r>
          </w:p>
        </w:tc>
        <w:tc>
          <w:tcPr>
            <w:tcW w:w="1202" w:type="dxa"/>
            <w:gridSpan w:val="2"/>
            <w:vMerge w:val="restart"/>
            <w:vAlign w:val="center"/>
          </w:tcPr>
          <w:p w14:paraId="4C52A54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形式评审标准</w:t>
            </w:r>
          </w:p>
        </w:tc>
        <w:tc>
          <w:tcPr>
            <w:tcW w:w="2058" w:type="dxa"/>
            <w:vAlign w:val="center"/>
          </w:tcPr>
          <w:p w14:paraId="199AA3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p>
        </w:tc>
        <w:tc>
          <w:tcPr>
            <w:tcW w:w="5528" w:type="dxa"/>
            <w:vAlign w:val="center"/>
          </w:tcPr>
          <w:p w14:paraId="5C87ECBD">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与营业执照（事业单位法人证书）、资质证书一致</w:t>
            </w:r>
          </w:p>
        </w:tc>
      </w:tr>
      <w:tr w14:paraId="2C030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8EA8FA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9969BB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1E09A5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投标文件的签章</w:t>
            </w:r>
          </w:p>
        </w:tc>
        <w:tc>
          <w:tcPr>
            <w:tcW w:w="5528" w:type="dxa"/>
            <w:vAlign w:val="center"/>
          </w:tcPr>
          <w:p w14:paraId="108DD3CD">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符合第二章投标人须知第3.7.4项规定</w:t>
            </w:r>
          </w:p>
        </w:tc>
      </w:tr>
      <w:tr w14:paraId="2F8DD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BC733C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41A925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A6DECA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投标文件格式</w:t>
            </w:r>
          </w:p>
        </w:tc>
        <w:tc>
          <w:tcPr>
            <w:tcW w:w="5528" w:type="dxa"/>
            <w:vAlign w:val="center"/>
          </w:tcPr>
          <w:p w14:paraId="261C87A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符合第六章“投标文件格式”的规定</w:t>
            </w:r>
          </w:p>
        </w:tc>
      </w:tr>
      <w:tr w14:paraId="536E6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05E6B5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148C1C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F3E826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联合体投标人</w:t>
            </w:r>
          </w:p>
          <w:p w14:paraId="6C1D69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（如有）</w:t>
            </w:r>
          </w:p>
        </w:tc>
        <w:tc>
          <w:tcPr>
            <w:tcW w:w="5528" w:type="dxa"/>
            <w:vAlign w:val="center"/>
          </w:tcPr>
          <w:p w14:paraId="3F58F9A7">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提交符合招标文件要求的联合体协议书，明确各方承担连带责任，并明确联合体牵头人</w:t>
            </w:r>
          </w:p>
        </w:tc>
      </w:tr>
      <w:tr w14:paraId="0E5A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4CFB151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6414F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5849E1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rPr>
              <w:t>投标报价</w:t>
            </w:r>
          </w:p>
        </w:tc>
        <w:tc>
          <w:tcPr>
            <w:tcW w:w="5528" w:type="dxa"/>
            <w:vAlign w:val="center"/>
          </w:tcPr>
          <w:p w14:paraId="3BB0F2A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只能有一个投标报价</w:t>
            </w:r>
          </w:p>
        </w:tc>
      </w:tr>
      <w:tr w14:paraId="69C18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4B2D1F9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2.1.2</w:t>
            </w:r>
          </w:p>
        </w:tc>
        <w:tc>
          <w:tcPr>
            <w:tcW w:w="1202" w:type="dxa"/>
            <w:gridSpan w:val="2"/>
            <w:vMerge w:val="restart"/>
            <w:vAlign w:val="center"/>
          </w:tcPr>
          <w:p w14:paraId="1D22004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资格评审标准</w:t>
            </w:r>
          </w:p>
        </w:tc>
        <w:tc>
          <w:tcPr>
            <w:tcW w:w="2058" w:type="dxa"/>
            <w:vAlign w:val="center"/>
          </w:tcPr>
          <w:p w14:paraId="3C72945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营业执照（事业单位法人证书）</w:t>
            </w:r>
          </w:p>
        </w:tc>
        <w:tc>
          <w:tcPr>
            <w:tcW w:w="5528" w:type="dxa"/>
            <w:vAlign w:val="center"/>
          </w:tcPr>
          <w:p w14:paraId="12B2A06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3.5.1 项规定，具备有效的营业执照（事业单位法人证书）</w:t>
            </w:r>
          </w:p>
        </w:tc>
      </w:tr>
      <w:tr w14:paraId="53CD4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FFEB20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2901A29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EC877F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资质要求</w:t>
            </w:r>
          </w:p>
        </w:tc>
        <w:tc>
          <w:tcPr>
            <w:tcW w:w="5528" w:type="dxa"/>
            <w:vAlign w:val="center"/>
          </w:tcPr>
          <w:p w14:paraId="2BAE2BA6">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16FA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4A8B73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8A254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9C5F72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业绩要求</w:t>
            </w:r>
          </w:p>
        </w:tc>
        <w:tc>
          <w:tcPr>
            <w:tcW w:w="5528" w:type="dxa"/>
            <w:vAlign w:val="center"/>
          </w:tcPr>
          <w:p w14:paraId="6AA68600">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9578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344608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1380B8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E1E6CB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信誉要求</w:t>
            </w:r>
          </w:p>
        </w:tc>
        <w:tc>
          <w:tcPr>
            <w:tcW w:w="5528" w:type="dxa"/>
            <w:vAlign w:val="center"/>
          </w:tcPr>
          <w:p w14:paraId="403DAE6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2BFD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4E3FA0F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A0F0E6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EA95E9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其他要求</w:t>
            </w:r>
          </w:p>
        </w:tc>
        <w:tc>
          <w:tcPr>
            <w:tcW w:w="5528" w:type="dxa"/>
            <w:vAlign w:val="center"/>
          </w:tcPr>
          <w:p w14:paraId="329F7FFB">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11EB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B7AC4C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6FDD0B5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E0825A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联合体投标人</w:t>
            </w:r>
          </w:p>
        </w:tc>
        <w:tc>
          <w:tcPr>
            <w:tcW w:w="5528" w:type="dxa"/>
            <w:vAlign w:val="center"/>
          </w:tcPr>
          <w:p w14:paraId="6998470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1.4.2 项规定</w:t>
            </w:r>
          </w:p>
        </w:tc>
      </w:tr>
      <w:tr w14:paraId="547A5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0049A2C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23F5521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55B8BB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不存在禁止投标的情形</w:t>
            </w:r>
          </w:p>
        </w:tc>
        <w:tc>
          <w:tcPr>
            <w:tcW w:w="5528" w:type="dxa"/>
            <w:vAlign w:val="center"/>
          </w:tcPr>
          <w:p w14:paraId="740A9170">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不存在第二章“投标人须知”第 1.4.3项规定的任何一种情形。</w:t>
            </w:r>
            <w:r>
              <w:rPr>
                <w:rFonts w:hint="eastAsia" w:ascii="宋体" w:hAnsi="宋体" w:eastAsia="宋体" w:cs="宋体"/>
                <w:color w:val="auto"/>
                <w:sz w:val="21"/>
                <w:szCs w:val="21"/>
              </w:rPr>
              <w:t>（</w:t>
            </w:r>
            <w:r>
              <w:rPr>
                <w:rFonts w:hint="eastAsia" w:ascii="宋体" w:hAnsi="宋体" w:eastAsia="宋体" w:cs="宋体"/>
                <w:b/>
                <w:bCs/>
                <w:color w:val="auto"/>
                <w:sz w:val="21"/>
                <w:szCs w:val="21"/>
              </w:rPr>
              <w:t>投标函中是否承诺</w:t>
            </w:r>
            <w:r>
              <w:rPr>
                <w:rFonts w:hint="eastAsia" w:ascii="宋体" w:hAnsi="宋体" w:eastAsia="宋体" w:cs="宋体"/>
                <w:color w:val="auto"/>
                <w:sz w:val="21"/>
                <w:szCs w:val="21"/>
              </w:rPr>
              <w:t>）</w:t>
            </w:r>
          </w:p>
        </w:tc>
      </w:tr>
      <w:tr w14:paraId="6776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5BC639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45B4E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839F755">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投标设备制造商的资质要求（如有）</w:t>
            </w:r>
          </w:p>
        </w:tc>
        <w:tc>
          <w:tcPr>
            <w:tcW w:w="5528" w:type="dxa"/>
            <w:vAlign w:val="center"/>
          </w:tcPr>
          <w:p w14:paraId="52D2438E">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5B08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571" w:hRule="atLeast"/>
          <w:jc w:val="center"/>
        </w:trPr>
        <w:tc>
          <w:tcPr>
            <w:tcW w:w="846" w:type="dxa"/>
            <w:vAlign w:val="center"/>
          </w:tcPr>
          <w:p w14:paraId="4997610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2.1.2</w:t>
            </w:r>
          </w:p>
        </w:tc>
        <w:tc>
          <w:tcPr>
            <w:tcW w:w="1202" w:type="dxa"/>
            <w:gridSpan w:val="2"/>
            <w:vAlign w:val="center"/>
          </w:tcPr>
          <w:p w14:paraId="4F715DD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资格评审标准</w:t>
            </w:r>
          </w:p>
        </w:tc>
        <w:tc>
          <w:tcPr>
            <w:tcW w:w="2058" w:type="dxa"/>
            <w:vAlign w:val="center"/>
          </w:tcPr>
          <w:p w14:paraId="4B2B0D2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投标设备的业绩要求（如有）</w:t>
            </w:r>
          </w:p>
        </w:tc>
        <w:tc>
          <w:tcPr>
            <w:tcW w:w="5528" w:type="dxa"/>
            <w:vAlign w:val="center"/>
          </w:tcPr>
          <w:p w14:paraId="4DA5570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1.4.1 项规定</w:t>
            </w:r>
          </w:p>
        </w:tc>
      </w:tr>
      <w:tr w14:paraId="5DBE5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restart"/>
            <w:vAlign w:val="center"/>
          </w:tcPr>
          <w:p w14:paraId="75D5FF0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2.1.3</w:t>
            </w:r>
          </w:p>
        </w:tc>
        <w:tc>
          <w:tcPr>
            <w:tcW w:w="1202" w:type="dxa"/>
            <w:gridSpan w:val="2"/>
            <w:vMerge w:val="restart"/>
            <w:vAlign w:val="center"/>
          </w:tcPr>
          <w:p w14:paraId="2DA5C15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响应性评审标准</w:t>
            </w:r>
          </w:p>
        </w:tc>
        <w:tc>
          <w:tcPr>
            <w:tcW w:w="2058" w:type="dxa"/>
            <w:vAlign w:val="center"/>
          </w:tcPr>
          <w:p w14:paraId="4AF785D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w:t>
            </w:r>
          </w:p>
        </w:tc>
        <w:tc>
          <w:tcPr>
            <w:tcW w:w="5528" w:type="dxa"/>
            <w:vAlign w:val="center"/>
          </w:tcPr>
          <w:p w14:paraId="14D580E4">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3.2 款规定</w:t>
            </w:r>
          </w:p>
        </w:tc>
      </w:tr>
      <w:tr w14:paraId="1D54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69ECF6C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2C30695">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4EE04C0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投标内容</w:t>
            </w:r>
          </w:p>
        </w:tc>
        <w:tc>
          <w:tcPr>
            <w:tcW w:w="5528" w:type="dxa"/>
            <w:vAlign w:val="center"/>
          </w:tcPr>
          <w:p w14:paraId="0DD0C65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1.3.1 项规定</w:t>
            </w:r>
          </w:p>
        </w:tc>
      </w:tr>
      <w:tr w14:paraId="4EAE7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7520C4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01ACFA9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4158E8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交货期</w:t>
            </w:r>
          </w:p>
        </w:tc>
        <w:tc>
          <w:tcPr>
            <w:tcW w:w="5528" w:type="dxa"/>
            <w:vAlign w:val="center"/>
          </w:tcPr>
          <w:p w14:paraId="2A09A292">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1.3.2 项规定</w:t>
            </w:r>
          </w:p>
        </w:tc>
      </w:tr>
      <w:tr w14:paraId="75AC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161D20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67E57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8008B7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交货地点及方式</w:t>
            </w:r>
          </w:p>
        </w:tc>
        <w:tc>
          <w:tcPr>
            <w:tcW w:w="5528" w:type="dxa"/>
            <w:vAlign w:val="center"/>
          </w:tcPr>
          <w:p w14:paraId="77F463F8">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1.3.3 项规定</w:t>
            </w:r>
          </w:p>
        </w:tc>
      </w:tr>
      <w:tr w14:paraId="5729A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67D3CE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3B6B869">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3CD6B3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技术性能指标</w:t>
            </w:r>
          </w:p>
        </w:tc>
        <w:tc>
          <w:tcPr>
            <w:tcW w:w="5528" w:type="dxa"/>
            <w:vAlign w:val="center"/>
          </w:tcPr>
          <w:p w14:paraId="0A96D302">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1.3.4 项规定</w:t>
            </w:r>
          </w:p>
        </w:tc>
      </w:tr>
      <w:tr w14:paraId="7C03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73C9AA0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1A8C5CC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5D02BE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投标有效期</w:t>
            </w:r>
          </w:p>
        </w:tc>
        <w:tc>
          <w:tcPr>
            <w:tcW w:w="5528" w:type="dxa"/>
            <w:vAlign w:val="center"/>
          </w:tcPr>
          <w:p w14:paraId="6E317FE1">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3.3.1 项规定</w:t>
            </w:r>
          </w:p>
        </w:tc>
      </w:tr>
      <w:tr w14:paraId="508C2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38D0F9D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40EA9D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1958D8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投标保证金</w:t>
            </w:r>
          </w:p>
        </w:tc>
        <w:tc>
          <w:tcPr>
            <w:tcW w:w="5528" w:type="dxa"/>
            <w:vAlign w:val="center"/>
          </w:tcPr>
          <w:p w14:paraId="6163E66F">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3.4.1 项规定</w:t>
            </w:r>
          </w:p>
        </w:tc>
      </w:tr>
      <w:tr w14:paraId="4360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AECC22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57E1FA0F">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342F6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权利义务</w:t>
            </w:r>
          </w:p>
        </w:tc>
        <w:tc>
          <w:tcPr>
            <w:tcW w:w="5528" w:type="dxa"/>
            <w:vAlign w:val="center"/>
          </w:tcPr>
          <w:p w14:paraId="0B0113C5">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1.11.1 项规定和第四章“合同条款及格式”中的实质性要求和条件</w:t>
            </w:r>
          </w:p>
        </w:tc>
      </w:tr>
      <w:tr w14:paraId="7067A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CE7931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3B01E39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2841D3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投标设备及技术服务和质保期服务</w:t>
            </w:r>
          </w:p>
        </w:tc>
        <w:tc>
          <w:tcPr>
            <w:tcW w:w="5528" w:type="dxa"/>
            <w:vAlign w:val="center"/>
          </w:tcPr>
          <w:p w14:paraId="3160FA1B">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符合第五章“供货要求”中的实质性要求和条件</w:t>
            </w:r>
          </w:p>
        </w:tc>
      </w:tr>
      <w:tr w14:paraId="76C6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53E6850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4D8A5C8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500D3C2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技术支持资料</w:t>
            </w:r>
          </w:p>
        </w:tc>
        <w:tc>
          <w:tcPr>
            <w:tcW w:w="5528" w:type="dxa"/>
            <w:vAlign w:val="center"/>
          </w:tcPr>
          <w:p w14:paraId="26C88C97">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符合第二章“投标人须知”第 1.11.3 项规定</w:t>
            </w:r>
          </w:p>
        </w:tc>
      </w:tr>
      <w:tr w14:paraId="2713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846" w:type="dxa"/>
            <w:vMerge w:val="continue"/>
            <w:vAlign w:val="center"/>
          </w:tcPr>
          <w:p w14:paraId="2F553A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202" w:type="dxa"/>
            <w:gridSpan w:val="2"/>
            <w:vMerge w:val="continue"/>
            <w:vAlign w:val="center"/>
          </w:tcPr>
          <w:p w14:paraId="73BAD46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61733D4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投标人告知承诺函</w:t>
            </w:r>
          </w:p>
        </w:tc>
        <w:tc>
          <w:tcPr>
            <w:tcW w:w="5528" w:type="dxa"/>
            <w:vAlign w:val="center"/>
          </w:tcPr>
          <w:p w14:paraId="1D036A5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提供有效的投标人告知承诺函</w:t>
            </w:r>
          </w:p>
        </w:tc>
      </w:tr>
      <w:tr w14:paraId="42AD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353D667B">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条款号</w:t>
            </w:r>
          </w:p>
        </w:tc>
        <w:tc>
          <w:tcPr>
            <w:tcW w:w="2058" w:type="dxa"/>
            <w:vAlign w:val="center"/>
          </w:tcPr>
          <w:p w14:paraId="0F915E65">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条款内容</w:t>
            </w:r>
          </w:p>
        </w:tc>
        <w:tc>
          <w:tcPr>
            <w:tcW w:w="5528" w:type="dxa"/>
            <w:vAlign w:val="center"/>
          </w:tcPr>
          <w:p w14:paraId="56DEF6C5">
            <w:pPr>
              <w:widowControl w:val="0"/>
              <w:adjustRightInd w:val="0"/>
              <w:snapToGrid w:val="0"/>
              <w:spacing w:before="156" w:beforeLines="50" w:after="156" w:afterLines="50" w:line="280" w:lineRule="exact"/>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编列内容</w:t>
            </w:r>
          </w:p>
        </w:tc>
      </w:tr>
      <w:tr w14:paraId="6049C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225B8183">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2.2.1</w:t>
            </w:r>
          </w:p>
        </w:tc>
        <w:tc>
          <w:tcPr>
            <w:tcW w:w="2058" w:type="dxa"/>
            <w:vAlign w:val="center"/>
          </w:tcPr>
          <w:p w14:paraId="2B8431D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分值构成</w:t>
            </w:r>
          </w:p>
          <w:p w14:paraId="0978E83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（总分100分）</w:t>
            </w:r>
          </w:p>
        </w:tc>
        <w:tc>
          <w:tcPr>
            <w:tcW w:w="5528" w:type="dxa"/>
            <w:vAlign w:val="center"/>
          </w:tcPr>
          <w:p w14:paraId="7E722B8C">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（1）</w:t>
            </w:r>
            <w:r>
              <w:rPr>
                <w:rFonts w:hint="eastAsia" w:ascii="Times New Roman" w:hAnsi="Times New Roman" w:eastAsia="宋体" w:cs="宋体"/>
                <w:color w:val="auto"/>
                <w:kern w:val="0"/>
                <w:sz w:val="21"/>
                <w:szCs w:val="21"/>
                <w:lang w:bidi="ar"/>
              </w:rPr>
              <w:t>商务部分：</w:t>
            </w:r>
            <w:r>
              <w:rPr>
                <w:rFonts w:ascii="Times New Roman" w:hAnsi="Times New Roman" w:eastAsia="宋体" w:cs="Times New Roman"/>
                <w:color w:val="auto"/>
                <w:kern w:val="0"/>
                <w:sz w:val="21"/>
                <w:szCs w:val="21"/>
                <w:lang w:bidi="ar"/>
              </w:rPr>
              <w:t xml:space="preserve"> </w:t>
            </w:r>
            <w:r>
              <w:rPr>
                <w:rFonts w:ascii="Times New Roman" w:hAnsi="Times New Roman" w:eastAsia="宋体" w:cs="Times New Roman"/>
                <w:color w:val="auto"/>
                <w:kern w:val="0"/>
                <w:sz w:val="21"/>
                <w:szCs w:val="21"/>
                <w:u w:val="single"/>
                <w:lang w:bidi="ar"/>
              </w:rPr>
              <w:t>1</w:t>
            </w:r>
            <w:r>
              <w:rPr>
                <w:rFonts w:hint="eastAsia" w:ascii="Times New Roman" w:hAnsi="Times New Roman" w:eastAsia="宋体" w:cs="宋体"/>
                <w:color w:val="auto"/>
                <w:kern w:val="0"/>
                <w:sz w:val="21"/>
                <w:szCs w:val="21"/>
                <w:lang w:bidi="ar"/>
              </w:rPr>
              <w:t>分</w:t>
            </w:r>
          </w:p>
          <w:p w14:paraId="7CFD8D52">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2</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技术部分：</w:t>
            </w:r>
            <w:r>
              <w:rPr>
                <w:rFonts w:hint="eastAsia" w:ascii="Times New Roman" w:hAnsi="Times New Roman" w:eastAsia="宋体" w:cs="宋体"/>
                <w:color w:val="auto"/>
                <w:kern w:val="0"/>
                <w:sz w:val="21"/>
                <w:szCs w:val="21"/>
                <w:u w:val="single"/>
                <w:lang w:bidi="ar"/>
              </w:rPr>
              <w:t>3</w:t>
            </w:r>
            <w:r>
              <w:rPr>
                <w:rFonts w:ascii="Times New Roman" w:hAnsi="Times New Roman" w:eastAsia="宋体" w:cs="宋体"/>
                <w:color w:val="auto"/>
                <w:kern w:val="0"/>
                <w:sz w:val="21"/>
                <w:szCs w:val="21"/>
                <w:u w:val="single"/>
                <w:lang w:bidi="ar"/>
              </w:rPr>
              <w:t>7</w:t>
            </w:r>
            <w:r>
              <w:rPr>
                <w:rFonts w:ascii="Times New Roman" w:hAnsi="Times New Roman" w:eastAsia="宋体" w:cs="Times New Roman"/>
                <w:color w:val="auto"/>
                <w:kern w:val="0"/>
                <w:sz w:val="21"/>
                <w:szCs w:val="21"/>
                <w:lang w:bidi="ar"/>
              </w:rPr>
              <w:t xml:space="preserve"> </w:t>
            </w:r>
            <w:r>
              <w:rPr>
                <w:rFonts w:hint="eastAsia" w:ascii="Times New Roman" w:hAnsi="Times New Roman" w:eastAsia="宋体" w:cs="宋体"/>
                <w:color w:val="auto"/>
                <w:kern w:val="0"/>
                <w:sz w:val="21"/>
                <w:szCs w:val="21"/>
                <w:lang w:bidi="ar"/>
              </w:rPr>
              <w:t>分</w:t>
            </w:r>
            <w:r>
              <w:rPr>
                <w:rFonts w:ascii="Times New Roman" w:hAnsi="Times New Roman" w:eastAsia="宋体" w:cs="Times New Roman"/>
                <w:color w:val="auto"/>
                <w:kern w:val="0"/>
                <w:sz w:val="21"/>
                <w:szCs w:val="21"/>
                <w:lang w:bidi="ar"/>
              </w:rPr>
              <w:t xml:space="preserve"> </w:t>
            </w:r>
          </w:p>
          <w:p w14:paraId="26237F8C">
            <w:pPr>
              <w:widowControl w:val="0"/>
              <w:spacing w:line="280" w:lineRule="exact"/>
              <w:rPr>
                <w:rFonts w:ascii="Times New Roman" w:hAnsi="Times New Roman" w:eastAsia="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3</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投标报价：</w:t>
            </w:r>
            <w:r>
              <w:rPr>
                <w:rFonts w:ascii="Times New Roman" w:hAnsi="Times New Roman" w:eastAsia="宋体" w:cs="Times New Roman"/>
                <w:color w:val="auto"/>
                <w:kern w:val="0"/>
                <w:sz w:val="21"/>
                <w:szCs w:val="21"/>
                <w:lang w:bidi="ar"/>
              </w:rPr>
              <w:t xml:space="preserve"> </w:t>
            </w:r>
            <w:r>
              <w:rPr>
                <w:rFonts w:hint="eastAsia" w:ascii="Times New Roman" w:hAnsi="Times New Roman" w:eastAsia="宋体" w:cs="Times New Roman"/>
                <w:color w:val="auto"/>
                <w:kern w:val="0"/>
                <w:sz w:val="21"/>
                <w:szCs w:val="21"/>
                <w:u w:val="single"/>
                <w:lang w:bidi="ar"/>
              </w:rPr>
              <w:t>60</w:t>
            </w:r>
            <w:r>
              <w:rPr>
                <w:rFonts w:hint="eastAsia" w:ascii="Times New Roman" w:hAnsi="Times New Roman" w:eastAsia="宋体" w:cs="宋体"/>
                <w:color w:val="auto"/>
                <w:kern w:val="0"/>
                <w:sz w:val="21"/>
                <w:szCs w:val="21"/>
                <w:lang w:bidi="ar"/>
              </w:rPr>
              <w:t>分</w:t>
            </w:r>
            <w:r>
              <w:rPr>
                <w:rFonts w:ascii="Times New Roman" w:hAnsi="Times New Roman" w:eastAsia="宋体" w:cs="Times New Roman"/>
                <w:color w:val="auto"/>
                <w:kern w:val="0"/>
                <w:sz w:val="21"/>
                <w:szCs w:val="21"/>
                <w:lang w:bidi="ar"/>
              </w:rPr>
              <w:t xml:space="preserve"> </w:t>
            </w:r>
          </w:p>
          <w:p w14:paraId="3AE0E1F8">
            <w:pPr>
              <w:widowControl w:val="0"/>
              <w:spacing w:line="280" w:lineRule="exact"/>
              <w:rPr>
                <w:rFonts w:ascii="Times New Roman" w:hAnsi="Times New Roman" w:eastAsia="宋体" w:cs="宋体"/>
                <w:color w:val="auto"/>
                <w:sz w:val="21"/>
                <w:szCs w:val="21"/>
              </w:rPr>
            </w:pPr>
            <w:r>
              <w:rPr>
                <w:rFonts w:ascii="Times New Roman" w:hAnsi="Times New Roman" w:eastAsia="宋体"/>
                <w:color w:val="auto"/>
                <w:sz w:val="21"/>
                <w:szCs w:val="21"/>
              </w:rPr>
              <w:t>（</w:t>
            </w:r>
            <w:r>
              <w:rPr>
                <w:rFonts w:hint="eastAsia" w:ascii="Times New Roman" w:hAnsi="Times New Roman" w:eastAsia="宋体"/>
                <w:color w:val="auto"/>
                <w:sz w:val="21"/>
                <w:szCs w:val="21"/>
              </w:rPr>
              <w:t>4</w:t>
            </w:r>
            <w:r>
              <w:rPr>
                <w:rFonts w:ascii="Times New Roman" w:hAnsi="Times New Roman" w:eastAsia="宋体"/>
                <w:color w:val="auto"/>
                <w:sz w:val="21"/>
                <w:szCs w:val="21"/>
              </w:rPr>
              <w:t>）</w:t>
            </w:r>
            <w:r>
              <w:rPr>
                <w:rFonts w:hint="eastAsia" w:ascii="Times New Roman" w:hAnsi="Times New Roman" w:eastAsia="宋体" w:cs="宋体"/>
                <w:color w:val="auto"/>
                <w:kern w:val="0"/>
                <w:sz w:val="21"/>
                <w:szCs w:val="21"/>
                <w:lang w:bidi="ar"/>
              </w:rPr>
              <w:t>其他评分因素：</w:t>
            </w:r>
            <w:r>
              <w:rPr>
                <w:rFonts w:hint="eastAsia" w:ascii="Times New Roman" w:hAnsi="Times New Roman" w:eastAsia="宋体" w:cs="宋体"/>
                <w:color w:val="auto"/>
                <w:kern w:val="0"/>
                <w:sz w:val="21"/>
                <w:szCs w:val="21"/>
                <w:u w:val="single"/>
                <w:lang w:bidi="ar"/>
              </w:rPr>
              <w:t>2</w:t>
            </w:r>
            <w:r>
              <w:rPr>
                <w:rFonts w:hint="eastAsia" w:ascii="Times New Roman" w:hAnsi="Times New Roman" w:eastAsia="宋体" w:cs="宋体"/>
                <w:color w:val="auto"/>
                <w:kern w:val="0"/>
                <w:sz w:val="21"/>
                <w:szCs w:val="21"/>
                <w:lang w:bidi="ar"/>
              </w:rPr>
              <w:t>分</w:t>
            </w:r>
          </w:p>
        </w:tc>
      </w:tr>
      <w:tr w14:paraId="605A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091F3B2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2.2.2</w:t>
            </w:r>
          </w:p>
        </w:tc>
        <w:tc>
          <w:tcPr>
            <w:tcW w:w="2058" w:type="dxa"/>
            <w:vAlign w:val="center"/>
          </w:tcPr>
          <w:p w14:paraId="0E2C0F4C">
            <w:pPr>
              <w:widowControl w:val="0"/>
              <w:adjustRightInd w:val="0"/>
              <w:spacing w:after="0" w:line="320" w:lineRule="exact"/>
              <w:jc w:val="center"/>
              <w:rPr>
                <w:rFonts w:ascii="Times New Roman" w:hAnsi="Times New Roman" w:eastAsia="宋体" w:cs="宋体"/>
                <w:color w:val="auto"/>
                <w:sz w:val="21"/>
                <w:szCs w:val="21"/>
              </w:rPr>
            </w:pPr>
            <w:r>
              <w:rPr>
                <w:rFonts w:ascii="Times New Roman" w:hAnsi="Times New Roman" w:eastAsia="宋体"/>
                <w:color w:val="auto"/>
                <w:sz w:val="21"/>
                <w:szCs w:val="21"/>
              </w:rPr>
              <w:t>评标基准价计算方法</w:t>
            </w:r>
          </w:p>
        </w:tc>
        <w:tc>
          <w:tcPr>
            <w:tcW w:w="5528" w:type="dxa"/>
            <w:vAlign w:val="center"/>
          </w:tcPr>
          <w:p w14:paraId="4B5393D3">
            <w:pPr>
              <w:widowControl w:val="0"/>
              <w:adjustRightInd w:val="0"/>
              <w:spacing w:after="0" w:line="320" w:lineRule="exact"/>
              <w:rPr>
                <w:rFonts w:ascii="Times New Roman" w:hAnsi="Times New Roman" w:eastAsia="宋体" w:cs="宋体"/>
                <w:color w:val="auto"/>
                <w:sz w:val="21"/>
                <w:szCs w:val="21"/>
              </w:rPr>
            </w:pPr>
            <w:r>
              <w:rPr>
                <w:rFonts w:hint="eastAsia" w:ascii="Times New Roman" w:hAnsi="Times New Roman" w:eastAsia="宋体"/>
                <w:color w:val="auto"/>
                <w:sz w:val="21"/>
                <w:szCs w:val="21"/>
              </w:rPr>
              <w:t>基准价：如果有效投标单位超过10家(不包含10)，则去掉2个最高价,2个最低价；如果有效投标单位超过5家(不包含5)并不超过10家，则去掉1个最高价,1个最低价；若不超过5家,则不去；将其投标报价取平均值后×100%作为评标基准价。扣分公式：投标报价与基准价相比的偏差率，每高1%扣0.1分，每低1%扣0.1分,注：使用直线插值法计算。</w:t>
            </w:r>
          </w:p>
        </w:tc>
      </w:tr>
      <w:tr w14:paraId="2D24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2048" w:type="dxa"/>
            <w:gridSpan w:val="3"/>
            <w:vAlign w:val="center"/>
          </w:tcPr>
          <w:p w14:paraId="1B89FBF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2.2.3</w:t>
            </w:r>
          </w:p>
        </w:tc>
        <w:tc>
          <w:tcPr>
            <w:tcW w:w="2058" w:type="dxa"/>
            <w:vAlign w:val="center"/>
          </w:tcPr>
          <w:p w14:paraId="1792D86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投标报价的偏差率</w:t>
            </w:r>
          </w:p>
          <w:p w14:paraId="778442A0">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计算公式</w:t>
            </w:r>
          </w:p>
        </w:tc>
        <w:tc>
          <w:tcPr>
            <w:tcW w:w="5528" w:type="dxa"/>
            <w:vAlign w:val="center"/>
          </w:tcPr>
          <w:p w14:paraId="27FCED36">
            <w:pPr>
              <w:widowControl w:val="0"/>
              <w:adjustRightInd w:val="0"/>
              <w:snapToGrid w:val="0"/>
              <w:spacing w:before="156" w:beforeLines="50" w:after="156" w:afterLines="50" w:line="28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偏差率=100% ×（投标人报价-评标基准价）/评标基准价</w:t>
            </w:r>
          </w:p>
        </w:tc>
      </w:tr>
      <w:tr w14:paraId="1BA2D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trHeight w:val="765" w:hRule="atLeast"/>
          <w:jc w:val="center"/>
        </w:trPr>
        <w:tc>
          <w:tcPr>
            <w:tcW w:w="919" w:type="dxa"/>
            <w:gridSpan w:val="2"/>
            <w:vMerge w:val="restart"/>
            <w:vAlign w:val="center"/>
          </w:tcPr>
          <w:p w14:paraId="7E5D1B36">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2.2.4（1）</w:t>
            </w:r>
          </w:p>
        </w:tc>
        <w:tc>
          <w:tcPr>
            <w:tcW w:w="1129" w:type="dxa"/>
            <w:vMerge w:val="restart"/>
            <w:vAlign w:val="center"/>
          </w:tcPr>
          <w:p w14:paraId="54E9DDFA">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商务评分标准</w:t>
            </w:r>
          </w:p>
          <w:p w14:paraId="2AF5A74C">
            <w:pPr>
              <w:pStyle w:val="5"/>
              <w:ind w:firstLine="0" w:firstLineChars="0"/>
              <w:jc w:val="center"/>
            </w:pPr>
            <w:r>
              <w:rPr>
                <w:rFonts w:hint="eastAsia" w:cs="宋体"/>
                <w:szCs w:val="21"/>
              </w:rPr>
              <w:t>（</w:t>
            </w:r>
            <w:r>
              <w:rPr>
                <w:rFonts w:cs="宋体"/>
                <w:szCs w:val="21"/>
              </w:rPr>
              <w:t>1</w:t>
            </w:r>
            <w:r>
              <w:rPr>
                <w:rFonts w:hint="eastAsia" w:cs="宋体"/>
                <w:szCs w:val="21"/>
              </w:rPr>
              <w:t>分）</w:t>
            </w:r>
          </w:p>
        </w:tc>
        <w:tc>
          <w:tcPr>
            <w:tcW w:w="2058" w:type="dxa"/>
            <w:vAlign w:val="center"/>
          </w:tcPr>
          <w:p w14:paraId="2D1FE288">
            <w:pPr>
              <w:pStyle w:val="5"/>
              <w:ind w:firstLine="0" w:firstLineChars="0"/>
              <w:jc w:val="center"/>
              <w:rPr>
                <w:rFonts w:cs="宋体"/>
                <w:szCs w:val="21"/>
              </w:rPr>
            </w:pPr>
            <w:r>
              <w:rPr>
                <w:rFonts w:hint="eastAsia" w:cs="宋体"/>
                <w:szCs w:val="21"/>
              </w:rPr>
              <w:t>体系认证</w:t>
            </w:r>
          </w:p>
          <w:p w14:paraId="3B423FAB">
            <w:pPr>
              <w:pStyle w:val="5"/>
              <w:ind w:firstLine="0" w:firstLineChars="0"/>
              <w:jc w:val="center"/>
              <w:rPr>
                <w:rFonts w:cs="宋体"/>
                <w:szCs w:val="21"/>
              </w:rPr>
            </w:pPr>
            <w:r>
              <w:rPr>
                <w:rFonts w:hint="eastAsia" w:cs="宋体"/>
                <w:szCs w:val="21"/>
              </w:rPr>
              <w:t>（</w:t>
            </w:r>
            <w:r>
              <w:rPr>
                <w:rFonts w:cs="宋体"/>
                <w:szCs w:val="21"/>
              </w:rPr>
              <w:t>1</w:t>
            </w:r>
            <w:r>
              <w:rPr>
                <w:rFonts w:hint="eastAsia" w:cs="宋体"/>
                <w:szCs w:val="21"/>
              </w:rPr>
              <w:t>分）</w:t>
            </w:r>
          </w:p>
        </w:tc>
        <w:tc>
          <w:tcPr>
            <w:tcW w:w="5528" w:type="dxa"/>
            <w:vAlign w:val="center"/>
          </w:tcPr>
          <w:p w14:paraId="779148CD">
            <w:pPr>
              <w:pStyle w:val="5"/>
              <w:ind w:firstLine="0" w:firstLineChars="0"/>
            </w:pPr>
            <w:r>
              <w:rPr>
                <w:rFonts w:hint="eastAsia"/>
              </w:rPr>
              <w:t>投标人提供有效的质量体系认证、环境体系认证、职业安全健康体系认证得1分，缺少任意一个此项不得分。</w:t>
            </w:r>
          </w:p>
        </w:tc>
      </w:tr>
      <w:tr w14:paraId="001A5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restart"/>
            <w:vAlign w:val="center"/>
          </w:tcPr>
          <w:p w14:paraId="5224E382">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2.2.4（2）</w:t>
            </w:r>
          </w:p>
        </w:tc>
        <w:tc>
          <w:tcPr>
            <w:tcW w:w="1129" w:type="dxa"/>
            <w:vMerge w:val="restart"/>
            <w:vAlign w:val="center"/>
          </w:tcPr>
          <w:p w14:paraId="6C38D5B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技术评分标准</w:t>
            </w:r>
          </w:p>
          <w:p w14:paraId="5B6C492A">
            <w:pPr>
              <w:pStyle w:val="5"/>
              <w:ind w:firstLine="0" w:firstLineChars="0"/>
            </w:pPr>
            <w:r>
              <w:rPr>
                <w:rFonts w:hint="eastAsia" w:cs="宋体"/>
                <w:szCs w:val="21"/>
              </w:rPr>
              <w:t>（3</w:t>
            </w:r>
            <w:r>
              <w:rPr>
                <w:rFonts w:cs="宋体"/>
                <w:szCs w:val="21"/>
              </w:rPr>
              <w:t>7</w:t>
            </w:r>
            <w:r>
              <w:rPr>
                <w:rFonts w:hint="eastAsia" w:cs="宋体"/>
                <w:szCs w:val="21"/>
              </w:rPr>
              <w:t>分）</w:t>
            </w:r>
          </w:p>
        </w:tc>
        <w:tc>
          <w:tcPr>
            <w:tcW w:w="2058" w:type="dxa"/>
            <w:vAlign w:val="center"/>
          </w:tcPr>
          <w:p w14:paraId="643FAF31">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投标设备技术性能指标的详细描述</w:t>
            </w:r>
          </w:p>
          <w:p w14:paraId="7A30C9F5">
            <w:pPr>
              <w:pStyle w:val="5"/>
              <w:ind w:firstLine="0" w:firstLineChars="0"/>
              <w:jc w:val="center"/>
              <w:rPr>
                <w:rFonts w:ascii="Calibri" w:hAnsi="Calibri" w:eastAsia="Calibri" w:cs="Calibri"/>
                <w:color w:val="000000"/>
                <w:sz w:val="22"/>
                <w:szCs w:val="22"/>
              </w:rPr>
            </w:pPr>
            <w:r>
              <w:rPr>
                <w:rFonts w:hint="eastAsia" w:cs="宋体"/>
                <w:szCs w:val="21"/>
              </w:rPr>
              <w:t>（</w:t>
            </w:r>
            <w:r>
              <w:rPr>
                <w:rFonts w:cs="宋体"/>
                <w:szCs w:val="21"/>
              </w:rPr>
              <w:t>6</w:t>
            </w:r>
            <w:r>
              <w:rPr>
                <w:rFonts w:hint="eastAsia" w:cs="宋体"/>
                <w:szCs w:val="21"/>
              </w:rPr>
              <w:t>分）</w:t>
            </w:r>
          </w:p>
        </w:tc>
        <w:tc>
          <w:tcPr>
            <w:tcW w:w="5528" w:type="dxa"/>
            <w:vAlign w:val="center"/>
          </w:tcPr>
          <w:p w14:paraId="49A6393C">
            <w:pPr>
              <w:widowControl w:val="0"/>
              <w:adjustRightInd w:val="0"/>
              <w:snapToGrid w:val="0"/>
              <w:spacing w:before="156" w:beforeLines="50" w:after="156" w:afterLines="50" w:line="280" w:lineRule="exact"/>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技术参数中，每有一项负偏离扣1分，本项最低得0分。 </w:t>
            </w:r>
          </w:p>
          <w:p w14:paraId="7410FF4C">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（本项总分值6分。以设备的技术参数（技术条件）指标为准进行评分，不提供不得分；需提供技术白皮书或产品彩页等技术参数中要求的其他证明材料）</w:t>
            </w:r>
            <w:r>
              <w:rPr>
                <w:rFonts w:hint="eastAsia" w:ascii="Times New Roman" w:hAnsi="Times New Roman" w:eastAsia="宋体" w:cs="宋体"/>
                <w:color w:val="auto"/>
                <w:sz w:val="21"/>
                <w:szCs w:val="21"/>
                <w:lang w:val="en-US" w:eastAsia="zh-CN"/>
              </w:rPr>
              <w:t>如有</w:t>
            </w:r>
            <w:r>
              <w:rPr>
                <w:rFonts w:hint="eastAsia" w:ascii="Times New Roman" w:hAnsi="Times New Roman" w:eastAsia="宋体" w:cs="宋体"/>
                <w:color w:val="auto"/>
                <w:sz w:val="21"/>
                <w:szCs w:val="21"/>
                <w:lang w:eastAsia="zh-CN"/>
              </w:rPr>
              <w:t>“★”</w:t>
            </w:r>
            <w:r>
              <w:rPr>
                <w:rFonts w:hint="eastAsia" w:ascii="Times New Roman" w:hAnsi="Times New Roman" w:eastAsia="宋体" w:cs="宋体"/>
                <w:color w:val="auto"/>
                <w:sz w:val="21"/>
                <w:szCs w:val="21"/>
                <w:lang w:val="en-US" w:eastAsia="zh-CN"/>
              </w:rPr>
              <w:t>项为不可偏离项，如投标人出现偏离，则按无效投标处理。</w:t>
            </w:r>
          </w:p>
        </w:tc>
      </w:tr>
      <w:tr w14:paraId="13ECC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0CA4F9A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300B4F65">
            <w:pPr>
              <w:pStyle w:val="5"/>
              <w:ind w:firstLine="0" w:firstLineChars="0"/>
              <w:rPr>
                <w:rFonts w:cs="宋体"/>
                <w:szCs w:val="21"/>
              </w:rPr>
            </w:pPr>
          </w:p>
        </w:tc>
        <w:tc>
          <w:tcPr>
            <w:tcW w:w="2058" w:type="dxa"/>
            <w:vAlign w:val="center"/>
          </w:tcPr>
          <w:p w14:paraId="3CF1ACF9">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项目整体实施方案</w:t>
            </w:r>
          </w:p>
          <w:p w14:paraId="1E85AE81">
            <w:pPr>
              <w:widowControl w:val="0"/>
              <w:adjustRightInd w:val="0"/>
              <w:snapToGrid w:val="0"/>
              <w:spacing w:after="0" w:line="280" w:lineRule="exact"/>
              <w:jc w:val="center"/>
              <w:rPr>
                <w:rFonts w:ascii="Times New Roman" w:hAnsi="Times New Roman" w:eastAsia="宋体" w:cs="Times New Roman"/>
                <w:color w:val="auto"/>
                <w:sz w:val="21"/>
                <w:szCs w:val="24"/>
              </w:rPr>
            </w:pP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7</w:t>
            </w:r>
            <w:r>
              <w:rPr>
                <w:rFonts w:hint="eastAsia" w:ascii="Times New Roman" w:hAnsi="Times New Roman" w:eastAsia="宋体" w:cs="宋体"/>
                <w:color w:val="auto"/>
                <w:sz w:val="21"/>
                <w:szCs w:val="21"/>
              </w:rPr>
              <w:t>分）</w:t>
            </w:r>
          </w:p>
        </w:tc>
        <w:tc>
          <w:tcPr>
            <w:tcW w:w="5528" w:type="dxa"/>
            <w:vAlign w:val="center"/>
          </w:tcPr>
          <w:p w14:paraId="0984452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w:t>
            </w:r>
            <w:r>
              <w:rPr>
                <w:rFonts w:ascii="Times New Roman" w:hAnsi="Times New Roman" w:eastAsia="宋体" w:cs="宋体"/>
                <w:color w:val="auto"/>
                <w:sz w:val="21"/>
                <w:szCs w:val="21"/>
              </w:rPr>
              <w:t>6</w:t>
            </w:r>
            <w:r>
              <w:rPr>
                <w:rFonts w:hint="eastAsia" w:ascii="Times New Roman" w:hAnsi="Times New Roman" w:eastAsia="宋体" w:cs="宋体"/>
                <w:color w:val="auto"/>
                <w:sz w:val="21"/>
                <w:szCs w:val="21"/>
              </w:rPr>
              <w:t>-</w:t>
            </w:r>
            <w:r>
              <w:rPr>
                <w:rFonts w:ascii="Times New Roman" w:hAnsi="Times New Roman" w:eastAsia="宋体" w:cs="宋体"/>
                <w:color w:val="auto"/>
                <w:sz w:val="21"/>
                <w:szCs w:val="21"/>
              </w:rPr>
              <w:t>7</w:t>
            </w:r>
            <w:r>
              <w:rPr>
                <w:rFonts w:hint="eastAsia" w:ascii="Times New Roman" w:hAnsi="Times New Roman" w:eastAsia="宋体" w:cs="宋体"/>
                <w:color w:val="auto"/>
                <w:sz w:val="21"/>
                <w:szCs w:val="21"/>
              </w:rPr>
              <w:t>分；</w:t>
            </w:r>
          </w:p>
          <w:p w14:paraId="325DF58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w:t>
            </w:r>
            <w:r>
              <w:rPr>
                <w:rFonts w:ascii="Times New Roman" w:hAnsi="Times New Roman" w:eastAsia="宋体" w:cs="宋体"/>
                <w:color w:val="auto"/>
                <w:sz w:val="21"/>
                <w:szCs w:val="21"/>
              </w:rPr>
              <w:t>5</w:t>
            </w:r>
            <w:r>
              <w:rPr>
                <w:rFonts w:hint="eastAsia" w:ascii="Times New Roman" w:hAnsi="Times New Roman" w:eastAsia="宋体" w:cs="宋体"/>
                <w:color w:val="auto"/>
                <w:sz w:val="21"/>
                <w:szCs w:val="21"/>
              </w:rPr>
              <w:t>分；</w:t>
            </w:r>
          </w:p>
          <w:p w14:paraId="59A05E3B">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784BEDBF">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23B5A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7D0D58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03FCDC8B">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16A56F7B">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进度保障方案</w:t>
            </w:r>
          </w:p>
          <w:p w14:paraId="63B270E3">
            <w:pPr>
              <w:pStyle w:val="5"/>
              <w:ind w:firstLine="0" w:firstLineChars="0"/>
              <w:jc w:val="center"/>
            </w:pPr>
            <w:r>
              <w:rPr>
                <w:rFonts w:hint="eastAsia" w:cs="宋体"/>
                <w:szCs w:val="21"/>
              </w:rPr>
              <w:t>（6分）</w:t>
            </w:r>
          </w:p>
        </w:tc>
        <w:tc>
          <w:tcPr>
            <w:tcW w:w="5528" w:type="dxa"/>
            <w:vAlign w:val="center"/>
          </w:tcPr>
          <w:p w14:paraId="4FA19EF0">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065B3B4D">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74FEB1D7">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69F9802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7D89B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0A25C03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654AC3E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004B8125">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生产能力和加工设备及工艺</w:t>
            </w:r>
          </w:p>
          <w:p w14:paraId="6BA60955">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（6分）</w:t>
            </w:r>
          </w:p>
        </w:tc>
        <w:tc>
          <w:tcPr>
            <w:tcW w:w="5528" w:type="dxa"/>
            <w:vAlign w:val="center"/>
          </w:tcPr>
          <w:p w14:paraId="5BC0F81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生产能力强，人员情况好，加工设备数量充足、性能先进，加工工艺合理先进的得5-6分；</w:t>
            </w:r>
          </w:p>
          <w:p w14:paraId="14FB70E4">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生产能力较强，人员情况较好，加工设备数量较充足、性能较先进加工工艺较合理先进的得3-4分；                                                </w:t>
            </w:r>
          </w:p>
          <w:p w14:paraId="0D269414">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生产能力一般的得1-2分；</w:t>
            </w:r>
          </w:p>
          <w:p w14:paraId="1C0B6E0D">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19A8B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275912BD">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1F30A5D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2857FAE2">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安装调试方案</w:t>
            </w:r>
          </w:p>
          <w:p w14:paraId="524083A5">
            <w:pPr>
              <w:widowControl w:val="0"/>
              <w:adjustRightInd w:val="0"/>
              <w:snapToGrid w:val="0"/>
              <w:spacing w:after="0" w:line="280" w:lineRule="exact"/>
              <w:jc w:val="center"/>
            </w:pPr>
            <w:r>
              <w:rPr>
                <w:rFonts w:hint="eastAsia" w:cs="宋体"/>
                <w:color w:val="auto"/>
                <w:sz w:val="21"/>
                <w:szCs w:val="21"/>
              </w:rPr>
              <w:t>（6分）</w:t>
            </w:r>
          </w:p>
        </w:tc>
        <w:tc>
          <w:tcPr>
            <w:tcW w:w="5528" w:type="dxa"/>
            <w:vAlign w:val="center"/>
          </w:tcPr>
          <w:p w14:paraId="10073F17">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010C0949">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45CCE446">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605E3875">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270C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Merge w:val="continue"/>
            <w:vAlign w:val="center"/>
          </w:tcPr>
          <w:p w14:paraId="79521004">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1129" w:type="dxa"/>
            <w:vMerge w:val="continue"/>
            <w:vAlign w:val="center"/>
          </w:tcPr>
          <w:p w14:paraId="5C3D68E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p>
        </w:tc>
        <w:tc>
          <w:tcPr>
            <w:tcW w:w="2058" w:type="dxa"/>
            <w:vAlign w:val="center"/>
          </w:tcPr>
          <w:p w14:paraId="3AEE6512">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售后服务方案</w:t>
            </w:r>
          </w:p>
          <w:p w14:paraId="66A846BE">
            <w:pPr>
              <w:widowControl w:val="0"/>
              <w:adjustRightInd w:val="0"/>
              <w:snapToGrid w:val="0"/>
              <w:spacing w:after="0" w:line="280" w:lineRule="exact"/>
              <w:jc w:val="center"/>
              <w:rPr>
                <w:rFonts w:ascii="Times New Roman" w:hAnsi="Times New Roman" w:eastAsia="宋体" w:cs="宋体"/>
                <w:color w:val="auto"/>
                <w:sz w:val="21"/>
                <w:szCs w:val="21"/>
              </w:rPr>
            </w:pPr>
            <w:r>
              <w:rPr>
                <w:rFonts w:hint="eastAsia" w:cs="宋体"/>
                <w:color w:val="auto"/>
                <w:sz w:val="21"/>
                <w:szCs w:val="21"/>
              </w:rPr>
              <w:t>（6分）</w:t>
            </w:r>
          </w:p>
        </w:tc>
        <w:tc>
          <w:tcPr>
            <w:tcW w:w="5528" w:type="dxa"/>
            <w:vAlign w:val="center"/>
          </w:tcPr>
          <w:p w14:paraId="60AED3B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方案切实可行，详细，科学合理，有针对性的得5-6分；</w:t>
            </w:r>
          </w:p>
          <w:p w14:paraId="2DFE0F5E">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方案基本可行，较详细、较合理，针对性较强的得3-4分；</w:t>
            </w:r>
          </w:p>
          <w:p w14:paraId="06A05FD8">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方案不可行或不合理或无针对性的得1-2分；</w:t>
            </w:r>
          </w:p>
          <w:p w14:paraId="51899B0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不提供的不得分。</w:t>
            </w:r>
          </w:p>
        </w:tc>
      </w:tr>
      <w:tr w14:paraId="050DA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Align w:val="center"/>
          </w:tcPr>
          <w:p w14:paraId="2CA6AA0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2.2.4（3）</w:t>
            </w:r>
          </w:p>
        </w:tc>
        <w:tc>
          <w:tcPr>
            <w:tcW w:w="1129" w:type="dxa"/>
            <w:vAlign w:val="center"/>
          </w:tcPr>
          <w:p w14:paraId="10D594C1">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投标报价评分标准</w:t>
            </w:r>
          </w:p>
          <w:p w14:paraId="6CB86B28">
            <w:pPr>
              <w:pStyle w:val="5"/>
              <w:ind w:firstLine="0" w:firstLineChars="0"/>
              <w:jc w:val="center"/>
            </w:pPr>
            <w:r>
              <w:rPr>
                <w:rFonts w:hint="eastAsia" w:cs="宋体"/>
                <w:szCs w:val="21"/>
              </w:rPr>
              <w:t>（60分）</w:t>
            </w:r>
          </w:p>
        </w:tc>
        <w:tc>
          <w:tcPr>
            <w:tcW w:w="2058" w:type="dxa"/>
            <w:vAlign w:val="center"/>
          </w:tcPr>
          <w:p w14:paraId="79F3BC76">
            <w:pPr>
              <w:widowControl w:val="0"/>
              <w:snapToGrid w:val="0"/>
              <w:spacing w:after="0" w:line="360" w:lineRule="auto"/>
              <w:jc w:val="center"/>
              <w:rPr>
                <w:rFonts w:ascii="Times New Roman" w:hAnsi="Times New Roman" w:eastAsia="宋体" w:cs="仿宋"/>
                <w:color w:val="auto"/>
                <w:sz w:val="21"/>
                <w:szCs w:val="21"/>
              </w:rPr>
            </w:pPr>
            <w:r>
              <w:rPr>
                <w:rFonts w:hint="eastAsia" w:ascii="Times New Roman" w:hAnsi="Times New Roman" w:eastAsia="宋体" w:cs="仿宋"/>
                <w:color w:val="auto"/>
                <w:sz w:val="21"/>
                <w:szCs w:val="21"/>
              </w:rPr>
              <w:t>偏差率</w:t>
            </w:r>
          </w:p>
          <w:p w14:paraId="16920078">
            <w:pPr>
              <w:widowControl w:val="0"/>
              <w:snapToGrid w:val="0"/>
              <w:spacing w:after="0" w:line="360" w:lineRule="auto"/>
              <w:jc w:val="center"/>
            </w:pPr>
            <w:r>
              <w:rPr>
                <w:rFonts w:hint="eastAsia" w:ascii="Times New Roman" w:hAnsi="Times New Roman" w:eastAsia="宋体" w:cs="仿宋"/>
                <w:color w:val="auto"/>
                <w:sz w:val="21"/>
                <w:szCs w:val="21"/>
              </w:rPr>
              <w:t>（60分）</w:t>
            </w:r>
          </w:p>
        </w:tc>
        <w:tc>
          <w:tcPr>
            <w:tcW w:w="5528" w:type="dxa"/>
            <w:vAlign w:val="center"/>
          </w:tcPr>
          <w:p w14:paraId="7A28A9F9">
            <w:pPr>
              <w:widowControl w:val="0"/>
              <w:spacing w:after="0" w:line="400" w:lineRule="exact"/>
              <w:rPr>
                <w:rFonts w:ascii="Times New Roman" w:hAnsi="Times New Roman" w:eastAsia="宋体" w:cs="宋体"/>
                <w:color w:val="auto"/>
                <w:sz w:val="21"/>
                <w:szCs w:val="21"/>
              </w:rPr>
            </w:pPr>
            <w:r>
              <w:rPr>
                <w:rFonts w:hint="eastAsia" w:asciiTheme="minorEastAsia" w:hAnsiTheme="minorEastAsia" w:eastAsiaTheme="minorEastAsia" w:cstheme="minorEastAsia"/>
                <w:sz w:val="21"/>
                <w:szCs w:val="21"/>
              </w:rPr>
              <w:t>基准价：如果有效投标单位超过10家(不包含10)，则去掉2个最高价,2个最低价；如果有效投标单位超过5家(不包含5)并不超过10家，则去掉1个最高价,1个最低价；若不超过5家,则不去；将其投标报价取平均值后×100%作为评标基准价。扣分公式：投标报价与基准价相比的偏差率，每高1%扣0.1分，每低1%扣0.1分,注：使用直线插值法计算。</w:t>
            </w:r>
          </w:p>
        </w:tc>
      </w:tr>
      <w:tr w14:paraId="7856B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85" w:type="dxa"/>
            <w:bottom w:w="57" w:type="dxa"/>
            <w:right w:w="85" w:type="dxa"/>
          </w:tblCellMar>
        </w:tblPrEx>
        <w:trPr>
          <w:jc w:val="center"/>
        </w:trPr>
        <w:tc>
          <w:tcPr>
            <w:tcW w:w="919" w:type="dxa"/>
            <w:gridSpan w:val="2"/>
            <w:vAlign w:val="center"/>
          </w:tcPr>
          <w:p w14:paraId="76C02B97">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2.2.4（4）</w:t>
            </w:r>
          </w:p>
        </w:tc>
        <w:tc>
          <w:tcPr>
            <w:tcW w:w="1129" w:type="dxa"/>
            <w:vAlign w:val="center"/>
          </w:tcPr>
          <w:p w14:paraId="455528E8">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其他因素评分标准</w:t>
            </w:r>
          </w:p>
          <w:p w14:paraId="6F0F193B">
            <w:pPr>
              <w:pStyle w:val="5"/>
              <w:ind w:firstLine="0" w:firstLineChars="0"/>
              <w:jc w:val="center"/>
            </w:pPr>
            <w:r>
              <w:rPr>
                <w:rFonts w:hint="eastAsia" w:cs="宋体"/>
                <w:szCs w:val="21"/>
              </w:rPr>
              <w:t>（2分）</w:t>
            </w:r>
          </w:p>
        </w:tc>
        <w:tc>
          <w:tcPr>
            <w:tcW w:w="2058" w:type="dxa"/>
            <w:vAlign w:val="center"/>
          </w:tcPr>
          <w:p w14:paraId="3147DB2E">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企业业绩</w:t>
            </w:r>
          </w:p>
          <w:p w14:paraId="2CB0392C">
            <w:pPr>
              <w:widowControl w:val="0"/>
              <w:adjustRightInd w:val="0"/>
              <w:snapToGrid w:val="0"/>
              <w:spacing w:before="156" w:beforeLines="50" w:after="156" w:afterLines="50" w:line="28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（2分）</w:t>
            </w:r>
          </w:p>
        </w:tc>
        <w:tc>
          <w:tcPr>
            <w:tcW w:w="5528" w:type="dxa"/>
            <w:vAlign w:val="center"/>
          </w:tcPr>
          <w:p w14:paraId="7F8E0F11">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近3年（2022年1月至今），投标人具有类似项目业绩，每有一个合同得2分，最多得2分。</w:t>
            </w:r>
          </w:p>
          <w:p w14:paraId="07E50753">
            <w:pPr>
              <w:widowControl w:val="0"/>
              <w:adjustRightInd w:val="0"/>
              <w:snapToGrid w:val="0"/>
              <w:spacing w:before="156" w:beforeLines="50" w:after="156" w:afterLines="50" w:line="28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（需提供合同协议书复印件并加盖公章）</w:t>
            </w:r>
          </w:p>
        </w:tc>
      </w:tr>
    </w:tbl>
    <w:p w14:paraId="30B56551">
      <w:pPr>
        <w:spacing w:after="0" w:line="500" w:lineRule="exact"/>
        <w:ind w:firstLine="442" w:firstLineChars="200"/>
        <w:rPr>
          <w:rFonts w:ascii="Times New Roman" w:hAnsi="Times New Roman" w:eastAsia="宋体"/>
          <w:color w:val="auto"/>
          <w:sz w:val="28"/>
          <w:szCs w:val="28"/>
        </w:rPr>
      </w:pPr>
      <w:r>
        <w:rPr>
          <w:rFonts w:hint="eastAsia" w:ascii="Times New Roman" w:hAnsi="Times New Roman" w:eastAsia="宋体" w:cs="宋体"/>
          <w:b/>
          <w:color w:val="auto"/>
        </w:rPr>
        <w:br w:type="page"/>
      </w:r>
      <w:bookmarkStart w:id="254" w:name="_Toc8465"/>
      <w:bookmarkStart w:id="255" w:name="_Toc56792768"/>
      <w:bookmarkStart w:id="256" w:name="_Toc15089"/>
      <w:r>
        <w:rPr>
          <w:rStyle w:val="37"/>
          <w:rFonts w:hint="eastAsia" w:ascii="Times New Roman" w:hAnsi="Times New Roman" w:cs="宋体"/>
          <w:bCs/>
          <w:color w:val="auto"/>
          <w:szCs w:val="21"/>
        </w:rPr>
        <w:t>1.评标办法</w:t>
      </w:r>
      <w:bookmarkEnd w:id="254"/>
    </w:p>
    <w:p w14:paraId="39FC9FE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本次评标采用综合评估法。评标委员会对满足招标文件实质性要求的投标文件，按照本章 第</w:t>
      </w: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宋体"/>
          <w:color w:val="auto"/>
          <w:kern w:val="0"/>
          <w:sz w:val="28"/>
          <w:szCs w:val="28"/>
          <w:lang w:bidi="ar"/>
        </w:rPr>
        <w:t>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14:paraId="2B8E5135">
      <w:pPr>
        <w:spacing w:after="0" w:line="500" w:lineRule="exact"/>
        <w:ind w:firstLine="562" w:firstLineChars="200"/>
        <w:rPr>
          <w:rStyle w:val="37"/>
          <w:rFonts w:ascii="Times New Roman" w:hAnsi="Times New Roman" w:cs="宋体"/>
          <w:bCs/>
          <w:color w:val="auto"/>
          <w:szCs w:val="21"/>
        </w:rPr>
      </w:pPr>
      <w:bookmarkStart w:id="257" w:name="_Toc4235"/>
      <w:r>
        <w:rPr>
          <w:rStyle w:val="37"/>
          <w:rFonts w:ascii="Times New Roman" w:hAnsi="Times New Roman" w:cs="宋体"/>
          <w:bCs/>
          <w:color w:val="auto"/>
          <w:szCs w:val="21"/>
        </w:rPr>
        <w:t>2</w:t>
      </w:r>
      <w:r>
        <w:rPr>
          <w:rStyle w:val="37"/>
          <w:rFonts w:hint="eastAsia" w:ascii="Times New Roman" w:hAnsi="Times New Roman" w:cs="宋体"/>
          <w:bCs/>
          <w:color w:val="auto"/>
          <w:szCs w:val="21"/>
        </w:rPr>
        <w:t>.评审标准</w:t>
      </w:r>
      <w:r>
        <w:rPr>
          <w:rStyle w:val="37"/>
          <w:rFonts w:ascii="Times New Roman" w:hAnsi="Times New Roman" w:cs="宋体"/>
          <w:bCs/>
          <w:color w:val="auto"/>
          <w:szCs w:val="21"/>
        </w:rPr>
        <w:t xml:space="preserve"> </w:t>
      </w:r>
    </w:p>
    <w:bookmarkEnd w:id="257"/>
    <w:p w14:paraId="0DCE2943">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2.1 </w:t>
      </w:r>
      <w:r>
        <w:rPr>
          <w:rFonts w:hint="eastAsia" w:ascii="Times New Roman" w:hAnsi="Times New Roman" w:eastAsia="宋体" w:cs="黑体"/>
          <w:color w:val="auto"/>
          <w:kern w:val="0"/>
          <w:sz w:val="28"/>
          <w:szCs w:val="28"/>
          <w:lang w:bidi="ar"/>
        </w:rPr>
        <w:t>初步评审标准</w:t>
      </w:r>
      <w:r>
        <w:rPr>
          <w:rFonts w:ascii="Times New Roman" w:hAnsi="Times New Roman" w:eastAsia="宋体" w:cs="Times New Roman"/>
          <w:color w:val="auto"/>
          <w:kern w:val="0"/>
          <w:sz w:val="28"/>
          <w:szCs w:val="28"/>
          <w:lang w:bidi="ar"/>
        </w:rPr>
        <w:t xml:space="preserve"> </w:t>
      </w:r>
    </w:p>
    <w:p w14:paraId="39119BFF">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2.1.1 </w:t>
      </w:r>
      <w:r>
        <w:rPr>
          <w:rFonts w:hint="eastAsia" w:ascii="Times New Roman" w:hAnsi="Times New Roman" w:eastAsia="宋体" w:cs="宋体"/>
          <w:color w:val="auto"/>
          <w:kern w:val="0"/>
          <w:sz w:val="28"/>
          <w:szCs w:val="28"/>
          <w:lang w:bidi="ar"/>
        </w:rPr>
        <w:t>形式评审标准：见评标办法前附表。</w:t>
      </w:r>
      <w:r>
        <w:rPr>
          <w:rFonts w:ascii="Times New Roman" w:hAnsi="Times New Roman" w:eastAsia="宋体" w:cs="Times New Roman"/>
          <w:color w:val="auto"/>
          <w:kern w:val="0"/>
          <w:sz w:val="28"/>
          <w:szCs w:val="28"/>
          <w:lang w:bidi="ar"/>
        </w:rPr>
        <w:t xml:space="preserve"> </w:t>
      </w:r>
    </w:p>
    <w:p w14:paraId="739A695D">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2.1.2 </w:t>
      </w:r>
      <w:r>
        <w:rPr>
          <w:rFonts w:hint="eastAsia" w:ascii="Times New Roman" w:hAnsi="Times New Roman" w:eastAsia="宋体" w:cs="宋体"/>
          <w:color w:val="auto"/>
          <w:kern w:val="0"/>
          <w:sz w:val="28"/>
          <w:szCs w:val="28"/>
          <w:lang w:bidi="ar"/>
        </w:rPr>
        <w:t>资格评审标准：见评标办法前附表。</w:t>
      </w:r>
      <w:r>
        <w:rPr>
          <w:rFonts w:ascii="Times New Roman" w:hAnsi="Times New Roman" w:eastAsia="宋体" w:cs="Times New Roman"/>
          <w:color w:val="auto"/>
          <w:kern w:val="0"/>
          <w:sz w:val="28"/>
          <w:szCs w:val="28"/>
          <w:lang w:bidi="ar"/>
        </w:rPr>
        <w:t xml:space="preserve"> </w:t>
      </w:r>
    </w:p>
    <w:p w14:paraId="05C90BE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2.1.3 </w:t>
      </w:r>
      <w:r>
        <w:rPr>
          <w:rFonts w:hint="eastAsia" w:ascii="Times New Roman" w:hAnsi="Times New Roman" w:eastAsia="宋体" w:cs="宋体"/>
          <w:color w:val="auto"/>
          <w:kern w:val="0"/>
          <w:sz w:val="28"/>
          <w:szCs w:val="28"/>
          <w:lang w:bidi="ar"/>
        </w:rPr>
        <w:t>响应性评审标准：见评标办法前附表。</w:t>
      </w:r>
      <w:r>
        <w:rPr>
          <w:rFonts w:ascii="Times New Roman" w:hAnsi="Times New Roman" w:eastAsia="宋体" w:cs="Times New Roman"/>
          <w:color w:val="auto"/>
          <w:kern w:val="0"/>
          <w:sz w:val="28"/>
          <w:szCs w:val="28"/>
          <w:lang w:bidi="ar"/>
        </w:rPr>
        <w:t xml:space="preserve"> </w:t>
      </w:r>
    </w:p>
    <w:p w14:paraId="0CDB2F62">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黑体"/>
          <w:color w:val="auto"/>
          <w:kern w:val="0"/>
          <w:sz w:val="28"/>
          <w:szCs w:val="28"/>
          <w:lang w:bidi="ar"/>
        </w:rPr>
        <w:t>分值构成与评分标准</w:t>
      </w:r>
      <w:r>
        <w:rPr>
          <w:rFonts w:ascii="Times New Roman" w:hAnsi="Times New Roman" w:eastAsia="宋体" w:cs="Times New Roman"/>
          <w:color w:val="auto"/>
          <w:kern w:val="0"/>
          <w:sz w:val="28"/>
          <w:szCs w:val="28"/>
          <w:lang w:bidi="ar"/>
        </w:rPr>
        <w:t xml:space="preserve"> </w:t>
      </w:r>
    </w:p>
    <w:p w14:paraId="4FB5837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2.2.1 </w:t>
      </w:r>
      <w:r>
        <w:rPr>
          <w:rFonts w:hint="eastAsia" w:ascii="Times New Roman" w:hAnsi="Times New Roman" w:eastAsia="宋体" w:cs="宋体"/>
          <w:color w:val="auto"/>
          <w:kern w:val="0"/>
          <w:sz w:val="28"/>
          <w:szCs w:val="28"/>
          <w:lang w:bidi="ar"/>
        </w:rPr>
        <w:t>分值构成</w:t>
      </w:r>
      <w:r>
        <w:rPr>
          <w:rFonts w:ascii="Times New Roman" w:hAnsi="Times New Roman" w:eastAsia="宋体" w:cs="Times New Roman"/>
          <w:color w:val="auto"/>
          <w:kern w:val="0"/>
          <w:sz w:val="28"/>
          <w:szCs w:val="28"/>
          <w:lang w:bidi="ar"/>
        </w:rPr>
        <w:t xml:space="preserve"> </w:t>
      </w:r>
    </w:p>
    <w:p w14:paraId="018237CB">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）商务部分：见评标办法前附表；</w:t>
      </w:r>
      <w:r>
        <w:rPr>
          <w:rFonts w:ascii="Times New Roman" w:hAnsi="Times New Roman" w:eastAsia="宋体" w:cs="Times New Roman"/>
          <w:color w:val="auto"/>
          <w:kern w:val="0"/>
          <w:sz w:val="28"/>
          <w:szCs w:val="28"/>
          <w:lang w:bidi="ar"/>
        </w:rPr>
        <w:t xml:space="preserve"> </w:t>
      </w:r>
    </w:p>
    <w:p w14:paraId="7BA3110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）技术部分：见评标办法前附表；</w:t>
      </w:r>
      <w:r>
        <w:rPr>
          <w:rFonts w:ascii="Times New Roman" w:hAnsi="Times New Roman" w:eastAsia="宋体" w:cs="Times New Roman"/>
          <w:color w:val="auto"/>
          <w:kern w:val="0"/>
          <w:sz w:val="28"/>
          <w:szCs w:val="28"/>
          <w:lang w:bidi="ar"/>
        </w:rPr>
        <w:t xml:space="preserve"> </w:t>
      </w:r>
    </w:p>
    <w:p w14:paraId="39D03E4A">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）投标报价：见评标办法前附表；</w:t>
      </w:r>
      <w:r>
        <w:rPr>
          <w:rFonts w:ascii="Times New Roman" w:hAnsi="Times New Roman" w:eastAsia="宋体" w:cs="Times New Roman"/>
          <w:color w:val="auto"/>
          <w:kern w:val="0"/>
          <w:sz w:val="28"/>
          <w:szCs w:val="28"/>
          <w:lang w:bidi="ar"/>
        </w:rPr>
        <w:t xml:space="preserve"> </w:t>
      </w:r>
    </w:p>
    <w:p w14:paraId="04F263B2">
      <w:pPr>
        <w:spacing w:after="0" w:line="500" w:lineRule="exact"/>
        <w:ind w:firstLine="560" w:firstLineChars="200"/>
        <w:rPr>
          <w:rFonts w:ascii="Times New Roman" w:hAnsi="Times New Roman" w:eastAsia="宋体" w:cs="Times New Roman"/>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）其他评分因素：见评标办法前附表。</w:t>
      </w:r>
      <w:r>
        <w:rPr>
          <w:rFonts w:ascii="Times New Roman" w:hAnsi="Times New Roman" w:eastAsia="宋体" w:cs="Times New Roman"/>
          <w:color w:val="auto"/>
          <w:kern w:val="0"/>
          <w:sz w:val="28"/>
          <w:szCs w:val="28"/>
          <w:lang w:bidi="ar"/>
        </w:rPr>
        <w:t xml:space="preserve"> </w:t>
      </w:r>
    </w:p>
    <w:p w14:paraId="61E749B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2.2.2 </w:t>
      </w:r>
      <w:r>
        <w:rPr>
          <w:rFonts w:hint="eastAsia" w:ascii="Times New Roman" w:hAnsi="Times New Roman" w:eastAsia="宋体" w:cs="宋体"/>
          <w:color w:val="auto"/>
          <w:kern w:val="0"/>
          <w:sz w:val="28"/>
          <w:szCs w:val="28"/>
          <w:lang w:bidi="ar"/>
        </w:rPr>
        <w:t>评标基准价计算</w:t>
      </w:r>
      <w:r>
        <w:rPr>
          <w:rFonts w:ascii="Times New Roman" w:hAnsi="Times New Roman" w:eastAsia="宋体" w:cs="Times New Roman"/>
          <w:color w:val="auto"/>
          <w:kern w:val="0"/>
          <w:sz w:val="28"/>
          <w:szCs w:val="28"/>
          <w:lang w:bidi="ar"/>
        </w:rPr>
        <w:t xml:space="preserve"> </w:t>
      </w:r>
    </w:p>
    <w:p w14:paraId="010448E7">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评标基准价计算方法：见评标办法前附表。</w:t>
      </w:r>
    </w:p>
    <w:p w14:paraId="1C6D81B7">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2.2.3 </w:t>
      </w:r>
      <w:r>
        <w:rPr>
          <w:rFonts w:hint="eastAsia" w:ascii="Times New Roman" w:hAnsi="Times New Roman" w:eastAsia="宋体" w:cs="宋体"/>
          <w:color w:val="auto"/>
          <w:kern w:val="0"/>
          <w:sz w:val="28"/>
          <w:szCs w:val="28"/>
          <w:lang w:bidi="ar"/>
        </w:rPr>
        <w:t>投标报价的偏差率计算</w:t>
      </w:r>
      <w:r>
        <w:rPr>
          <w:rFonts w:ascii="Times New Roman" w:hAnsi="Times New Roman" w:eastAsia="宋体" w:cs="Times New Roman"/>
          <w:color w:val="auto"/>
          <w:kern w:val="0"/>
          <w:sz w:val="28"/>
          <w:szCs w:val="28"/>
          <w:lang w:bidi="ar"/>
        </w:rPr>
        <w:t xml:space="preserve"> </w:t>
      </w:r>
    </w:p>
    <w:p w14:paraId="3015FB03">
      <w:pPr>
        <w:spacing w:after="0" w:line="500" w:lineRule="exact"/>
        <w:ind w:firstLine="560" w:firstLineChars="200"/>
        <w:rPr>
          <w:rFonts w:ascii="Times New Roman" w:hAnsi="Times New Roman" w:eastAsia="宋体" w:cs="Times New Roman"/>
          <w:color w:val="auto"/>
          <w:kern w:val="0"/>
          <w:sz w:val="28"/>
          <w:szCs w:val="28"/>
          <w:lang w:bidi="ar"/>
        </w:rPr>
      </w:pPr>
      <w:r>
        <w:rPr>
          <w:rFonts w:hint="eastAsia" w:ascii="Times New Roman" w:hAnsi="Times New Roman" w:eastAsia="宋体" w:cs="宋体"/>
          <w:color w:val="auto"/>
          <w:kern w:val="0"/>
          <w:sz w:val="28"/>
          <w:szCs w:val="28"/>
          <w:lang w:bidi="ar"/>
        </w:rPr>
        <w:t>投标报价的偏差率计算公式：见评标办法前附表。</w:t>
      </w:r>
      <w:r>
        <w:rPr>
          <w:rFonts w:ascii="Times New Roman" w:hAnsi="Times New Roman" w:eastAsia="宋体" w:cs="Times New Roman"/>
          <w:color w:val="auto"/>
          <w:kern w:val="0"/>
          <w:sz w:val="28"/>
          <w:szCs w:val="28"/>
          <w:lang w:bidi="ar"/>
        </w:rPr>
        <w:t xml:space="preserve"> </w:t>
      </w:r>
    </w:p>
    <w:p w14:paraId="564B638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2.2.4 </w:t>
      </w:r>
      <w:r>
        <w:rPr>
          <w:rFonts w:hint="eastAsia" w:ascii="Times New Roman" w:hAnsi="Times New Roman" w:eastAsia="宋体" w:cs="宋体"/>
          <w:color w:val="auto"/>
          <w:kern w:val="0"/>
          <w:sz w:val="28"/>
          <w:szCs w:val="28"/>
          <w:lang w:bidi="ar"/>
        </w:rPr>
        <w:t>评分标准</w:t>
      </w:r>
      <w:r>
        <w:rPr>
          <w:rFonts w:ascii="Times New Roman" w:hAnsi="Times New Roman" w:eastAsia="宋体" w:cs="Times New Roman"/>
          <w:color w:val="auto"/>
          <w:kern w:val="0"/>
          <w:sz w:val="28"/>
          <w:szCs w:val="28"/>
          <w:lang w:bidi="ar"/>
        </w:rPr>
        <w:t xml:space="preserve"> </w:t>
      </w:r>
    </w:p>
    <w:p w14:paraId="2536853B">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）商务评分标准：见评标办法前附表；</w:t>
      </w:r>
      <w:r>
        <w:rPr>
          <w:rFonts w:ascii="Times New Roman" w:hAnsi="Times New Roman" w:eastAsia="宋体" w:cs="Times New Roman"/>
          <w:color w:val="auto"/>
          <w:kern w:val="0"/>
          <w:sz w:val="28"/>
          <w:szCs w:val="28"/>
          <w:lang w:bidi="ar"/>
        </w:rPr>
        <w:t xml:space="preserve"> </w:t>
      </w:r>
    </w:p>
    <w:p w14:paraId="37A1ED5E">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）技术评分标准：见评标办法前附表；</w:t>
      </w:r>
      <w:r>
        <w:rPr>
          <w:rFonts w:ascii="Times New Roman" w:hAnsi="Times New Roman" w:eastAsia="宋体" w:cs="Times New Roman"/>
          <w:color w:val="auto"/>
          <w:kern w:val="0"/>
          <w:sz w:val="28"/>
          <w:szCs w:val="28"/>
          <w:lang w:bidi="ar"/>
        </w:rPr>
        <w:t xml:space="preserve"> </w:t>
      </w:r>
    </w:p>
    <w:p w14:paraId="5A1C0D2F">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）投标报价评分标准：见评标办法前附表；</w:t>
      </w:r>
      <w:r>
        <w:rPr>
          <w:rFonts w:ascii="Times New Roman" w:hAnsi="Times New Roman" w:eastAsia="宋体" w:cs="Times New Roman"/>
          <w:color w:val="auto"/>
          <w:kern w:val="0"/>
          <w:sz w:val="28"/>
          <w:szCs w:val="28"/>
          <w:lang w:bidi="ar"/>
        </w:rPr>
        <w:t xml:space="preserve"> </w:t>
      </w:r>
    </w:p>
    <w:p w14:paraId="01329C58">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）其他因素评分标准：见评标办法前附表。</w:t>
      </w:r>
      <w:r>
        <w:rPr>
          <w:rFonts w:ascii="Times New Roman" w:hAnsi="Times New Roman" w:eastAsia="宋体" w:cs="Times New Roman"/>
          <w:color w:val="auto"/>
          <w:kern w:val="0"/>
          <w:sz w:val="28"/>
          <w:szCs w:val="28"/>
          <w:lang w:bidi="ar"/>
        </w:rPr>
        <w:t xml:space="preserve"> </w:t>
      </w:r>
    </w:p>
    <w:p w14:paraId="0DA48E66">
      <w:pPr>
        <w:spacing w:after="0" w:line="500" w:lineRule="exact"/>
        <w:ind w:firstLine="562" w:firstLineChars="200"/>
        <w:rPr>
          <w:rStyle w:val="37"/>
          <w:rFonts w:ascii="Times New Roman" w:hAnsi="Times New Roman" w:cs="宋体"/>
          <w:bCs/>
          <w:color w:val="auto"/>
          <w:szCs w:val="21"/>
        </w:rPr>
      </w:pPr>
      <w:bookmarkStart w:id="258" w:name="_Toc1192"/>
      <w:r>
        <w:rPr>
          <w:rStyle w:val="37"/>
          <w:rFonts w:ascii="Times New Roman" w:hAnsi="Times New Roman" w:cs="宋体"/>
          <w:bCs/>
          <w:color w:val="auto"/>
          <w:szCs w:val="21"/>
        </w:rPr>
        <w:t>3.</w:t>
      </w:r>
      <w:r>
        <w:rPr>
          <w:rStyle w:val="37"/>
          <w:rFonts w:hint="eastAsia" w:ascii="Times New Roman" w:hAnsi="Times New Roman" w:cs="宋体"/>
          <w:bCs/>
          <w:color w:val="auto"/>
          <w:szCs w:val="21"/>
        </w:rPr>
        <w:t>评标程序</w:t>
      </w:r>
      <w:r>
        <w:rPr>
          <w:rStyle w:val="37"/>
          <w:rFonts w:ascii="Times New Roman" w:hAnsi="Times New Roman" w:cs="宋体"/>
          <w:bCs/>
          <w:color w:val="auto"/>
          <w:szCs w:val="21"/>
        </w:rPr>
        <w:t xml:space="preserve"> </w:t>
      </w:r>
    </w:p>
    <w:bookmarkEnd w:id="258"/>
    <w:p w14:paraId="7CF79BE5">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3.1 </w:t>
      </w:r>
      <w:r>
        <w:rPr>
          <w:rFonts w:hint="eastAsia" w:ascii="Times New Roman" w:hAnsi="Times New Roman" w:eastAsia="宋体" w:cs="黑体"/>
          <w:color w:val="auto"/>
          <w:kern w:val="0"/>
          <w:sz w:val="28"/>
          <w:szCs w:val="28"/>
          <w:lang w:bidi="ar"/>
        </w:rPr>
        <w:t>初步评审</w:t>
      </w:r>
      <w:r>
        <w:rPr>
          <w:rFonts w:ascii="Times New Roman" w:hAnsi="Times New Roman" w:eastAsia="宋体" w:cs="Times New Roman"/>
          <w:color w:val="auto"/>
          <w:kern w:val="0"/>
          <w:sz w:val="28"/>
          <w:szCs w:val="28"/>
          <w:lang w:bidi="ar"/>
        </w:rPr>
        <w:t xml:space="preserve"> </w:t>
      </w:r>
    </w:p>
    <w:p w14:paraId="4224986A">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3.1.1 </w:t>
      </w:r>
      <w:r>
        <w:rPr>
          <w:rFonts w:hint="eastAsia" w:ascii="Times New Roman" w:hAnsi="Times New Roman" w:eastAsia="宋体" w:cs="宋体"/>
          <w:color w:val="auto"/>
          <w:kern w:val="0"/>
          <w:sz w:val="28"/>
          <w:szCs w:val="28"/>
          <w:lang w:bidi="ar"/>
        </w:rPr>
        <w:t>评标委员会可以要求投标人提交第二章</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投标人须知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 xml:space="preserve">规定的有关证明和证件的原件，以便核验。评标委员会依据本章第 </w:t>
      </w:r>
      <w:r>
        <w:rPr>
          <w:rFonts w:ascii="Times New Roman" w:hAnsi="Times New Roman" w:eastAsia="宋体" w:cs="Times New Roman"/>
          <w:color w:val="auto"/>
          <w:kern w:val="0"/>
          <w:sz w:val="28"/>
          <w:szCs w:val="28"/>
          <w:lang w:bidi="ar"/>
        </w:rPr>
        <w:t xml:space="preserve">2.1 </w:t>
      </w:r>
      <w:r>
        <w:rPr>
          <w:rFonts w:hint="eastAsia" w:ascii="Times New Roman" w:hAnsi="Times New Roman" w:eastAsia="宋体" w:cs="宋体"/>
          <w:color w:val="auto"/>
          <w:kern w:val="0"/>
          <w:sz w:val="28"/>
          <w:szCs w:val="28"/>
          <w:lang w:bidi="ar"/>
        </w:rPr>
        <w:t>款规定的标准对投标文件进行初步评审。有一项不符合评审标准的，评标委员会应当否决其投标。</w:t>
      </w:r>
      <w:r>
        <w:rPr>
          <w:rFonts w:ascii="Times New Roman" w:hAnsi="Times New Roman" w:eastAsia="宋体" w:cs="Times New Roman"/>
          <w:color w:val="auto"/>
          <w:kern w:val="0"/>
          <w:sz w:val="28"/>
          <w:szCs w:val="28"/>
          <w:lang w:bidi="ar"/>
        </w:rPr>
        <w:t xml:space="preserve"> </w:t>
      </w:r>
    </w:p>
    <w:p w14:paraId="10F7F241">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3.1.2 </w:t>
      </w:r>
      <w:r>
        <w:rPr>
          <w:rFonts w:hint="eastAsia" w:ascii="Times New Roman" w:hAnsi="Times New Roman" w:eastAsia="宋体" w:cs="宋体"/>
          <w:color w:val="auto"/>
          <w:kern w:val="0"/>
          <w:sz w:val="28"/>
          <w:szCs w:val="28"/>
          <w:lang w:bidi="ar"/>
        </w:rPr>
        <w:t>投标人有以下情形之一的，评标委员会应当否决其投标：</w:t>
      </w:r>
      <w:r>
        <w:rPr>
          <w:rFonts w:ascii="Times New Roman" w:hAnsi="Times New Roman" w:eastAsia="宋体" w:cs="Times New Roman"/>
          <w:color w:val="auto"/>
          <w:kern w:val="0"/>
          <w:sz w:val="28"/>
          <w:szCs w:val="28"/>
          <w:lang w:bidi="ar"/>
        </w:rPr>
        <w:t xml:space="preserve"> </w:t>
      </w:r>
    </w:p>
    <w:p w14:paraId="13154FA1">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）投标文件没有对招标文件的实质性要求和条件作出响应，或者对招标文件的偏差超出 招标文件规定的偏差范围或最高项数；</w:t>
      </w:r>
      <w:r>
        <w:rPr>
          <w:rFonts w:ascii="Times New Roman" w:hAnsi="Times New Roman" w:eastAsia="宋体" w:cs="Times New Roman"/>
          <w:color w:val="auto"/>
          <w:kern w:val="0"/>
          <w:sz w:val="28"/>
          <w:szCs w:val="28"/>
          <w:lang w:bidi="ar"/>
        </w:rPr>
        <w:t xml:space="preserve"> </w:t>
      </w:r>
    </w:p>
    <w:p w14:paraId="339C86D1">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）有串通投标、弄虚作假、行贿等违法行为。</w:t>
      </w:r>
    </w:p>
    <w:p w14:paraId="16ECC3AA">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3.1.3 </w:t>
      </w:r>
      <w:r>
        <w:rPr>
          <w:rFonts w:hint="eastAsia" w:ascii="Times New Roman" w:hAnsi="Times New Roman" w:eastAsia="宋体" w:cs="宋体"/>
          <w:color w:val="auto"/>
          <w:kern w:val="0"/>
          <w:sz w:val="28"/>
          <w:szCs w:val="28"/>
          <w:lang w:bidi="ar"/>
        </w:rPr>
        <w:t>投标报价有算术错误及其他错误的，评标委员会按以下原则要求投标人对投标报价进行修正，并要求投标人书面澄清确认。投标人拒不澄清确认的，评标委员会应当否决其投标：</w:t>
      </w:r>
      <w:r>
        <w:rPr>
          <w:rFonts w:ascii="Times New Roman" w:hAnsi="Times New Roman" w:eastAsia="宋体" w:cs="Times New Roman"/>
          <w:color w:val="auto"/>
          <w:kern w:val="0"/>
          <w:sz w:val="28"/>
          <w:szCs w:val="28"/>
          <w:lang w:bidi="ar"/>
        </w:rPr>
        <w:t xml:space="preserve"> </w:t>
      </w:r>
    </w:p>
    <w:p w14:paraId="141B0C07">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）投标文件中的大写金额与小写金额不一致的，以大写金额为准；</w:t>
      </w:r>
      <w:r>
        <w:rPr>
          <w:rFonts w:ascii="Times New Roman" w:hAnsi="Times New Roman" w:eastAsia="宋体" w:cs="Times New Roman"/>
          <w:color w:val="auto"/>
          <w:kern w:val="0"/>
          <w:sz w:val="28"/>
          <w:szCs w:val="28"/>
          <w:lang w:bidi="ar"/>
        </w:rPr>
        <w:t xml:space="preserve"> </w:t>
      </w:r>
    </w:p>
    <w:p w14:paraId="6CA93604">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）总价金额与单价金额不一致的，以单价金额为准，但单价金额小数点有明显错误的除外；</w:t>
      </w:r>
      <w:r>
        <w:rPr>
          <w:rFonts w:ascii="Times New Roman" w:hAnsi="Times New Roman" w:eastAsia="宋体" w:cs="Times New Roman"/>
          <w:color w:val="auto"/>
          <w:kern w:val="0"/>
          <w:sz w:val="28"/>
          <w:szCs w:val="28"/>
          <w:lang w:bidi="ar"/>
        </w:rPr>
        <w:t xml:space="preserve"> </w:t>
      </w:r>
    </w:p>
    <w:p w14:paraId="328A309D">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）投标报价为各分项报价金额之和，投标报价与分项报价的合价不一致的，应以各分项合价累计数为准，修正投标报价；</w:t>
      </w:r>
      <w:r>
        <w:rPr>
          <w:rFonts w:ascii="Times New Roman" w:hAnsi="Times New Roman" w:eastAsia="宋体" w:cs="Times New Roman"/>
          <w:color w:val="auto"/>
          <w:kern w:val="0"/>
          <w:sz w:val="28"/>
          <w:szCs w:val="28"/>
          <w:lang w:bidi="ar"/>
        </w:rPr>
        <w:t xml:space="preserve"> </w:t>
      </w:r>
    </w:p>
    <w:p w14:paraId="7A77C5EE">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）如果分项报价中存在缺漏项，则视为缺漏项价格已包含在其他分项报价之中。</w:t>
      </w:r>
      <w:r>
        <w:rPr>
          <w:rFonts w:ascii="Times New Roman" w:hAnsi="Times New Roman" w:eastAsia="宋体" w:cs="Times New Roman"/>
          <w:color w:val="auto"/>
          <w:kern w:val="0"/>
          <w:sz w:val="28"/>
          <w:szCs w:val="28"/>
          <w:lang w:bidi="ar"/>
        </w:rPr>
        <w:t xml:space="preserve"> </w:t>
      </w:r>
    </w:p>
    <w:p w14:paraId="5FF145E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 </w:t>
      </w:r>
      <w:r>
        <w:rPr>
          <w:rFonts w:hint="eastAsia" w:ascii="Times New Roman" w:hAnsi="Times New Roman" w:eastAsia="宋体" w:cs="黑体"/>
          <w:color w:val="auto"/>
          <w:kern w:val="0"/>
          <w:sz w:val="28"/>
          <w:szCs w:val="28"/>
          <w:lang w:bidi="ar"/>
        </w:rPr>
        <w:t>详细评审</w:t>
      </w:r>
      <w:r>
        <w:rPr>
          <w:rFonts w:ascii="Times New Roman" w:hAnsi="Times New Roman" w:eastAsia="宋体" w:cs="Times New Roman"/>
          <w:color w:val="auto"/>
          <w:kern w:val="0"/>
          <w:sz w:val="28"/>
          <w:szCs w:val="28"/>
          <w:lang w:bidi="ar"/>
        </w:rPr>
        <w:t xml:space="preserve"> </w:t>
      </w:r>
    </w:p>
    <w:p w14:paraId="461488B6">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3.2.1 </w:t>
      </w:r>
      <w:r>
        <w:rPr>
          <w:rFonts w:hint="eastAsia" w:ascii="Times New Roman" w:hAnsi="Times New Roman" w:eastAsia="宋体" w:cs="宋体"/>
          <w:color w:val="auto"/>
          <w:kern w:val="0"/>
          <w:sz w:val="28"/>
          <w:szCs w:val="28"/>
          <w:lang w:bidi="ar"/>
        </w:rPr>
        <w:t>评标委员会按本章第</w:t>
      </w:r>
      <w:r>
        <w:rPr>
          <w:rFonts w:ascii="Times New Roman" w:hAnsi="Times New Roman" w:eastAsia="宋体" w:cs="Times New Roman"/>
          <w:color w:val="auto"/>
          <w:kern w:val="0"/>
          <w:sz w:val="28"/>
          <w:szCs w:val="28"/>
          <w:lang w:bidi="ar"/>
        </w:rPr>
        <w:t xml:space="preserve">2.2 </w:t>
      </w:r>
      <w:r>
        <w:rPr>
          <w:rFonts w:hint="eastAsia" w:ascii="Times New Roman" w:hAnsi="Times New Roman" w:eastAsia="宋体" w:cs="宋体"/>
          <w:color w:val="auto"/>
          <w:kern w:val="0"/>
          <w:sz w:val="28"/>
          <w:szCs w:val="28"/>
          <w:lang w:bidi="ar"/>
        </w:rPr>
        <w:t>款规定的量化因素和分值进行打分，并计算出综合评估得分。</w:t>
      </w:r>
      <w:r>
        <w:rPr>
          <w:rFonts w:ascii="Times New Roman" w:hAnsi="Times New Roman" w:eastAsia="宋体" w:cs="Times New Roman"/>
          <w:color w:val="auto"/>
          <w:kern w:val="0"/>
          <w:sz w:val="28"/>
          <w:szCs w:val="28"/>
          <w:lang w:bidi="ar"/>
        </w:rPr>
        <w:t xml:space="preserve"> </w:t>
      </w:r>
    </w:p>
    <w:p w14:paraId="1CCD9260">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1</w:t>
      </w:r>
      <w:r>
        <w:rPr>
          <w:rFonts w:hint="eastAsia" w:ascii="Times New Roman" w:hAnsi="Times New Roman" w:eastAsia="宋体" w:cs="宋体"/>
          <w:color w:val="auto"/>
          <w:kern w:val="0"/>
          <w:sz w:val="28"/>
          <w:szCs w:val="28"/>
          <w:lang w:bidi="ar"/>
        </w:rPr>
        <w:t>）目规定的评审因素和分值对商务部分计算出得分</w:t>
      </w:r>
      <w:r>
        <w:rPr>
          <w:rFonts w:ascii="Times New Roman" w:hAnsi="Times New Roman" w:eastAsia="宋体" w:cs="Times New Roman"/>
          <w:color w:val="auto"/>
          <w:kern w:val="0"/>
          <w:sz w:val="28"/>
          <w:szCs w:val="28"/>
          <w:lang w:bidi="ar"/>
        </w:rPr>
        <w:t>A</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157521B4">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2</w:t>
      </w:r>
      <w:r>
        <w:rPr>
          <w:rFonts w:hint="eastAsia" w:ascii="Times New Roman" w:hAnsi="Times New Roman" w:eastAsia="宋体" w:cs="宋体"/>
          <w:color w:val="auto"/>
          <w:kern w:val="0"/>
          <w:sz w:val="28"/>
          <w:szCs w:val="28"/>
          <w:lang w:bidi="ar"/>
        </w:rPr>
        <w:t>）目规定的评审因素和分值对技术部分计算出得分</w:t>
      </w:r>
      <w:r>
        <w:rPr>
          <w:rFonts w:ascii="Times New Roman" w:hAnsi="Times New Roman" w:eastAsia="宋体" w:cs="Times New Roman"/>
          <w:color w:val="auto"/>
          <w:kern w:val="0"/>
          <w:sz w:val="28"/>
          <w:szCs w:val="28"/>
          <w:lang w:bidi="ar"/>
        </w:rPr>
        <w:t>B</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499AAC0A">
      <w:pPr>
        <w:spacing w:after="0" w:line="500" w:lineRule="exact"/>
        <w:ind w:firstLine="560" w:firstLineChars="200"/>
        <w:rPr>
          <w:rFonts w:ascii="Times New Roman" w:hAnsi="Times New Roman" w:eastAsia="宋体"/>
          <w:color w:val="auto"/>
          <w:sz w:val="28"/>
          <w:szCs w:val="28"/>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3</w:t>
      </w:r>
      <w:r>
        <w:rPr>
          <w:rFonts w:hint="eastAsia" w:ascii="Times New Roman" w:hAnsi="Times New Roman" w:eastAsia="宋体" w:cs="宋体"/>
          <w:color w:val="auto"/>
          <w:kern w:val="0"/>
          <w:sz w:val="28"/>
          <w:szCs w:val="28"/>
          <w:lang w:bidi="ar"/>
        </w:rPr>
        <w:t>）目规定的评审因素和分值对投标报价计算出得分</w:t>
      </w:r>
      <w:r>
        <w:rPr>
          <w:rFonts w:ascii="Times New Roman" w:hAnsi="Times New Roman" w:eastAsia="宋体" w:cs="Times New Roman"/>
          <w:color w:val="auto"/>
          <w:kern w:val="0"/>
          <w:sz w:val="28"/>
          <w:szCs w:val="28"/>
          <w:lang w:bidi="ar"/>
        </w:rPr>
        <w:t>C</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4DC6D792">
      <w:pPr>
        <w:spacing w:after="0" w:line="500" w:lineRule="exact"/>
        <w:ind w:firstLine="560" w:firstLineChars="200"/>
        <w:rPr>
          <w:rFonts w:ascii="Times New Roman" w:hAnsi="Times New Roman" w:eastAsia="宋体" w:cs="宋体"/>
          <w:color w:val="auto"/>
          <w:kern w:val="0"/>
          <w:sz w:val="28"/>
          <w:szCs w:val="28"/>
          <w:lang w:bidi="ar"/>
        </w:rPr>
      </w:pP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 xml:space="preserve">）按本章第 </w:t>
      </w:r>
      <w:r>
        <w:rPr>
          <w:rFonts w:ascii="Times New Roman" w:hAnsi="Times New Roman" w:eastAsia="宋体" w:cs="Times New Roman"/>
          <w:color w:val="auto"/>
          <w:kern w:val="0"/>
          <w:sz w:val="28"/>
          <w:szCs w:val="28"/>
          <w:lang w:bidi="ar"/>
        </w:rPr>
        <w:t>2.2.4</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4</w:t>
      </w:r>
      <w:r>
        <w:rPr>
          <w:rFonts w:hint="eastAsia" w:ascii="Times New Roman" w:hAnsi="Times New Roman" w:eastAsia="宋体" w:cs="宋体"/>
          <w:color w:val="auto"/>
          <w:kern w:val="0"/>
          <w:sz w:val="28"/>
          <w:szCs w:val="28"/>
          <w:lang w:bidi="ar"/>
        </w:rPr>
        <w:t>）目规定的评审因素和分值对其他部分计算出得分</w:t>
      </w:r>
      <w:r>
        <w:rPr>
          <w:rFonts w:ascii="Times New Roman" w:hAnsi="Times New Roman" w:eastAsia="宋体" w:cs="Times New Roman"/>
          <w:color w:val="auto"/>
          <w:kern w:val="0"/>
          <w:sz w:val="28"/>
          <w:szCs w:val="28"/>
          <w:lang w:bidi="ar"/>
        </w:rPr>
        <w:t>D</w:t>
      </w:r>
      <w:r>
        <w:rPr>
          <w:rFonts w:hint="eastAsia" w:ascii="Times New Roman" w:hAnsi="Times New Roman" w:eastAsia="宋体" w:cs="宋体"/>
          <w:color w:val="auto"/>
          <w:kern w:val="0"/>
          <w:sz w:val="28"/>
          <w:szCs w:val="28"/>
          <w:lang w:bidi="ar"/>
        </w:rPr>
        <w:t>。</w:t>
      </w:r>
    </w:p>
    <w:p w14:paraId="6048D102">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 3.2.2 </w:t>
      </w:r>
      <w:r>
        <w:rPr>
          <w:rFonts w:hint="eastAsia" w:ascii="Times New Roman" w:hAnsi="Times New Roman" w:eastAsia="宋体" w:cs="宋体"/>
          <w:color w:val="auto"/>
          <w:kern w:val="0"/>
          <w:sz w:val="28"/>
          <w:szCs w:val="28"/>
          <w:lang w:bidi="ar"/>
        </w:rPr>
        <w:t>评分分值计算保留小数点后两位，小数点后第三位</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四舍五入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p>
    <w:p w14:paraId="648712D0">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3.2.3 </w:t>
      </w:r>
      <w:r>
        <w:rPr>
          <w:rFonts w:hint="eastAsia" w:ascii="Times New Roman" w:hAnsi="Times New Roman" w:eastAsia="宋体" w:cs="宋体"/>
          <w:color w:val="auto"/>
          <w:kern w:val="0"/>
          <w:sz w:val="28"/>
          <w:szCs w:val="28"/>
          <w:lang w:bidi="ar"/>
        </w:rPr>
        <w:t>投标人得分</w:t>
      </w:r>
      <w:r>
        <w:rPr>
          <w:rFonts w:ascii="Times New Roman" w:hAnsi="Times New Roman" w:eastAsia="宋体" w:cs="Times New Roman"/>
          <w:color w:val="auto"/>
          <w:kern w:val="0"/>
          <w:sz w:val="28"/>
          <w:szCs w:val="28"/>
          <w:lang w:bidi="ar"/>
        </w:rPr>
        <w:t>=A+B+C+D</w:t>
      </w:r>
      <w:r>
        <w:rPr>
          <w:rFonts w:hint="eastAsia" w:ascii="Times New Roman" w:hAnsi="Times New Roman" w:eastAsia="宋体" w:cs="宋体"/>
          <w:color w:val="auto"/>
          <w:kern w:val="0"/>
          <w:sz w:val="28"/>
          <w:szCs w:val="28"/>
          <w:lang w:bidi="ar"/>
        </w:rPr>
        <w:t>。</w:t>
      </w:r>
      <w:r>
        <w:rPr>
          <w:rFonts w:ascii="Times New Roman" w:hAnsi="Times New Roman" w:eastAsia="宋体" w:cs="Times New Roman"/>
          <w:color w:val="auto"/>
          <w:kern w:val="0"/>
          <w:sz w:val="28"/>
          <w:szCs w:val="28"/>
          <w:lang w:bidi="ar"/>
        </w:rPr>
        <w:t xml:space="preserve"> </w:t>
      </w:r>
      <w:r>
        <w:rPr>
          <w:rFonts w:hint="eastAsia" w:ascii="Times New Roman" w:hAnsi="Times New Roman" w:eastAsia="宋体" w:cs="Times New Roman"/>
          <w:color w:val="auto"/>
          <w:kern w:val="0"/>
          <w:sz w:val="28"/>
          <w:szCs w:val="28"/>
          <w:lang w:bidi="ar"/>
        </w:rPr>
        <w:t xml:space="preserve">    </w:t>
      </w:r>
    </w:p>
    <w:p w14:paraId="2CE9B4A4">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3.2.4 </w:t>
      </w:r>
      <w:r>
        <w:rPr>
          <w:rFonts w:hint="eastAsia" w:ascii="Times New Roman" w:hAnsi="Times New Roman" w:eastAsia="宋体" w:cs="宋体"/>
          <w:color w:val="auto"/>
          <w:kern w:val="0"/>
          <w:sz w:val="28"/>
          <w:szCs w:val="28"/>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r>
        <w:rPr>
          <w:rFonts w:ascii="Times New Roman" w:hAnsi="Times New Roman" w:eastAsia="宋体" w:cs="Times New Roman"/>
          <w:color w:val="auto"/>
          <w:kern w:val="0"/>
          <w:sz w:val="28"/>
          <w:szCs w:val="28"/>
          <w:lang w:bidi="ar"/>
        </w:rPr>
        <w:t xml:space="preserve"> </w:t>
      </w:r>
    </w:p>
    <w:p w14:paraId="1CC3D3D1">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3.3 </w:t>
      </w:r>
      <w:r>
        <w:rPr>
          <w:rFonts w:hint="eastAsia" w:ascii="Times New Roman" w:hAnsi="Times New Roman" w:eastAsia="宋体" w:cs="黑体"/>
          <w:color w:val="auto"/>
          <w:kern w:val="0"/>
          <w:sz w:val="28"/>
          <w:szCs w:val="28"/>
          <w:lang w:bidi="ar"/>
        </w:rPr>
        <w:t>投标文件的澄清</w:t>
      </w:r>
      <w:r>
        <w:rPr>
          <w:rFonts w:ascii="Times New Roman" w:hAnsi="Times New Roman" w:eastAsia="宋体" w:cs="Times New Roman"/>
          <w:color w:val="auto"/>
          <w:kern w:val="0"/>
          <w:sz w:val="28"/>
          <w:szCs w:val="28"/>
          <w:lang w:bidi="ar"/>
        </w:rPr>
        <w:t xml:space="preserve"> </w:t>
      </w:r>
    </w:p>
    <w:p w14:paraId="1FA1C368">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3.3.1 </w:t>
      </w:r>
      <w:r>
        <w:rPr>
          <w:rFonts w:hint="eastAsia" w:ascii="Times New Roman" w:hAnsi="Times New Roman" w:eastAsia="宋体" w:cs="宋体"/>
          <w:color w:val="auto"/>
          <w:kern w:val="0"/>
          <w:sz w:val="28"/>
          <w:szCs w:val="28"/>
          <w:lang w:bidi="ar"/>
        </w:rPr>
        <w:t>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r>
        <w:rPr>
          <w:rFonts w:ascii="Times New Roman" w:hAnsi="Times New Roman" w:eastAsia="宋体" w:cs="Times New Roman"/>
          <w:color w:val="auto"/>
          <w:kern w:val="0"/>
          <w:sz w:val="28"/>
          <w:szCs w:val="28"/>
          <w:lang w:bidi="ar"/>
        </w:rPr>
        <w:t xml:space="preserve"> </w:t>
      </w:r>
    </w:p>
    <w:p w14:paraId="1BD23564">
      <w:pPr>
        <w:spacing w:after="0" w:line="500" w:lineRule="exact"/>
        <w:ind w:firstLine="560" w:firstLineChars="200"/>
        <w:rPr>
          <w:rFonts w:ascii="Times New Roman" w:hAnsi="Times New Roman" w:eastAsia="宋体" w:cs="Times New Roman"/>
          <w:color w:val="auto"/>
          <w:kern w:val="0"/>
          <w:sz w:val="28"/>
          <w:szCs w:val="28"/>
          <w:lang w:bidi="ar"/>
        </w:rPr>
      </w:pPr>
      <w:r>
        <w:rPr>
          <w:rFonts w:ascii="Times New Roman" w:hAnsi="Times New Roman" w:eastAsia="宋体" w:cs="Times New Roman"/>
          <w:color w:val="auto"/>
          <w:kern w:val="0"/>
          <w:sz w:val="28"/>
          <w:szCs w:val="28"/>
          <w:lang w:bidi="ar"/>
        </w:rPr>
        <w:t xml:space="preserve">3.3.2 </w:t>
      </w:r>
      <w:r>
        <w:rPr>
          <w:rFonts w:hint="eastAsia" w:ascii="Times New Roman" w:hAnsi="Times New Roman" w:eastAsia="宋体" w:cs="宋体"/>
          <w:color w:val="auto"/>
          <w:kern w:val="0"/>
          <w:sz w:val="28"/>
          <w:szCs w:val="28"/>
          <w:lang w:bidi="ar"/>
        </w:rPr>
        <w:t>澄清、说明或补正不得超出投标文件的范围且不得改变投标文件的实质性内容，并构成投标文件的组成部分。</w:t>
      </w:r>
      <w:r>
        <w:rPr>
          <w:rFonts w:ascii="Times New Roman" w:hAnsi="Times New Roman" w:eastAsia="宋体" w:cs="Times New Roman"/>
          <w:color w:val="auto"/>
          <w:kern w:val="0"/>
          <w:sz w:val="28"/>
          <w:szCs w:val="28"/>
          <w:lang w:bidi="ar"/>
        </w:rPr>
        <w:t xml:space="preserve"> </w:t>
      </w:r>
    </w:p>
    <w:p w14:paraId="6A56F12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3.3.3 </w:t>
      </w:r>
      <w:r>
        <w:rPr>
          <w:rFonts w:hint="eastAsia" w:ascii="Times New Roman" w:hAnsi="Times New Roman" w:eastAsia="宋体" w:cs="宋体"/>
          <w:color w:val="auto"/>
          <w:kern w:val="0"/>
          <w:sz w:val="28"/>
          <w:szCs w:val="28"/>
          <w:lang w:bidi="ar"/>
        </w:rPr>
        <w:t>评标委员会对投标人提交的澄清、说明或补正有疑问的，可以要求投标人进一步澄清、说明或补正，直至满足评标委员会的要求。</w:t>
      </w:r>
      <w:r>
        <w:rPr>
          <w:rFonts w:ascii="Times New Roman" w:hAnsi="Times New Roman" w:eastAsia="宋体" w:cs="Times New Roman"/>
          <w:color w:val="auto"/>
          <w:kern w:val="0"/>
          <w:sz w:val="28"/>
          <w:szCs w:val="28"/>
          <w:lang w:bidi="ar"/>
        </w:rPr>
        <w:t xml:space="preserve"> </w:t>
      </w:r>
    </w:p>
    <w:p w14:paraId="246F3FDD">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3.4 </w:t>
      </w:r>
      <w:r>
        <w:rPr>
          <w:rFonts w:hint="eastAsia" w:ascii="Times New Roman" w:hAnsi="Times New Roman" w:eastAsia="宋体" w:cs="黑体"/>
          <w:color w:val="auto"/>
          <w:kern w:val="0"/>
          <w:sz w:val="28"/>
          <w:szCs w:val="28"/>
          <w:lang w:bidi="ar"/>
        </w:rPr>
        <w:t>评标结果</w:t>
      </w:r>
      <w:r>
        <w:rPr>
          <w:rFonts w:ascii="Times New Roman" w:hAnsi="Times New Roman" w:eastAsia="宋体" w:cs="Times New Roman"/>
          <w:color w:val="auto"/>
          <w:kern w:val="0"/>
          <w:sz w:val="28"/>
          <w:szCs w:val="28"/>
          <w:lang w:bidi="ar"/>
        </w:rPr>
        <w:t xml:space="preserve"> </w:t>
      </w:r>
    </w:p>
    <w:p w14:paraId="5AF1C611">
      <w:pPr>
        <w:spacing w:after="0" w:line="500" w:lineRule="exact"/>
        <w:ind w:firstLine="560" w:firstLineChars="200"/>
        <w:rPr>
          <w:rFonts w:ascii="Times New Roman" w:hAnsi="Times New Roman" w:eastAsia="宋体" w:cs="宋体"/>
          <w:color w:val="auto"/>
          <w:kern w:val="0"/>
          <w:sz w:val="28"/>
          <w:szCs w:val="28"/>
          <w:lang w:bidi="ar"/>
        </w:rPr>
      </w:pPr>
      <w:r>
        <w:rPr>
          <w:rFonts w:ascii="Times New Roman" w:hAnsi="Times New Roman" w:eastAsia="宋体" w:cs="Times New Roman"/>
          <w:color w:val="auto"/>
          <w:kern w:val="0"/>
          <w:sz w:val="28"/>
          <w:szCs w:val="28"/>
          <w:lang w:bidi="ar"/>
        </w:rPr>
        <w:t xml:space="preserve">3.4.1 </w:t>
      </w:r>
      <w:r>
        <w:rPr>
          <w:rFonts w:hint="eastAsia" w:ascii="Times New Roman" w:hAnsi="Times New Roman" w:eastAsia="宋体" w:cs="宋体"/>
          <w:color w:val="auto"/>
          <w:kern w:val="0"/>
          <w:sz w:val="28"/>
          <w:szCs w:val="28"/>
          <w:lang w:bidi="ar"/>
        </w:rPr>
        <w:t>除第二章</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投标人须知</w:t>
      </w:r>
      <w:r>
        <w:rPr>
          <w:rFonts w:ascii="Times New Roman" w:hAnsi="Times New Roman" w:eastAsia="宋体" w:cs="Times New Roman"/>
          <w:color w:val="auto"/>
          <w:kern w:val="0"/>
          <w:sz w:val="28"/>
          <w:szCs w:val="28"/>
          <w:lang w:bidi="ar"/>
        </w:rPr>
        <w:t>”</w:t>
      </w:r>
      <w:r>
        <w:rPr>
          <w:rFonts w:hint="eastAsia" w:ascii="Times New Roman" w:hAnsi="Times New Roman" w:eastAsia="宋体" w:cs="宋体"/>
          <w:color w:val="auto"/>
          <w:kern w:val="0"/>
          <w:sz w:val="28"/>
          <w:szCs w:val="28"/>
          <w:lang w:bidi="ar"/>
        </w:rPr>
        <w:t>前附表授权直接确定中标人外，评标委员会按照得分由高到低的顺序推荐中标候选人，并标明排序。</w:t>
      </w:r>
    </w:p>
    <w:p w14:paraId="084870A4">
      <w:pPr>
        <w:spacing w:after="0" w:line="500" w:lineRule="exact"/>
        <w:ind w:firstLine="560" w:firstLineChars="200"/>
        <w:rPr>
          <w:rFonts w:ascii="Times New Roman" w:hAnsi="Times New Roman" w:eastAsia="宋体"/>
          <w:color w:val="auto"/>
          <w:sz w:val="28"/>
          <w:szCs w:val="28"/>
        </w:rPr>
      </w:pPr>
      <w:r>
        <w:rPr>
          <w:rFonts w:ascii="Times New Roman" w:hAnsi="Times New Roman" w:eastAsia="宋体" w:cs="Times New Roman"/>
          <w:color w:val="auto"/>
          <w:kern w:val="0"/>
          <w:sz w:val="28"/>
          <w:szCs w:val="28"/>
          <w:lang w:bidi="ar"/>
        </w:rPr>
        <w:t xml:space="preserve"> 3.4.2 </w:t>
      </w:r>
      <w:r>
        <w:rPr>
          <w:rFonts w:hint="eastAsia" w:ascii="Times New Roman" w:hAnsi="Times New Roman" w:eastAsia="宋体" w:cs="宋体"/>
          <w:color w:val="auto"/>
          <w:kern w:val="0"/>
          <w:sz w:val="28"/>
          <w:szCs w:val="28"/>
          <w:lang w:bidi="ar"/>
        </w:rPr>
        <w:t>评标委员会完成评标后，应当向招标人提交书面评标报告和中标候选人名单。</w:t>
      </w:r>
    </w:p>
    <w:bookmarkEnd w:id="255"/>
    <w:bookmarkEnd w:id="256"/>
    <w:p w14:paraId="5E15FDB9">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p>
    <w:p w14:paraId="0CB37A40">
      <w:pPr>
        <w:widowControl w:val="0"/>
        <w:adjustRightInd w:val="0"/>
        <w:snapToGrid w:val="0"/>
        <w:spacing w:after="0" w:line="490" w:lineRule="exact"/>
        <w:ind w:firstLine="560" w:firstLineChars="200"/>
        <w:jc w:val="both"/>
        <w:rPr>
          <w:rFonts w:ascii="Times New Roman" w:hAnsi="Times New Roman" w:eastAsia="宋体" w:cs="宋体"/>
          <w:color w:val="auto"/>
          <w:sz w:val="28"/>
          <w:szCs w:val="28"/>
        </w:rPr>
      </w:pPr>
    </w:p>
    <w:p w14:paraId="5C65AD22">
      <w:pPr>
        <w:widowControl w:val="0"/>
        <w:adjustRightInd w:val="0"/>
        <w:snapToGrid w:val="0"/>
        <w:spacing w:after="0" w:line="560" w:lineRule="exact"/>
        <w:ind w:firstLine="560" w:firstLineChars="200"/>
        <w:rPr>
          <w:rFonts w:ascii="Times New Roman" w:hAnsi="Times New Roman" w:eastAsia="宋体" w:cs="宋体"/>
          <w:color w:val="auto"/>
          <w:sz w:val="21"/>
          <w:szCs w:val="21"/>
        </w:rPr>
      </w:pPr>
      <w:r>
        <w:rPr>
          <w:rFonts w:hint="eastAsia" w:ascii="Times New Roman" w:hAnsi="Times New Roman" w:eastAsia="宋体" w:cs="宋体"/>
          <w:color w:val="auto"/>
          <w:sz w:val="28"/>
          <w:szCs w:val="28"/>
        </w:rPr>
        <w:br w:type="page"/>
      </w:r>
      <w:bookmarkStart w:id="259" w:name="_Toc11850"/>
    </w:p>
    <w:bookmarkEnd w:id="259"/>
    <w:p w14:paraId="43AFE0EB">
      <w:pPr>
        <w:pStyle w:val="2"/>
        <w:keepNext w:val="0"/>
        <w:keepLines w:val="0"/>
        <w:widowControl w:val="0"/>
        <w:adjustRightInd w:val="0"/>
        <w:snapToGrid w:val="0"/>
        <w:spacing w:after="0" w:line="490" w:lineRule="exact"/>
        <w:ind w:left="0" w:right="0"/>
        <w:rPr>
          <w:rFonts w:ascii="Times New Roman" w:hAnsi="Times New Roman" w:eastAsia="宋体" w:cs="宋体"/>
          <w:b/>
          <w:bCs/>
          <w:color w:val="auto"/>
          <w:sz w:val="36"/>
          <w:szCs w:val="44"/>
        </w:rPr>
      </w:pPr>
      <w:bookmarkStart w:id="260" w:name="_Toc29395"/>
      <w:bookmarkStart w:id="261" w:name="_Toc19495"/>
      <w:bookmarkStart w:id="262" w:name="_Toc11471"/>
      <w:bookmarkStart w:id="263" w:name="_Toc24742"/>
      <w:bookmarkStart w:id="264" w:name="_Toc225"/>
      <w:bookmarkStart w:id="265" w:name="_Toc3644"/>
      <w:bookmarkStart w:id="266" w:name="_Toc56792776"/>
      <w:r>
        <w:rPr>
          <w:rFonts w:hint="eastAsia" w:ascii="Times New Roman" w:hAnsi="Times New Roman" w:eastAsia="宋体" w:cs="宋体"/>
          <w:b/>
          <w:bCs/>
          <w:color w:val="auto"/>
          <w:sz w:val="36"/>
          <w:szCs w:val="44"/>
        </w:rPr>
        <w:t>第四章  合同条款及格式</w:t>
      </w:r>
      <w:bookmarkEnd w:id="260"/>
      <w:bookmarkEnd w:id="261"/>
      <w:bookmarkEnd w:id="262"/>
      <w:bookmarkEnd w:id="263"/>
      <w:bookmarkEnd w:id="264"/>
      <w:bookmarkEnd w:id="265"/>
      <w:bookmarkEnd w:id="266"/>
    </w:p>
    <w:p w14:paraId="4D5482F8">
      <w:pPr>
        <w:pStyle w:val="3"/>
        <w:jc w:val="center"/>
      </w:pPr>
      <w:bookmarkStart w:id="267" w:name="_Toc25075"/>
      <w:bookmarkStart w:id="268" w:name="_Toc9937"/>
      <w:bookmarkStart w:id="269" w:name="_Toc20379"/>
      <w:bookmarkStart w:id="270" w:name="_Toc11971"/>
      <w:bookmarkStart w:id="271" w:name="_Toc25649"/>
      <w:bookmarkStart w:id="272" w:name="_Toc32111"/>
      <w:bookmarkStart w:id="273" w:name="_Toc56792777"/>
      <w:r>
        <w:rPr>
          <w:rFonts w:hint="eastAsia"/>
        </w:rPr>
        <w:t>（以实际签订的合同为准）</w:t>
      </w:r>
      <w:bookmarkEnd w:id="267"/>
    </w:p>
    <w:p w14:paraId="3E3137A4">
      <w:pPr>
        <w:pStyle w:val="3"/>
        <w:jc w:val="center"/>
      </w:pPr>
      <w:bookmarkStart w:id="274" w:name="_Toc24376"/>
      <w:r>
        <w:rPr>
          <w:rFonts w:hint="eastAsia"/>
        </w:rPr>
        <w:t>第一节 通用合同条款</w:t>
      </w:r>
      <w:bookmarkEnd w:id="268"/>
      <w:bookmarkEnd w:id="269"/>
      <w:bookmarkEnd w:id="270"/>
      <w:bookmarkEnd w:id="271"/>
      <w:bookmarkEnd w:id="272"/>
      <w:bookmarkEnd w:id="273"/>
      <w:bookmarkEnd w:id="274"/>
    </w:p>
    <w:p w14:paraId="0130565D">
      <w:pPr>
        <w:pStyle w:val="3"/>
        <w:keepNext w:val="0"/>
        <w:keepLines w:val="0"/>
        <w:widowControl w:val="0"/>
        <w:adjustRightInd w:val="0"/>
        <w:snapToGrid w:val="0"/>
        <w:spacing w:line="470" w:lineRule="exact"/>
        <w:ind w:left="0" w:right="0" w:firstLine="482" w:firstLineChars="200"/>
        <w:jc w:val="both"/>
        <w:rPr>
          <w:rFonts w:ascii="Times New Roman" w:hAnsi="Times New Roman" w:cs="宋体"/>
          <w:bCs/>
          <w:color w:val="auto"/>
          <w:sz w:val="24"/>
          <w:szCs w:val="24"/>
        </w:rPr>
      </w:pPr>
      <w:bookmarkStart w:id="275" w:name="_Toc12514"/>
      <w:bookmarkStart w:id="276" w:name="_Toc56792778"/>
      <w:bookmarkStart w:id="277" w:name="_Toc21861"/>
      <w:bookmarkStart w:id="278" w:name="_Toc24810"/>
      <w:bookmarkStart w:id="279" w:name="_Toc40275002"/>
      <w:bookmarkStart w:id="280" w:name="_Toc31189"/>
      <w:bookmarkStart w:id="281" w:name="_Toc31291"/>
      <w:bookmarkStart w:id="282" w:name="_Toc22340"/>
      <w:bookmarkStart w:id="283" w:name="_Toc38436701"/>
      <w:bookmarkStart w:id="284" w:name="_Toc38478258"/>
      <w:r>
        <w:rPr>
          <w:rFonts w:hint="eastAsia" w:ascii="Times New Roman" w:hAnsi="Times New Roman" w:cs="宋体"/>
          <w:bCs/>
          <w:color w:val="auto"/>
          <w:sz w:val="24"/>
          <w:szCs w:val="24"/>
        </w:rPr>
        <w:t>1.一般约定</w:t>
      </w:r>
      <w:bookmarkEnd w:id="275"/>
      <w:bookmarkEnd w:id="276"/>
      <w:bookmarkEnd w:id="277"/>
      <w:bookmarkEnd w:id="278"/>
      <w:bookmarkEnd w:id="279"/>
      <w:bookmarkEnd w:id="280"/>
      <w:bookmarkEnd w:id="281"/>
      <w:bookmarkEnd w:id="282"/>
      <w:bookmarkEnd w:id="283"/>
      <w:bookmarkEnd w:id="284"/>
      <w:r>
        <w:rPr>
          <w:rFonts w:hint="eastAsia" w:ascii="Times New Roman" w:hAnsi="Times New Roman" w:cs="宋体"/>
          <w:bCs/>
          <w:color w:val="auto"/>
          <w:sz w:val="24"/>
          <w:szCs w:val="24"/>
        </w:rPr>
        <w:t xml:space="preserve"> </w:t>
      </w:r>
    </w:p>
    <w:p w14:paraId="366DE1B6">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5" w:name="_Toc21230"/>
      <w:r>
        <w:rPr>
          <w:rFonts w:hint="eastAsia" w:ascii="Times New Roman" w:hAnsi="Times New Roman" w:eastAsia="宋体" w:cs="宋体"/>
          <w:b/>
          <w:bCs/>
          <w:color w:val="auto"/>
          <w:sz w:val="24"/>
          <w:szCs w:val="24"/>
        </w:rPr>
        <w:t>1.1 词语定义</w:t>
      </w:r>
      <w:bookmarkEnd w:id="285"/>
      <w:r>
        <w:rPr>
          <w:rFonts w:hint="eastAsia" w:ascii="Times New Roman" w:hAnsi="Times New Roman" w:eastAsia="宋体" w:cs="宋体"/>
          <w:b/>
          <w:bCs/>
          <w:color w:val="auto"/>
          <w:sz w:val="24"/>
          <w:szCs w:val="24"/>
        </w:rPr>
        <w:t xml:space="preserve"> </w:t>
      </w:r>
    </w:p>
    <w:p w14:paraId="3078D83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除专用合同条款另有约定外，合同中的下列词语应具有本款所赋予的含义。</w:t>
      </w:r>
    </w:p>
    <w:p w14:paraId="270C684A">
      <w:pPr>
        <w:widowControl w:val="0"/>
        <w:adjustRightInd w:val="0"/>
        <w:snapToGrid w:val="0"/>
        <w:spacing w:after="0" w:line="470" w:lineRule="exact"/>
        <w:ind w:firstLine="482" w:firstLineChars="200"/>
        <w:jc w:val="both"/>
        <w:rPr>
          <w:rFonts w:ascii="Times New Roman" w:hAnsi="Times New Roman" w:eastAsia="宋体" w:cs="宋体"/>
          <w:color w:val="auto"/>
          <w:sz w:val="24"/>
          <w:szCs w:val="24"/>
        </w:rPr>
      </w:pPr>
      <w:r>
        <w:rPr>
          <w:rFonts w:hint="eastAsia" w:ascii="Times New Roman" w:hAnsi="Times New Roman" w:eastAsia="宋体" w:cs="宋体"/>
          <w:b/>
          <w:color w:val="auto"/>
          <w:sz w:val="24"/>
          <w:szCs w:val="24"/>
        </w:rPr>
        <w:t xml:space="preserve">1.1.1 </w:t>
      </w:r>
      <w:r>
        <w:rPr>
          <w:rFonts w:hint="eastAsia" w:ascii="Times New Roman" w:hAnsi="Times New Roman" w:eastAsia="宋体" w:cs="宋体"/>
          <w:color w:val="auto"/>
          <w:sz w:val="24"/>
          <w:szCs w:val="24"/>
        </w:rPr>
        <w:t>合同</w:t>
      </w:r>
      <w:r>
        <w:rPr>
          <w:rFonts w:hint="eastAsia" w:ascii="Times New Roman" w:hAnsi="Times New Roman" w:eastAsia="宋体" w:cs="宋体"/>
          <w:b/>
          <w:color w:val="auto"/>
          <w:sz w:val="24"/>
          <w:szCs w:val="24"/>
        </w:rPr>
        <w:t xml:space="preserve"> </w:t>
      </w:r>
    </w:p>
    <w:p w14:paraId="2209A75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 合同文件（或称合同）：指合同协议书、中标通知书、投标函、商务和技术偏差表、专用合同条款、通用合同条款、供货要求、分项报价表、中标设备技术性能指标的详细描述、技术服务和质保期服务计划，以及其他构成合同组成部分的文件。</w:t>
      </w:r>
    </w:p>
    <w:p w14:paraId="676580E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1.1.1.2 合同协议书：指买方和卖方共同签署的合同协议书。</w:t>
      </w:r>
    </w:p>
    <w:p w14:paraId="3C0E347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 中标通知书：指买方通知卖方中标的函件。</w:t>
      </w:r>
    </w:p>
    <w:p w14:paraId="0800B02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 投标函：指由卖方填写并签署的，名为“投标函”的函件。</w:t>
      </w:r>
    </w:p>
    <w:p w14:paraId="1D735F2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1.1.1.5 商务和技术偏差表：指卖方投标文件中的商务和技术偏差表。</w:t>
      </w:r>
    </w:p>
    <w:p w14:paraId="6E1531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1.1.1.6 供货要求：指合同文件中名为“供货要求”的文件。</w:t>
      </w:r>
    </w:p>
    <w:p w14:paraId="3E2B3E7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1.1.1.7 中标设备技术性能指标的详细描述：指卖方投标文件中的投标设备技术性能指标的详细描述。</w:t>
      </w:r>
    </w:p>
    <w:p w14:paraId="1C08B58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1.1.1.8 技术服务和质保期服务计划：指卖方投标文件中的技术服务和质保期服务计划。</w:t>
      </w:r>
    </w:p>
    <w:p w14:paraId="1527A78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1.1.1.9 分项报价表：指卖方投标文件中的分项报价表。</w:t>
      </w:r>
    </w:p>
    <w:p w14:paraId="2D537A9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1.1.1.10 其他合同文件：指经合同双方当事人确认构成合同文件的其他文件。</w:t>
      </w:r>
    </w:p>
    <w:p w14:paraId="7693507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1.1.2 合同当事人 </w:t>
      </w:r>
    </w:p>
    <w:p w14:paraId="0C83D6D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1.1.2.1 合同当事人：指买方和（或）卖方。</w:t>
      </w:r>
    </w:p>
    <w:p w14:paraId="38D6446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1.1.2.2 买方：指与卖方签订合同协议书，购买合同设备和技术服务和质保期服务的当事人，及其合法继承人。</w:t>
      </w:r>
    </w:p>
    <w:p w14:paraId="0F0A3F9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1.1.2.3 卖方：指与买方签订合同协议书，提供合同设备和技术服务和质保期服务的当事人，及其合法继承人。</w:t>
      </w:r>
    </w:p>
    <w:p w14:paraId="173745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1.1.3 合同价格 </w:t>
      </w:r>
    </w:p>
    <w:p w14:paraId="3E84366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1.1.3.1 签约合同价：是签订合同时合同协议书中写明的合同总金额。</w:t>
      </w:r>
    </w:p>
    <w:p w14:paraId="7128CCA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1.1.3.2 合同价格：指卖方按合同约定履行了全部合同义务后，买方应付给卖方的金额。</w:t>
      </w:r>
    </w:p>
    <w:p w14:paraId="454154A7">
      <w:pPr>
        <w:widowControl w:val="0"/>
        <w:tabs>
          <w:tab w:val="left" w:pos="0"/>
        </w:tabs>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合同设备：指卖方按合同约定应向买方提供的设备、装置、备品、备件、易损易耗件、配套使用的软件或其他辅助电子应用程序及技术资料，或其中任何一部分。</w:t>
      </w:r>
    </w:p>
    <w:p w14:paraId="765966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1.1.5 技术资料：指各种纸质及电子载体的与合同设备的设计、检验、安装、调试、考核、操作、维修以及保养等有关的技术指标、规格、图纸和说明文件。</w:t>
      </w:r>
    </w:p>
    <w:p w14:paraId="5ECD9CC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1.1.6 安装：指对合同设备进行的组装、连接以及根据需要将合同设备固定在施工场地内一定的位置上，使其就位并与相关设备、工程实现连接。</w:t>
      </w:r>
    </w:p>
    <w:p w14:paraId="1103AD9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1.1.7 调试：指在合同设备安装完成后，对合同设备所进行的调校和测试。</w:t>
      </w:r>
    </w:p>
    <w:p w14:paraId="5527885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1.1.8 考核：指在合同设备调试完成后，对合同设备进行的用于确定其是否达到合同约定的技术性能考核指标的考核。</w:t>
      </w:r>
    </w:p>
    <w:p w14:paraId="68A76A6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1.1.9 验收：指合同设备通过考核达到合同约定的技术性能考核指标后，买方作出接收合同设备的确认。</w:t>
      </w:r>
    </w:p>
    <w:p w14:paraId="79AA76C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1.1.10 技术服务：指卖方按合同约定，在合同设备验收前，向买方提供的安装、调试服务，或者在由买方负责的安装、调试、考核中对买方进行的技术指导、协助、监督和培训等。</w:t>
      </w:r>
    </w:p>
    <w:p w14:paraId="1B9B2CA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1.1.11 质量保证期：指合同设备验收后，卖方按合同约定保证合同设备适当、稳定运行，并负责消除合同设备故障的期限。</w:t>
      </w:r>
    </w:p>
    <w:p w14:paraId="2B0BAD8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1.1.12 质保期服务：指在质量保证期内，卖方向买方提供的合同设备维护服务、咨询服务、技术指导、协助以及对出现故障的合同设备进行修理或更换的服务。</w:t>
      </w:r>
    </w:p>
    <w:p w14:paraId="7A0BC3E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1.1.13 工程 </w:t>
      </w:r>
    </w:p>
    <w:p w14:paraId="3066EB1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1.1.13.1 工程：指在专用合同条款中指明的，安装运行合同设备的工程。</w:t>
      </w:r>
    </w:p>
    <w:p w14:paraId="7756263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1.1.13.2 施工场地（或称工地、施工现场）：指专用合同条款中指明的工程所在场所。</w:t>
      </w:r>
    </w:p>
    <w:p w14:paraId="3F055A7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1.1.14 天（或称日）：除特别指明外，指日历天。合同中按天计算时间的，开始当天不计入，从次日开始计算。合同约定的期间的最后一天是星期日或者其他法定休假日的，以休假日的次日为期间的最后一天。</w:t>
      </w:r>
    </w:p>
    <w:p w14:paraId="4B6D119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1.1.15 月：按照公历月计算。合同中按月计算时间的，开始当天不计入，从次日开始计算。合同约定的期间的最后一天是星期日或者其他法定休假日的，以休假日的次日为期间的最后一天。</w:t>
      </w:r>
    </w:p>
    <w:p w14:paraId="324910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1.1.16 书面形式：指合同文件、信件和数据电文（包括电报、电传、传真、电子数据交换和电子邮件）等可以有形地表现所载内容的形式。</w:t>
      </w:r>
    </w:p>
    <w:p w14:paraId="380B946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6" w:name="_Toc13291"/>
      <w:r>
        <w:rPr>
          <w:rFonts w:hint="eastAsia" w:ascii="Times New Roman" w:hAnsi="Times New Roman" w:eastAsia="宋体" w:cs="宋体"/>
          <w:b/>
          <w:bCs/>
          <w:color w:val="auto"/>
          <w:sz w:val="24"/>
          <w:szCs w:val="24"/>
        </w:rPr>
        <w:t>1.2 语言文字</w:t>
      </w:r>
      <w:bookmarkEnd w:id="286"/>
      <w:r>
        <w:rPr>
          <w:rFonts w:hint="eastAsia" w:ascii="Times New Roman" w:hAnsi="Times New Roman" w:eastAsia="宋体" w:cs="宋体"/>
          <w:b/>
          <w:bCs/>
          <w:color w:val="auto"/>
          <w:sz w:val="24"/>
          <w:szCs w:val="24"/>
        </w:rPr>
        <w:t xml:space="preserve"> </w:t>
      </w:r>
    </w:p>
    <w:p w14:paraId="2F494EA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合同使用的语言文字为中文。专用术语使用外文的，应附有中文注释。</w:t>
      </w:r>
    </w:p>
    <w:p w14:paraId="2A5BDDC0">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7" w:name="_Toc14986"/>
      <w:r>
        <w:rPr>
          <w:rFonts w:hint="eastAsia" w:ascii="Times New Roman" w:hAnsi="Times New Roman" w:eastAsia="宋体" w:cs="宋体"/>
          <w:b/>
          <w:bCs/>
          <w:color w:val="auto"/>
          <w:sz w:val="24"/>
          <w:szCs w:val="24"/>
        </w:rPr>
        <w:t>1.3 合同文件的优先顺序</w:t>
      </w:r>
      <w:bookmarkEnd w:id="287"/>
      <w:r>
        <w:rPr>
          <w:rFonts w:hint="eastAsia" w:ascii="Times New Roman" w:hAnsi="Times New Roman" w:eastAsia="宋体" w:cs="宋体"/>
          <w:b/>
          <w:bCs/>
          <w:color w:val="auto"/>
          <w:sz w:val="24"/>
          <w:szCs w:val="24"/>
        </w:rPr>
        <w:t xml:space="preserve"> </w:t>
      </w:r>
    </w:p>
    <w:p w14:paraId="2156CA3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组成合同的各项文件应互相解释，互为说明。除专用合同条款另有约定外，解释合同文件的优先顺序如下： </w:t>
      </w:r>
    </w:p>
    <w:p w14:paraId="19998EE8">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合同协议书； </w:t>
      </w:r>
    </w:p>
    <w:p w14:paraId="330C20B7">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中标通知书； </w:t>
      </w:r>
    </w:p>
    <w:p w14:paraId="734FDC6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投标函； </w:t>
      </w:r>
    </w:p>
    <w:p w14:paraId="59C83A88">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商务和技术偏差表； </w:t>
      </w:r>
    </w:p>
    <w:p w14:paraId="717A53D6">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专用合同条款； </w:t>
      </w:r>
    </w:p>
    <w:p w14:paraId="7CEF302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通用合同条款； </w:t>
      </w:r>
    </w:p>
    <w:p w14:paraId="7F181CD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供货要求； </w:t>
      </w:r>
    </w:p>
    <w:p w14:paraId="5B18477D">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分项报价表； </w:t>
      </w:r>
    </w:p>
    <w:p w14:paraId="4D7B7454">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中标设备技术性能指标的详细描述； </w:t>
      </w:r>
    </w:p>
    <w:p w14:paraId="142AA644">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技术服务和质保期服务计划； </w:t>
      </w:r>
    </w:p>
    <w:p w14:paraId="433939D2">
      <w:pPr>
        <w:widowControl w:val="0"/>
        <w:numPr>
          <w:ilvl w:val="0"/>
          <w:numId w:val="5"/>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其他合同文件。</w:t>
      </w:r>
    </w:p>
    <w:p w14:paraId="056C1332">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8" w:name="_Toc7836"/>
      <w:r>
        <w:rPr>
          <w:rFonts w:hint="eastAsia" w:ascii="Times New Roman" w:hAnsi="Times New Roman" w:eastAsia="宋体" w:cs="宋体"/>
          <w:b/>
          <w:bCs/>
          <w:color w:val="auto"/>
          <w:sz w:val="24"/>
          <w:szCs w:val="24"/>
        </w:rPr>
        <w:t>1.4 合同的生效及变更</w:t>
      </w:r>
      <w:bookmarkEnd w:id="288"/>
      <w:r>
        <w:rPr>
          <w:rFonts w:hint="eastAsia" w:ascii="Times New Roman" w:hAnsi="Times New Roman" w:eastAsia="宋体" w:cs="宋体"/>
          <w:b/>
          <w:bCs/>
          <w:color w:val="auto"/>
          <w:sz w:val="24"/>
          <w:szCs w:val="24"/>
        </w:rPr>
        <w:t xml:space="preserve"> </w:t>
      </w:r>
    </w:p>
    <w:p w14:paraId="1E2919D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除专用合同条款另有约定外，买方和卖方的法定代表人（单位负责人）或其授权代表在合同协议书上签字并加盖单位章后，合同生效。</w:t>
      </w:r>
    </w:p>
    <w:p w14:paraId="29D11B2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除专用合同条款另有约定外，在合同履行过程中，如需对合同进行变更，双方应签订书面协议，并经双方法定代表人（单位负责人）或其授权代表签字并加盖单位章后生效。</w:t>
      </w:r>
    </w:p>
    <w:p w14:paraId="560C97E4">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89" w:name="_Toc27784"/>
      <w:r>
        <w:rPr>
          <w:rFonts w:hint="eastAsia" w:ascii="Times New Roman" w:hAnsi="Times New Roman" w:eastAsia="宋体" w:cs="宋体"/>
          <w:b/>
          <w:bCs/>
          <w:color w:val="auto"/>
          <w:sz w:val="24"/>
          <w:szCs w:val="24"/>
        </w:rPr>
        <w:t>1.5 联络</w:t>
      </w:r>
      <w:bookmarkEnd w:id="289"/>
      <w:r>
        <w:rPr>
          <w:rFonts w:hint="eastAsia" w:ascii="Times New Roman" w:hAnsi="Times New Roman" w:eastAsia="宋体" w:cs="宋体"/>
          <w:b/>
          <w:bCs/>
          <w:color w:val="auto"/>
          <w:sz w:val="24"/>
          <w:szCs w:val="24"/>
        </w:rPr>
        <w:t xml:space="preserve"> </w:t>
      </w:r>
    </w:p>
    <w:p w14:paraId="3C2BDA0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1.5.1 买卖双方应就合同履行中有关的事项及时进行联络，重要事项应通过书面形式进行联络或确认。合同履行过程中的任何联络及相关文件的签署，均应通过专用合同条款指定的联系人和联系方式进行。合同履行过程中，双方可以书面形式增加或变更指定联系人。</w:t>
      </w:r>
    </w:p>
    <w:p w14:paraId="7958DE7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1.5.2 合同履行中或与合同有关的任何联络，送达到第 1.5.1 项指定的联系人即视为送达。</w:t>
      </w:r>
    </w:p>
    <w:p w14:paraId="615C635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1.5.3 买方可以安排监理等相关人员作为买方人员，与卖方进行联络或参加合同设备的监造（如有）、交货前检验（如有）、开箱检验、安装、调试、考核、验收等，但应按照第 1.5.1 项的约定事先书面通知卖方。</w:t>
      </w:r>
    </w:p>
    <w:p w14:paraId="305BB2E2">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90" w:name="_Toc11921"/>
      <w:r>
        <w:rPr>
          <w:rFonts w:hint="eastAsia" w:ascii="Times New Roman" w:hAnsi="Times New Roman" w:eastAsia="宋体" w:cs="宋体"/>
          <w:b/>
          <w:bCs/>
          <w:color w:val="auto"/>
          <w:sz w:val="24"/>
          <w:szCs w:val="24"/>
        </w:rPr>
        <w:t>1.6 联合体</w:t>
      </w:r>
      <w:bookmarkEnd w:id="290"/>
      <w:r>
        <w:rPr>
          <w:rFonts w:hint="eastAsia" w:ascii="Times New Roman" w:hAnsi="Times New Roman" w:eastAsia="宋体" w:cs="宋体"/>
          <w:b/>
          <w:bCs/>
          <w:color w:val="auto"/>
          <w:sz w:val="24"/>
          <w:szCs w:val="24"/>
        </w:rPr>
        <w:t xml:space="preserve"> </w:t>
      </w:r>
    </w:p>
    <w:p w14:paraId="48EA5D5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卖方为联合体的，联合体各方应当共同与买方签订合同，并向买方为履行合同承担连带责任。</w:t>
      </w:r>
    </w:p>
    <w:p w14:paraId="620CD41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1.6.2 在合同履行过程中，未经买方同意，不得修改联合体协议。联合体协议中关于联合体成员间权利义务的划分，并不影响或减损联合体各方应就履行合同向买方承担的连带责任。</w:t>
      </w:r>
    </w:p>
    <w:p w14:paraId="213224C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联合体牵头人代表联合体与买方联系，并接受指示，负责组织联合体各成员全面履行合同。除非专用合同条款另有约定，牵头人在履行合同中的所有行为均视为已获得联合体各方的授权。买方可将合同价款全部支付给牵头人并视为其已适当履行了付款义务。如牵头人的行为将构成对合同内容的变更，则牵头人须事先获得联合体各方的特别授权。</w:t>
      </w:r>
    </w:p>
    <w:p w14:paraId="1BB950F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291" w:name="_Toc22140"/>
      <w:r>
        <w:rPr>
          <w:rFonts w:hint="eastAsia" w:ascii="Times New Roman" w:hAnsi="Times New Roman" w:eastAsia="宋体" w:cs="宋体"/>
          <w:b/>
          <w:bCs/>
          <w:color w:val="auto"/>
          <w:sz w:val="24"/>
          <w:szCs w:val="24"/>
        </w:rPr>
        <w:t>1.7 转让</w:t>
      </w:r>
      <w:bookmarkEnd w:id="291"/>
    </w:p>
    <w:p w14:paraId="2F62E9F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未经对方当事人书面同意，合同任何一方均不得转让其在合同项下的权利和（或）义务。</w:t>
      </w:r>
    </w:p>
    <w:p w14:paraId="00B5ABD4">
      <w:pPr>
        <w:pStyle w:val="3"/>
        <w:keepNext w:val="0"/>
        <w:keepLines w:val="0"/>
        <w:widowControl w:val="0"/>
        <w:adjustRightInd w:val="0"/>
        <w:snapToGrid w:val="0"/>
        <w:spacing w:line="470" w:lineRule="exact"/>
        <w:ind w:left="0" w:right="0" w:firstLine="482" w:firstLineChars="200"/>
        <w:jc w:val="both"/>
        <w:rPr>
          <w:rFonts w:ascii="Times New Roman" w:hAnsi="Times New Roman" w:cs="宋体"/>
          <w:bCs/>
          <w:color w:val="auto"/>
          <w:sz w:val="24"/>
          <w:szCs w:val="24"/>
        </w:rPr>
      </w:pPr>
      <w:bookmarkStart w:id="292" w:name="_Toc31492"/>
      <w:bookmarkStart w:id="293" w:name="_Toc40275003"/>
      <w:bookmarkStart w:id="294" w:name="_Toc56792779"/>
      <w:bookmarkStart w:id="295" w:name="_Toc7807"/>
      <w:bookmarkStart w:id="296" w:name="_Toc528"/>
      <w:bookmarkStart w:id="297" w:name="_Toc15268"/>
      <w:bookmarkStart w:id="298" w:name="_Toc87"/>
      <w:bookmarkStart w:id="299" w:name="_Toc19808"/>
      <w:bookmarkStart w:id="300" w:name="_Toc38436702"/>
      <w:bookmarkStart w:id="301" w:name="_Toc38478259"/>
      <w:r>
        <w:rPr>
          <w:rFonts w:hint="eastAsia" w:ascii="Times New Roman" w:hAnsi="Times New Roman" w:cs="宋体"/>
          <w:bCs/>
          <w:color w:val="auto"/>
          <w:sz w:val="24"/>
          <w:szCs w:val="24"/>
        </w:rPr>
        <w:t>2.合同范围</w:t>
      </w:r>
      <w:bookmarkEnd w:id="292"/>
      <w:bookmarkEnd w:id="293"/>
      <w:bookmarkEnd w:id="294"/>
      <w:bookmarkEnd w:id="295"/>
      <w:bookmarkEnd w:id="296"/>
      <w:bookmarkEnd w:id="297"/>
      <w:bookmarkEnd w:id="298"/>
      <w:bookmarkEnd w:id="299"/>
      <w:bookmarkEnd w:id="300"/>
      <w:bookmarkEnd w:id="301"/>
      <w:r>
        <w:rPr>
          <w:rFonts w:hint="eastAsia" w:ascii="Times New Roman" w:hAnsi="Times New Roman" w:cs="宋体"/>
          <w:bCs/>
          <w:color w:val="auto"/>
          <w:sz w:val="24"/>
          <w:szCs w:val="24"/>
        </w:rPr>
        <w:t xml:space="preserve"> </w:t>
      </w:r>
    </w:p>
    <w:p w14:paraId="548D9F5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卖方应根据供货要求、中标设备技术性能指标的详细描述、技术服务和质保期服务计划等合同文件的约定向买方提供合同设备、技术服务和质保期服务。</w:t>
      </w:r>
    </w:p>
    <w:p w14:paraId="582760DE">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02" w:name="_Toc2465"/>
      <w:bookmarkStart w:id="303" w:name="_Toc38478260"/>
      <w:bookmarkStart w:id="304" w:name="_Toc40275004"/>
      <w:bookmarkStart w:id="305" w:name="_Toc38436703"/>
      <w:bookmarkStart w:id="306" w:name="_Toc21566"/>
      <w:bookmarkStart w:id="307" w:name="_Toc28960"/>
      <w:bookmarkStart w:id="308" w:name="_Toc6885"/>
      <w:bookmarkStart w:id="309" w:name="_Toc56792780"/>
      <w:bookmarkStart w:id="310" w:name="_Toc20530"/>
      <w:bookmarkStart w:id="311" w:name="_Toc18472"/>
      <w:r>
        <w:rPr>
          <w:rFonts w:hint="eastAsia" w:ascii="Times New Roman" w:hAnsi="Times New Roman" w:cs="宋体"/>
          <w:b w:val="0"/>
          <w:color w:val="auto"/>
          <w:sz w:val="24"/>
          <w:szCs w:val="24"/>
        </w:rPr>
        <w:t>3.合同价格与支付</w:t>
      </w:r>
      <w:bookmarkEnd w:id="302"/>
      <w:bookmarkEnd w:id="303"/>
      <w:bookmarkEnd w:id="304"/>
      <w:bookmarkEnd w:id="305"/>
      <w:bookmarkEnd w:id="306"/>
      <w:bookmarkEnd w:id="307"/>
      <w:bookmarkEnd w:id="308"/>
      <w:bookmarkEnd w:id="309"/>
      <w:bookmarkEnd w:id="310"/>
      <w:bookmarkEnd w:id="311"/>
      <w:r>
        <w:rPr>
          <w:rFonts w:hint="eastAsia" w:ascii="Times New Roman" w:hAnsi="Times New Roman" w:cs="宋体"/>
          <w:b w:val="0"/>
          <w:color w:val="auto"/>
          <w:sz w:val="24"/>
          <w:szCs w:val="24"/>
        </w:rPr>
        <w:t xml:space="preserve"> </w:t>
      </w:r>
    </w:p>
    <w:p w14:paraId="79BBFEC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12" w:name="_Toc19466"/>
      <w:r>
        <w:rPr>
          <w:rFonts w:hint="eastAsia" w:ascii="Times New Roman" w:hAnsi="Times New Roman" w:eastAsia="宋体" w:cs="宋体"/>
          <w:b/>
          <w:bCs/>
          <w:color w:val="auto"/>
          <w:sz w:val="24"/>
          <w:szCs w:val="24"/>
        </w:rPr>
        <w:t>3.1 合同价格</w:t>
      </w:r>
      <w:bookmarkEnd w:id="312"/>
      <w:r>
        <w:rPr>
          <w:rFonts w:hint="eastAsia" w:ascii="Times New Roman" w:hAnsi="Times New Roman" w:eastAsia="宋体" w:cs="宋体"/>
          <w:b/>
          <w:bCs/>
          <w:color w:val="auto"/>
          <w:sz w:val="24"/>
          <w:szCs w:val="24"/>
        </w:rPr>
        <w:t xml:space="preserve"> </w:t>
      </w:r>
    </w:p>
    <w:p w14:paraId="3C2A529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3.1.1 合同协议书中载明的签约合同价包括卖方为完成合同全部义务应承担的一切成本、费用和支出以及卖方的合理利润。</w:t>
      </w:r>
    </w:p>
    <w:p w14:paraId="3EAE4DB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3.1.2 除专用合同条款另有约定外，签约合同价为固定价格。</w:t>
      </w:r>
    </w:p>
    <w:p w14:paraId="3FE8DC98">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13" w:name="_Toc6816"/>
      <w:r>
        <w:rPr>
          <w:rFonts w:hint="eastAsia" w:ascii="Times New Roman" w:hAnsi="Times New Roman" w:eastAsia="宋体" w:cs="宋体"/>
          <w:b/>
          <w:bCs/>
          <w:color w:val="auto"/>
          <w:sz w:val="24"/>
          <w:szCs w:val="24"/>
        </w:rPr>
        <w:t>3.2 合同价款的支付</w:t>
      </w:r>
      <w:bookmarkEnd w:id="313"/>
      <w:r>
        <w:rPr>
          <w:rFonts w:hint="eastAsia" w:ascii="Times New Roman" w:hAnsi="Times New Roman" w:eastAsia="宋体" w:cs="宋体"/>
          <w:b/>
          <w:bCs/>
          <w:color w:val="auto"/>
          <w:sz w:val="24"/>
          <w:szCs w:val="24"/>
        </w:rPr>
        <w:t xml:space="preserve"> </w:t>
      </w:r>
    </w:p>
    <w:p w14:paraId="63638F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bookmarkStart w:id="314" w:name="_Toc7039"/>
      <w:r>
        <w:rPr>
          <w:rFonts w:hint="eastAsia" w:ascii="Times New Roman" w:hAnsi="Times New Roman" w:eastAsia="宋体" w:cs="宋体"/>
          <w:color w:val="auto"/>
          <w:sz w:val="24"/>
          <w:szCs w:val="24"/>
        </w:rPr>
        <w:t>供货商向业主提供预付款保函后，业主支付硬件设备款的40%，硬件设备到场安装；硬、软件设备完成安装调试后，支付至设备款的70%；设备正常运行半年后，支付至设备款的90%；设备正常运行一年且质量保修期满后一次性付清；设备款包含安装费，由供货商负责。</w:t>
      </w:r>
    </w:p>
    <w:p w14:paraId="7D7206C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rPr>
        <w:t>3.3 买方扣款的权利</w:t>
      </w:r>
      <w:bookmarkEnd w:id="314"/>
      <w:r>
        <w:rPr>
          <w:rFonts w:hint="eastAsia" w:ascii="Times New Roman" w:hAnsi="Times New Roman" w:eastAsia="宋体" w:cs="宋体"/>
          <w:b/>
          <w:bCs/>
          <w:color w:val="auto"/>
          <w:sz w:val="24"/>
          <w:szCs w:val="24"/>
        </w:rPr>
        <w:t xml:space="preserve"> </w:t>
      </w:r>
    </w:p>
    <w:p w14:paraId="1A7A21D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当卖方应向买方支付合同项下的违约金或赔偿金时，买方有权从上述任何一笔应付款中予以直接扣除和（或）兑付履约保证金。</w:t>
      </w:r>
    </w:p>
    <w:p w14:paraId="5A6FDA3D">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15" w:name="_Toc23277"/>
      <w:bookmarkStart w:id="316" w:name="_Toc38436704"/>
      <w:bookmarkStart w:id="317" w:name="_Toc17767"/>
      <w:bookmarkStart w:id="318" w:name="_Toc12817"/>
      <w:bookmarkStart w:id="319" w:name="_Toc9331"/>
      <w:bookmarkStart w:id="320" w:name="_Toc19604"/>
      <w:bookmarkStart w:id="321" w:name="_Toc24163"/>
      <w:bookmarkStart w:id="322" w:name="_Toc38478261"/>
      <w:bookmarkStart w:id="323" w:name="_Toc56792781"/>
      <w:bookmarkStart w:id="324" w:name="_Toc40275005"/>
      <w:r>
        <w:rPr>
          <w:rFonts w:hint="eastAsia" w:ascii="Times New Roman" w:hAnsi="Times New Roman" w:cs="宋体"/>
          <w:b w:val="0"/>
          <w:color w:val="auto"/>
          <w:sz w:val="24"/>
          <w:szCs w:val="24"/>
        </w:rPr>
        <w:t>4.监造及交货前检验</w:t>
      </w:r>
      <w:bookmarkEnd w:id="315"/>
      <w:bookmarkEnd w:id="316"/>
      <w:bookmarkEnd w:id="317"/>
      <w:bookmarkEnd w:id="318"/>
      <w:bookmarkEnd w:id="319"/>
      <w:bookmarkEnd w:id="320"/>
      <w:bookmarkEnd w:id="321"/>
      <w:bookmarkEnd w:id="322"/>
      <w:bookmarkEnd w:id="323"/>
      <w:bookmarkEnd w:id="324"/>
      <w:r>
        <w:rPr>
          <w:rFonts w:hint="eastAsia" w:ascii="Times New Roman" w:hAnsi="Times New Roman" w:cs="宋体"/>
          <w:b w:val="0"/>
          <w:color w:val="auto"/>
          <w:sz w:val="24"/>
          <w:szCs w:val="24"/>
        </w:rPr>
        <w:t xml:space="preserve"> </w:t>
      </w:r>
    </w:p>
    <w:p w14:paraId="1014406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25" w:name="_Toc32432"/>
      <w:r>
        <w:rPr>
          <w:rFonts w:hint="eastAsia" w:ascii="Times New Roman" w:hAnsi="Times New Roman" w:eastAsia="宋体" w:cs="宋体"/>
          <w:b/>
          <w:bCs/>
          <w:color w:val="auto"/>
          <w:sz w:val="24"/>
          <w:szCs w:val="24"/>
        </w:rPr>
        <w:t>4.1 监造</w:t>
      </w:r>
      <w:bookmarkEnd w:id="325"/>
      <w:r>
        <w:rPr>
          <w:rFonts w:hint="eastAsia" w:ascii="Times New Roman" w:hAnsi="Times New Roman" w:eastAsia="宋体" w:cs="宋体"/>
          <w:b/>
          <w:bCs/>
          <w:color w:val="auto"/>
          <w:sz w:val="24"/>
          <w:szCs w:val="24"/>
        </w:rPr>
        <w:t xml:space="preserve"> </w:t>
      </w:r>
    </w:p>
    <w:p w14:paraId="73F7C55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专用合同条款约定买方对合同设备进行监造的，双方应按本款及专用合同条款约定履行。</w:t>
      </w:r>
    </w:p>
    <w:p w14:paraId="035AD2E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 在合同设备的制造过程中，买方可派出监造人员，对合同设备的生产制造进行监造，监督合同设备制造、检验等情况。监造的范围、方式等应符合专用合同条款和（或）供货要求等合同文件的约定。</w:t>
      </w:r>
    </w:p>
    <w:p w14:paraId="4E5AC8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4.1.2 除专用合同条款和（或）供货要求等合同文件另有约定外，买方监造人员可到合同设备及其关键部件的生产制造现场进行监造，卖方应予配合。卖方应免费为买方监造人员提供工作条件及便利，包括但不限于必要的办公场所、技术资料、检测工具及出入许可等。除专用合同条款另有约定外，买方监造人员的交通、食宿费用由买方承担。</w:t>
      </w:r>
    </w:p>
    <w:p w14:paraId="0BB7BC8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4.1.3 卖方制订生产制造合同设备的进度计划时，应将买方监造纳入计划安排，并提前通知买方；买方进行监造不应影响合同设备的正常生产。除专用合同条款和（或）供货要求等合同文件另有约定外，卖方应提前 7 日将需要买方监造人员现场监造事项通知买方；如买方监造人员未按通知出席，不影响合同设备及其关键部件的制造或检验，但买方监造人员有权事后了解、查阅、复制相关制造或检验记录。</w:t>
      </w:r>
    </w:p>
    <w:p w14:paraId="22C7A18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4.1.4 买方监造人员在监造中如发现合同设备及其关键部件不符合合同约定的标准，则有权提出意见和建议。卖方应采取必要措施消除合同设备的不符，由此增加的费用和（或）造成的延误由卖方负责。</w:t>
      </w:r>
    </w:p>
    <w:p w14:paraId="5F8C1A1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4.1.5 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14:paraId="1CD10B91">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26" w:name="_Toc13494"/>
      <w:r>
        <w:rPr>
          <w:rFonts w:hint="eastAsia" w:ascii="Times New Roman" w:hAnsi="Times New Roman" w:eastAsia="宋体" w:cs="宋体"/>
          <w:b/>
          <w:bCs/>
          <w:color w:val="auto"/>
          <w:sz w:val="24"/>
          <w:szCs w:val="24"/>
        </w:rPr>
        <w:t>4.2 交货前检验</w:t>
      </w:r>
      <w:bookmarkEnd w:id="326"/>
      <w:r>
        <w:rPr>
          <w:rFonts w:hint="eastAsia" w:ascii="Times New Roman" w:hAnsi="Times New Roman" w:eastAsia="宋体" w:cs="宋体"/>
          <w:b/>
          <w:bCs/>
          <w:color w:val="auto"/>
          <w:sz w:val="24"/>
          <w:szCs w:val="24"/>
        </w:rPr>
        <w:t xml:space="preserve"> </w:t>
      </w:r>
    </w:p>
    <w:p w14:paraId="1AB58A2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专用合同条款约定买方参与交货前检验的，双方应按本款及专用合同条款约定履行。</w:t>
      </w:r>
    </w:p>
    <w:p w14:paraId="4181B0C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 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专用合同条款另有约定外，买方代表的交通、食宿费用由买方承担。</w:t>
      </w:r>
    </w:p>
    <w:p w14:paraId="27681F2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4.2.2 除专用合同条款和（或）供货要求等合同文件另有约定外，卖方应提前 7 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14:paraId="608113D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4.2.3 买方代表在检验中如发现合同设备不符合合同约定的标准，则有权提出异议。卖方应采取必要措施消除合同设备的不符，由此增加的费用和（或）造成的延误由卖方负责。</w:t>
      </w:r>
    </w:p>
    <w:p w14:paraId="52E2B05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4.2.4 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14:paraId="5D93CAE7">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27" w:name="_Toc56792782"/>
      <w:bookmarkStart w:id="328" w:name="_Toc6247"/>
      <w:bookmarkStart w:id="329" w:name="_Toc10768"/>
      <w:bookmarkStart w:id="330" w:name="_Toc40275006"/>
      <w:bookmarkStart w:id="331" w:name="_Toc12694"/>
      <w:bookmarkStart w:id="332" w:name="_Toc26202"/>
      <w:bookmarkStart w:id="333" w:name="_Toc3837"/>
      <w:bookmarkStart w:id="334" w:name="_Toc38436705"/>
      <w:bookmarkStart w:id="335" w:name="_Toc38478262"/>
      <w:bookmarkStart w:id="336" w:name="_Toc28232"/>
      <w:r>
        <w:rPr>
          <w:rFonts w:hint="eastAsia" w:ascii="Times New Roman" w:hAnsi="Times New Roman" w:cs="宋体"/>
          <w:b w:val="0"/>
          <w:color w:val="auto"/>
          <w:sz w:val="24"/>
          <w:szCs w:val="24"/>
        </w:rPr>
        <w:t>5.包装、标记、运输和交付</w:t>
      </w:r>
      <w:bookmarkEnd w:id="327"/>
      <w:bookmarkEnd w:id="328"/>
      <w:bookmarkEnd w:id="329"/>
      <w:bookmarkEnd w:id="330"/>
      <w:bookmarkEnd w:id="331"/>
      <w:bookmarkEnd w:id="332"/>
      <w:bookmarkEnd w:id="333"/>
      <w:bookmarkEnd w:id="334"/>
      <w:bookmarkEnd w:id="335"/>
      <w:bookmarkEnd w:id="336"/>
      <w:r>
        <w:rPr>
          <w:rFonts w:hint="eastAsia" w:ascii="Times New Roman" w:hAnsi="Times New Roman" w:cs="宋体"/>
          <w:b w:val="0"/>
          <w:color w:val="auto"/>
          <w:sz w:val="24"/>
          <w:szCs w:val="24"/>
        </w:rPr>
        <w:t xml:space="preserve"> </w:t>
      </w:r>
    </w:p>
    <w:p w14:paraId="09DBDCD5">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7" w:name="_Toc24312"/>
      <w:r>
        <w:rPr>
          <w:rFonts w:hint="eastAsia" w:ascii="Times New Roman" w:hAnsi="Times New Roman" w:eastAsia="宋体" w:cs="宋体"/>
          <w:b/>
          <w:bCs/>
          <w:color w:val="auto"/>
          <w:sz w:val="24"/>
          <w:szCs w:val="24"/>
        </w:rPr>
        <w:t>5.1 包装</w:t>
      </w:r>
      <w:bookmarkEnd w:id="337"/>
      <w:r>
        <w:rPr>
          <w:rFonts w:hint="eastAsia" w:ascii="Times New Roman" w:hAnsi="Times New Roman" w:eastAsia="宋体" w:cs="宋体"/>
          <w:b/>
          <w:bCs/>
          <w:color w:val="auto"/>
          <w:sz w:val="24"/>
          <w:szCs w:val="24"/>
        </w:rPr>
        <w:t xml:space="preserve"> </w:t>
      </w:r>
    </w:p>
    <w:p w14:paraId="52B393D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5.1.1 卖方应对合同设备进行妥善包装，以满足合同设备运至施工场地及在施工场地保管的需要。包装应采取防潮、防晒、防锈、防腐蚀、防震动及防止其他损坏的必要保护措施，从而保护合同设备能够经受多次搬运、装卸、长途运输并适宜保管。</w:t>
      </w:r>
    </w:p>
    <w:p w14:paraId="4E3BB5B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5.1.2 每个独立包装箱内应附装箱清单、质量合格证、装配图、说明书、操作指南等资料。</w:t>
      </w:r>
    </w:p>
    <w:p w14:paraId="63B6E4B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5.1.3 除专用合同条款另有约定外，买方无需将包装物退还给卖方。</w:t>
      </w:r>
    </w:p>
    <w:p w14:paraId="7A70A235">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8" w:name="_Toc28042"/>
      <w:r>
        <w:rPr>
          <w:rFonts w:hint="eastAsia" w:ascii="Times New Roman" w:hAnsi="Times New Roman" w:eastAsia="宋体" w:cs="宋体"/>
          <w:b/>
          <w:bCs/>
          <w:color w:val="auto"/>
          <w:sz w:val="24"/>
          <w:szCs w:val="24"/>
        </w:rPr>
        <w:t>5.2 标记</w:t>
      </w:r>
      <w:bookmarkEnd w:id="338"/>
      <w:r>
        <w:rPr>
          <w:rFonts w:hint="eastAsia" w:ascii="Times New Roman" w:hAnsi="Times New Roman" w:eastAsia="宋体" w:cs="宋体"/>
          <w:b/>
          <w:bCs/>
          <w:color w:val="auto"/>
          <w:sz w:val="24"/>
          <w:szCs w:val="24"/>
        </w:rPr>
        <w:t xml:space="preserve"> </w:t>
      </w:r>
    </w:p>
    <w:p w14:paraId="4E0BBCC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5.2.1 除专用合同条款另有约定外，卖方应在每一包装箱相邻的四个侧面以不可擦除的、明显的方式标记必要的装运信息和标记，以满足合同设备运输和保管的需要。</w:t>
      </w:r>
    </w:p>
    <w:p w14:paraId="3355B29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5.2.2 根据合同设备的特点和运输、保管的不同要求，卖方应在包装箱上清楚地标注“小心轻放”、“此端朝上，请勿倒置”、“保持干燥”等字样和其他适当标记。对于专用合同条款约定的超大超重件，卖方应在包装箱两侧标注“重心”和“起吊点”以便装卸和搬运。如果发运合同设备中含有易燃易爆物品、腐蚀物品、放射性物质等危险品，则应在包装箱上标明危险品标志。</w:t>
      </w:r>
    </w:p>
    <w:p w14:paraId="79B17A09">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39" w:name="_Toc13688"/>
      <w:r>
        <w:rPr>
          <w:rFonts w:hint="eastAsia" w:ascii="Times New Roman" w:hAnsi="Times New Roman" w:eastAsia="宋体" w:cs="宋体"/>
          <w:b/>
          <w:bCs/>
          <w:color w:val="auto"/>
          <w:sz w:val="24"/>
          <w:szCs w:val="24"/>
        </w:rPr>
        <w:t>5.3 运输</w:t>
      </w:r>
      <w:bookmarkEnd w:id="339"/>
      <w:r>
        <w:rPr>
          <w:rFonts w:hint="eastAsia" w:ascii="Times New Roman" w:hAnsi="Times New Roman" w:eastAsia="宋体" w:cs="宋体"/>
          <w:b/>
          <w:bCs/>
          <w:color w:val="auto"/>
          <w:sz w:val="24"/>
          <w:szCs w:val="24"/>
        </w:rPr>
        <w:t xml:space="preserve"> </w:t>
      </w:r>
    </w:p>
    <w:p w14:paraId="28A39F0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5.3.1 卖方应自行选择适宜的运输工具及线路安排合同设备运输。</w:t>
      </w:r>
    </w:p>
    <w:p w14:paraId="2818E82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5.3.2 除专用合同条款另有约定外，每件能够独立运行的设备应整套装运。该设备安装、调试、考核和运行所使用的备品、备件、易损易耗件等应随相关的主机一齐装运。</w:t>
      </w:r>
    </w:p>
    <w:p w14:paraId="5E8FB9E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5.3.3 除专用合同条款另有约定外，卖方应在合同设备预计启运 7 日前，将合同设备名称、</w:t>
      </w:r>
    </w:p>
    <w:p w14:paraId="4ADB853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数量、箱数、总毛重、总体积（用 m3 表示）、每箱尺寸（长×宽×高）、装运合同设备总金额、运输方式、预计交付日期和合同设备在运输、装卸、保管中的注意事项等预通知买方，并在合同设备启运后 24 小时之内正式通知买方。</w:t>
      </w:r>
    </w:p>
    <w:p w14:paraId="6291A46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5.3.4 卖方在根据第 5.3.3 项进行通知时，如果发运合同设备中包括专用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p>
    <w:p w14:paraId="085E04ED">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40" w:name="_Toc29551"/>
      <w:r>
        <w:rPr>
          <w:rFonts w:hint="eastAsia" w:ascii="Times New Roman" w:hAnsi="Times New Roman" w:eastAsia="宋体" w:cs="宋体"/>
          <w:b/>
          <w:bCs/>
          <w:color w:val="auto"/>
          <w:sz w:val="24"/>
          <w:szCs w:val="24"/>
        </w:rPr>
        <w:t>5.4 交付</w:t>
      </w:r>
      <w:bookmarkEnd w:id="340"/>
      <w:r>
        <w:rPr>
          <w:rFonts w:hint="eastAsia" w:ascii="Times New Roman" w:hAnsi="Times New Roman" w:eastAsia="宋体" w:cs="宋体"/>
          <w:b/>
          <w:bCs/>
          <w:color w:val="auto"/>
          <w:sz w:val="24"/>
          <w:szCs w:val="24"/>
        </w:rPr>
        <w:t xml:space="preserve"> </w:t>
      </w:r>
    </w:p>
    <w:p w14:paraId="19EFC05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5.4.1 除专用合同条款另有约定外，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14:paraId="1DB2344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5.4.2 合同设备的所有权和风险自交付时起由卖方转移至买方，合同设备交付给买方之前包括运输在内的所有风险均由卖方承担。</w:t>
      </w:r>
    </w:p>
    <w:p w14:paraId="588B5E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5.4.3 除专用合同条款另有约定外，买方如果发现技术资料存在短缺和（或）损坏，卖方应在收到买方的通知后 7 日内免费补齐短缺和（或）损坏的部分。如果买方发现卖方提供的技术资料有误，卖方应在收到买方通知后 7 日内免费替换。如由于买方原因导致技术资料丢失和（或）损坏，卖方应在收到买方的通知后 7 日内补齐丢失和（或）损坏的部分，但买方应向卖方支付合理的复制、邮寄费用。</w:t>
      </w:r>
    </w:p>
    <w:p w14:paraId="75A235A2">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41" w:name="_Toc14167"/>
      <w:bookmarkStart w:id="342" w:name="_Toc7524"/>
      <w:bookmarkStart w:id="343" w:name="_Toc26163"/>
      <w:bookmarkStart w:id="344" w:name="_Toc38478263"/>
      <w:bookmarkStart w:id="345" w:name="_Toc29962"/>
      <w:bookmarkStart w:id="346" w:name="_Toc40275007"/>
      <w:bookmarkStart w:id="347" w:name="_Toc56792783"/>
      <w:bookmarkStart w:id="348" w:name="_Toc38436706"/>
      <w:bookmarkStart w:id="349" w:name="_Toc358"/>
      <w:bookmarkStart w:id="350" w:name="_Toc23210"/>
      <w:r>
        <w:rPr>
          <w:rFonts w:hint="eastAsia" w:ascii="Times New Roman" w:hAnsi="Times New Roman" w:cs="宋体"/>
          <w:b w:val="0"/>
          <w:color w:val="auto"/>
          <w:sz w:val="24"/>
          <w:szCs w:val="24"/>
        </w:rPr>
        <w:t>6.开箱检验、安装、调试、考核、验收</w:t>
      </w:r>
      <w:bookmarkEnd w:id="341"/>
      <w:bookmarkEnd w:id="342"/>
      <w:bookmarkEnd w:id="343"/>
      <w:bookmarkEnd w:id="344"/>
      <w:bookmarkEnd w:id="345"/>
      <w:bookmarkEnd w:id="346"/>
      <w:bookmarkEnd w:id="347"/>
      <w:bookmarkEnd w:id="348"/>
      <w:bookmarkEnd w:id="349"/>
      <w:bookmarkEnd w:id="350"/>
      <w:r>
        <w:rPr>
          <w:rFonts w:hint="eastAsia" w:ascii="Times New Roman" w:hAnsi="Times New Roman" w:cs="宋体"/>
          <w:b w:val="0"/>
          <w:color w:val="auto"/>
          <w:sz w:val="24"/>
          <w:szCs w:val="24"/>
        </w:rPr>
        <w:t xml:space="preserve"> </w:t>
      </w:r>
    </w:p>
    <w:p w14:paraId="6AF08FEB">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1" w:name="_Toc32287"/>
      <w:r>
        <w:rPr>
          <w:rFonts w:hint="eastAsia" w:ascii="Times New Roman" w:hAnsi="Times New Roman" w:eastAsia="宋体" w:cs="宋体"/>
          <w:b/>
          <w:bCs/>
          <w:color w:val="auto"/>
          <w:sz w:val="24"/>
          <w:szCs w:val="24"/>
        </w:rPr>
        <w:t>6.1 开箱检验</w:t>
      </w:r>
      <w:bookmarkEnd w:id="351"/>
      <w:r>
        <w:rPr>
          <w:rFonts w:hint="eastAsia" w:ascii="Times New Roman" w:hAnsi="Times New Roman" w:eastAsia="宋体" w:cs="宋体"/>
          <w:b/>
          <w:bCs/>
          <w:color w:val="auto"/>
          <w:sz w:val="24"/>
          <w:szCs w:val="24"/>
        </w:rPr>
        <w:t xml:space="preserve"> </w:t>
      </w:r>
    </w:p>
    <w:p w14:paraId="29CE252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6.1.1 合同设备交付后应进行开箱检验，即合同设备数量及外观检验。开箱检验在专用合同条款约定的下列任一种时间进行： </w:t>
      </w:r>
    </w:p>
    <w:p w14:paraId="64752475">
      <w:pPr>
        <w:widowControl w:val="0"/>
        <w:numPr>
          <w:ilvl w:val="0"/>
          <w:numId w:val="6"/>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合同设备交付时； </w:t>
      </w:r>
    </w:p>
    <w:p w14:paraId="7D049908">
      <w:pPr>
        <w:widowControl w:val="0"/>
        <w:numPr>
          <w:ilvl w:val="0"/>
          <w:numId w:val="6"/>
        </w:numPr>
        <w:adjustRightInd w:val="0"/>
        <w:snapToGrid w:val="0"/>
        <w:spacing w:after="0" w:line="470" w:lineRule="exact"/>
        <w:ind w:left="0"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合同设备交付后的一定期限内。</w:t>
      </w:r>
    </w:p>
    <w:p w14:paraId="346FC3C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如开箱检验不在合同设备交付时进行，买方应在开箱检验 3 日前将开箱检验的时间和地点通知卖方。</w:t>
      </w:r>
    </w:p>
    <w:p w14:paraId="3EB5F36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6.1.2 除专用合同条款另有约定外，合同设备的开箱检验应在施工场地进行。</w:t>
      </w:r>
    </w:p>
    <w:p w14:paraId="6548391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6.1.3 开箱检验由买卖双方共同进行，卖方应自负费用派遣代表到场参加开箱检验。</w:t>
      </w:r>
    </w:p>
    <w:p w14:paraId="1EC2424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6.1.4 在开箱检验中，买方和卖方应共同签署数量、外观检验报告，报告应列明检验结果，包括检验合格或发现的任何短缺、损坏或其他与合同约定不符的情形。</w:t>
      </w:r>
    </w:p>
    <w:p w14:paraId="1D75765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6.1.5 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14:paraId="3E4A75B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6.1.6 如开箱检验不在合同设备交付时进行，则合同设备交付以后到开箱检验之前，应由买方负责按交货时外包装原样对合同设备进行妥善保管。除专用合同条款另有约定外，在开箱检验时如果合同设备外包装与交货时一致，则开箱检验中发现的合同设备的短缺、损坏或其他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他与合同约定不符的情形的风险，由买方承担，但买方能够证明是由于卖方原因或合同设备交付前非买方原因导致的除外。</w:t>
      </w:r>
    </w:p>
    <w:p w14:paraId="49930CED">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6.1.7 如双方在专用合同条款和（或）供货要求等合同文件中约定由第三方检测机构对合同设备进行开箱检验或在开箱检验过程中另行约定由第三方检验的，则第三方检测机构的检验结果对双方均具有约束力。</w:t>
      </w:r>
    </w:p>
    <w:p w14:paraId="2963CE5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6.1.8 开箱检验的检验结果不能对抗在合同设备的安装、调试、考核、验收中及质量保证期内发现的合同设备质量问题，也不能免除或影响卖方依照合同约定对买方负有的包括合同设备质量在内的任何义务或责任。</w:t>
      </w:r>
    </w:p>
    <w:p w14:paraId="74EEDAAE">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2" w:name="_Toc17185"/>
      <w:r>
        <w:rPr>
          <w:rFonts w:hint="eastAsia" w:ascii="Times New Roman" w:hAnsi="Times New Roman" w:eastAsia="宋体" w:cs="宋体"/>
          <w:b/>
          <w:bCs/>
          <w:color w:val="auto"/>
          <w:sz w:val="24"/>
          <w:szCs w:val="24"/>
        </w:rPr>
        <w:t>6.2 安装、调试</w:t>
      </w:r>
      <w:bookmarkEnd w:id="352"/>
      <w:r>
        <w:rPr>
          <w:rFonts w:hint="eastAsia" w:ascii="Times New Roman" w:hAnsi="Times New Roman" w:eastAsia="宋体" w:cs="宋体"/>
          <w:b/>
          <w:bCs/>
          <w:color w:val="auto"/>
          <w:sz w:val="24"/>
          <w:szCs w:val="24"/>
        </w:rPr>
        <w:t xml:space="preserve"> </w:t>
      </w:r>
    </w:p>
    <w:p w14:paraId="0A483C9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6.2.1 开箱检验完成后，双方应对合同设备进行安装、调试，以使其具备考核的状态。安装、调试应按照专用合同条款约定的下列任一种方式进行： </w:t>
      </w:r>
    </w:p>
    <w:p w14:paraId="104894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（1）卖方按照合同约定完成合同设备的安装、调试工作； </w:t>
      </w:r>
    </w:p>
    <w:p w14:paraId="4B765FD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（2）买方或买方安排第三方负责合同设备的安装、调试工作，卖方提供技术服务。</w:t>
      </w:r>
    </w:p>
    <w:p w14:paraId="1748D8A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14:paraId="60ABAAE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6.2.2 除专用合同条款另有约定外，安装、调试中合同设备运行需要的用水、用电、其他动力和原材料（如需要）等均由买方承担。</w:t>
      </w:r>
    </w:p>
    <w:p w14:paraId="34C8108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6.2.3 双方应对合同设备的安装、调试情况共同及时进行记录。</w:t>
      </w:r>
    </w:p>
    <w:p w14:paraId="7A2FA046">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3" w:name="_Toc30074"/>
      <w:r>
        <w:rPr>
          <w:rFonts w:hint="eastAsia" w:ascii="Times New Roman" w:hAnsi="Times New Roman" w:eastAsia="宋体" w:cs="宋体"/>
          <w:b/>
          <w:bCs/>
          <w:color w:val="auto"/>
          <w:sz w:val="24"/>
          <w:szCs w:val="24"/>
        </w:rPr>
        <w:t>6.3 考核</w:t>
      </w:r>
      <w:bookmarkEnd w:id="353"/>
      <w:r>
        <w:rPr>
          <w:rFonts w:hint="eastAsia" w:ascii="Times New Roman" w:hAnsi="Times New Roman" w:eastAsia="宋体" w:cs="宋体"/>
          <w:b/>
          <w:bCs/>
          <w:color w:val="auto"/>
          <w:sz w:val="24"/>
          <w:szCs w:val="24"/>
        </w:rPr>
        <w:t xml:space="preserve"> </w:t>
      </w:r>
    </w:p>
    <w:p w14:paraId="1024A05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6.3.1 安装、调试完成后，双方应对合同设备进行考核，以确定合同设备是否达到合同约定的技术性能考核指标。除专用合同条款另有约定外，考核中合同设备运行需要的用水、用电、其他动力和原材料（如需要）等均由买方承担。</w:t>
      </w:r>
    </w:p>
    <w:p w14:paraId="68279CF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6.3.2 如由于卖方原因合同设备在考核中未能达到合同约定的技术性能考核指标，则卖方应在双方同意的期限内采取措施消除合同设备中存在的缺陷，并在缺陷消除以后，尽快进行再次考核。</w:t>
      </w:r>
    </w:p>
    <w:p w14:paraId="52BCAF0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6.3.3 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14:paraId="2B9290F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6.3.4 如由于买方原因合同设备在考核中未能达到合同约定的技术性能考核指标，则卖方应协助买方安排再次考核。由于买方原因未能达到技术性能考核指标时，为买方进行考核的机会不超过三次。</w:t>
      </w:r>
    </w:p>
    <w:p w14:paraId="30CFC77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6.3.5 考核期间，双方应及时共同记录合同设备的用水、用电、其他动力和原材料（如有）的使用及设备考核情况。对于未达到技术性能考核指标的，应如实记录设备表现、可能原因及处理情况等。</w:t>
      </w:r>
    </w:p>
    <w:p w14:paraId="2E231BFC">
      <w:pPr>
        <w:pStyle w:val="4"/>
        <w:keepNext w:val="0"/>
        <w:keepLines w:val="0"/>
        <w:widowControl w:val="0"/>
        <w:adjustRightInd w:val="0"/>
        <w:snapToGrid w:val="0"/>
        <w:spacing w:after="0" w:line="470" w:lineRule="exact"/>
        <w:ind w:left="0" w:right="0" w:firstLine="482" w:firstLineChars="200"/>
        <w:jc w:val="both"/>
        <w:rPr>
          <w:rFonts w:ascii="Times New Roman" w:hAnsi="Times New Roman" w:eastAsia="宋体" w:cs="宋体"/>
          <w:b/>
          <w:bCs/>
          <w:color w:val="auto"/>
          <w:sz w:val="24"/>
          <w:szCs w:val="24"/>
        </w:rPr>
      </w:pPr>
      <w:bookmarkStart w:id="354" w:name="_Toc9030"/>
      <w:r>
        <w:rPr>
          <w:rFonts w:hint="eastAsia" w:ascii="Times New Roman" w:hAnsi="Times New Roman" w:eastAsia="宋体" w:cs="宋体"/>
          <w:b/>
          <w:bCs/>
          <w:color w:val="auto"/>
          <w:sz w:val="24"/>
          <w:szCs w:val="24"/>
        </w:rPr>
        <w:t>6.4 验收</w:t>
      </w:r>
      <w:bookmarkEnd w:id="354"/>
      <w:r>
        <w:rPr>
          <w:rFonts w:hint="eastAsia" w:ascii="Times New Roman" w:hAnsi="Times New Roman" w:eastAsia="宋体" w:cs="宋体"/>
          <w:b/>
          <w:bCs/>
          <w:color w:val="auto"/>
          <w:sz w:val="24"/>
          <w:szCs w:val="24"/>
        </w:rPr>
        <w:t xml:space="preserve"> </w:t>
      </w:r>
    </w:p>
    <w:p w14:paraId="13F5558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6.4.1 如合同设备在考核中达到或视为达到技术性能考核指标，则买卖双方应在考核完成后7 日内或专用合同条款另行约定的时间内签署合同设备验收证书一式二份，双方各持一份。验收日期应为合同设备达到或视为达到技术性能考核指标的日期。</w:t>
      </w:r>
    </w:p>
    <w:p w14:paraId="45DF2B1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6.4.2 如由于买方原因合同设备在三次考核中均未能达到技术性能考核指标，买卖双方应在考核结束后 7 日内或专用合同条款另行约定的时间内签署验收款支付函。</w:t>
      </w:r>
    </w:p>
    <w:p w14:paraId="1D8494F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除专用合同条款另有约定外，卖方有义务在验收款支付函签署后 12 个月内应买方要求提供相关技术服务，协助买方采取一切必要措施使合同设备达到技术性能考核指标。买方应承担卖方因此产生的全部费用。</w:t>
      </w:r>
    </w:p>
    <w:p w14:paraId="025323B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在上述 12 个月的期限内，如合同设备经过考核达到或视为达到技术性能考核指标，则买卖双方应按照第 6.4.1 项的约定签署合同设备验收证书。</w:t>
      </w:r>
    </w:p>
    <w:p w14:paraId="4A8D08F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6.4.3 除专用合同条款另有约定外，如由于买方原因在最后一批合同设备交货后 6 个月内未能开始考核，则买卖双方应在上述期限届满后 7 日内或专用合同条款另行约定的时间内签署验收款支付函。</w:t>
      </w:r>
    </w:p>
    <w:p w14:paraId="1F9E4A3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除专用合同条款另有约定外，卖方有义务在验收款支付函签署后 6 个月内应买方要求提供不超出合同范围的技术服务，协助买方采取一切必要措施使合同设备达到技术性能考核指标，且买方无需因此向卖方支付费用。</w:t>
      </w:r>
    </w:p>
    <w:p w14:paraId="169135C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在上述6个月的期限内，如合同设备经过考核达到或视为达到技术性能考核指标，则买卖双方应按照第6.4.1项的约定签署合同设备验收证书。</w:t>
      </w:r>
    </w:p>
    <w:p w14:paraId="5BCA114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6.4.4在第6.4.2项和第6.4.3项情形下，卖方也可单方签署验收款支付函提交买方，如果买方在收到卖方签署的验收款支付函后 14 日内未向卖方提出书面异议，则验收款支付函自签署之日起生效。</w:t>
      </w:r>
    </w:p>
    <w:p w14:paraId="7205AAC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6.4.5合同设备验收证书的签署不能免除卖方在质量保证期内对合同设备应承担的保证责任。</w:t>
      </w:r>
    </w:p>
    <w:p w14:paraId="5E759A4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55" w:name="_Toc1662"/>
      <w:bookmarkStart w:id="356" w:name="_Toc40275008"/>
      <w:bookmarkStart w:id="357" w:name="_Toc25442"/>
      <w:bookmarkStart w:id="358" w:name="_Toc56792784"/>
      <w:bookmarkStart w:id="359" w:name="_Toc29360"/>
      <w:bookmarkStart w:id="360" w:name="_Toc38436707"/>
      <w:bookmarkStart w:id="361" w:name="_Toc38478264"/>
      <w:bookmarkStart w:id="362" w:name="_Toc29416"/>
      <w:bookmarkStart w:id="363" w:name="_Toc13687"/>
      <w:bookmarkStart w:id="364" w:name="_Toc12428"/>
      <w:r>
        <w:rPr>
          <w:rFonts w:hint="eastAsia" w:ascii="Times New Roman" w:hAnsi="Times New Roman" w:cs="宋体"/>
          <w:b w:val="0"/>
          <w:color w:val="auto"/>
          <w:sz w:val="24"/>
          <w:szCs w:val="24"/>
        </w:rPr>
        <w:t>7.技术服务</w:t>
      </w:r>
      <w:bookmarkEnd w:id="355"/>
      <w:bookmarkEnd w:id="356"/>
      <w:bookmarkEnd w:id="357"/>
      <w:bookmarkEnd w:id="358"/>
      <w:bookmarkEnd w:id="359"/>
      <w:bookmarkEnd w:id="360"/>
      <w:bookmarkEnd w:id="361"/>
      <w:bookmarkEnd w:id="362"/>
      <w:bookmarkEnd w:id="363"/>
      <w:bookmarkEnd w:id="364"/>
      <w:r>
        <w:rPr>
          <w:rFonts w:hint="eastAsia" w:ascii="Times New Roman" w:hAnsi="Times New Roman" w:cs="宋体"/>
          <w:b w:val="0"/>
          <w:color w:val="auto"/>
          <w:sz w:val="24"/>
          <w:szCs w:val="24"/>
        </w:rPr>
        <w:t xml:space="preserve"> </w:t>
      </w:r>
    </w:p>
    <w:p w14:paraId="60ABF3D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7.1 卖方应派遣技术熟练、称职的技术人员到施工场地为买方提供技术服务。卖方的技术服务应符合合同的约定。</w:t>
      </w:r>
    </w:p>
    <w:p w14:paraId="3FB6C12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7.2 买方应免费为卖方技术人员提供工作条件及便利，包括但不限于必要的办公场所、技术资料及出入许可等。除专用合同条款另有约定外，卖方技术人员的交通、食宿费用由卖方承担。</w:t>
      </w:r>
    </w:p>
    <w:p w14:paraId="611D79B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7.3 卖方技术人员应遵守买方施工现场的各项规章制度和安全操作规程，并服从买方的现场管理。</w:t>
      </w:r>
    </w:p>
    <w:p w14:paraId="42D26AC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7.4 如果任何技术人员不合格，买方有权要求卖方撤换，因撤换而产生的费用应由卖方承担。在不影响技术服务并且征得买方同意的条件下，卖方也可自负费用更换其技术人员。</w:t>
      </w:r>
    </w:p>
    <w:p w14:paraId="1D57D261">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65" w:name="_Toc38478265"/>
      <w:bookmarkStart w:id="366" w:name="_Toc25233"/>
      <w:bookmarkStart w:id="367" w:name="_Toc15026"/>
      <w:bookmarkStart w:id="368" w:name="_Toc40275009"/>
      <w:bookmarkStart w:id="369" w:name="_Toc5852"/>
      <w:bookmarkStart w:id="370" w:name="_Toc56792785"/>
      <w:bookmarkStart w:id="371" w:name="_Toc38436708"/>
      <w:bookmarkStart w:id="372" w:name="_Toc6216"/>
      <w:bookmarkStart w:id="373" w:name="_Toc21804"/>
      <w:bookmarkStart w:id="374" w:name="_Toc7439"/>
      <w:r>
        <w:rPr>
          <w:rFonts w:hint="eastAsia" w:ascii="Times New Roman" w:hAnsi="Times New Roman" w:cs="宋体"/>
          <w:b w:val="0"/>
          <w:color w:val="auto"/>
          <w:sz w:val="24"/>
          <w:szCs w:val="24"/>
        </w:rPr>
        <w:t>8.质量保证期</w:t>
      </w:r>
      <w:bookmarkEnd w:id="365"/>
      <w:bookmarkEnd w:id="366"/>
      <w:bookmarkEnd w:id="367"/>
      <w:bookmarkEnd w:id="368"/>
      <w:bookmarkEnd w:id="369"/>
      <w:bookmarkEnd w:id="370"/>
      <w:bookmarkEnd w:id="371"/>
      <w:bookmarkEnd w:id="372"/>
      <w:bookmarkEnd w:id="373"/>
      <w:bookmarkEnd w:id="374"/>
      <w:r>
        <w:rPr>
          <w:rFonts w:hint="eastAsia" w:ascii="Times New Roman" w:hAnsi="Times New Roman" w:cs="宋体"/>
          <w:b w:val="0"/>
          <w:color w:val="auto"/>
          <w:sz w:val="24"/>
          <w:szCs w:val="24"/>
        </w:rPr>
        <w:t xml:space="preserve"> </w:t>
      </w:r>
    </w:p>
    <w:p w14:paraId="4D2E848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8.1 除专用合同条款和（或）供货要求等合同文件另有约定外，合同设备整体质量保证期为验收之日起 12 个月。如对合同设备中关键部件的质量保证期有特殊要求的，买卖双方可在专用合同条款中约定。在合同第 6.4.2 项情形下，无论合同设备何时验收，其质量保证期最长为签署验收款支付函后 12 个月。在合同第 6.4.3 项情形下，无论合同设备何时验收，其质量保证期最长为签署验收款支付函后 6 个月。</w:t>
      </w:r>
    </w:p>
    <w:p w14:paraId="0C9F8FE8">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8.2 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14:paraId="60606EB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8.3 质量保证期届满后，买方应在 7 日内或专用合同条款另行约定的时间内向卖方出具合同设备的质量保证期届满证书。</w:t>
      </w:r>
    </w:p>
    <w:p w14:paraId="6E84BF4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8.4 在合同第 6.4.2 项情形下，如在验收款支付函签署后 12 个月内由于买方原因合同设备仍未能达到技术性能考核指标，则买卖双方应在该 12 个月届满后 7 日内或专用合同条款另行约定的时间内签署结清款支付函。</w:t>
      </w:r>
    </w:p>
    <w:p w14:paraId="75AB856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8.5 在合同第 6.4.3 项情形下，如在验收款支付函签署后 6 个月内由于买方原因合同设备仍未进行考核或仍未达到技术性能考核指标，则买卖双方应在该 6 个月届满后 7 日内或专用合同条款另行约定的时间内签署结清款支付函。</w:t>
      </w:r>
    </w:p>
    <w:p w14:paraId="50297C4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8.6 在第8.4款和第8.5款情形下，卖方也可单方签署结清款支付函提交买方，如果买方在收到卖方签署的结清款支付函后 14 日内未向卖方提出书面异议，则结清款支付函自签署之日起生效。</w:t>
      </w:r>
    </w:p>
    <w:p w14:paraId="6291DB74">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75" w:name="_Toc56792786"/>
      <w:bookmarkStart w:id="376" w:name="_Toc23812"/>
      <w:bookmarkStart w:id="377" w:name="_Toc40275010"/>
      <w:bookmarkStart w:id="378" w:name="_Toc14523"/>
      <w:bookmarkStart w:id="379" w:name="_Toc38478266"/>
      <w:bookmarkStart w:id="380" w:name="_Toc38436709"/>
      <w:bookmarkStart w:id="381" w:name="_Toc23426"/>
      <w:bookmarkStart w:id="382" w:name="_Toc16655"/>
      <w:bookmarkStart w:id="383" w:name="_Toc5502"/>
      <w:bookmarkStart w:id="384" w:name="_Toc4258"/>
      <w:r>
        <w:rPr>
          <w:rFonts w:hint="eastAsia" w:ascii="Times New Roman" w:hAnsi="Times New Roman" w:cs="宋体"/>
          <w:b w:val="0"/>
          <w:color w:val="auto"/>
          <w:sz w:val="24"/>
          <w:szCs w:val="24"/>
        </w:rPr>
        <w:t>9.质保期服务</w:t>
      </w:r>
      <w:bookmarkEnd w:id="375"/>
      <w:bookmarkEnd w:id="376"/>
      <w:bookmarkEnd w:id="377"/>
      <w:bookmarkEnd w:id="378"/>
      <w:bookmarkEnd w:id="379"/>
      <w:bookmarkEnd w:id="380"/>
      <w:bookmarkEnd w:id="381"/>
      <w:bookmarkEnd w:id="382"/>
      <w:bookmarkEnd w:id="383"/>
      <w:bookmarkEnd w:id="384"/>
    </w:p>
    <w:p w14:paraId="109CD04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 卖方应为质保期服务配备充足的技术人员、工具和备件并保证提供的联系方式畅通。除专用合同条款和（或）供货要求等合同文件另有约定外，卖方应在收到买方通知后 24 小时内做出响应，如需卖方到合同设备现场，卖方应在收到买方通知后 48 小时内到达，并在到达后 7 日内解决合同设备的故障（重大故障除外）。如果卖方未在上述时间内作出响应，则买方有权自行或委托他人解决相关问题或查找和解决合同设备的故障，卖方应承担由此发生的全部费用。</w:t>
      </w:r>
    </w:p>
    <w:p w14:paraId="6AEFE7A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 如卖方技术人员需到合同设备现场进行质保期服务，则买方应免费为卖方技术人员提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14:paraId="1097993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9.3 如果任何技术人员不合格，买方有权要求卖方撤换，因撤换而产生的费用应由卖方承担。在不影响质保期服务并且征得买方同意的条件下，卖方也可自负费用更换其技术人员。</w:t>
      </w:r>
    </w:p>
    <w:p w14:paraId="22DC88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 除专用合同条款另有约定外，卖方应就在施工现场进行质保期服务的情况进行记录，记载合同设备故障发生的时间、原因及解决情况等，由买方签字确认，并在质量保证期结束后提交给买方。</w:t>
      </w:r>
    </w:p>
    <w:p w14:paraId="017CBDD2">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85" w:name="_Toc6400"/>
      <w:bookmarkStart w:id="386" w:name="_Toc15545"/>
      <w:bookmarkStart w:id="387" w:name="_Toc38436710"/>
      <w:bookmarkStart w:id="388" w:name="_Toc38478267"/>
      <w:bookmarkStart w:id="389" w:name="_Toc30259"/>
      <w:bookmarkStart w:id="390" w:name="_Toc40275011"/>
      <w:bookmarkStart w:id="391" w:name="_Toc25085"/>
      <w:bookmarkStart w:id="392" w:name="_Toc56792787"/>
      <w:bookmarkStart w:id="393" w:name="_Toc25596"/>
      <w:bookmarkStart w:id="394" w:name="_Toc30968"/>
      <w:r>
        <w:rPr>
          <w:rFonts w:hint="eastAsia" w:ascii="Times New Roman" w:hAnsi="Times New Roman" w:cs="宋体"/>
          <w:b w:val="0"/>
          <w:color w:val="auto"/>
          <w:sz w:val="24"/>
          <w:szCs w:val="24"/>
        </w:rPr>
        <w:t>10.履约保证金</w:t>
      </w:r>
      <w:bookmarkEnd w:id="385"/>
      <w:bookmarkEnd w:id="386"/>
      <w:bookmarkEnd w:id="387"/>
      <w:bookmarkEnd w:id="388"/>
      <w:bookmarkEnd w:id="389"/>
      <w:bookmarkEnd w:id="390"/>
      <w:bookmarkEnd w:id="391"/>
      <w:bookmarkEnd w:id="392"/>
      <w:bookmarkEnd w:id="393"/>
      <w:bookmarkEnd w:id="394"/>
      <w:r>
        <w:rPr>
          <w:rFonts w:hint="eastAsia" w:ascii="Times New Roman" w:hAnsi="Times New Roman" w:cs="宋体"/>
          <w:b w:val="0"/>
          <w:color w:val="auto"/>
          <w:sz w:val="24"/>
          <w:szCs w:val="24"/>
        </w:rPr>
        <w:t xml:space="preserve"> </w:t>
      </w:r>
    </w:p>
    <w:p w14:paraId="298AC1B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除专用合同条款另有约定外，履约保证金自合同生效之日起生效，在合同设备验收证书或验收款支付函签署之日起 28 日后失效。如果卖方不履行合同约定的义务或其履行不符合合同的约定，买方有权扣划相应金额的履约保证金。</w:t>
      </w:r>
    </w:p>
    <w:p w14:paraId="4B3715B9">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395" w:name="_Toc1685"/>
      <w:bookmarkStart w:id="396" w:name="_Toc40275012"/>
      <w:bookmarkStart w:id="397" w:name="_Toc30312"/>
      <w:bookmarkStart w:id="398" w:name="_Toc16748"/>
      <w:bookmarkStart w:id="399" w:name="_Toc25721"/>
      <w:bookmarkStart w:id="400" w:name="_Toc469"/>
      <w:bookmarkStart w:id="401" w:name="_Toc38436711"/>
      <w:bookmarkStart w:id="402" w:name="_Toc38478268"/>
      <w:bookmarkStart w:id="403" w:name="_Toc28794"/>
      <w:bookmarkStart w:id="404" w:name="_Toc56792788"/>
      <w:r>
        <w:rPr>
          <w:rFonts w:hint="eastAsia" w:ascii="Times New Roman" w:hAnsi="Times New Roman" w:cs="宋体"/>
          <w:b w:val="0"/>
          <w:color w:val="auto"/>
          <w:sz w:val="24"/>
          <w:szCs w:val="24"/>
        </w:rPr>
        <w:t>11.保证</w:t>
      </w:r>
      <w:bookmarkEnd w:id="395"/>
      <w:bookmarkEnd w:id="396"/>
      <w:bookmarkEnd w:id="397"/>
      <w:bookmarkEnd w:id="398"/>
      <w:bookmarkEnd w:id="399"/>
      <w:bookmarkEnd w:id="400"/>
      <w:bookmarkEnd w:id="401"/>
      <w:bookmarkEnd w:id="402"/>
      <w:bookmarkEnd w:id="403"/>
      <w:bookmarkEnd w:id="404"/>
    </w:p>
    <w:p w14:paraId="1B494A0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 卖方保证其具有完全的能力履行本合同项下的全部义务。</w:t>
      </w:r>
    </w:p>
    <w:p w14:paraId="65AA2C1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 卖方保证其所提供的合同设备及对合同的履行符合所有应适用的法律、行政法规、地方性法规、自治条例和单行条例、规章及其他规范性文件的强制性规定。</w:t>
      </w:r>
    </w:p>
    <w:p w14:paraId="4C6B1D2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11.3 卖方保证其对合同设备的销售不损害任何第三方的合法权益和社会公众利益。任何第三方不会因卖方原因而基于所有权、抵押权、留置权或其他任何权利或事由对合同设备主张权利。</w:t>
      </w:r>
    </w:p>
    <w:p w14:paraId="4449C84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卖方保证合同设备符合合同约定的规格、标准、技术性能考核指标等，能够安全和稳定地运行，且合同设备（包括全部部件）全新、完整、未使用过，除非专用合同条款和（或）供货要求等合同文件另有约定。</w:t>
      </w:r>
    </w:p>
    <w:p w14:paraId="5D95B36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11.5 卖方保证，卖方所提供的技术资料完整、清晰、准确，符合合同约定并且能够满足合同设备的安装、调试、考核、操作以及维修和保养的需要。</w:t>
      </w:r>
    </w:p>
    <w:p w14:paraId="531014D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11.6 卖方保证合同范围内提供的备品备件能够满足合同设备在质量保证期结束前正常运行及维修的需要，如在质量保证期结束前因卖方原因出现备品备件短缺影响合同设备正常运行的，卖方应免费提供。</w:t>
      </w:r>
    </w:p>
    <w:p w14:paraId="2AFC4C3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11.7 除专用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 </w:t>
      </w:r>
    </w:p>
    <w:p w14:paraId="2C04476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（1）以不高于同期市场价格或其向任何第三方销售同类产品的价格提供合同设备正常运行所需的全部备品备件。或 </w:t>
      </w:r>
    </w:p>
    <w:p w14:paraId="3B33EC19">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14:paraId="51F53EF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11.8 卖方保证，在合同设备设计使用寿命期内，如果卖方发现合同设备由于设计、制造、标识等原因存在足以危及人身、财产安全的缺陷，卖方将及时通知买方并及时采取修正或者补充标识、修理、更换等措施消除缺陷。</w:t>
      </w:r>
    </w:p>
    <w:p w14:paraId="487D794C">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05" w:name="_Toc6529"/>
      <w:bookmarkStart w:id="406" w:name="_Toc40275013"/>
      <w:bookmarkStart w:id="407" w:name="_Toc4661"/>
      <w:bookmarkStart w:id="408" w:name="_Toc30854"/>
      <w:bookmarkStart w:id="409" w:name="_Toc56792789"/>
      <w:bookmarkStart w:id="410" w:name="_Toc8616"/>
      <w:bookmarkStart w:id="411" w:name="_Toc23902"/>
      <w:bookmarkStart w:id="412" w:name="_Toc38436712"/>
      <w:bookmarkStart w:id="413" w:name="_Toc2744"/>
      <w:bookmarkStart w:id="414" w:name="_Toc38478269"/>
      <w:r>
        <w:rPr>
          <w:rFonts w:hint="eastAsia" w:ascii="Times New Roman" w:hAnsi="Times New Roman" w:cs="宋体"/>
          <w:b w:val="0"/>
          <w:color w:val="auto"/>
          <w:sz w:val="24"/>
          <w:szCs w:val="24"/>
        </w:rPr>
        <w:t>12.知识产权</w:t>
      </w:r>
      <w:bookmarkEnd w:id="405"/>
      <w:bookmarkEnd w:id="406"/>
      <w:bookmarkEnd w:id="407"/>
      <w:bookmarkEnd w:id="408"/>
      <w:bookmarkEnd w:id="409"/>
      <w:bookmarkEnd w:id="410"/>
      <w:bookmarkEnd w:id="411"/>
      <w:bookmarkEnd w:id="412"/>
      <w:bookmarkEnd w:id="413"/>
      <w:bookmarkEnd w:id="414"/>
      <w:r>
        <w:rPr>
          <w:rFonts w:hint="eastAsia" w:ascii="Times New Roman" w:hAnsi="Times New Roman" w:cs="宋体"/>
          <w:b w:val="0"/>
          <w:color w:val="auto"/>
          <w:sz w:val="24"/>
          <w:szCs w:val="24"/>
        </w:rPr>
        <w:t xml:space="preserve"> </w:t>
      </w:r>
    </w:p>
    <w:p w14:paraId="10A3443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12.1 买方在履行合同过程中提供给卖方的全部图纸、文件和其他含有数据和信息的资料，其知识产权属于买方。</w:t>
      </w:r>
    </w:p>
    <w:p w14:paraId="627C78C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12.2 除专用合同条款另有约定外，买方不因签署和履行合同而享有卖方在履行合同过程中提供给买方的图纸、文件、配套软件、电子辅助程序和其他含有数据和信息的资料的知识产权。 </w:t>
      </w:r>
    </w:p>
    <w:p w14:paraId="5C331841">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12.3 如合同设备涉及知识产权，则卖方保证买方在使用合同设备过程中免于受到第三方提出的有关知识产权侵权的主张、索赔或诉讼的伤害。</w:t>
      </w:r>
    </w:p>
    <w:p w14:paraId="2F364FE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12.4 如果买方收到任何第三方有关知识产权的主张、索赔或诉讼，卖方在收到买方通知后，应以买方名义并在买方的协助下，自负费用处理与第三方的索赔或诉讼，并赔偿买方因此发生的费用和遭受的损失。除专用合同条款另有约定外，如果卖方拒绝处理前述索赔或诉讼或在收到买方通知后28日内未作表示，买方可以自己的名义进行这些索赔或诉讼，因此发生的费用和遭受的损失均应由卖方承担。</w:t>
      </w:r>
    </w:p>
    <w:p w14:paraId="51A42609">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15" w:name="_Toc38478270"/>
      <w:bookmarkStart w:id="416" w:name="_Toc1301"/>
      <w:bookmarkStart w:id="417" w:name="_Toc40275014"/>
      <w:bookmarkStart w:id="418" w:name="_Toc29994"/>
      <w:bookmarkStart w:id="419" w:name="_Toc56792790"/>
      <w:bookmarkStart w:id="420" w:name="_Toc4221"/>
      <w:bookmarkStart w:id="421" w:name="_Toc38436713"/>
      <w:bookmarkStart w:id="422" w:name="_Toc18657"/>
      <w:bookmarkStart w:id="423" w:name="_Toc19690"/>
      <w:bookmarkStart w:id="424" w:name="_Toc17902"/>
      <w:r>
        <w:rPr>
          <w:rFonts w:hint="eastAsia" w:ascii="Times New Roman" w:hAnsi="Times New Roman" w:cs="宋体"/>
          <w:b w:val="0"/>
          <w:color w:val="auto"/>
          <w:sz w:val="24"/>
          <w:szCs w:val="24"/>
        </w:rPr>
        <w:t>13.保密</w:t>
      </w:r>
      <w:bookmarkEnd w:id="415"/>
      <w:bookmarkEnd w:id="416"/>
      <w:bookmarkEnd w:id="417"/>
      <w:bookmarkEnd w:id="418"/>
      <w:bookmarkEnd w:id="419"/>
      <w:bookmarkEnd w:id="420"/>
      <w:bookmarkEnd w:id="421"/>
      <w:bookmarkEnd w:id="422"/>
      <w:bookmarkEnd w:id="423"/>
      <w:bookmarkEnd w:id="424"/>
    </w:p>
    <w:p w14:paraId="21540E4C">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合同双方应对因履行合同而取得的另一方当事人的信息、资料等予以保密。未经另一方当事人书面同意，任何一方均不得为与履行合同无关的目的使用或向第三方披露另一方当事人提供的信息、资料。</w:t>
      </w:r>
    </w:p>
    <w:p w14:paraId="30B54A1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合同当事人的保密义务不适用于下列信息： </w:t>
      </w:r>
    </w:p>
    <w:p w14:paraId="35E7E49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（1）非因接受信息一方的过失现在或以后进入公共领域的信息； </w:t>
      </w:r>
    </w:p>
    <w:p w14:paraId="1C3A44D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（2）接受信息一方当事人合法地从第三方获得并且据其善意了解第三方也不对此承担保密义务的信息； </w:t>
      </w:r>
      <w:bookmarkStart w:id="425" w:name="_Toc1378"/>
      <w:bookmarkStart w:id="426" w:name="_Toc28886"/>
      <w:bookmarkStart w:id="427" w:name="_Toc29519"/>
      <w:bookmarkStart w:id="428" w:name="_Toc20441"/>
      <w:bookmarkStart w:id="429" w:name="_Toc32752"/>
    </w:p>
    <w:p w14:paraId="026F8B81">
      <w:pPr>
        <w:widowControl w:val="0"/>
        <w:adjustRightInd w:val="0"/>
        <w:snapToGrid w:val="0"/>
        <w:spacing w:after="0" w:line="470" w:lineRule="exact"/>
        <w:ind w:firstLine="480" w:firstLineChars="200"/>
        <w:jc w:val="both"/>
        <w:rPr>
          <w:color w:val="auto"/>
          <w:sz w:val="24"/>
          <w:szCs w:val="24"/>
        </w:rPr>
      </w:pPr>
      <w:r>
        <w:rPr>
          <w:rFonts w:hint="eastAsia" w:ascii="Times New Roman" w:hAnsi="Times New Roman" w:eastAsia="宋体" w:cs="宋体"/>
          <w:color w:val="auto"/>
          <w:sz w:val="24"/>
          <w:szCs w:val="24"/>
        </w:rPr>
        <w:t>（3）法律或法律的执行要求披露的信息。</w:t>
      </w:r>
      <w:bookmarkEnd w:id="425"/>
      <w:bookmarkEnd w:id="426"/>
      <w:bookmarkEnd w:id="427"/>
      <w:bookmarkEnd w:id="428"/>
      <w:bookmarkEnd w:id="429"/>
    </w:p>
    <w:p w14:paraId="0C478B77">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30" w:name="_Toc38478271"/>
      <w:bookmarkStart w:id="431" w:name="_Toc32292"/>
      <w:bookmarkStart w:id="432" w:name="_Toc2685"/>
      <w:bookmarkStart w:id="433" w:name="_Toc38436714"/>
      <w:bookmarkStart w:id="434" w:name="_Toc12873"/>
      <w:bookmarkStart w:id="435" w:name="_Toc32129"/>
      <w:bookmarkStart w:id="436" w:name="_Toc29352"/>
      <w:bookmarkStart w:id="437" w:name="_Toc56792791"/>
      <w:bookmarkStart w:id="438" w:name="_Toc13953"/>
      <w:bookmarkStart w:id="439" w:name="_Toc40275015"/>
      <w:r>
        <w:rPr>
          <w:rFonts w:hint="eastAsia" w:ascii="Times New Roman" w:hAnsi="Times New Roman" w:cs="宋体"/>
          <w:b w:val="0"/>
          <w:color w:val="auto"/>
          <w:sz w:val="24"/>
          <w:szCs w:val="24"/>
        </w:rPr>
        <w:t>14.违约责任</w:t>
      </w:r>
      <w:bookmarkEnd w:id="430"/>
      <w:bookmarkEnd w:id="431"/>
      <w:bookmarkEnd w:id="432"/>
      <w:bookmarkEnd w:id="433"/>
      <w:bookmarkEnd w:id="434"/>
      <w:bookmarkEnd w:id="435"/>
      <w:bookmarkEnd w:id="436"/>
      <w:bookmarkEnd w:id="437"/>
      <w:bookmarkEnd w:id="438"/>
      <w:bookmarkEnd w:id="439"/>
      <w:r>
        <w:rPr>
          <w:rFonts w:hint="eastAsia" w:ascii="Times New Roman" w:hAnsi="Times New Roman" w:cs="宋体"/>
          <w:b w:val="0"/>
          <w:color w:val="auto"/>
          <w:sz w:val="24"/>
          <w:szCs w:val="24"/>
        </w:rPr>
        <w:t xml:space="preserve"> </w:t>
      </w:r>
    </w:p>
    <w:p w14:paraId="2FBDFF2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合同一方不履行合同义务、履行合同义务不符合约定或者违反合同项下所作保证的，应向对方承担继续履行、采取修理、更换、退货等补救措施或者赔偿损失等违约责任。</w:t>
      </w:r>
    </w:p>
    <w:p w14:paraId="26F2E22A">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14.2 卖方未能按时交付合同设备（包括仅迟延交付技术资料但足以导致合同设备安装、调试、考核、验收工作推迟的）的，应向买方支付迟延交付违约金。除专用合同条款另有约定外，迟延交付违约金的计算方法如下： </w:t>
      </w:r>
    </w:p>
    <w:p w14:paraId="4EDB2FC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（1）从迟交的第一周到第四周，每周迟延交付违约金为迟交合同设备价格的0.5%； </w:t>
      </w:r>
    </w:p>
    <w:p w14:paraId="49C49E3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（2）从迟交的第五周到第八周，每周迟延交付违约金为迟交合同设备价格的1%； </w:t>
      </w:r>
    </w:p>
    <w:p w14:paraId="16F5F5D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（3）从迟交第九周起，每周迟延交付违约金为迟交合同设备价格的1.5%。</w:t>
      </w:r>
    </w:p>
    <w:p w14:paraId="74E47DA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在计算迟延交付违约金时，迟交不足一周的按一周计算。迟延交付违约金的总额不得超过合同价格的10%。</w:t>
      </w:r>
    </w:p>
    <w:p w14:paraId="7CB6A13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迟延交付违约金的支付不能免除卖方继续交付相关合同设备的义务，但如迟延交付必然导致合同设备安装、调试、考核、验收工作推迟的，相关工作应相应顺延。</w:t>
      </w:r>
    </w:p>
    <w:p w14:paraId="055320D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14.3 买方未能按合同约定支付合同价款的，应向卖方支付延迟付款违约金。除专用合同条款另有约定外，迟延付款违约金的计算方法如下： </w:t>
      </w:r>
    </w:p>
    <w:p w14:paraId="611F563B">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（1）从迟付的第一周到第四周，每周迟延付款违约金为迟延付款金额的 0.5%；</w:t>
      </w:r>
    </w:p>
    <w:p w14:paraId="0A3C00E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（2）从迟付的第五周到第八周，每周迟延付款违约金为迟延付款金额的 1%；</w:t>
      </w:r>
    </w:p>
    <w:p w14:paraId="3AFAA3B6">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（3）从迟付第九周起，每周迟延付款违约金为迟延付款金额的 1.5%。</w:t>
      </w:r>
    </w:p>
    <w:p w14:paraId="3C674D24">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在计算迟延付款违约金时，迟付不足一周的按一周计算。迟延付款违约金的总额不得超过合同价格的 10%。</w:t>
      </w:r>
    </w:p>
    <w:p w14:paraId="6207379E">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40" w:name="_Toc56792792"/>
      <w:bookmarkStart w:id="441" w:name="_Toc40275016"/>
      <w:bookmarkStart w:id="442" w:name="_Toc7384"/>
      <w:bookmarkStart w:id="443" w:name="_Toc18553"/>
      <w:bookmarkStart w:id="444" w:name="_Toc38436715"/>
      <w:bookmarkStart w:id="445" w:name="_Toc32618"/>
      <w:bookmarkStart w:id="446" w:name="_Toc24894"/>
      <w:bookmarkStart w:id="447" w:name="_Toc15252"/>
      <w:bookmarkStart w:id="448" w:name="_Toc38478272"/>
      <w:bookmarkStart w:id="449" w:name="_Toc19302"/>
      <w:r>
        <w:rPr>
          <w:rFonts w:hint="eastAsia" w:ascii="Times New Roman" w:hAnsi="Times New Roman" w:cs="宋体"/>
          <w:b w:val="0"/>
          <w:color w:val="auto"/>
          <w:sz w:val="24"/>
          <w:szCs w:val="24"/>
        </w:rPr>
        <w:t>15.合同的解除</w:t>
      </w:r>
      <w:bookmarkEnd w:id="440"/>
      <w:bookmarkEnd w:id="441"/>
      <w:bookmarkEnd w:id="442"/>
      <w:bookmarkEnd w:id="443"/>
      <w:bookmarkEnd w:id="444"/>
      <w:bookmarkEnd w:id="445"/>
      <w:bookmarkEnd w:id="446"/>
      <w:bookmarkEnd w:id="447"/>
      <w:bookmarkEnd w:id="448"/>
      <w:bookmarkEnd w:id="449"/>
      <w:r>
        <w:rPr>
          <w:rFonts w:hint="eastAsia" w:ascii="Times New Roman" w:hAnsi="Times New Roman" w:cs="宋体"/>
          <w:b w:val="0"/>
          <w:color w:val="auto"/>
          <w:sz w:val="24"/>
          <w:szCs w:val="24"/>
        </w:rPr>
        <w:t xml:space="preserve"> </w:t>
      </w:r>
    </w:p>
    <w:p w14:paraId="49ED848F">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除专用合同条款另有约定外，有下述情形之一，当事人可发出书面通知全部或部分地解除合同，合同自通知到达对方时全部或部分地解除： </w:t>
      </w:r>
    </w:p>
    <w:p w14:paraId="38034BD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（1）卖方迟延交付合同设备超过 3 个月； </w:t>
      </w:r>
    </w:p>
    <w:p w14:paraId="7180AA60">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合同设备由于卖方原因三次考核均未能达到技术性能考核指标或在合同约定了或双方在考核中另行达成了最低技术性能考核指标时均未能达到最低技术性能考核指标，且买卖双方未就合同的后续履行协商达成一致； </w:t>
      </w:r>
    </w:p>
    <w:p w14:paraId="7015251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（3）买方迟延付款超过 3 个月； </w:t>
      </w:r>
    </w:p>
    <w:p w14:paraId="763C4202">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（4）合同一方当事人未能履行合同项下任何其他义务（细微义务除外），或在未事先征得另一方当事人同意的情况下，从事任何可能在实质上不利影响其履行合同能力的活动，经另一方当事人书面通知后 14 日内或在专用合同条款约定的其他期限内未能对其行为作出补救； </w:t>
      </w:r>
      <w:bookmarkStart w:id="450" w:name="_Toc27178"/>
      <w:bookmarkStart w:id="451" w:name="_Toc9350"/>
      <w:bookmarkStart w:id="452" w:name="_Toc16909"/>
      <w:bookmarkStart w:id="453" w:name="_Toc2419"/>
      <w:bookmarkStart w:id="454" w:name="_Toc2911"/>
    </w:p>
    <w:p w14:paraId="00BD4D87">
      <w:pPr>
        <w:widowControl w:val="0"/>
        <w:adjustRightInd w:val="0"/>
        <w:snapToGrid w:val="0"/>
        <w:spacing w:after="0" w:line="470" w:lineRule="exact"/>
        <w:ind w:firstLine="480" w:firstLineChars="200"/>
        <w:jc w:val="both"/>
        <w:rPr>
          <w:color w:val="auto"/>
          <w:sz w:val="24"/>
          <w:szCs w:val="24"/>
        </w:rPr>
      </w:pPr>
      <w:r>
        <w:rPr>
          <w:rFonts w:hint="eastAsia" w:ascii="Times New Roman" w:hAnsi="Times New Roman" w:eastAsia="宋体" w:cs="宋体"/>
          <w:color w:val="auto"/>
          <w:sz w:val="24"/>
          <w:szCs w:val="24"/>
        </w:rPr>
        <w:t>（5）合同一方当事人出现破产、清算、资不抵债、成为失信被执行人等可能丧失履约能力的情形，且未能提供令对方满意的履约保证金</w:t>
      </w:r>
      <w:bookmarkEnd w:id="450"/>
      <w:bookmarkEnd w:id="451"/>
      <w:bookmarkEnd w:id="452"/>
      <w:bookmarkEnd w:id="453"/>
      <w:bookmarkEnd w:id="454"/>
      <w:r>
        <w:rPr>
          <w:rFonts w:hint="eastAsia" w:ascii="Times New Roman" w:hAnsi="Times New Roman" w:eastAsia="宋体" w:cs="宋体"/>
          <w:color w:val="auto"/>
          <w:sz w:val="24"/>
          <w:szCs w:val="24"/>
        </w:rPr>
        <w:t>。</w:t>
      </w:r>
    </w:p>
    <w:p w14:paraId="7953DED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55" w:name="_Toc40275017"/>
      <w:bookmarkStart w:id="456" w:name="_Toc38436716"/>
      <w:bookmarkStart w:id="457" w:name="_Toc4667"/>
      <w:bookmarkStart w:id="458" w:name="_Toc29363"/>
      <w:bookmarkStart w:id="459" w:name="_Toc38478273"/>
      <w:bookmarkStart w:id="460" w:name="_Toc32371"/>
      <w:bookmarkStart w:id="461" w:name="_Toc10673"/>
      <w:bookmarkStart w:id="462" w:name="_Toc56792793"/>
      <w:bookmarkStart w:id="463" w:name="_Toc32040"/>
      <w:bookmarkStart w:id="464" w:name="_Toc27364"/>
      <w:r>
        <w:rPr>
          <w:rFonts w:hint="eastAsia" w:ascii="Times New Roman" w:hAnsi="Times New Roman" w:cs="宋体"/>
          <w:b w:val="0"/>
          <w:color w:val="auto"/>
          <w:sz w:val="24"/>
          <w:szCs w:val="24"/>
        </w:rPr>
        <w:t>16.不可抗力</w:t>
      </w:r>
      <w:bookmarkEnd w:id="455"/>
      <w:bookmarkEnd w:id="456"/>
      <w:bookmarkEnd w:id="457"/>
      <w:bookmarkEnd w:id="458"/>
      <w:bookmarkEnd w:id="459"/>
      <w:bookmarkEnd w:id="460"/>
      <w:bookmarkEnd w:id="461"/>
      <w:bookmarkEnd w:id="462"/>
      <w:bookmarkEnd w:id="463"/>
      <w:bookmarkEnd w:id="464"/>
    </w:p>
    <w:p w14:paraId="219839FE">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如果任何一方当事人受到不能预见、不能避免且不能克服的不可抗力事件的影响，例如战争、严重的火灾、台风、地震、洪水和专用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14:paraId="67F5958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16.2 受不可抗力事件影响的一方当事人对于不可抗力事件导致的任何合同义务的迟延履行或不能履行不承担违约责任。但该方当事人应尽快将不可抗力事件结束或消除的情况通知另一方当事人。</w:t>
      </w:r>
    </w:p>
    <w:p w14:paraId="5375FDC3">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双方当事人应在不可抗力事件结束或其影响消除后立即继续履行其合同义务，合同期限也应相应顺延。除专用合同条款另有约定外，如果不可抗力事件的影响持续超过 140 日，则任何一方当事人均有权以书面通知解除合同。</w:t>
      </w:r>
    </w:p>
    <w:p w14:paraId="7094F1A3">
      <w:pPr>
        <w:pStyle w:val="3"/>
        <w:keepNext w:val="0"/>
        <w:keepLines w:val="0"/>
        <w:widowControl w:val="0"/>
        <w:adjustRightInd w:val="0"/>
        <w:snapToGrid w:val="0"/>
        <w:spacing w:line="470" w:lineRule="exact"/>
        <w:ind w:left="0" w:right="0" w:firstLine="480" w:firstLineChars="200"/>
        <w:jc w:val="both"/>
        <w:rPr>
          <w:rFonts w:ascii="Times New Roman" w:hAnsi="Times New Roman" w:cs="宋体"/>
          <w:b w:val="0"/>
          <w:color w:val="auto"/>
          <w:sz w:val="24"/>
          <w:szCs w:val="24"/>
        </w:rPr>
      </w:pPr>
      <w:bookmarkStart w:id="465" w:name="_Toc56792794"/>
      <w:bookmarkStart w:id="466" w:name="_Toc17051"/>
      <w:bookmarkStart w:id="467" w:name="_Toc19819"/>
      <w:bookmarkStart w:id="468" w:name="_Toc15145"/>
      <w:bookmarkStart w:id="469" w:name="_Toc19699"/>
      <w:bookmarkStart w:id="470" w:name="_Toc38436717"/>
      <w:bookmarkStart w:id="471" w:name="_Toc38478274"/>
      <w:bookmarkStart w:id="472" w:name="_Toc40275018"/>
      <w:bookmarkStart w:id="473" w:name="_Toc16856"/>
      <w:bookmarkStart w:id="474" w:name="_Toc14321"/>
      <w:r>
        <w:rPr>
          <w:rFonts w:hint="eastAsia" w:ascii="Times New Roman" w:hAnsi="Times New Roman" w:cs="宋体"/>
          <w:b w:val="0"/>
          <w:color w:val="auto"/>
          <w:sz w:val="24"/>
          <w:szCs w:val="24"/>
        </w:rPr>
        <w:t>17.争议的解决</w:t>
      </w:r>
      <w:bookmarkEnd w:id="465"/>
      <w:bookmarkEnd w:id="466"/>
      <w:bookmarkEnd w:id="467"/>
      <w:bookmarkEnd w:id="468"/>
      <w:bookmarkEnd w:id="469"/>
      <w:bookmarkEnd w:id="470"/>
      <w:bookmarkEnd w:id="471"/>
      <w:bookmarkEnd w:id="472"/>
      <w:bookmarkEnd w:id="473"/>
      <w:bookmarkEnd w:id="474"/>
      <w:r>
        <w:rPr>
          <w:rFonts w:hint="eastAsia" w:ascii="Times New Roman" w:hAnsi="Times New Roman" w:cs="宋体"/>
          <w:b w:val="0"/>
          <w:color w:val="auto"/>
          <w:sz w:val="24"/>
          <w:szCs w:val="24"/>
        </w:rPr>
        <w:t xml:space="preserve"> </w:t>
      </w:r>
    </w:p>
    <w:p w14:paraId="1D06E537">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因本合同引起的或与本合同有关的任何争议,双方可通过友好协商解决。友好协商解决不成的，可在专用合同条款中约定下列一种方式解决： </w:t>
      </w:r>
    </w:p>
    <w:p w14:paraId="2C943125">
      <w:pPr>
        <w:widowControl w:val="0"/>
        <w:adjustRightInd w:val="0"/>
        <w:snapToGrid w:val="0"/>
        <w:spacing w:after="0" w:line="47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（1）向约定的仲裁委员会申请仲裁； </w:t>
      </w:r>
      <w:bookmarkStart w:id="475" w:name="_Toc4892"/>
      <w:bookmarkStart w:id="476" w:name="_Toc10366"/>
      <w:bookmarkStart w:id="477" w:name="_Toc25688"/>
      <w:bookmarkStart w:id="478" w:name="_Toc750"/>
      <w:bookmarkStart w:id="479" w:name="_Toc14789"/>
    </w:p>
    <w:p w14:paraId="4C2E1AD4">
      <w:pPr>
        <w:widowControl w:val="0"/>
        <w:adjustRightInd w:val="0"/>
        <w:snapToGrid w:val="0"/>
        <w:spacing w:after="0" w:line="470" w:lineRule="exact"/>
        <w:ind w:firstLine="480" w:firstLineChars="200"/>
        <w:jc w:val="both"/>
        <w:rPr>
          <w:color w:val="auto"/>
        </w:rPr>
      </w:pPr>
      <w:r>
        <w:rPr>
          <w:rFonts w:hint="eastAsia" w:ascii="Times New Roman" w:hAnsi="Times New Roman" w:eastAsia="宋体" w:cs="宋体"/>
          <w:color w:val="auto"/>
          <w:sz w:val="24"/>
          <w:szCs w:val="24"/>
        </w:rPr>
        <w:t>（2）向有管辖权的人民法院提起诉讼。</w:t>
      </w:r>
      <w:bookmarkEnd w:id="475"/>
      <w:bookmarkEnd w:id="476"/>
      <w:bookmarkEnd w:id="477"/>
      <w:bookmarkEnd w:id="478"/>
      <w:bookmarkEnd w:id="479"/>
    </w:p>
    <w:p w14:paraId="1FC80E4F">
      <w:pPr>
        <w:widowControl w:val="0"/>
        <w:adjustRightInd w:val="0"/>
        <w:snapToGrid w:val="0"/>
        <w:spacing w:after="0"/>
        <w:ind w:firstLine="560" w:firstLineChars="200"/>
        <w:rPr>
          <w:rFonts w:ascii="Times New Roman" w:hAnsi="Times New Roman" w:eastAsia="宋体" w:cs="宋体"/>
          <w:b/>
          <w:color w:val="auto"/>
          <w:sz w:val="28"/>
          <w:szCs w:val="32"/>
          <w:u w:val="single"/>
        </w:rPr>
      </w:pPr>
      <w:r>
        <w:rPr>
          <w:rFonts w:hint="eastAsia" w:ascii="Times New Roman" w:hAnsi="Times New Roman" w:eastAsia="宋体" w:cs="宋体"/>
          <w:color w:val="auto"/>
          <w:sz w:val="28"/>
          <w:szCs w:val="28"/>
        </w:rPr>
        <w:br w:type="page"/>
      </w:r>
    </w:p>
    <w:p w14:paraId="58D9B7A0">
      <w:pPr>
        <w:widowControl w:val="0"/>
        <w:adjustRightInd w:val="0"/>
        <w:snapToGrid w:val="0"/>
        <w:spacing w:after="0"/>
        <w:rPr>
          <w:rFonts w:ascii="Times New Roman" w:hAnsi="Times New Roman" w:eastAsia="宋体" w:cs="宋体"/>
          <w:color w:val="auto"/>
        </w:rPr>
      </w:pPr>
    </w:p>
    <w:p w14:paraId="3366678B">
      <w:pPr>
        <w:pStyle w:val="3"/>
        <w:keepNext w:val="0"/>
        <w:keepLines w:val="0"/>
        <w:widowControl w:val="0"/>
        <w:adjustRightInd w:val="0"/>
        <w:snapToGrid w:val="0"/>
        <w:spacing w:line="490" w:lineRule="exact"/>
        <w:ind w:left="0" w:right="0" w:firstLine="720" w:firstLineChars="200"/>
        <w:jc w:val="center"/>
        <w:rPr>
          <w:rFonts w:ascii="Times New Roman" w:hAnsi="Times New Roman" w:cs="宋体"/>
          <w:b w:val="0"/>
          <w:bCs/>
          <w:color w:val="auto"/>
          <w:sz w:val="36"/>
        </w:rPr>
      </w:pPr>
      <w:bookmarkStart w:id="480" w:name="_Toc26428"/>
      <w:bookmarkStart w:id="481" w:name="_Toc24263"/>
      <w:bookmarkStart w:id="482" w:name="_Toc16201"/>
      <w:bookmarkStart w:id="483" w:name="_Toc56792808"/>
      <w:bookmarkStart w:id="484" w:name="_Toc31578"/>
      <w:bookmarkStart w:id="485" w:name="_Toc31510"/>
      <w:bookmarkStart w:id="486" w:name="_Toc17634"/>
      <w:r>
        <w:rPr>
          <w:rFonts w:hint="eastAsia" w:ascii="Times New Roman" w:hAnsi="Times New Roman" w:cs="宋体"/>
          <w:b w:val="0"/>
          <w:bCs/>
          <w:color w:val="auto"/>
          <w:sz w:val="36"/>
        </w:rPr>
        <w:t>第二节  专用合同条款</w:t>
      </w:r>
      <w:bookmarkEnd w:id="480"/>
      <w:bookmarkEnd w:id="481"/>
      <w:bookmarkEnd w:id="482"/>
      <w:bookmarkEnd w:id="483"/>
      <w:bookmarkEnd w:id="484"/>
      <w:bookmarkEnd w:id="485"/>
      <w:bookmarkEnd w:id="486"/>
    </w:p>
    <w:p w14:paraId="7A9F00FB">
      <w:pPr>
        <w:widowControl w:val="0"/>
        <w:adjustRightInd w:val="0"/>
        <w:snapToGrid w:val="0"/>
        <w:spacing w:after="0"/>
        <w:rPr>
          <w:rFonts w:ascii="Times New Roman" w:hAnsi="Times New Roman" w:eastAsia="宋体" w:cs="宋体"/>
          <w:b/>
          <w:color w:val="auto"/>
          <w:sz w:val="32"/>
        </w:rPr>
      </w:pPr>
    </w:p>
    <w:p w14:paraId="40F593F2">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487" w:name="_Toc645"/>
      <w:bookmarkStart w:id="488" w:name="_Toc15124"/>
      <w:bookmarkStart w:id="489" w:name="_Toc6532"/>
      <w:bookmarkStart w:id="490" w:name="_Toc38436719"/>
      <w:bookmarkStart w:id="491" w:name="_Toc40275033"/>
      <w:bookmarkStart w:id="492" w:name="_Toc38478289"/>
      <w:bookmarkStart w:id="493" w:name="_Toc56792809"/>
      <w:bookmarkStart w:id="494" w:name="_Toc4549"/>
      <w:bookmarkStart w:id="495" w:name="_Toc26049"/>
      <w:r>
        <w:rPr>
          <w:rFonts w:hint="eastAsia" w:ascii="Times New Roman" w:hAnsi="Times New Roman" w:cs="宋体"/>
          <w:b w:val="0"/>
          <w:color w:val="auto"/>
          <w:sz w:val="24"/>
          <w:szCs w:val="24"/>
        </w:rPr>
        <w:t>1.一般约定</w:t>
      </w:r>
      <w:bookmarkEnd w:id="487"/>
      <w:bookmarkEnd w:id="488"/>
      <w:bookmarkEnd w:id="489"/>
      <w:bookmarkEnd w:id="490"/>
      <w:bookmarkEnd w:id="491"/>
      <w:bookmarkEnd w:id="492"/>
      <w:bookmarkEnd w:id="493"/>
      <w:bookmarkEnd w:id="494"/>
      <w:bookmarkEnd w:id="495"/>
    </w:p>
    <w:p w14:paraId="28398102">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1.1 词语定义 </w:t>
      </w:r>
    </w:p>
    <w:p w14:paraId="4116F840">
      <w:pPr>
        <w:widowControl w:val="0"/>
        <w:adjustRightInd w:val="0"/>
        <w:snapToGrid w:val="0"/>
        <w:spacing w:after="0" w:line="480" w:lineRule="exact"/>
        <w:ind w:firstLine="482" w:firstLineChars="200"/>
        <w:jc w:val="both"/>
        <w:rPr>
          <w:rFonts w:ascii="Times New Roman" w:hAnsi="Times New Roman" w:eastAsia="宋体" w:cs="宋体"/>
          <w:color w:val="auto"/>
          <w:sz w:val="24"/>
          <w:szCs w:val="24"/>
        </w:rPr>
      </w:pPr>
      <w:r>
        <w:rPr>
          <w:rFonts w:hint="eastAsia" w:ascii="Times New Roman" w:hAnsi="Times New Roman" w:eastAsia="宋体" w:cs="宋体"/>
          <w:b/>
          <w:color w:val="auto"/>
          <w:sz w:val="24"/>
          <w:szCs w:val="24"/>
        </w:rPr>
        <w:t xml:space="preserve">1.1.13 </w:t>
      </w:r>
      <w:r>
        <w:rPr>
          <w:rFonts w:hint="eastAsia" w:ascii="Times New Roman" w:hAnsi="Times New Roman" w:eastAsia="宋体" w:cs="宋体"/>
          <w:color w:val="auto"/>
          <w:sz w:val="24"/>
          <w:szCs w:val="24"/>
        </w:rPr>
        <w:t>工程</w:t>
      </w:r>
      <w:r>
        <w:rPr>
          <w:rFonts w:hint="eastAsia" w:ascii="Times New Roman" w:hAnsi="Times New Roman" w:eastAsia="宋体" w:cs="宋体"/>
          <w:b/>
          <w:color w:val="auto"/>
          <w:sz w:val="24"/>
          <w:szCs w:val="24"/>
        </w:rPr>
        <w:t xml:space="preserve"> </w:t>
      </w:r>
    </w:p>
    <w:p w14:paraId="293E96E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1.1.13.1 工程：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12EF13B">
      <w:pPr>
        <w:widowControl w:val="0"/>
        <w:adjustRightInd w:val="0"/>
        <w:snapToGrid w:val="0"/>
        <w:spacing w:after="0" w:line="48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1.1.13.2 施工场地（或称工地、施工现场）：</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0E946D0">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1.3 合同文件的优先顺序</w:t>
      </w:r>
    </w:p>
    <w:p w14:paraId="704E865B">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组成合同的各项文件应互相解释，互为说明。解释合同文件的优先顺序如下：</w:t>
      </w:r>
    </w:p>
    <w:p w14:paraId="0F85476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70FDA2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63117C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246A3909">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1.4 合同的生效及变更</w:t>
      </w:r>
    </w:p>
    <w:p w14:paraId="1A1ADEE5">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1.4.1 合同生效的约定：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3E5BBC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合同变更的约定：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F60964E">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1.5 联络</w:t>
      </w:r>
    </w:p>
    <w:p w14:paraId="67731B34">
      <w:pPr>
        <w:widowControl w:val="0"/>
        <w:kinsoku w:val="0"/>
        <w:adjustRightInd w:val="0"/>
        <w:snapToGrid w:val="0"/>
        <w:spacing w:after="0" w:line="480" w:lineRule="exact"/>
        <w:ind w:right="-2"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1.5.1 买方指定联系人：姓名：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、联系电话：</w:t>
      </w:r>
      <w:r>
        <w:rPr>
          <w:rFonts w:hint="eastAsia" w:ascii="Times New Roman" w:hAnsi="Times New Roman" w:eastAsia="宋体" w:cs="宋体"/>
          <w:color w:val="auto"/>
          <w:sz w:val="24"/>
          <w:szCs w:val="24"/>
          <w:u w:val="single"/>
        </w:rPr>
        <w:t xml:space="preserve">       </w:t>
      </w:r>
    </w:p>
    <w:p w14:paraId="45E7973F">
      <w:pPr>
        <w:widowControl w:val="0"/>
        <w:kinsoku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卖方指定联系人：姓名：</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、联系电话：</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0A2214E">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1.6 联合体</w:t>
      </w:r>
    </w:p>
    <w:p w14:paraId="46E489D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牵头人在履行合同中获得联合体各方授权范围的约定：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88A165D">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496" w:name="_Toc6161"/>
      <w:bookmarkStart w:id="497" w:name="_Toc40275034"/>
      <w:bookmarkStart w:id="498" w:name="_Toc38478290"/>
      <w:bookmarkStart w:id="499" w:name="_Toc2056"/>
      <w:bookmarkStart w:id="500" w:name="_Toc30823"/>
      <w:bookmarkStart w:id="501" w:name="_Toc12827"/>
      <w:bookmarkStart w:id="502" w:name="_Toc56792810"/>
      <w:bookmarkStart w:id="503" w:name="_Toc6663"/>
      <w:bookmarkStart w:id="504" w:name="_Toc38436720"/>
      <w:r>
        <w:rPr>
          <w:rFonts w:hint="eastAsia" w:ascii="Times New Roman" w:hAnsi="Times New Roman" w:cs="宋体"/>
          <w:b w:val="0"/>
          <w:color w:val="auto"/>
          <w:sz w:val="24"/>
          <w:szCs w:val="24"/>
        </w:rPr>
        <w:t>3.合同价格与支付</w:t>
      </w:r>
      <w:bookmarkEnd w:id="496"/>
      <w:bookmarkEnd w:id="497"/>
      <w:bookmarkEnd w:id="498"/>
      <w:bookmarkEnd w:id="499"/>
      <w:bookmarkEnd w:id="500"/>
      <w:bookmarkEnd w:id="501"/>
      <w:bookmarkEnd w:id="502"/>
      <w:bookmarkEnd w:id="503"/>
      <w:bookmarkEnd w:id="504"/>
    </w:p>
    <w:p w14:paraId="7488CC44">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3.1 合同价格</w:t>
      </w:r>
    </w:p>
    <w:p w14:paraId="3F114EC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3.1.2 本合同</w:t>
      </w:r>
      <w:bookmarkStart w:id="505" w:name="_Hlk38018594"/>
      <w:r>
        <w:rPr>
          <w:rFonts w:hint="eastAsia" w:ascii="Times New Roman" w:hAnsi="Times New Roman" w:eastAsia="宋体" w:cs="宋体"/>
          <w:color w:val="auto"/>
          <w:sz w:val="24"/>
          <w:szCs w:val="24"/>
        </w:rPr>
        <w:t>价格</w:t>
      </w:r>
      <w:bookmarkEnd w:id="505"/>
      <w:r>
        <w:rPr>
          <w:rFonts w:hint="eastAsia" w:ascii="Times New Roman" w:hAnsi="Times New Roman" w:eastAsia="宋体" w:cs="宋体"/>
          <w:color w:val="auto"/>
          <w:sz w:val="24"/>
          <w:szCs w:val="24"/>
        </w:rPr>
        <w:t>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6080EB9">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（1）固定单价合同。</w:t>
      </w:r>
    </w:p>
    <w:p w14:paraId="4E298E4C">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合同结算方式：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B44D134">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（2）固定总价合同。</w:t>
      </w:r>
    </w:p>
    <w:p w14:paraId="0A1A7855">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（3）其他合同价格形式：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4871073">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3.2 合同价款的支付</w:t>
      </w:r>
    </w:p>
    <w:p w14:paraId="3C8ECEC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买方应通过以下方式和比例向卖方支付合同价款：</w:t>
      </w:r>
      <w:r>
        <w:rPr>
          <w:rFonts w:hint="eastAsia" w:ascii="Times New Roman" w:hAnsi="Times New Roman" w:eastAsia="宋体" w:cs="宋体"/>
          <w:color w:val="auto"/>
          <w:sz w:val="24"/>
          <w:szCs w:val="24"/>
          <w:u w:val="single"/>
        </w:rPr>
        <w:t xml:space="preserve">                       </w:t>
      </w:r>
    </w:p>
    <w:p w14:paraId="4D9EF784">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06" w:name="_Toc10064"/>
      <w:bookmarkStart w:id="507" w:name="_Toc38436721"/>
      <w:bookmarkStart w:id="508" w:name="_Toc27927"/>
      <w:bookmarkStart w:id="509" w:name="_Toc31081"/>
      <w:bookmarkStart w:id="510" w:name="_Toc38478291"/>
      <w:bookmarkStart w:id="511" w:name="_Toc5212"/>
      <w:bookmarkStart w:id="512" w:name="_Toc56792811"/>
      <w:bookmarkStart w:id="513" w:name="_Toc13358"/>
      <w:bookmarkStart w:id="514" w:name="_Toc40275035"/>
      <w:r>
        <w:rPr>
          <w:rFonts w:hint="eastAsia" w:ascii="Times New Roman" w:hAnsi="Times New Roman" w:cs="宋体"/>
          <w:b w:val="0"/>
          <w:color w:val="auto"/>
          <w:sz w:val="24"/>
          <w:szCs w:val="24"/>
        </w:rPr>
        <w:t>4.监造及交货前检验</w:t>
      </w:r>
      <w:bookmarkEnd w:id="506"/>
      <w:bookmarkEnd w:id="507"/>
      <w:bookmarkEnd w:id="508"/>
      <w:bookmarkEnd w:id="509"/>
      <w:bookmarkEnd w:id="510"/>
      <w:bookmarkEnd w:id="511"/>
      <w:bookmarkEnd w:id="512"/>
      <w:bookmarkEnd w:id="513"/>
      <w:bookmarkEnd w:id="514"/>
    </w:p>
    <w:p w14:paraId="668A5346">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4.1 监造</w:t>
      </w:r>
    </w:p>
    <w:p w14:paraId="63A999D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本合同条款约定，买方对合同设备</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（进行/不进行）监造。</w:t>
      </w:r>
    </w:p>
    <w:p w14:paraId="7C7FBF25">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4.1.1 监造范围：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BD4D9D0">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监造方式：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FB4E5A4">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4.1.2 卖方为买方监造人员提供以下工作条件及便利：</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买方监造人员的交通、食宿费用由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负责承担。</w:t>
      </w:r>
    </w:p>
    <w:p w14:paraId="19DA9FB2">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4.1.6 （新增）双方权利和义务约定如下：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32D1E57">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4.2 交货前检验</w:t>
      </w:r>
    </w:p>
    <w:p w14:paraId="24F1F607">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本合同条款约定，买方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（参与/不参与）交货前检验。</w:t>
      </w:r>
    </w:p>
    <w:p w14:paraId="71783F49">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4.2.1 买方代表的交通、食宿费用由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（买方/卖方）承担。如由卖方承担的，此费用已包含在合同总价中，买方不另行支付。</w:t>
      </w:r>
    </w:p>
    <w:p w14:paraId="2D20BE12">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4.2.5 （新增）双方权利和义务约定如下：</w:t>
      </w:r>
      <w:r>
        <w:rPr>
          <w:rFonts w:hint="eastAsia" w:ascii="Times New Roman" w:hAnsi="Times New Roman" w:eastAsia="宋体" w:cs="宋体"/>
          <w:color w:val="auto"/>
          <w:sz w:val="24"/>
          <w:szCs w:val="24"/>
          <w:u w:val="single"/>
        </w:rPr>
        <w:t xml:space="preserve">                       </w:t>
      </w:r>
    </w:p>
    <w:p w14:paraId="5C28776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15" w:name="_Toc9939"/>
      <w:bookmarkStart w:id="516" w:name="_Toc56792812"/>
      <w:bookmarkStart w:id="517" w:name="_Toc38436722"/>
      <w:bookmarkStart w:id="518" w:name="_Toc10830"/>
      <w:bookmarkStart w:id="519" w:name="_Toc28754"/>
      <w:bookmarkStart w:id="520" w:name="_Toc3554"/>
      <w:bookmarkStart w:id="521" w:name="_Toc38478292"/>
      <w:bookmarkStart w:id="522" w:name="_Toc40275036"/>
      <w:bookmarkStart w:id="523" w:name="_Toc25215"/>
      <w:r>
        <w:rPr>
          <w:rFonts w:hint="eastAsia" w:ascii="Times New Roman" w:hAnsi="Times New Roman" w:cs="宋体"/>
          <w:b w:val="0"/>
          <w:color w:val="auto"/>
          <w:sz w:val="24"/>
          <w:szCs w:val="24"/>
        </w:rPr>
        <w:t>5.包装、标记、运输和交付</w:t>
      </w:r>
      <w:bookmarkEnd w:id="515"/>
      <w:bookmarkEnd w:id="516"/>
      <w:bookmarkEnd w:id="517"/>
      <w:bookmarkEnd w:id="518"/>
      <w:bookmarkEnd w:id="519"/>
      <w:bookmarkEnd w:id="520"/>
      <w:bookmarkEnd w:id="521"/>
      <w:bookmarkEnd w:id="522"/>
      <w:bookmarkEnd w:id="523"/>
      <w:r>
        <w:rPr>
          <w:rFonts w:hint="eastAsia" w:ascii="Times New Roman" w:hAnsi="Times New Roman" w:cs="宋体"/>
          <w:b w:val="0"/>
          <w:color w:val="auto"/>
          <w:sz w:val="24"/>
          <w:szCs w:val="24"/>
        </w:rPr>
        <w:t xml:space="preserve"> </w:t>
      </w:r>
    </w:p>
    <w:p w14:paraId="1779937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5.1 包装</w:t>
      </w:r>
    </w:p>
    <w:p w14:paraId="2E1B2F6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5.1.3 包装退还的约定：</w:t>
      </w:r>
      <w:r>
        <w:rPr>
          <w:rFonts w:hint="eastAsia" w:ascii="Times New Roman" w:hAnsi="Times New Roman" w:eastAsia="宋体" w:cs="宋体"/>
          <w:color w:val="auto"/>
          <w:sz w:val="24"/>
          <w:szCs w:val="24"/>
          <w:u w:val="single"/>
        </w:rPr>
        <w:t xml:space="preserve">                         </w:t>
      </w:r>
    </w:p>
    <w:p w14:paraId="63F6167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5.1.4 （新增）本项目包装要求：</w:t>
      </w:r>
      <w:r>
        <w:rPr>
          <w:rFonts w:hint="eastAsia" w:ascii="Times New Roman" w:hAnsi="Times New Roman" w:eastAsia="宋体" w:cs="宋体"/>
          <w:color w:val="auto"/>
          <w:sz w:val="24"/>
          <w:szCs w:val="24"/>
          <w:u w:val="single"/>
        </w:rPr>
        <w:t xml:space="preserve">                    </w:t>
      </w:r>
    </w:p>
    <w:p w14:paraId="72C9FA0C">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5.2 标记 </w:t>
      </w:r>
    </w:p>
    <w:p w14:paraId="498A9E7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5.2.1 包装箱标记内容和方式：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5EEEC4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5.2.2 超大超重件约定：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9EAB1CA">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5.3 运输</w:t>
      </w:r>
    </w:p>
    <w:p w14:paraId="5BB357F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5.3.2 设备装运方式：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A437B4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5.3.3 卖方应在合同设备预计启运</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日前，将</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等预通知买方，并在合同设备启运后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小时之内正式通知买方。</w:t>
      </w:r>
    </w:p>
    <w:p w14:paraId="59DDEC2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5.3.5 （新增）本项目运输工具、路线安排的约定：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1B949F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5.4 交付 </w:t>
      </w:r>
    </w:p>
    <w:p w14:paraId="2C57729B">
      <w:pPr>
        <w:widowControl w:val="0"/>
        <w:kinsoku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5.4.1 合同约定的交付时间和批次：</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。交付地点及方式：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 </w:t>
      </w:r>
    </w:p>
    <w:p w14:paraId="31D4710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5.4.3 买方如果发现技术资料存在短缺和（或）损坏，卖方应在收到买方的通知后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日内免费补齐短缺和（或）损坏的部分。</w:t>
      </w:r>
    </w:p>
    <w:p w14:paraId="3E01401C">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24" w:name="_Toc38436723"/>
      <w:bookmarkStart w:id="525" w:name="_Toc38478293"/>
      <w:bookmarkStart w:id="526" w:name="_Toc12528"/>
      <w:bookmarkStart w:id="527" w:name="_Toc13611"/>
      <w:bookmarkStart w:id="528" w:name="_Toc15243"/>
      <w:bookmarkStart w:id="529" w:name="_Toc56792813"/>
      <w:bookmarkStart w:id="530" w:name="_Toc40275037"/>
      <w:bookmarkStart w:id="531" w:name="_Toc18403"/>
      <w:bookmarkStart w:id="532" w:name="_Toc27067"/>
      <w:r>
        <w:rPr>
          <w:rFonts w:hint="eastAsia" w:ascii="Times New Roman" w:hAnsi="Times New Roman" w:cs="宋体"/>
          <w:b w:val="0"/>
          <w:color w:val="auto"/>
          <w:sz w:val="24"/>
          <w:szCs w:val="24"/>
        </w:rPr>
        <w:t>6.开箱检验、安装、调试、考核、验收</w:t>
      </w:r>
      <w:bookmarkEnd w:id="524"/>
      <w:bookmarkEnd w:id="525"/>
      <w:bookmarkEnd w:id="526"/>
      <w:bookmarkEnd w:id="527"/>
      <w:bookmarkEnd w:id="528"/>
      <w:bookmarkEnd w:id="529"/>
      <w:bookmarkEnd w:id="530"/>
      <w:bookmarkEnd w:id="531"/>
      <w:bookmarkEnd w:id="532"/>
    </w:p>
    <w:p w14:paraId="510543D8">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 xml:space="preserve">6.1 开箱检验 </w:t>
      </w:r>
    </w:p>
    <w:p w14:paraId="52088ED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6.1.1 开箱检验时间的约定：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D5D5C2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6.1.2 开箱检验约定地点：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1A4E98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6.1.6 开箱检验中发现合同设备短缺、损坏或其他与合同约定不符的情形，买卖双方责任划分的约定：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5EA0DEE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6.1.7 第三方检测的约定：</w:t>
      </w:r>
      <w:r>
        <w:rPr>
          <w:rFonts w:hint="eastAsia" w:ascii="Times New Roman" w:hAnsi="Times New Roman" w:eastAsia="宋体" w:cs="宋体"/>
          <w:color w:val="auto"/>
          <w:sz w:val="24"/>
          <w:szCs w:val="24"/>
          <w:u w:val="single"/>
        </w:rPr>
        <w:t xml:space="preserve">                        </w:t>
      </w:r>
    </w:p>
    <w:p w14:paraId="5C950B21">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6.2 安装、调试</w:t>
      </w:r>
    </w:p>
    <w:p w14:paraId="5CD8D37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6.2.1 安装、调试方式的约定：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53489D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在安装、调试过程中，出现安装、调试不成功和（或）造成合同设备损坏的情况，买卖双方责任划分的约定：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B97E2C1">
      <w:pPr>
        <w:widowControl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6.2.2 安装、调试中合同设备运行需要的用水、用电、其他动力和原材料（如需要）等均由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1CE2D910">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6.3 考核</w:t>
      </w:r>
    </w:p>
    <w:p w14:paraId="45ADF136">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6.3.1考核中合同设备运行需要的用水、用电、其他动力和原材料（如需要）等均由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3D0B798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6.3.3 合同设备的最低技术性能考核指标的约定：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；合同设备达到了最低技术性能考核指标的，卖方应</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（进行减价/向买方支付补偿金），减价或补偿金金额的约定：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。双方在考核中另行达成了合同设备的最低技术性能考核指标，双方应签订补充协议。</w:t>
      </w:r>
    </w:p>
    <w:p w14:paraId="7C4168B5">
      <w:pPr>
        <w:widowControl w:val="0"/>
        <w:adjustRightInd w:val="0"/>
        <w:snapToGrid w:val="0"/>
        <w:spacing w:after="0" w:line="480" w:lineRule="exact"/>
        <w:ind w:firstLine="482" w:firstLineChars="200"/>
        <w:jc w:val="both"/>
        <w:outlineLvl w:val="2"/>
        <w:rPr>
          <w:rFonts w:ascii="Times New Roman" w:hAnsi="Times New Roman" w:eastAsia="宋体" w:cs="宋体"/>
          <w:b/>
          <w:color w:val="auto"/>
          <w:kern w:val="0"/>
          <w:sz w:val="24"/>
          <w:szCs w:val="24"/>
        </w:rPr>
      </w:pPr>
      <w:r>
        <w:rPr>
          <w:rFonts w:hint="eastAsia" w:ascii="Times New Roman" w:hAnsi="Times New Roman" w:eastAsia="宋体" w:cs="宋体"/>
          <w:b/>
          <w:color w:val="auto"/>
          <w:kern w:val="0"/>
          <w:sz w:val="24"/>
          <w:szCs w:val="24"/>
        </w:rPr>
        <w:t>6.4 验收</w:t>
      </w:r>
    </w:p>
    <w:p w14:paraId="745AEAF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6.4.1 如合同设备在考核中达到或视为达到技术性能考核指标，则买卖双方应在考核完成后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日内签署合同设备验收证书一式二份，双方各持一份。验收日期应为合同设备达到或视为达到技术性能考核指标的日期。</w:t>
      </w:r>
    </w:p>
    <w:p w14:paraId="5EF46E9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6.4.2 如由于买方原因合同设备在三次考核中均未能达到技术性能考核指标，买卖双方应在考核结束后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日内签署验收款支付函。</w:t>
      </w:r>
    </w:p>
    <w:p w14:paraId="6242F8CF">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卖方后续服务的约定：</w:t>
      </w:r>
      <w:r>
        <w:rPr>
          <w:rFonts w:hint="eastAsia" w:ascii="Times New Roman" w:hAnsi="Times New Roman" w:eastAsia="宋体" w:cs="宋体"/>
          <w:color w:val="auto"/>
          <w:sz w:val="24"/>
          <w:szCs w:val="24"/>
          <w:u w:val="single"/>
        </w:rPr>
        <w:t xml:space="preserve">                        </w:t>
      </w:r>
    </w:p>
    <w:p w14:paraId="3E4FFD4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6.4.3 由于买方原因在最后一批合同设备交货后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个月内未能开始考核，则买卖双方应在</w:t>
      </w:r>
      <w:r>
        <w:rPr>
          <w:rFonts w:hint="eastAsia" w:ascii="Times New Roman" w:hAnsi="Times New Roman" w:eastAsia="宋体" w:cs="宋体"/>
          <w:b/>
          <w:bCs/>
          <w:color w:val="auto"/>
          <w:sz w:val="24"/>
          <w:szCs w:val="24"/>
        </w:rPr>
        <w:t>上述期限届满后</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b/>
          <w:bCs/>
          <w:color w:val="auto"/>
          <w:sz w:val="24"/>
          <w:szCs w:val="24"/>
        </w:rPr>
        <w:t>日内</w:t>
      </w:r>
      <w:r>
        <w:rPr>
          <w:rFonts w:hint="eastAsia" w:ascii="Times New Roman" w:hAnsi="Times New Roman" w:eastAsia="宋体" w:cs="宋体"/>
          <w:color w:val="auto"/>
          <w:sz w:val="24"/>
          <w:szCs w:val="24"/>
        </w:rPr>
        <w:t>签署验收款支付函。</w:t>
      </w:r>
    </w:p>
    <w:p w14:paraId="1DB3A19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卖方后续服务的约定：</w:t>
      </w:r>
      <w:r>
        <w:rPr>
          <w:rFonts w:hint="eastAsia" w:ascii="Times New Roman" w:hAnsi="Times New Roman" w:eastAsia="宋体" w:cs="宋体"/>
          <w:color w:val="auto"/>
          <w:sz w:val="24"/>
          <w:szCs w:val="24"/>
          <w:u w:val="single"/>
        </w:rPr>
        <w:t xml:space="preserve">                        </w:t>
      </w:r>
    </w:p>
    <w:p w14:paraId="0F4A3AA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33" w:name="_Toc14086"/>
      <w:bookmarkStart w:id="534" w:name="_Toc38436724"/>
      <w:bookmarkStart w:id="535" w:name="_Toc1916"/>
      <w:bookmarkStart w:id="536" w:name="_Toc56792814"/>
      <w:bookmarkStart w:id="537" w:name="_Toc38478294"/>
      <w:bookmarkStart w:id="538" w:name="_Toc40275038"/>
      <w:bookmarkStart w:id="539" w:name="_Toc2479"/>
      <w:bookmarkStart w:id="540" w:name="_Toc855"/>
      <w:bookmarkStart w:id="541" w:name="_Toc10634"/>
      <w:r>
        <w:rPr>
          <w:rFonts w:hint="eastAsia" w:ascii="Times New Roman" w:hAnsi="Times New Roman" w:cs="宋体"/>
          <w:b w:val="0"/>
          <w:color w:val="auto"/>
          <w:sz w:val="24"/>
          <w:szCs w:val="24"/>
        </w:rPr>
        <w:t>7.技术服务</w:t>
      </w:r>
      <w:bookmarkEnd w:id="533"/>
      <w:bookmarkEnd w:id="534"/>
      <w:bookmarkEnd w:id="535"/>
      <w:bookmarkEnd w:id="536"/>
      <w:bookmarkEnd w:id="537"/>
      <w:bookmarkEnd w:id="538"/>
      <w:bookmarkEnd w:id="539"/>
      <w:bookmarkEnd w:id="540"/>
      <w:bookmarkEnd w:id="541"/>
      <w:r>
        <w:rPr>
          <w:rFonts w:hint="eastAsia" w:ascii="Times New Roman" w:hAnsi="Times New Roman" w:cs="宋体"/>
          <w:b w:val="0"/>
          <w:color w:val="auto"/>
          <w:sz w:val="24"/>
          <w:szCs w:val="24"/>
        </w:rPr>
        <w:t xml:space="preserve"> </w:t>
      </w:r>
    </w:p>
    <w:p w14:paraId="2DB8DFA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7.2 卖方技术人员的交通、食宿费用由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2867D77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7.5（新增）本项目其他技术服务要求：</w:t>
      </w:r>
      <w:r>
        <w:rPr>
          <w:rFonts w:hint="eastAsia" w:ascii="Times New Roman" w:hAnsi="Times New Roman" w:eastAsia="宋体" w:cs="宋体"/>
          <w:color w:val="auto"/>
          <w:sz w:val="24"/>
          <w:szCs w:val="24"/>
          <w:u w:val="single"/>
        </w:rPr>
        <w:t xml:space="preserve">                        </w:t>
      </w:r>
    </w:p>
    <w:p w14:paraId="32C2B280">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42" w:name="_Toc23276"/>
      <w:bookmarkStart w:id="543" w:name="_Toc17750"/>
      <w:bookmarkStart w:id="544" w:name="_Toc15635"/>
      <w:bookmarkStart w:id="545" w:name="_Toc38478295"/>
      <w:bookmarkStart w:id="546" w:name="_Toc40275039"/>
      <w:bookmarkStart w:id="547" w:name="_Toc56792815"/>
      <w:bookmarkStart w:id="548" w:name="_Toc6544"/>
      <w:bookmarkStart w:id="549" w:name="_Toc24931"/>
      <w:bookmarkStart w:id="550" w:name="_Toc38436725"/>
      <w:r>
        <w:rPr>
          <w:rFonts w:hint="eastAsia" w:ascii="Times New Roman" w:hAnsi="Times New Roman" w:cs="宋体"/>
          <w:b w:val="0"/>
          <w:color w:val="auto"/>
          <w:sz w:val="24"/>
          <w:szCs w:val="24"/>
        </w:rPr>
        <w:t>8.质量保证期</w:t>
      </w:r>
      <w:bookmarkEnd w:id="542"/>
      <w:bookmarkEnd w:id="543"/>
      <w:bookmarkEnd w:id="544"/>
      <w:bookmarkEnd w:id="545"/>
      <w:bookmarkEnd w:id="546"/>
      <w:bookmarkEnd w:id="547"/>
      <w:bookmarkEnd w:id="548"/>
      <w:bookmarkEnd w:id="549"/>
      <w:bookmarkEnd w:id="550"/>
      <w:r>
        <w:rPr>
          <w:rFonts w:hint="eastAsia" w:ascii="Times New Roman" w:hAnsi="Times New Roman" w:cs="宋体"/>
          <w:b w:val="0"/>
          <w:color w:val="auto"/>
          <w:sz w:val="24"/>
          <w:szCs w:val="24"/>
        </w:rPr>
        <w:t xml:space="preserve"> </w:t>
      </w:r>
    </w:p>
    <w:p w14:paraId="7246950A">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8.1 合同设备整体质量保证期约定：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8D097D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合同设备中关键部件的质量保证期特殊要求：</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55E130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8.3 质量保证期届满后，买方应在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日内向卖方出具合同设备的质量保证期届满证书。</w:t>
      </w:r>
    </w:p>
    <w:p w14:paraId="550C0FE3">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8.4 在合同第 6.4.2 项情形下，如在验收款支付函签署后 12 个月内由于买方原因合同设备仍未能达到技术性能考核指标，则买卖双方应在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内签署结清款支付函。</w:t>
      </w:r>
    </w:p>
    <w:p w14:paraId="4ACA615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8.5 在合同第 6.4.3 项情形下，如在验收款支付函签署后 6 个月内由于买方原因合同设备仍未进行考核或仍未达到技术性能考核指标，则买卖双方应在</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内签署结清款支付函。</w:t>
      </w:r>
    </w:p>
    <w:p w14:paraId="51051355">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51" w:name="_Toc4486"/>
      <w:bookmarkStart w:id="552" w:name="_Toc38478296"/>
      <w:bookmarkStart w:id="553" w:name="_Toc56792816"/>
      <w:bookmarkStart w:id="554" w:name="_Toc40275040"/>
      <w:bookmarkStart w:id="555" w:name="_Toc3038"/>
      <w:bookmarkStart w:id="556" w:name="_Toc4875"/>
      <w:bookmarkStart w:id="557" w:name="_Toc3337"/>
      <w:bookmarkStart w:id="558" w:name="_Toc18042"/>
      <w:bookmarkStart w:id="559" w:name="_Toc38436726"/>
      <w:r>
        <w:rPr>
          <w:rFonts w:hint="eastAsia" w:ascii="Times New Roman" w:hAnsi="Times New Roman" w:cs="宋体"/>
          <w:b w:val="0"/>
          <w:color w:val="auto"/>
          <w:sz w:val="24"/>
          <w:szCs w:val="24"/>
        </w:rPr>
        <w:t>9.质保期服务</w:t>
      </w:r>
      <w:bookmarkEnd w:id="551"/>
      <w:bookmarkEnd w:id="552"/>
      <w:bookmarkEnd w:id="553"/>
      <w:bookmarkEnd w:id="554"/>
      <w:bookmarkEnd w:id="555"/>
      <w:bookmarkEnd w:id="556"/>
      <w:bookmarkEnd w:id="557"/>
      <w:bookmarkEnd w:id="558"/>
      <w:bookmarkEnd w:id="559"/>
    </w:p>
    <w:p w14:paraId="4AC37DB8">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9.1 质保期服务卖方响应时间的约定：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8BACD8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9.2 卖方技术人员的交通、食宿费用由</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（买方/卖方）承担。</w:t>
      </w:r>
    </w:p>
    <w:p w14:paraId="416B1A58">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9.4 质保期服务情况记录的约定：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4DE703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9.5（新增）新增质保期服务其他要求：</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482F9EB">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60" w:name="_Toc24217"/>
      <w:bookmarkStart w:id="561" w:name="_Toc23683"/>
      <w:bookmarkStart w:id="562" w:name="_Toc38436727"/>
      <w:bookmarkStart w:id="563" w:name="_Toc40275041"/>
      <w:bookmarkStart w:id="564" w:name="_Toc16220"/>
      <w:bookmarkStart w:id="565" w:name="_Toc32108"/>
      <w:bookmarkStart w:id="566" w:name="_Toc38478297"/>
      <w:bookmarkStart w:id="567" w:name="_Toc56792817"/>
      <w:bookmarkStart w:id="568" w:name="_Toc23279"/>
      <w:r>
        <w:rPr>
          <w:rFonts w:hint="eastAsia" w:ascii="Times New Roman" w:hAnsi="Times New Roman" w:cs="宋体"/>
          <w:b w:val="0"/>
          <w:color w:val="auto"/>
          <w:sz w:val="24"/>
          <w:szCs w:val="24"/>
        </w:rPr>
        <w:t>10.履约</w:t>
      </w:r>
      <w:bookmarkEnd w:id="560"/>
      <w:bookmarkEnd w:id="561"/>
      <w:bookmarkEnd w:id="562"/>
      <w:bookmarkEnd w:id="563"/>
      <w:bookmarkEnd w:id="564"/>
      <w:bookmarkEnd w:id="565"/>
      <w:bookmarkEnd w:id="566"/>
      <w:bookmarkEnd w:id="567"/>
      <w:r>
        <w:rPr>
          <w:rFonts w:hint="eastAsia" w:ascii="Times New Roman" w:hAnsi="Times New Roman" w:cs="宋体"/>
          <w:b w:val="0"/>
          <w:color w:val="auto"/>
          <w:sz w:val="24"/>
          <w:szCs w:val="24"/>
        </w:rPr>
        <w:t>保证金</w:t>
      </w:r>
      <w:bookmarkEnd w:id="568"/>
    </w:p>
    <w:p w14:paraId="4FBA785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本合同卖方</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（提交/不提交）履约保证金。履约保证金的约定：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3FA7CF37">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69" w:name="_Toc15376"/>
      <w:bookmarkStart w:id="570" w:name="_Toc12656"/>
      <w:bookmarkStart w:id="571" w:name="_Toc29548"/>
      <w:bookmarkStart w:id="572" w:name="_Toc40275042"/>
      <w:bookmarkStart w:id="573" w:name="_Toc56792818"/>
      <w:bookmarkStart w:id="574" w:name="_Toc31198"/>
      <w:bookmarkStart w:id="575" w:name="_Toc38436728"/>
      <w:bookmarkStart w:id="576" w:name="_Toc26919"/>
      <w:bookmarkStart w:id="577" w:name="_Toc38478298"/>
      <w:r>
        <w:rPr>
          <w:rFonts w:hint="eastAsia" w:ascii="Times New Roman" w:hAnsi="Times New Roman" w:cs="宋体"/>
          <w:b w:val="0"/>
          <w:color w:val="auto"/>
          <w:sz w:val="24"/>
          <w:szCs w:val="24"/>
        </w:rPr>
        <w:t>11.保证</w:t>
      </w:r>
      <w:bookmarkEnd w:id="569"/>
      <w:bookmarkEnd w:id="570"/>
      <w:bookmarkEnd w:id="571"/>
      <w:bookmarkEnd w:id="572"/>
      <w:bookmarkEnd w:id="573"/>
      <w:bookmarkEnd w:id="574"/>
      <w:bookmarkEnd w:id="575"/>
      <w:bookmarkEnd w:id="576"/>
      <w:bookmarkEnd w:id="577"/>
    </w:p>
    <w:p w14:paraId="23C54580">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11.4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2081524">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11.7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B1FF784">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78" w:name="_Toc38478299"/>
      <w:bookmarkStart w:id="579" w:name="_Toc15131"/>
      <w:bookmarkStart w:id="580" w:name="_Toc38436729"/>
      <w:bookmarkStart w:id="581" w:name="_Toc21094"/>
      <w:bookmarkStart w:id="582" w:name="_Toc30909"/>
      <w:bookmarkStart w:id="583" w:name="_Toc24880"/>
      <w:bookmarkStart w:id="584" w:name="_Toc17407"/>
      <w:bookmarkStart w:id="585" w:name="_Toc56792819"/>
      <w:bookmarkStart w:id="586" w:name="_Toc40275043"/>
      <w:r>
        <w:rPr>
          <w:rFonts w:hint="eastAsia" w:ascii="Times New Roman" w:hAnsi="Times New Roman" w:cs="宋体"/>
          <w:b w:val="0"/>
          <w:color w:val="auto"/>
          <w:sz w:val="24"/>
          <w:szCs w:val="24"/>
        </w:rPr>
        <w:t>12.知识产权</w:t>
      </w:r>
      <w:bookmarkEnd w:id="578"/>
      <w:bookmarkEnd w:id="579"/>
      <w:bookmarkEnd w:id="580"/>
      <w:bookmarkEnd w:id="581"/>
      <w:bookmarkEnd w:id="582"/>
      <w:bookmarkEnd w:id="583"/>
      <w:bookmarkEnd w:id="584"/>
      <w:bookmarkEnd w:id="585"/>
      <w:bookmarkEnd w:id="586"/>
    </w:p>
    <w:p w14:paraId="4467834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11.2 修改本条款如下：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52252705">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12.4 如果卖方拒绝处理前述索赔或诉讼或在收到买方通知后 28 日内未作表示，本款约定：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656C2EE">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87" w:name="_Toc56792820"/>
      <w:bookmarkStart w:id="588" w:name="_Toc9995"/>
      <w:bookmarkStart w:id="589" w:name="_Toc38436730"/>
      <w:bookmarkStart w:id="590" w:name="_Toc40275044"/>
      <w:bookmarkStart w:id="591" w:name="_Toc38478300"/>
      <w:bookmarkStart w:id="592" w:name="_Toc4709"/>
      <w:bookmarkStart w:id="593" w:name="_Toc23420"/>
      <w:bookmarkStart w:id="594" w:name="_Toc28424"/>
      <w:bookmarkStart w:id="595" w:name="_Toc3579"/>
      <w:r>
        <w:rPr>
          <w:rFonts w:hint="eastAsia" w:ascii="Times New Roman" w:hAnsi="Times New Roman" w:cs="宋体"/>
          <w:b w:val="0"/>
          <w:color w:val="auto"/>
          <w:sz w:val="24"/>
          <w:szCs w:val="24"/>
        </w:rPr>
        <w:t>14.违约责任</w:t>
      </w:r>
      <w:bookmarkEnd w:id="587"/>
      <w:bookmarkEnd w:id="588"/>
      <w:bookmarkEnd w:id="589"/>
      <w:bookmarkEnd w:id="590"/>
      <w:bookmarkEnd w:id="591"/>
      <w:bookmarkEnd w:id="592"/>
      <w:bookmarkEnd w:id="593"/>
      <w:bookmarkEnd w:id="594"/>
      <w:bookmarkEnd w:id="595"/>
    </w:p>
    <w:p w14:paraId="798115AD">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14.2 迟延交付违约金的计算方法：</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6829795E">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14.3迟延付款违约金的计算方法：</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1A21FE2A">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596" w:name="_Toc11386"/>
      <w:bookmarkStart w:id="597" w:name="_Toc38478301"/>
      <w:bookmarkStart w:id="598" w:name="_Toc38436731"/>
      <w:bookmarkStart w:id="599" w:name="_Toc40275045"/>
      <w:bookmarkStart w:id="600" w:name="_Toc22280"/>
      <w:bookmarkStart w:id="601" w:name="_Toc22165"/>
      <w:bookmarkStart w:id="602" w:name="_Toc56792821"/>
      <w:bookmarkStart w:id="603" w:name="_Toc3138"/>
      <w:bookmarkStart w:id="604" w:name="_Toc30951"/>
      <w:r>
        <w:rPr>
          <w:rFonts w:hint="eastAsia" w:ascii="Times New Roman" w:hAnsi="Times New Roman" w:cs="宋体"/>
          <w:b w:val="0"/>
          <w:color w:val="auto"/>
          <w:sz w:val="24"/>
          <w:szCs w:val="24"/>
        </w:rPr>
        <w:t>15.合同的解除</w:t>
      </w:r>
      <w:bookmarkEnd w:id="596"/>
      <w:bookmarkEnd w:id="597"/>
      <w:bookmarkEnd w:id="598"/>
      <w:bookmarkEnd w:id="599"/>
      <w:bookmarkEnd w:id="600"/>
      <w:bookmarkEnd w:id="601"/>
      <w:bookmarkEnd w:id="602"/>
      <w:bookmarkEnd w:id="603"/>
      <w:bookmarkEnd w:id="604"/>
    </w:p>
    <w:p w14:paraId="25206421">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当事人可发出书面通知全部或部分地解除合同，合同自通知到达对方时全部或部分地解除的情形：</w:t>
      </w:r>
    </w:p>
    <w:p w14:paraId="66AE1BC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406CA0A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25CB83C">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5A148FCA">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605" w:name="_Toc17971"/>
      <w:bookmarkStart w:id="606" w:name="_Toc56792822"/>
      <w:bookmarkStart w:id="607" w:name="_Toc38478302"/>
      <w:bookmarkStart w:id="608" w:name="_Toc17617"/>
      <w:bookmarkStart w:id="609" w:name="_Toc38436732"/>
      <w:bookmarkStart w:id="610" w:name="_Toc40275046"/>
      <w:bookmarkStart w:id="611" w:name="_Toc18702"/>
      <w:bookmarkStart w:id="612" w:name="_Toc30683"/>
      <w:bookmarkStart w:id="613" w:name="_Toc25030"/>
      <w:r>
        <w:rPr>
          <w:rFonts w:hint="eastAsia" w:ascii="Times New Roman" w:hAnsi="Times New Roman" w:cs="宋体"/>
          <w:b w:val="0"/>
          <w:color w:val="auto"/>
          <w:sz w:val="24"/>
          <w:szCs w:val="24"/>
        </w:rPr>
        <w:t>16.不可抗力</w:t>
      </w:r>
      <w:bookmarkEnd w:id="605"/>
      <w:bookmarkEnd w:id="606"/>
      <w:bookmarkEnd w:id="607"/>
      <w:bookmarkEnd w:id="608"/>
      <w:bookmarkEnd w:id="609"/>
      <w:bookmarkEnd w:id="610"/>
      <w:bookmarkEnd w:id="611"/>
      <w:bookmarkEnd w:id="612"/>
      <w:bookmarkEnd w:id="613"/>
    </w:p>
    <w:p w14:paraId="61DD28D9">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16.1 不可抗力其他情形的约定：</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7C74FF52">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16.3 不可抗力事件的影响持续超过</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2F73DB9C">
      <w:pPr>
        <w:pStyle w:val="3"/>
        <w:keepNext w:val="0"/>
        <w:keepLines w:val="0"/>
        <w:widowControl w:val="0"/>
        <w:adjustRightInd w:val="0"/>
        <w:snapToGrid w:val="0"/>
        <w:spacing w:line="480" w:lineRule="exact"/>
        <w:ind w:left="0" w:right="0" w:firstLine="480" w:firstLineChars="200"/>
        <w:jc w:val="both"/>
        <w:rPr>
          <w:rFonts w:ascii="Times New Roman" w:hAnsi="Times New Roman" w:cs="宋体"/>
          <w:b w:val="0"/>
          <w:color w:val="auto"/>
          <w:sz w:val="24"/>
          <w:szCs w:val="24"/>
        </w:rPr>
      </w:pPr>
      <w:bookmarkStart w:id="614" w:name="_Toc20234"/>
      <w:bookmarkStart w:id="615" w:name="_Toc56792823"/>
      <w:bookmarkStart w:id="616" w:name="_Toc38478303"/>
      <w:bookmarkStart w:id="617" w:name="_Toc27614"/>
      <w:bookmarkStart w:id="618" w:name="_Toc40275047"/>
      <w:bookmarkStart w:id="619" w:name="_Toc18932"/>
      <w:bookmarkStart w:id="620" w:name="_Toc38436733"/>
      <w:bookmarkStart w:id="621" w:name="_Toc28089"/>
      <w:bookmarkStart w:id="622" w:name="_Toc3341"/>
      <w:r>
        <w:rPr>
          <w:rFonts w:hint="eastAsia" w:ascii="Times New Roman" w:hAnsi="Times New Roman" w:cs="宋体"/>
          <w:b w:val="0"/>
          <w:color w:val="auto"/>
          <w:sz w:val="24"/>
          <w:szCs w:val="24"/>
        </w:rPr>
        <w:t>17.争议的解决</w:t>
      </w:r>
      <w:bookmarkEnd w:id="614"/>
      <w:bookmarkEnd w:id="615"/>
      <w:bookmarkEnd w:id="616"/>
      <w:bookmarkEnd w:id="617"/>
      <w:bookmarkEnd w:id="618"/>
      <w:bookmarkEnd w:id="619"/>
      <w:bookmarkEnd w:id="620"/>
      <w:bookmarkEnd w:id="621"/>
      <w:bookmarkEnd w:id="622"/>
      <w:r>
        <w:rPr>
          <w:rFonts w:hint="eastAsia" w:ascii="Times New Roman" w:hAnsi="Times New Roman" w:cs="宋体"/>
          <w:b w:val="0"/>
          <w:color w:val="auto"/>
          <w:sz w:val="24"/>
          <w:szCs w:val="24"/>
        </w:rPr>
        <w:t xml:space="preserve"> </w:t>
      </w:r>
    </w:p>
    <w:p w14:paraId="0ABCBC07">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友好协商解决不成的，约定下列第</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种方式解决：</w:t>
      </w:r>
    </w:p>
    <w:p w14:paraId="05860F8B">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（1）向约定的仲裁委员会申请仲裁；约定的仲裁委员会为：</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w:t>
      </w:r>
    </w:p>
    <w:p w14:paraId="030F076A">
      <w:pPr>
        <w:widowControl w:val="0"/>
        <w:adjustRightInd w:val="0"/>
        <w:snapToGrid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（2）向有管辖权的人民法院提起诉讼。</w:t>
      </w:r>
    </w:p>
    <w:p w14:paraId="729C1EA8">
      <w:pPr>
        <w:widowControl w:val="0"/>
        <w:adjustRightInd w:val="0"/>
        <w:snapToGrid w:val="0"/>
        <w:spacing w:after="0" w:line="480" w:lineRule="exact"/>
        <w:ind w:firstLine="482" w:firstLineChars="200"/>
        <w:jc w:val="both"/>
        <w:outlineLvl w:val="1"/>
        <w:rPr>
          <w:rFonts w:ascii="Times New Roman" w:hAnsi="Times New Roman" w:eastAsia="宋体" w:cs="宋体"/>
          <w:b/>
          <w:color w:val="auto"/>
          <w:kern w:val="0"/>
          <w:sz w:val="24"/>
          <w:szCs w:val="24"/>
        </w:rPr>
      </w:pPr>
      <w:bookmarkStart w:id="623" w:name="_Toc56792824"/>
      <w:bookmarkStart w:id="624" w:name="_Toc23232"/>
      <w:bookmarkStart w:id="625" w:name="_Toc24886"/>
      <w:bookmarkStart w:id="626" w:name="_Toc31332"/>
      <w:bookmarkStart w:id="627" w:name="_Toc38478304"/>
      <w:bookmarkStart w:id="628" w:name="_Toc6280"/>
      <w:bookmarkStart w:id="629" w:name="_Toc18171"/>
      <w:bookmarkStart w:id="630" w:name="_Toc40275048"/>
      <w:r>
        <w:rPr>
          <w:rFonts w:hint="eastAsia" w:ascii="Times New Roman" w:hAnsi="Times New Roman" w:eastAsia="宋体" w:cs="宋体"/>
          <w:b/>
          <w:color w:val="auto"/>
          <w:kern w:val="0"/>
          <w:sz w:val="24"/>
          <w:szCs w:val="24"/>
        </w:rPr>
        <w:t>18.……（根据项目情况补充）</w:t>
      </w:r>
      <w:bookmarkEnd w:id="623"/>
      <w:bookmarkEnd w:id="624"/>
      <w:bookmarkEnd w:id="625"/>
      <w:bookmarkEnd w:id="626"/>
      <w:bookmarkEnd w:id="627"/>
      <w:bookmarkEnd w:id="628"/>
      <w:bookmarkEnd w:id="629"/>
      <w:bookmarkEnd w:id="630"/>
    </w:p>
    <w:p w14:paraId="6A51193A">
      <w:pPr>
        <w:widowControl w:val="0"/>
        <w:spacing w:after="0" w:line="480" w:lineRule="exact"/>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4441C320">
      <w:pPr>
        <w:widowControl w:val="0"/>
        <w:spacing w:line="480" w:lineRule="exact"/>
        <w:ind w:firstLine="482" w:firstLineChars="200"/>
        <w:rPr>
          <w:rFonts w:ascii="Times New Roman" w:hAnsi="Times New Roman" w:eastAsia="宋体" w:cs="宋体"/>
          <w:b/>
          <w:color w:val="auto"/>
          <w:sz w:val="24"/>
          <w:szCs w:val="24"/>
        </w:rPr>
      </w:pPr>
      <w:r>
        <w:rPr>
          <w:rFonts w:hint="eastAsia" w:ascii="Times New Roman" w:hAnsi="Times New Roman" w:eastAsia="宋体" w:cs="宋体"/>
          <w:b/>
          <w:color w:val="auto"/>
          <w:sz w:val="24"/>
          <w:szCs w:val="24"/>
        </w:rPr>
        <w:br w:type="page"/>
      </w:r>
    </w:p>
    <w:p w14:paraId="29E78289"/>
    <w:p w14:paraId="3187886E">
      <w:pPr>
        <w:rPr>
          <w:rFonts w:ascii="Times New Roman" w:hAnsi="Times New Roman" w:eastAsia="宋体" w:cs="宋体"/>
          <w:b/>
          <w:color w:val="auto"/>
        </w:rPr>
      </w:pPr>
    </w:p>
    <w:p w14:paraId="3789A274"/>
    <w:p w14:paraId="362A0259">
      <w:bookmarkStart w:id="631" w:name="_Toc56792838"/>
      <w:bookmarkStart w:id="632" w:name="_Toc19844"/>
    </w:p>
    <w:p w14:paraId="04A8F1BE"/>
    <w:p w14:paraId="604EBE98">
      <w:pPr>
        <w:pStyle w:val="3"/>
        <w:jc w:val="center"/>
      </w:pPr>
      <w:bookmarkStart w:id="633" w:name="_Toc19908"/>
      <w:bookmarkStart w:id="634" w:name="_Toc5804"/>
      <w:bookmarkStart w:id="635" w:name="_Toc8386"/>
      <w:bookmarkStart w:id="636" w:name="_Toc21885"/>
      <w:bookmarkStart w:id="637" w:name="_Toc4002"/>
      <w:r>
        <w:rPr>
          <w:rFonts w:hint="eastAsia"/>
        </w:rPr>
        <w:t>第三节  合同附件格式</w:t>
      </w:r>
      <w:bookmarkEnd w:id="631"/>
      <w:bookmarkEnd w:id="633"/>
      <w:bookmarkEnd w:id="634"/>
      <w:bookmarkEnd w:id="635"/>
      <w:bookmarkEnd w:id="636"/>
      <w:bookmarkEnd w:id="637"/>
    </w:p>
    <w:p w14:paraId="47F2AC61">
      <w:pPr>
        <w:pStyle w:val="3"/>
        <w:rPr>
          <w:rFonts w:ascii="Times New Roman" w:hAnsi="Times New Roman" w:cs="宋体"/>
          <w:bCs/>
          <w:color w:val="auto"/>
        </w:rPr>
      </w:pPr>
      <w:r>
        <w:rPr>
          <w:rFonts w:hint="eastAsia" w:ascii="Times New Roman" w:hAnsi="Times New Roman" w:cs="宋体"/>
          <w:b w:val="0"/>
          <w:bCs/>
          <w:color w:val="auto"/>
          <w:sz w:val="36"/>
        </w:rPr>
        <w:br w:type="page"/>
      </w:r>
      <w:bookmarkEnd w:id="632"/>
      <w:bookmarkStart w:id="638" w:name="_Toc31155"/>
      <w:bookmarkStart w:id="639" w:name="_Toc14500"/>
      <w:r>
        <w:rPr>
          <w:rFonts w:hint="eastAsia" w:ascii="Times New Roman" w:hAnsi="Times New Roman" w:cs="宋体"/>
          <w:color w:val="auto"/>
        </w:rPr>
        <w:t>附件一：合同协议书</w:t>
      </w:r>
      <w:bookmarkEnd w:id="638"/>
      <w:bookmarkEnd w:id="639"/>
    </w:p>
    <w:p w14:paraId="43CBD2F0">
      <w:pPr>
        <w:widowControl w:val="0"/>
        <w:spacing w:after="0" w:line="490" w:lineRule="exact"/>
        <w:rPr>
          <w:rFonts w:ascii="Times New Roman" w:hAnsi="Times New Roman" w:eastAsia="宋体" w:cs="宋体"/>
          <w:color w:val="auto"/>
          <w:sz w:val="28"/>
          <w:szCs w:val="28"/>
        </w:rPr>
      </w:pPr>
    </w:p>
    <w:p w14:paraId="7D6828E3">
      <w:pPr>
        <w:widowControl w:val="0"/>
        <w:adjustRightInd w:val="0"/>
        <w:snapToGrid w:val="0"/>
        <w:spacing w:after="0" w:line="490" w:lineRule="exact"/>
        <w:jc w:val="center"/>
        <w:rPr>
          <w:rFonts w:ascii="Times New Roman" w:hAnsi="Times New Roman" w:eastAsia="宋体" w:cs="宋体"/>
          <w:b/>
          <w:bCs/>
          <w:color w:val="auto"/>
          <w:sz w:val="32"/>
          <w:szCs w:val="28"/>
        </w:rPr>
      </w:pPr>
      <w:r>
        <w:rPr>
          <w:rFonts w:hint="eastAsia" w:ascii="Times New Roman" w:hAnsi="Times New Roman" w:eastAsia="宋体" w:cs="宋体"/>
          <w:b/>
          <w:bCs/>
          <w:color w:val="auto"/>
          <w:sz w:val="32"/>
          <w:szCs w:val="28"/>
        </w:rPr>
        <w:t>合同协议书</w:t>
      </w:r>
    </w:p>
    <w:p w14:paraId="1FF5754B">
      <w:pPr>
        <w:widowControl w:val="0"/>
        <w:adjustRightInd w:val="0"/>
        <w:snapToGrid w:val="0"/>
        <w:spacing w:after="0" w:line="490" w:lineRule="exact"/>
        <w:ind w:firstLine="525" w:firstLineChars="250"/>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（买方名称，以下简称“买方”）为获得</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（项目名称）合同设备和技术服务和质保期服务，已接受</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（卖方名称，以下简称“卖方”）为提供上述合同设备和技术服务和质保期服务所做的投标，买方和卖方共同达成如下协议：</w:t>
      </w:r>
    </w:p>
    <w:p w14:paraId="26A17638">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1．本协议书与下列文件一起构成合同文件： </w:t>
      </w:r>
    </w:p>
    <w:p w14:paraId="1B41101F">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（1）中标通知书；</w:t>
      </w:r>
    </w:p>
    <w:p w14:paraId="2A143D92">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（2）投标函；</w:t>
      </w:r>
    </w:p>
    <w:p w14:paraId="658AC861">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（3）商务和技术偏差表； </w:t>
      </w:r>
    </w:p>
    <w:p w14:paraId="18360FE0">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（4）专用合同条款； </w:t>
      </w:r>
    </w:p>
    <w:p w14:paraId="6D0BC7A8">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（5）通用合同条款； </w:t>
      </w:r>
    </w:p>
    <w:p w14:paraId="77F77C94">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（6）供货要求； </w:t>
      </w:r>
    </w:p>
    <w:p w14:paraId="6C73200A">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（7）分项报价表； </w:t>
      </w:r>
    </w:p>
    <w:p w14:paraId="17A11D97">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（8）中标设备技术性能指标的详细描述； </w:t>
      </w:r>
    </w:p>
    <w:p w14:paraId="1AF8EA5F">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（9）技术服务和质保期服务计划； </w:t>
      </w:r>
    </w:p>
    <w:p w14:paraId="5A44010C">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（10）</w:t>
      </w:r>
      <w:r>
        <w:rPr>
          <w:rFonts w:hint="eastAsia" w:ascii="Times New Roman" w:hAnsi="Times New Roman" w:eastAsia="宋体" w:cs="宋体"/>
          <w:color w:val="auto"/>
          <w:sz w:val="21"/>
          <w:szCs w:val="21"/>
        </w:rPr>
        <w:tab/>
      </w:r>
      <w:r>
        <w:rPr>
          <w:rFonts w:hint="eastAsia" w:ascii="Times New Roman" w:hAnsi="Times New Roman" w:eastAsia="宋体" w:cs="宋体"/>
          <w:color w:val="auto"/>
          <w:sz w:val="21"/>
          <w:szCs w:val="21"/>
        </w:rPr>
        <w:t>其他合同文件。</w:t>
      </w:r>
    </w:p>
    <w:p w14:paraId="7DE90E96">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2．上述合同文件互相补充和解释。如果合同文件之间存在矛盾或不一致之处，以上述文件的排列顺序在先者为准。</w:t>
      </w:r>
    </w:p>
    <w:p w14:paraId="70E1798A">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3．签约合同价：人民币（大写）</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15009673">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4．卖方承诺保证完全按照合同约定提供合同设备和技术服务和质保期服务并修补缺陷。</w:t>
      </w:r>
    </w:p>
    <w:p w14:paraId="5298823B">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5．买方承诺保证按照合同约定的条件、时间和方式向卖方支付合同价款。</w:t>
      </w:r>
    </w:p>
    <w:p w14:paraId="3FC90413">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6．本合同协议书一式</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份，合同双方各执</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份。</w:t>
      </w:r>
    </w:p>
    <w:p w14:paraId="1DAE234C">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7．合同未尽事宜，双方另行签订补充协议，补充协议是合同的组成部分。</w:t>
      </w:r>
    </w:p>
    <w:p w14:paraId="3C8CDEA5">
      <w:pPr>
        <w:widowControl w:val="0"/>
        <w:adjustRightInd w:val="0"/>
        <w:snapToGrid w:val="0"/>
        <w:spacing w:after="0" w:line="490" w:lineRule="exact"/>
        <w:ind w:firstLine="200"/>
        <w:rPr>
          <w:rFonts w:ascii="Times New Roman" w:hAnsi="Times New Roman" w:eastAsia="宋体" w:cs="宋体"/>
          <w:color w:val="auto"/>
          <w:sz w:val="21"/>
          <w:szCs w:val="21"/>
        </w:rPr>
      </w:pPr>
    </w:p>
    <w:p w14:paraId="03463716">
      <w:pPr>
        <w:widowControl w:val="0"/>
        <w:adjustRightInd w:val="0"/>
        <w:snapToGrid w:val="0"/>
        <w:spacing w:after="0" w:line="490" w:lineRule="exact"/>
        <w:ind w:firstLine="200"/>
        <w:rPr>
          <w:rFonts w:ascii="Times New Roman" w:hAnsi="Times New Roman" w:eastAsia="宋体" w:cs="宋体"/>
          <w:color w:val="auto"/>
          <w:sz w:val="21"/>
          <w:szCs w:val="21"/>
        </w:rPr>
      </w:pPr>
    </w:p>
    <w:p w14:paraId="37BC03FC">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（盖单位章）</w:t>
      </w:r>
    </w:p>
    <w:p w14:paraId="42F1AED8">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4CCD6C36">
      <w:pPr>
        <w:widowControl w:val="0"/>
        <w:tabs>
          <w:tab w:val="center" w:pos="4261"/>
          <w:tab w:val="center" w:pos="6039"/>
        </w:tabs>
        <w:wordWrap w:val="0"/>
        <w:adjustRightInd w:val="0"/>
        <w:snapToGrid w:val="0"/>
        <w:spacing w:after="0" w:line="490" w:lineRule="exact"/>
        <w:ind w:right="560" w:firstLine="4620" w:firstLineChars="2200"/>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日 </w:t>
      </w:r>
    </w:p>
    <w:p w14:paraId="7FBD21FD">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卖方：</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（盖单位章）</w:t>
      </w:r>
    </w:p>
    <w:p w14:paraId="15CDE6F7">
      <w:pPr>
        <w:widowControl w:val="0"/>
        <w:adjustRightInd w:val="0"/>
        <w:snapToGrid w:val="0"/>
        <w:spacing w:after="0" w:line="490" w:lineRule="exact"/>
        <w:ind w:firstLine="20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1722558B">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w:t>
      </w:r>
    </w:p>
    <w:p w14:paraId="1B3877BC">
      <w:pPr>
        <w:widowControl w:val="0"/>
        <w:adjustRightInd w:val="0"/>
        <w:snapToGrid w:val="0"/>
        <w:spacing w:after="0" w:line="490" w:lineRule="exac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605630A6">
      <w:pPr>
        <w:pStyle w:val="3"/>
        <w:rPr>
          <w:rFonts w:ascii="Times New Roman" w:hAnsi="Times New Roman" w:cs="宋体"/>
          <w:bCs/>
          <w:color w:val="auto"/>
        </w:rPr>
      </w:pPr>
      <w:r>
        <w:rPr>
          <w:rFonts w:hint="eastAsia" w:ascii="Times New Roman" w:hAnsi="Times New Roman" w:cs="宋体"/>
          <w:color w:val="auto"/>
          <w:szCs w:val="28"/>
        </w:rPr>
        <w:br w:type="page"/>
      </w:r>
      <w:bookmarkStart w:id="640" w:name="_Toc1395"/>
      <w:bookmarkStart w:id="641" w:name="_Toc27548"/>
      <w:r>
        <w:rPr>
          <w:rFonts w:hint="eastAsia" w:ascii="Times New Roman" w:hAnsi="Times New Roman" w:cs="宋体"/>
          <w:bCs/>
          <w:color w:val="auto"/>
        </w:rPr>
        <w:t>附件二：履约保函格式</w:t>
      </w:r>
      <w:bookmarkEnd w:id="640"/>
      <w:bookmarkEnd w:id="641"/>
      <w:r>
        <w:rPr>
          <w:rFonts w:hint="eastAsia" w:ascii="Times New Roman" w:hAnsi="Times New Roman" w:cs="宋体"/>
          <w:bCs/>
          <w:color w:val="auto"/>
        </w:rPr>
        <w:t xml:space="preserve"> </w:t>
      </w:r>
    </w:p>
    <w:p w14:paraId="659549D6">
      <w:pPr>
        <w:widowControl w:val="0"/>
        <w:adjustRightInd w:val="0"/>
        <w:snapToGrid w:val="0"/>
        <w:spacing w:after="0" w:line="490" w:lineRule="exact"/>
        <w:ind w:hanging="1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如采用银行保函，格式如下。</w:t>
      </w:r>
    </w:p>
    <w:p w14:paraId="2B3E8869">
      <w:pPr>
        <w:widowControl w:val="0"/>
        <w:adjustRightInd w:val="0"/>
        <w:snapToGrid w:val="0"/>
        <w:spacing w:after="0" w:line="490" w:lineRule="exact"/>
        <w:jc w:val="center"/>
        <w:rPr>
          <w:rFonts w:ascii="Times New Roman" w:hAnsi="Times New Roman" w:eastAsia="宋体" w:cs="宋体"/>
          <w:b/>
          <w:bCs/>
          <w:color w:val="auto"/>
          <w:sz w:val="32"/>
          <w:szCs w:val="28"/>
        </w:rPr>
      </w:pPr>
      <w:r>
        <w:rPr>
          <w:rFonts w:hint="eastAsia" w:ascii="Times New Roman" w:hAnsi="Times New Roman" w:eastAsia="宋体" w:cs="宋体"/>
          <w:b/>
          <w:bCs/>
          <w:color w:val="auto"/>
          <w:sz w:val="32"/>
          <w:szCs w:val="28"/>
        </w:rPr>
        <w:t xml:space="preserve">履约保函 </w:t>
      </w:r>
    </w:p>
    <w:p w14:paraId="1903ECAE">
      <w:pPr>
        <w:widowControl w:val="0"/>
        <w:adjustRightInd w:val="0"/>
        <w:snapToGrid w:val="0"/>
        <w:spacing w:after="0" w:line="490" w:lineRule="exact"/>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469B7C18">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（买方名称）： </w:t>
      </w:r>
    </w:p>
    <w:p w14:paraId="55F476FD">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鉴于（买方名称，以下简称“买方”）接受（卖方名称，以下简称“卖方”）于</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日参加</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（项目名称）招标项目的投标。我方愿意无条件地、不可撤销地就卖方履行与你方订立的合同，向你方提供担保。</w:t>
      </w:r>
    </w:p>
    <w:p w14:paraId="1E85B2AF">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1．担保金额人民币（大写）</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0A24B733">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2．担保有效期自买方与卖方签订的合同生效之日起至合同货物验收证书或验收款支付函签署之日起 28 日后失效。</w:t>
      </w:r>
    </w:p>
    <w:p w14:paraId="3D94C7EA">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3．在本担保有效期内，如果卖方不履行合同约定的义务或其履行不符合合同的约定，我方在收到你方以书面形式提出的在担保金额内的赔偿要求后，在 7 日内无条件支付。</w:t>
      </w:r>
    </w:p>
    <w:p w14:paraId="0FC6322E">
      <w:pPr>
        <w:widowControl w:val="0"/>
        <w:adjustRightInd w:val="0"/>
        <w:snapToGrid w:val="0"/>
        <w:spacing w:after="0" w:line="490" w:lineRule="exact"/>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4．买方和卖方变更合同时，无论我方是否收到该变更，我方承担本担保规定的义务不变。</w:t>
      </w:r>
    </w:p>
    <w:p w14:paraId="417FBDD7">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5CA2C49C">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6B5D76E7">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担保人名称 ：</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（盖单位章） </w:t>
      </w:r>
    </w:p>
    <w:p w14:paraId="7BA75AC6">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法定代表人（单位负责人）或其委托代理人：</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（签字）</w:t>
      </w:r>
    </w:p>
    <w:p w14:paraId="5E525CA2">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地    址：</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18B892B0">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邮政编码：</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7BE029A0">
      <w:pPr>
        <w:widowControl w:val="0"/>
        <w:adjustRightInd w:val="0"/>
        <w:snapToGrid w:val="0"/>
        <w:spacing w:after="0" w:line="490" w:lineRule="exact"/>
        <w:ind w:firstLine="1274" w:firstLineChars="607"/>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    话：</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 xml:space="preserve"> </w:t>
      </w:r>
    </w:p>
    <w:p w14:paraId="61A9C819">
      <w:pPr>
        <w:widowControl w:val="0"/>
        <w:adjustRightInd w:val="0"/>
        <w:snapToGrid w:val="0"/>
        <w:spacing w:after="0" w:line="490" w:lineRule="exact"/>
        <w:ind w:right="420" w:firstLine="2849" w:firstLineChars="1357"/>
        <w:rPr>
          <w:rFonts w:ascii="Times New Roman" w:hAnsi="Times New Roman" w:eastAsia="宋体" w:cs="宋体"/>
          <w:color w:val="auto"/>
          <w:sz w:val="28"/>
          <w:szCs w:val="28"/>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月</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日</w:t>
      </w:r>
      <w:r>
        <w:rPr>
          <w:rFonts w:hint="eastAsia" w:ascii="Times New Roman" w:hAnsi="Times New Roman" w:eastAsia="宋体" w:cs="宋体"/>
          <w:color w:val="auto"/>
          <w:sz w:val="28"/>
          <w:szCs w:val="28"/>
        </w:rPr>
        <w:t xml:space="preserve"> </w:t>
      </w:r>
    </w:p>
    <w:p w14:paraId="496E535A">
      <w:pPr>
        <w:widowControl w:val="0"/>
        <w:adjustRightInd w:val="0"/>
        <w:snapToGrid w:val="0"/>
        <w:spacing w:after="0" w:line="490" w:lineRule="exact"/>
        <w:ind w:firstLine="562" w:firstLineChars="200"/>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 </w:t>
      </w:r>
    </w:p>
    <w:p w14:paraId="28808F98">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b/>
          <w:color w:val="auto"/>
          <w:sz w:val="44"/>
        </w:rPr>
        <w:br w:type="page"/>
      </w:r>
      <w:bookmarkStart w:id="642" w:name="_Toc12921"/>
    </w:p>
    <w:p w14:paraId="67118346">
      <w:pPr>
        <w:widowControl w:val="0"/>
        <w:adjustRightInd w:val="0"/>
        <w:snapToGrid w:val="0"/>
        <w:spacing w:after="0"/>
        <w:rPr>
          <w:rFonts w:ascii="Times New Roman" w:hAnsi="Times New Roman" w:eastAsia="宋体" w:cs="宋体"/>
          <w:b/>
          <w:color w:val="auto"/>
          <w:sz w:val="44"/>
        </w:rPr>
      </w:pPr>
    </w:p>
    <w:p w14:paraId="25E5F218">
      <w:pPr>
        <w:widowControl w:val="0"/>
        <w:adjustRightInd w:val="0"/>
        <w:snapToGrid w:val="0"/>
        <w:spacing w:after="0"/>
        <w:rPr>
          <w:rFonts w:ascii="Times New Roman" w:hAnsi="Times New Roman" w:eastAsia="宋体" w:cs="宋体"/>
          <w:b/>
          <w:color w:val="auto"/>
          <w:sz w:val="44"/>
        </w:rPr>
      </w:pPr>
    </w:p>
    <w:p w14:paraId="01853826">
      <w:pPr>
        <w:widowControl w:val="0"/>
        <w:adjustRightInd w:val="0"/>
        <w:snapToGrid w:val="0"/>
        <w:spacing w:after="0"/>
        <w:rPr>
          <w:rFonts w:ascii="Times New Roman" w:hAnsi="Times New Roman" w:eastAsia="宋体" w:cs="宋体"/>
          <w:b/>
          <w:color w:val="auto"/>
          <w:sz w:val="44"/>
        </w:rPr>
      </w:pPr>
    </w:p>
    <w:p w14:paraId="6EC7AA79">
      <w:pPr>
        <w:widowControl w:val="0"/>
        <w:adjustRightInd w:val="0"/>
        <w:snapToGrid w:val="0"/>
        <w:spacing w:after="0"/>
        <w:rPr>
          <w:rFonts w:ascii="Times New Roman" w:hAnsi="Times New Roman" w:eastAsia="宋体" w:cs="宋体"/>
          <w:b/>
          <w:color w:val="auto"/>
          <w:sz w:val="44"/>
        </w:rPr>
      </w:pPr>
    </w:p>
    <w:p w14:paraId="7CE3C549">
      <w:pPr>
        <w:widowControl w:val="0"/>
        <w:adjustRightInd w:val="0"/>
        <w:snapToGrid w:val="0"/>
        <w:spacing w:after="0"/>
        <w:rPr>
          <w:rFonts w:ascii="Times New Roman" w:hAnsi="Times New Roman" w:eastAsia="宋体" w:cs="宋体"/>
          <w:color w:val="auto"/>
        </w:rPr>
      </w:pPr>
    </w:p>
    <w:p w14:paraId="49148B76">
      <w:pPr>
        <w:widowControl w:val="0"/>
        <w:adjustRightInd w:val="0"/>
        <w:snapToGrid w:val="0"/>
        <w:spacing w:after="0"/>
        <w:rPr>
          <w:rFonts w:ascii="Times New Roman" w:hAnsi="Times New Roman" w:eastAsia="宋体" w:cs="宋体"/>
          <w:color w:val="auto"/>
        </w:rPr>
      </w:pPr>
    </w:p>
    <w:p w14:paraId="34371724">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643" w:name="_Toc3633"/>
      <w:bookmarkStart w:id="644" w:name="_Toc28849"/>
      <w:bookmarkStart w:id="645" w:name="_Toc3289"/>
      <w:bookmarkStart w:id="646" w:name="_Toc12506"/>
      <w:bookmarkStart w:id="647" w:name="_Toc7395"/>
      <w:bookmarkStart w:id="648" w:name="_Toc56792839"/>
      <w:r>
        <w:rPr>
          <w:rFonts w:hint="eastAsia" w:ascii="Times New Roman" w:hAnsi="Times New Roman" w:eastAsia="宋体" w:cs="宋体"/>
          <w:b/>
          <w:color w:val="auto"/>
          <w:sz w:val="52"/>
          <w:szCs w:val="52"/>
        </w:rPr>
        <w:t>第二卷</w:t>
      </w:r>
      <w:bookmarkEnd w:id="642"/>
      <w:bookmarkEnd w:id="643"/>
      <w:bookmarkEnd w:id="644"/>
      <w:bookmarkEnd w:id="645"/>
      <w:bookmarkEnd w:id="646"/>
      <w:bookmarkEnd w:id="647"/>
      <w:bookmarkEnd w:id="648"/>
    </w:p>
    <w:p w14:paraId="407FA1C9">
      <w:pPr>
        <w:widowControl w:val="0"/>
        <w:adjustRightInd w:val="0"/>
        <w:snapToGrid w:val="0"/>
        <w:spacing w:after="0"/>
        <w:jc w:val="right"/>
        <w:rPr>
          <w:rFonts w:ascii="Times New Roman" w:hAnsi="Times New Roman" w:eastAsia="宋体" w:cs="宋体"/>
          <w:color w:val="auto"/>
        </w:rPr>
      </w:pPr>
      <w:r>
        <w:rPr>
          <w:rFonts w:hint="eastAsia" w:ascii="Times New Roman" w:hAnsi="Times New Roman" w:eastAsia="宋体" w:cs="宋体"/>
          <w:b/>
          <w:color w:val="auto"/>
          <w:sz w:val="20"/>
        </w:rPr>
        <w:t xml:space="preserve"> </w:t>
      </w:r>
      <w:r>
        <w:rPr>
          <w:rFonts w:hint="eastAsia" w:ascii="Times New Roman" w:hAnsi="Times New Roman" w:eastAsia="宋体" w:cs="宋体"/>
          <w:color w:val="auto"/>
        </w:rPr>
        <w:br w:type="page"/>
      </w:r>
    </w:p>
    <w:p w14:paraId="7B6E7076">
      <w:bookmarkStart w:id="649" w:name="_Toc56792840"/>
      <w:bookmarkStart w:id="650" w:name="_Toc30472"/>
    </w:p>
    <w:p w14:paraId="56DD53E7"/>
    <w:p w14:paraId="03E8BAA2">
      <w:pPr>
        <w:rPr>
          <w:rFonts w:ascii="Times New Roman" w:hAnsi="Times New Roman" w:eastAsia="宋体" w:cs="宋体"/>
          <w:b/>
          <w:bCs/>
          <w:color w:val="auto"/>
          <w:sz w:val="36"/>
          <w:szCs w:val="28"/>
        </w:rPr>
      </w:pPr>
    </w:p>
    <w:p w14:paraId="124C9A0B"/>
    <w:p w14:paraId="1FBE4C86">
      <w:pPr>
        <w:rPr>
          <w:rFonts w:ascii="Times New Roman" w:hAnsi="Times New Roman" w:eastAsia="宋体" w:cs="宋体"/>
          <w:b/>
          <w:bCs/>
          <w:color w:val="auto"/>
          <w:sz w:val="36"/>
          <w:szCs w:val="28"/>
        </w:rPr>
      </w:pPr>
    </w:p>
    <w:p w14:paraId="628A70D1"/>
    <w:p w14:paraId="7416EE58">
      <w:pPr>
        <w:pStyle w:val="2"/>
        <w:keepNext w:val="0"/>
        <w:keepLines w:val="0"/>
        <w:widowControl w:val="0"/>
        <w:adjustRightInd w:val="0"/>
        <w:snapToGrid w:val="0"/>
        <w:spacing w:after="0" w:line="490" w:lineRule="exact"/>
        <w:ind w:left="0" w:right="0" w:hanging="11"/>
        <w:rPr>
          <w:rFonts w:ascii="Times New Roman" w:hAnsi="Times New Roman" w:eastAsia="宋体" w:cs="宋体"/>
          <w:b/>
          <w:bCs/>
          <w:color w:val="auto"/>
          <w:sz w:val="36"/>
          <w:szCs w:val="28"/>
        </w:rPr>
      </w:pPr>
      <w:bookmarkStart w:id="651" w:name="_Toc23525"/>
      <w:bookmarkStart w:id="652" w:name="_Toc8617"/>
      <w:bookmarkStart w:id="653" w:name="_Toc973"/>
      <w:bookmarkStart w:id="654" w:name="_Toc27633"/>
      <w:bookmarkStart w:id="655" w:name="_Toc13215"/>
      <w:r>
        <w:rPr>
          <w:rFonts w:hint="eastAsia" w:ascii="Times New Roman" w:hAnsi="Times New Roman" w:eastAsia="宋体" w:cs="宋体"/>
          <w:b/>
          <w:bCs/>
          <w:color w:val="auto"/>
          <w:sz w:val="36"/>
          <w:szCs w:val="28"/>
        </w:rPr>
        <w:t>第五章  供货要求</w:t>
      </w:r>
      <w:bookmarkEnd w:id="649"/>
      <w:bookmarkEnd w:id="650"/>
      <w:bookmarkEnd w:id="651"/>
      <w:bookmarkEnd w:id="652"/>
      <w:bookmarkEnd w:id="653"/>
      <w:bookmarkEnd w:id="654"/>
      <w:bookmarkEnd w:id="655"/>
    </w:p>
    <w:p w14:paraId="2EC29FCE">
      <w:pPr>
        <w:widowControl w:val="0"/>
        <w:adjustRightInd w:val="0"/>
        <w:snapToGrid w:val="0"/>
        <w:spacing w:after="0" w:line="490" w:lineRule="exact"/>
        <w:jc w:val="center"/>
        <w:rPr>
          <w:rFonts w:ascii="Times New Roman" w:hAnsi="Times New Roman" w:eastAsia="宋体" w:cs="宋体"/>
          <w:b/>
          <w:bCs/>
          <w:color w:val="auto"/>
          <w:szCs w:val="28"/>
        </w:rPr>
      </w:pPr>
      <w:r>
        <w:rPr>
          <w:rFonts w:hint="eastAsia" w:ascii="Times New Roman" w:hAnsi="Times New Roman" w:eastAsia="宋体" w:cs="宋体"/>
          <w:b/>
          <w:bCs/>
          <w:color w:val="auto"/>
          <w:szCs w:val="28"/>
        </w:rPr>
        <w:br w:type="page"/>
      </w:r>
      <w:r>
        <w:rPr>
          <w:rFonts w:hint="eastAsia" w:ascii="Times New Roman" w:hAnsi="Times New Roman" w:eastAsia="宋体" w:cs="宋体"/>
          <w:b/>
          <w:bCs/>
          <w:color w:val="auto"/>
          <w:sz w:val="28"/>
          <w:szCs w:val="28"/>
        </w:rPr>
        <w:t>供货要求</w:t>
      </w:r>
    </w:p>
    <w:p w14:paraId="7B7962CC">
      <w:pPr>
        <w:widowControl w:val="0"/>
        <w:adjustRightInd w:val="0"/>
        <w:snapToGrid w:val="0"/>
        <w:spacing w:after="0" w:line="480" w:lineRule="exact"/>
        <w:ind w:firstLine="560" w:firstLineChars="200"/>
        <w:jc w:val="both"/>
        <w:rPr>
          <w:color w:val="auto"/>
          <w:sz w:val="28"/>
          <w:szCs w:val="28"/>
        </w:rPr>
      </w:pPr>
      <w:bookmarkStart w:id="656" w:name="_Toc56792841"/>
      <w:bookmarkStart w:id="657" w:name="_Toc38436737"/>
      <w:bookmarkStart w:id="658" w:name="_Toc20772"/>
      <w:bookmarkStart w:id="659" w:name="_Toc32208"/>
      <w:r>
        <w:rPr>
          <w:rFonts w:hint="eastAsia"/>
          <w:color w:val="auto"/>
          <w:sz w:val="28"/>
          <w:szCs w:val="28"/>
        </w:rPr>
        <w:t>一、项目概况及总体要求</w:t>
      </w:r>
      <w:bookmarkEnd w:id="656"/>
      <w:bookmarkEnd w:id="657"/>
      <w:bookmarkEnd w:id="658"/>
      <w:bookmarkEnd w:id="659"/>
      <w:r>
        <w:rPr>
          <w:color w:val="auto"/>
          <w:sz w:val="28"/>
          <w:szCs w:val="28"/>
        </w:rPr>
        <w:t xml:space="preserve"> </w:t>
      </w:r>
      <w:bookmarkStart w:id="660" w:name="_Toc29690"/>
      <w:bookmarkStart w:id="661" w:name="_Toc18295"/>
      <w:bookmarkStart w:id="662" w:name="_Toc19701"/>
      <w:bookmarkStart w:id="663" w:name="_Toc2945"/>
    </w:p>
    <w:bookmarkEnd w:id="660"/>
    <w:bookmarkEnd w:id="661"/>
    <w:bookmarkEnd w:id="662"/>
    <w:bookmarkEnd w:id="663"/>
    <w:p w14:paraId="7AD01874">
      <w:pPr>
        <w:widowControl w:val="0"/>
        <w:adjustRightInd w:val="0"/>
        <w:snapToGrid w:val="0"/>
        <w:spacing w:after="0" w:line="480" w:lineRule="exact"/>
        <w:ind w:firstLine="560" w:firstLineChars="200"/>
        <w:jc w:val="both"/>
        <w:rPr>
          <w:color w:val="auto"/>
          <w:sz w:val="28"/>
          <w:szCs w:val="28"/>
        </w:rPr>
      </w:pPr>
      <w:bookmarkStart w:id="664" w:name="_Toc18061"/>
      <w:bookmarkStart w:id="665" w:name="_Toc56792842"/>
      <w:bookmarkStart w:id="666" w:name="_Toc23873"/>
      <w:bookmarkStart w:id="667" w:name="_Toc16758"/>
      <w:bookmarkStart w:id="668" w:name="_Toc14243"/>
      <w:bookmarkStart w:id="669" w:name="_Toc27498"/>
      <w:bookmarkStart w:id="670" w:name="_Toc38436738"/>
      <w:r>
        <w:rPr>
          <w:rFonts w:hint="eastAsia"/>
          <w:color w:val="auto"/>
          <w:sz w:val="28"/>
          <w:szCs w:val="28"/>
        </w:rPr>
        <w:t>工程涉及</w:t>
      </w:r>
      <w:r>
        <w:rPr>
          <w:rFonts w:hint="eastAsia" w:eastAsia="宋体"/>
          <w:color w:val="auto"/>
          <w:sz w:val="28"/>
          <w:szCs w:val="28"/>
        </w:rPr>
        <w:t>大石桥市西部农村供水工程（一期）</w:t>
      </w:r>
      <w:r>
        <w:rPr>
          <w:rFonts w:hint="eastAsia"/>
          <w:color w:val="auto"/>
          <w:sz w:val="28"/>
          <w:szCs w:val="28"/>
        </w:rPr>
        <w:t>涉及5个镇89个行政村，设计供水用户65780户，受益总人口197348人。设计供水规模15824.46m3/d，工程类型为Ⅰ型供水工程。主要建设内容：输水管道、净水厂、配水管网及配套设施，中途加压泵站，61个村内蓄水池及加压泵站，25个村村内及入户管线改造，自控与信息化设施及NB-IOT远控物联网水表安装。</w:t>
      </w:r>
    </w:p>
    <w:p w14:paraId="1C470D28">
      <w:pPr>
        <w:widowControl w:val="0"/>
        <w:adjustRightInd w:val="0"/>
        <w:snapToGrid w:val="0"/>
        <w:spacing w:after="0" w:line="480" w:lineRule="exact"/>
        <w:ind w:firstLine="560" w:firstLineChars="200"/>
        <w:jc w:val="both"/>
        <w:rPr>
          <w:color w:val="auto"/>
          <w:sz w:val="28"/>
          <w:szCs w:val="28"/>
        </w:rPr>
      </w:pPr>
      <w:r>
        <w:rPr>
          <w:rFonts w:hint="eastAsia"/>
          <w:color w:val="auto"/>
          <w:sz w:val="28"/>
          <w:szCs w:val="28"/>
        </w:rPr>
        <w:t>第一标段</w:t>
      </w:r>
    </w:p>
    <w:p w14:paraId="6CD08A79">
      <w:pPr>
        <w:widowControl w:val="0"/>
        <w:adjustRightInd w:val="0"/>
        <w:snapToGrid w:val="0"/>
        <w:spacing w:after="0" w:line="480" w:lineRule="exact"/>
        <w:ind w:firstLine="560" w:firstLineChars="200"/>
        <w:jc w:val="both"/>
        <w:rPr>
          <w:color w:val="auto"/>
          <w:sz w:val="28"/>
          <w:szCs w:val="28"/>
          <w:highlight w:val="none"/>
        </w:rPr>
      </w:pPr>
      <w:r>
        <w:rPr>
          <w:rFonts w:hint="eastAsia"/>
          <w:color w:val="auto"/>
          <w:sz w:val="28"/>
          <w:szCs w:val="28"/>
        </w:rPr>
        <w:t>主要采购</w:t>
      </w:r>
      <w:r>
        <w:rPr>
          <w:rFonts w:hint="eastAsia"/>
          <w:color w:val="auto"/>
          <w:sz w:val="28"/>
          <w:szCs w:val="28"/>
          <w:highlight w:val="none"/>
        </w:rPr>
        <w:t>内容：NB-IOT远控物联网水表(DN20)购置（</w:t>
      </w:r>
      <w:r>
        <w:rPr>
          <w:rFonts w:hint="eastAsia" w:eastAsia="宋体"/>
          <w:color w:val="auto"/>
          <w:sz w:val="28"/>
          <w:szCs w:val="28"/>
          <w:highlight w:val="none"/>
          <w:lang w:val="en-US" w:eastAsia="zh-CN"/>
        </w:rPr>
        <w:t>二</w:t>
      </w:r>
      <w:r>
        <w:rPr>
          <w:rFonts w:hint="eastAsia" w:eastAsia="宋体"/>
          <w:color w:val="auto"/>
          <w:sz w:val="28"/>
          <w:szCs w:val="28"/>
          <w:highlight w:val="none"/>
          <w:lang w:eastAsia="zh-CN"/>
        </w:rPr>
        <w:t>）</w:t>
      </w:r>
      <w:r>
        <w:rPr>
          <w:rFonts w:hint="eastAsia"/>
          <w:color w:val="auto"/>
          <w:sz w:val="28"/>
          <w:szCs w:val="28"/>
          <w:highlight w:val="none"/>
        </w:rPr>
        <w:t>。</w:t>
      </w:r>
    </w:p>
    <w:p w14:paraId="175D4716">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color w:val="auto"/>
          <w:sz w:val="28"/>
          <w:szCs w:val="28"/>
        </w:rPr>
        <w:t>二、设备需求</w:t>
      </w:r>
      <w:bookmarkEnd w:id="664"/>
      <w:bookmarkEnd w:id="665"/>
      <w:bookmarkEnd w:id="666"/>
      <w:bookmarkEnd w:id="667"/>
      <w:bookmarkEnd w:id="668"/>
      <w:bookmarkEnd w:id="669"/>
      <w:bookmarkEnd w:id="670"/>
      <w:bookmarkStart w:id="671" w:name="_Toc556"/>
      <w:bookmarkStart w:id="672" w:name="_Toc38436739"/>
      <w:bookmarkStart w:id="673" w:name="_Toc760"/>
      <w:bookmarkStart w:id="674" w:name="_Toc56792843"/>
      <w:r>
        <w:rPr>
          <w:rFonts w:hint="eastAsia" w:eastAsia="宋体"/>
          <w:color w:val="auto"/>
          <w:sz w:val="28"/>
          <w:szCs w:val="28"/>
        </w:rPr>
        <w:t>及</w:t>
      </w:r>
      <w:r>
        <w:rPr>
          <w:rFonts w:hint="eastAsia" w:ascii="Times New Roman" w:hAnsi="Times New Roman" w:eastAsia="宋体" w:cs="宋体"/>
          <w:color w:val="auto"/>
          <w:sz w:val="28"/>
          <w:szCs w:val="24"/>
        </w:rPr>
        <w:t>技术性能指标</w:t>
      </w:r>
      <w:bookmarkEnd w:id="671"/>
      <w:bookmarkEnd w:id="672"/>
      <w:bookmarkEnd w:id="673"/>
      <w:bookmarkEnd w:id="674"/>
    </w:p>
    <w:p w14:paraId="707CC5AB">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bookmarkStart w:id="675" w:name="_Toc20326"/>
      <w:bookmarkStart w:id="676" w:name="_Toc56792845"/>
      <w:bookmarkStart w:id="677" w:name="_Toc25389"/>
      <w:bookmarkStart w:id="678" w:name="_Toc16215"/>
      <w:bookmarkStart w:id="679" w:name="_Toc38436740"/>
      <w:bookmarkStart w:id="680" w:name="_Toc10396"/>
      <w:bookmarkStart w:id="681" w:name="_Toc16407"/>
      <w:r>
        <w:rPr>
          <w:rFonts w:hint="eastAsia" w:ascii="Times New Roman" w:hAnsi="Times New Roman" w:eastAsia="宋体" w:cs="宋体"/>
          <w:color w:val="auto"/>
          <w:sz w:val="28"/>
          <w:szCs w:val="24"/>
        </w:rPr>
        <w:t>详见招标文件附件。</w:t>
      </w:r>
    </w:p>
    <w:p w14:paraId="7DB8378A">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四、检验考核要求</w:t>
      </w:r>
      <w:bookmarkEnd w:id="675"/>
      <w:bookmarkEnd w:id="676"/>
      <w:bookmarkEnd w:id="677"/>
      <w:bookmarkEnd w:id="678"/>
      <w:bookmarkEnd w:id="679"/>
      <w:bookmarkEnd w:id="680"/>
      <w:bookmarkEnd w:id="681"/>
    </w:p>
    <w:p w14:paraId="1F37A43E">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投标人应使用格式“八、投标设备技术性能指标的详细描述”对本标段采购的工程设备技术参数进行响应，并于格式“九、技术支持资料”提供相关佐证材料。</w:t>
      </w:r>
    </w:p>
    <w:p w14:paraId="34A4A2C9">
      <w:pPr>
        <w:widowControl w:val="0"/>
        <w:adjustRightInd w:val="0"/>
        <w:snapToGrid w:val="0"/>
        <w:spacing w:after="0" w:line="480" w:lineRule="exact"/>
        <w:ind w:firstLine="560" w:firstLineChars="200"/>
        <w:jc w:val="both"/>
        <w:rPr>
          <w:rFonts w:ascii="Times New Roman" w:hAnsi="Times New Roman" w:eastAsia="宋体" w:cs="宋体"/>
          <w:color w:val="auto"/>
          <w:szCs w:val="21"/>
        </w:rPr>
      </w:pPr>
      <w:bookmarkStart w:id="682" w:name="_Toc38436741"/>
      <w:bookmarkStart w:id="683" w:name="_Toc56792847"/>
      <w:bookmarkStart w:id="684" w:name="_Toc21625"/>
      <w:bookmarkStart w:id="685" w:name="_Toc10253"/>
      <w:bookmarkStart w:id="686" w:name="_Toc31842"/>
      <w:bookmarkStart w:id="687" w:name="_Toc1888"/>
      <w:bookmarkStart w:id="688" w:name="_Toc15730"/>
      <w:r>
        <w:rPr>
          <w:rFonts w:hint="eastAsia" w:ascii="Times New Roman" w:hAnsi="Times New Roman" w:eastAsia="宋体" w:cs="宋体"/>
          <w:color w:val="auto"/>
          <w:sz w:val="28"/>
          <w:szCs w:val="24"/>
        </w:rPr>
        <w:t>五、</w:t>
      </w:r>
      <w:bookmarkEnd w:id="682"/>
      <w:bookmarkEnd w:id="683"/>
      <w:bookmarkEnd w:id="684"/>
      <w:r>
        <w:rPr>
          <w:rFonts w:hint="eastAsia" w:ascii="Times New Roman" w:hAnsi="Times New Roman" w:eastAsia="宋体" w:cs="宋体"/>
          <w:color w:val="auto"/>
          <w:sz w:val="28"/>
          <w:szCs w:val="24"/>
        </w:rPr>
        <w:t>技术服务和质保期服务要求</w:t>
      </w:r>
      <w:bookmarkEnd w:id="685"/>
      <w:bookmarkEnd w:id="686"/>
      <w:bookmarkEnd w:id="687"/>
      <w:bookmarkEnd w:id="688"/>
      <w:r>
        <w:rPr>
          <w:rFonts w:hint="eastAsia" w:ascii="Times New Roman" w:hAnsi="Times New Roman" w:eastAsia="宋体" w:cs="宋体"/>
          <w:color w:val="auto"/>
          <w:sz w:val="28"/>
          <w:szCs w:val="24"/>
        </w:rPr>
        <w:t xml:space="preserve"> </w:t>
      </w:r>
    </w:p>
    <w:p w14:paraId="2B05BEB4">
      <w:pPr>
        <w:widowControl w:val="0"/>
        <w:adjustRightInd w:val="0"/>
        <w:snapToGrid w:val="0"/>
        <w:spacing w:after="0" w:line="480" w:lineRule="exact"/>
        <w:ind w:firstLine="560" w:firstLineChars="200"/>
        <w:jc w:val="both"/>
        <w:rPr>
          <w:rFonts w:ascii="Times New Roman" w:hAnsi="Times New Roman" w:eastAsia="宋体" w:cs="宋体"/>
          <w:color w:val="auto"/>
          <w:sz w:val="28"/>
          <w:szCs w:val="24"/>
        </w:rPr>
      </w:pPr>
      <w:r>
        <w:rPr>
          <w:rFonts w:hint="eastAsia" w:ascii="Times New Roman" w:hAnsi="Times New Roman" w:eastAsia="宋体" w:cs="宋体"/>
          <w:color w:val="auto"/>
          <w:sz w:val="28"/>
          <w:szCs w:val="24"/>
        </w:rPr>
        <w:t>按照招标人要求。</w:t>
      </w:r>
    </w:p>
    <w:p w14:paraId="1671D663">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283A4306">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5E29F35A">
      <w:pPr>
        <w:widowControl w:val="0"/>
        <w:adjustRightInd w:val="0"/>
        <w:snapToGrid w:val="0"/>
        <w:spacing w:after="0" w:line="490" w:lineRule="exact"/>
        <w:ind w:firstLine="422" w:firstLineChars="200"/>
        <w:jc w:val="both"/>
        <w:rPr>
          <w:rFonts w:ascii="Times New Roman" w:hAnsi="Times New Roman" w:eastAsia="宋体" w:cs="宋体"/>
          <w:b/>
          <w:bCs/>
          <w:color w:val="auto"/>
          <w:sz w:val="21"/>
          <w:szCs w:val="21"/>
        </w:rPr>
      </w:pPr>
    </w:p>
    <w:p w14:paraId="0A69AA0D">
      <w:pPr>
        <w:widowControl w:val="0"/>
        <w:adjustRightInd w:val="0"/>
        <w:snapToGrid w:val="0"/>
        <w:spacing w:after="0"/>
        <w:rPr>
          <w:rFonts w:ascii="Times New Roman" w:hAnsi="Times New Roman" w:eastAsia="宋体" w:cs="宋体"/>
          <w:color w:val="auto"/>
          <w:sz w:val="21"/>
        </w:rPr>
      </w:pPr>
    </w:p>
    <w:p w14:paraId="12AD6CD9">
      <w:pPr>
        <w:widowControl w:val="0"/>
        <w:adjustRightInd w:val="0"/>
        <w:snapToGrid w:val="0"/>
        <w:spacing w:after="0"/>
        <w:rPr>
          <w:rFonts w:ascii="Times New Roman" w:hAnsi="Times New Roman" w:eastAsia="宋体" w:cs="宋体"/>
          <w:b/>
          <w:color w:val="auto"/>
          <w:sz w:val="44"/>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rPr>
        <w:br w:type="page"/>
      </w:r>
    </w:p>
    <w:p w14:paraId="2235762F">
      <w:pPr>
        <w:widowControl w:val="0"/>
        <w:adjustRightInd w:val="0"/>
        <w:snapToGrid w:val="0"/>
        <w:spacing w:after="0"/>
        <w:rPr>
          <w:rFonts w:ascii="Times New Roman" w:hAnsi="Times New Roman" w:eastAsia="宋体" w:cs="宋体"/>
          <w:b/>
          <w:color w:val="auto"/>
          <w:sz w:val="44"/>
        </w:rPr>
      </w:pPr>
    </w:p>
    <w:p w14:paraId="7803A923">
      <w:pPr>
        <w:widowControl w:val="0"/>
        <w:adjustRightInd w:val="0"/>
        <w:snapToGrid w:val="0"/>
        <w:spacing w:after="0"/>
        <w:rPr>
          <w:rFonts w:ascii="Times New Roman" w:hAnsi="Times New Roman" w:eastAsia="宋体" w:cs="宋体"/>
          <w:b/>
          <w:color w:val="auto"/>
          <w:sz w:val="44"/>
        </w:rPr>
      </w:pPr>
    </w:p>
    <w:p w14:paraId="3F7C892B">
      <w:pPr>
        <w:widowControl w:val="0"/>
        <w:adjustRightInd w:val="0"/>
        <w:snapToGrid w:val="0"/>
        <w:spacing w:after="0"/>
        <w:rPr>
          <w:rFonts w:ascii="Times New Roman" w:hAnsi="Times New Roman" w:eastAsia="宋体" w:cs="宋体"/>
          <w:b/>
          <w:color w:val="auto"/>
          <w:sz w:val="44"/>
        </w:rPr>
      </w:pPr>
    </w:p>
    <w:p w14:paraId="27A70E5D">
      <w:pPr>
        <w:widowControl w:val="0"/>
        <w:adjustRightInd w:val="0"/>
        <w:snapToGrid w:val="0"/>
        <w:spacing w:after="0"/>
        <w:rPr>
          <w:rFonts w:ascii="Times New Roman" w:hAnsi="Times New Roman" w:eastAsia="宋体" w:cs="宋体"/>
          <w:b/>
          <w:color w:val="auto"/>
          <w:sz w:val="44"/>
        </w:rPr>
      </w:pPr>
    </w:p>
    <w:p w14:paraId="4EDED429">
      <w:pPr>
        <w:pStyle w:val="2"/>
        <w:keepNext w:val="0"/>
        <w:keepLines w:val="0"/>
        <w:widowControl w:val="0"/>
        <w:adjustRightInd w:val="0"/>
        <w:snapToGrid w:val="0"/>
        <w:spacing w:after="0"/>
        <w:ind w:left="0" w:right="0"/>
        <w:rPr>
          <w:rFonts w:ascii="Times New Roman" w:hAnsi="Times New Roman" w:eastAsia="宋体" w:cs="宋体"/>
          <w:b/>
          <w:color w:val="auto"/>
          <w:sz w:val="52"/>
          <w:szCs w:val="52"/>
        </w:rPr>
      </w:pPr>
      <w:bookmarkStart w:id="689" w:name="_Toc24080"/>
      <w:bookmarkStart w:id="690" w:name="_Toc2114"/>
      <w:bookmarkStart w:id="691" w:name="_Toc5492"/>
      <w:bookmarkStart w:id="692" w:name="_Toc27362"/>
      <w:bookmarkStart w:id="693" w:name="_Toc56792848"/>
      <w:bookmarkStart w:id="694" w:name="_Toc14835"/>
      <w:bookmarkStart w:id="695" w:name="_Toc5802"/>
      <w:r>
        <w:rPr>
          <w:rFonts w:hint="eastAsia" w:ascii="Times New Roman" w:hAnsi="Times New Roman" w:eastAsia="宋体" w:cs="宋体"/>
          <w:b/>
          <w:color w:val="auto"/>
          <w:sz w:val="52"/>
          <w:szCs w:val="52"/>
        </w:rPr>
        <w:t>第三卷</w:t>
      </w:r>
      <w:bookmarkEnd w:id="689"/>
      <w:bookmarkEnd w:id="690"/>
      <w:bookmarkEnd w:id="691"/>
      <w:bookmarkEnd w:id="692"/>
      <w:bookmarkEnd w:id="693"/>
      <w:bookmarkEnd w:id="694"/>
      <w:bookmarkEnd w:id="695"/>
    </w:p>
    <w:p w14:paraId="557E0295">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5E35F83A">
      <w:pPr>
        <w:widowControl w:val="0"/>
        <w:adjustRightInd w:val="0"/>
        <w:snapToGrid w:val="0"/>
        <w:spacing w:after="0"/>
        <w:jc w:val="right"/>
        <w:rPr>
          <w:rFonts w:ascii="Times New Roman" w:hAnsi="Times New Roman" w:eastAsia="宋体" w:cs="宋体"/>
          <w:color w:val="auto"/>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sz w:val="21"/>
        </w:rPr>
        <w:tab/>
      </w:r>
      <w:r>
        <w:rPr>
          <w:rFonts w:hint="eastAsia" w:ascii="Times New Roman" w:hAnsi="Times New Roman" w:eastAsia="宋体" w:cs="宋体"/>
          <w:color w:val="auto"/>
          <w:sz w:val="21"/>
        </w:rPr>
        <w:t xml:space="preserve"> </w:t>
      </w:r>
      <w:r>
        <w:rPr>
          <w:rFonts w:hint="eastAsia" w:ascii="Times New Roman" w:hAnsi="Times New Roman" w:eastAsia="宋体" w:cs="宋体"/>
          <w:color w:val="auto"/>
        </w:rPr>
        <w:br w:type="page"/>
      </w:r>
    </w:p>
    <w:p w14:paraId="5780AAB3"/>
    <w:p w14:paraId="7E2188DD">
      <w:pPr>
        <w:rPr>
          <w:rFonts w:ascii="Times New Roman" w:hAnsi="Times New Roman" w:eastAsia="宋体" w:cs="宋体"/>
          <w:color w:val="auto"/>
        </w:rPr>
      </w:pPr>
    </w:p>
    <w:p w14:paraId="678C7F71"/>
    <w:p w14:paraId="14020751">
      <w:pPr>
        <w:rPr>
          <w:rFonts w:ascii="Times New Roman" w:hAnsi="Times New Roman" w:eastAsia="宋体" w:cs="宋体"/>
          <w:color w:val="auto"/>
        </w:rPr>
      </w:pPr>
    </w:p>
    <w:p w14:paraId="2CDF6C2B"/>
    <w:p w14:paraId="12457AE0">
      <w:pPr>
        <w:rPr>
          <w:rFonts w:ascii="Times New Roman" w:hAnsi="Times New Roman" w:eastAsia="宋体" w:cs="宋体"/>
          <w:color w:val="auto"/>
        </w:rPr>
      </w:pPr>
    </w:p>
    <w:p w14:paraId="0E87A145">
      <w:pPr>
        <w:widowControl w:val="0"/>
        <w:adjustRightInd w:val="0"/>
        <w:snapToGrid w:val="0"/>
        <w:spacing w:after="0"/>
        <w:jc w:val="right"/>
        <w:rPr>
          <w:rFonts w:ascii="Times New Roman" w:hAnsi="Times New Roman" w:eastAsia="宋体" w:cs="宋体"/>
          <w:color w:val="auto"/>
        </w:rPr>
      </w:pPr>
    </w:p>
    <w:p w14:paraId="044288E5">
      <w:pPr>
        <w:pStyle w:val="2"/>
        <w:keepNext w:val="0"/>
        <w:keepLines w:val="0"/>
        <w:widowControl w:val="0"/>
        <w:adjustRightInd w:val="0"/>
        <w:snapToGrid w:val="0"/>
        <w:spacing w:after="0" w:line="240" w:lineRule="auto"/>
        <w:ind w:left="0" w:right="0" w:firstLine="0"/>
        <w:rPr>
          <w:rFonts w:ascii="Times New Roman" w:hAnsi="Times New Roman" w:eastAsia="宋体" w:cs="宋体"/>
          <w:b/>
          <w:bCs/>
          <w:color w:val="auto"/>
          <w:sz w:val="44"/>
          <w:szCs w:val="28"/>
        </w:rPr>
      </w:pPr>
      <w:bookmarkStart w:id="696" w:name="_Toc19272"/>
      <w:bookmarkStart w:id="697" w:name="_Toc724"/>
      <w:bookmarkStart w:id="698" w:name="_Toc10655"/>
      <w:bookmarkStart w:id="699" w:name="_Toc56792849"/>
      <w:bookmarkStart w:id="700" w:name="_Toc29693"/>
      <w:bookmarkStart w:id="701" w:name="_Toc19517"/>
      <w:bookmarkStart w:id="702" w:name="_Toc21285"/>
      <w:r>
        <w:rPr>
          <w:rFonts w:hint="eastAsia" w:ascii="Times New Roman" w:hAnsi="Times New Roman" w:eastAsia="宋体" w:cs="宋体"/>
          <w:b/>
          <w:bCs/>
          <w:color w:val="auto"/>
          <w:sz w:val="44"/>
          <w:szCs w:val="28"/>
        </w:rPr>
        <w:t>第六章  投标文件格式</w:t>
      </w:r>
      <w:bookmarkEnd w:id="696"/>
      <w:bookmarkEnd w:id="697"/>
      <w:bookmarkEnd w:id="698"/>
      <w:bookmarkEnd w:id="699"/>
      <w:bookmarkEnd w:id="700"/>
      <w:bookmarkEnd w:id="701"/>
      <w:bookmarkEnd w:id="702"/>
    </w:p>
    <w:p w14:paraId="078A6ED8">
      <w:pPr>
        <w:rPr>
          <w:rFonts w:ascii="Times New Roman" w:hAnsi="Times New Roman" w:eastAsia="宋体" w:cs="宋体"/>
          <w:b/>
          <w:bCs/>
          <w:color w:val="auto"/>
          <w:sz w:val="44"/>
          <w:szCs w:val="28"/>
        </w:rPr>
      </w:pPr>
      <w:r>
        <w:rPr>
          <w:rFonts w:hint="eastAsia" w:ascii="Times New Roman" w:hAnsi="Times New Roman" w:eastAsia="宋体" w:cs="宋体"/>
          <w:b/>
          <w:bCs/>
          <w:color w:val="auto"/>
          <w:sz w:val="44"/>
          <w:szCs w:val="28"/>
        </w:rPr>
        <w:br w:type="page"/>
      </w:r>
      <w:r>
        <w:rPr>
          <w:rFonts w:hint="eastAsia" w:ascii="Times New Roman" w:hAnsi="Times New Roman" w:eastAsia="宋体" w:cs="宋体"/>
          <w:b/>
          <w:bCs/>
          <w:color w:val="auto"/>
          <w:sz w:val="44"/>
          <w:szCs w:val="28"/>
        </w:rPr>
        <w:t xml:space="preserve"> </w:t>
      </w:r>
    </w:p>
    <w:p w14:paraId="64CB0A0A">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5C4D1CF7">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155D08D3">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2D283901">
      <w:pPr>
        <w:widowControl w:val="0"/>
        <w:adjustRightInd w:val="0"/>
        <w:snapToGrid w:val="0"/>
        <w:spacing w:after="0" w:line="265" w:lineRule="auto"/>
        <w:ind w:hanging="10"/>
        <w:jc w:val="center"/>
        <w:rPr>
          <w:rFonts w:ascii="Times New Roman" w:hAnsi="Times New Roman" w:eastAsia="宋体" w:cs="宋体"/>
          <w:color w:val="auto"/>
          <w:sz w:val="28"/>
          <w:u w:val="single" w:color="000000"/>
        </w:rPr>
      </w:pPr>
    </w:p>
    <w:p w14:paraId="7B1FB799">
      <w:pPr>
        <w:pStyle w:val="7"/>
        <w:ind w:left="440"/>
        <w:jc w:val="center"/>
        <w:rPr>
          <w:sz w:val="32"/>
          <w:szCs w:val="32"/>
        </w:rPr>
      </w:pPr>
      <w:r>
        <w:rPr>
          <w:sz w:val="32"/>
          <w:szCs w:val="32"/>
          <w:u w:val="single"/>
        </w:rPr>
        <w:t xml:space="preserve">     </w:t>
      </w:r>
      <w:r>
        <w:rPr>
          <w:rFonts w:hint="eastAsia"/>
          <w:sz w:val="32"/>
          <w:szCs w:val="32"/>
          <w:u w:val="single"/>
        </w:rPr>
        <w:t xml:space="preserve">               </w:t>
      </w:r>
      <w:r>
        <w:rPr>
          <w:sz w:val="32"/>
          <w:szCs w:val="32"/>
          <w:u w:val="single"/>
        </w:rPr>
        <w:t xml:space="preserve">        </w:t>
      </w:r>
      <w:r>
        <w:rPr>
          <w:kern w:val="0"/>
          <w:sz w:val="32"/>
          <w:szCs w:val="32"/>
        </w:rPr>
        <w:t>（项目名称</w:t>
      </w:r>
      <w:r>
        <w:rPr>
          <w:sz w:val="32"/>
          <w:szCs w:val="32"/>
        </w:rPr>
        <w:t>）</w:t>
      </w:r>
      <w:r>
        <w:rPr>
          <w:sz w:val="32"/>
          <w:szCs w:val="32"/>
          <w:u w:val="single"/>
        </w:rPr>
        <w:t xml:space="preserve">     </w:t>
      </w:r>
      <w:r>
        <w:rPr>
          <w:rFonts w:hint="eastAsia"/>
          <w:sz w:val="32"/>
          <w:szCs w:val="32"/>
          <w:u w:val="single"/>
        </w:rPr>
        <w:t xml:space="preserve">             </w:t>
      </w:r>
      <w:r>
        <w:rPr>
          <w:sz w:val="32"/>
          <w:szCs w:val="32"/>
          <w:u w:val="single"/>
        </w:rPr>
        <w:t xml:space="preserve">    </w:t>
      </w:r>
      <w:r>
        <w:rPr>
          <w:sz w:val="32"/>
          <w:szCs w:val="32"/>
        </w:rPr>
        <w:t>（标段名称）</w:t>
      </w:r>
    </w:p>
    <w:p w14:paraId="0AD3596D">
      <w:pPr>
        <w:widowControl w:val="0"/>
        <w:adjustRightInd w:val="0"/>
        <w:snapToGrid w:val="0"/>
        <w:spacing w:after="0"/>
        <w:rPr>
          <w:rFonts w:ascii="Times New Roman" w:hAnsi="Times New Roman" w:eastAsia="宋体" w:cs="宋体"/>
          <w:color w:val="auto"/>
          <w:sz w:val="20"/>
        </w:rPr>
      </w:pPr>
      <w:r>
        <w:rPr>
          <w:rFonts w:hint="eastAsia" w:ascii="Times New Roman" w:hAnsi="Times New Roman" w:eastAsia="宋体" w:cs="宋体"/>
          <w:color w:val="auto"/>
          <w:sz w:val="20"/>
        </w:rPr>
        <w:t xml:space="preserve"> </w:t>
      </w:r>
    </w:p>
    <w:p w14:paraId="691A735A"/>
    <w:p w14:paraId="36C82BD9">
      <w:pPr>
        <w:rPr>
          <w:color w:val="auto"/>
        </w:rPr>
      </w:pPr>
    </w:p>
    <w:p w14:paraId="3846E9BE">
      <w:pPr>
        <w:widowControl w:val="0"/>
        <w:adjustRightInd w:val="0"/>
        <w:snapToGrid w:val="0"/>
        <w:spacing w:after="0"/>
        <w:rPr>
          <w:rFonts w:ascii="Times New Roman" w:hAnsi="Times New Roman" w:eastAsia="宋体" w:cs="宋体"/>
          <w:color w:val="auto"/>
          <w:sz w:val="20"/>
        </w:rPr>
      </w:pPr>
    </w:p>
    <w:p w14:paraId="1381E38F">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0"/>
        </w:rPr>
        <w:t xml:space="preserve"> </w:t>
      </w:r>
    </w:p>
    <w:p w14:paraId="7903AE00">
      <w:pPr>
        <w:widowControl w:val="0"/>
        <w:adjustRightInd w:val="0"/>
        <w:snapToGrid w:val="0"/>
        <w:spacing w:after="0" w:line="219" w:lineRule="auto"/>
        <w:jc w:val="center"/>
        <w:rPr>
          <w:rFonts w:ascii="Times New Roman" w:hAnsi="Times New Roman" w:eastAsia="宋体" w:cs="宋体"/>
          <w:b/>
          <w:bCs/>
          <w:color w:val="auto"/>
          <w:sz w:val="72"/>
          <w:szCs w:val="72"/>
        </w:rPr>
      </w:pPr>
      <w:r>
        <w:rPr>
          <w:rFonts w:hint="eastAsia" w:ascii="Times New Roman" w:hAnsi="Times New Roman" w:eastAsia="宋体" w:cs="宋体"/>
          <w:b/>
          <w:bCs/>
          <w:color w:val="auto"/>
          <w:sz w:val="72"/>
          <w:szCs w:val="72"/>
        </w:rPr>
        <w:t>投  标  文  件</w:t>
      </w:r>
    </w:p>
    <w:p w14:paraId="1D373A07">
      <w:pPr>
        <w:widowControl w:val="0"/>
        <w:adjustRightInd w:val="0"/>
        <w:snapToGrid w:val="0"/>
        <w:spacing w:after="0"/>
        <w:jc w:val="center"/>
        <w:rPr>
          <w:rFonts w:ascii="Times New Roman" w:hAnsi="Times New Roman" w:eastAsia="宋体" w:cs="宋体"/>
          <w:color w:val="auto"/>
        </w:rPr>
      </w:pPr>
      <w:r>
        <w:rPr>
          <w:rFonts w:hint="eastAsia" w:ascii="Times New Roman" w:hAnsi="Times New Roman" w:eastAsia="宋体" w:cs="宋体"/>
          <w:color w:val="auto"/>
          <w:sz w:val="44"/>
        </w:rPr>
        <w:t xml:space="preserve"> </w:t>
      </w:r>
    </w:p>
    <w:p w14:paraId="6AB9D41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60B57D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2C36B8BD">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4A5A0373">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A4335FB">
      <w:pPr>
        <w:widowControl w:val="0"/>
        <w:adjustRightInd w:val="0"/>
        <w:snapToGrid w:val="0"/>
        <w:spacing w:after="0"/>
        <w:rPr>
          <w:rFonts w:ascii="Times New Roman" w:hAnsi="Times New Roman" w:eastAsia="宋体" w:cs="宋体"/>
          <w:color w:val="auto"/>
        </w:rPr>
      </w:pPr>
    </w:p>
    <w:p w14:paraId="7F7ACAE7">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24C6EF57">
      <w:pPr>
        <w:widowControl w:val="0"/>
        <w:adjustRightInd w:val="0"/>
        <w:snapToGrid w:val="0"/>
        <w:spacing w:after="0"/>
        <w:rPr>
          <w:rFonts w:ascii="Times New Roman" w:hAnsi="Times New Roman" w:eastAsia="宋体" w:cs="宋体"/>
          <w:color w:val="auto"/>
          <w:sz w:val="28"/>
        </w:rPr>
      </w:pPr>
      <w:r>
        <w:rPr>
          <w:rFonts w:hint="eastAsia" w:ascii="Times New Roman" w:hAnsi="Times New Roman" w:eastAsia="宋体" w:cs="宋体"/>
          <w:color w:val="auto"/>
          <w:sz w:val="28"/>
        </w:rPr>
        <w:t xml:space="preserve"> </w:t>
      </w:r>
    </w:p>
    <w:p w14:paraId="7ED893F9">
      <w:pPr>
        <w:widowControl w:val="0"/>
        <w:adjustRightInd w:val="0"/>
        <w:snapToGrid w:val="0"/>
        <w:spacing w:after="0"/>
        <w:rPr>
          <w:rFonts w:ascii="Times New Roman" w:hAnsi="Times New Roman" w:eastAsia="宋体" w:cs="宋体"/>
          <w:color w:val="auto"/>
          <w:sz w:val="28"/>
        </w:rPr>
      </w:pPr>
    </w:p>
    <w:p w14:paraId="55B1C093">
      <w:pPr>
        <w:widowControl w:val="0"/>
        <w:adjustRightInd w:val="0"/>
        <w:snapToGrid w:val="0"/>
        <w:spacing w:after="0"/>
        <w:rPr>
          <w:rFonts w:ascii="Times New Roman" w:hAnsi="Times New Roman" w:eastAsia="宋体" w:cs="宋体"/>
          <w:color w:val="auto"/>
          <w:sz w:val="28"/>
        </w:rPr>
      </w:pPr>
    </w:p>
    <w:p w14:paraId="1F35B0D4">
      <w:pPr>
        <w:widowControl w:val="0"/>
        <w:adjustRightInd w:val="0"/>
        <w:snapToGrid w:val="0"/>
        <w:spacing w:after="0"/>
        <w:rPr>
          <w:rFonts w:ascii="Times New Roman" w:hAnsi="Times New Roman" w:eastAsia="宋体" w:cs="宋体"/>
          <w:color w:val="auto"/>
          <w:sz w:val="28"/>
        </w:rPr>
      </w:pPr>
    </w:p>
    <w:p w14:paraId="69CD7E4B">
      <w:pPr>
        <w:widowControl w:val="0"/>
        <w:adjustRightInd w:val="0"/>
        <w:snapToGrid w:val="0"/>
        <w:spacing w:after="0"/>
        <w:rPr>
          <w:rFonts w:ascii="Times New Roman" w:hAnsi="Times New Roman" w:eastAsia="宋体" w:cs="宋体"/>
          <w:color w:val="auto"/>
          <w:sz w:val="28"/>
        </w:rPr>
      </w:pPr>
    </w:p>
    <w:p w14:paraId="0B72F5D1">
      <w:pPr>
        <w:widowControl w:val="0"/>
        <w:adjustRightInd w:val="0"/>
        <w:snapToGrid w:val="0"/>
        <w:spacing w:after="0"/>
        <w:rPr>
          <w:rFonts w:ascii="Times New Roman" w:hAnsi="Times New Roman" w:eastAsia="宋体" w:cs="宋体"/>
          <w:color w:val="auto"/>
          <w:sz w:val="28"/>
        </w:rPr>
      </w:pPr>
    </w:p>
    <w:p w14:paraId="544CFBFC">
      <w:pPr>
        <w:widowControl w:val="0"/>
        <w:adjustRightInd w:val="0"/>
        <w:snapToGrid w:val="0"/>
        <w:spacing w:after="0"/>
        <w:rPr>
          <w:rFonts w:ascii="Times New Roman" w:hAnsi="Times New Roman" w:eastAsia="宋体" w:cs="宋体"/>
          <w:color w:val="auto"/>
          <w:sz w:val="28"/>
        </w:rPr>
      </w:pPr>
    </w:p>
    <w:p w14:paraId="286BE111">
      <w:pPr>
        <w:widowControl w:val="0"/>
        <w:adjustRightInd w:val="0"/>
        <w:snapToGrid w:val="0"/>
        <w:spacing w:after="0"/>
        <w:rPr>
          <w:rFonts w:ascii="Times New Roman" w:hAnsi="Times New Roman" w:eastAsia="宋体" w:cs="宋体"/>
          <w:color w:val="auto"/>
        </w:rPr>
      </w:pPr>
    </w:p>
    <w:p w14:paraId="4DA61FF1">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rPr>
        <w:t xml:space="preserve">  </w:t>
      </w:r>
    </w:p>
    <w:p w14:paraId="7924476D">
      <w:pPr>
        <w:widowControl w:val="0"/>
        <w:adjustRightInd w:val="0"/>
        <w:snapToGrid w:val="0"/>
        <w:spacing w:after="0"/>
        <w:jc w:val="center"/>
        <w:rPr>
          <w:rFonts w:ascii="Times New Roman" w:hAnsi="Times New Roman" w:eastAsia="宋体" w:cs="宋体"/>
          <w:b/>
          <w:color w:val="auto"/>
          <w:kern w:val="0"/>
          <w:sz w:val="30"/>
          <w:szCs w:val="30"/>
        </w:rPr>
      </w:pPr>
      <w:r>
        <w:rPr>
          <w:rFonts w:hint="eastAsia" w:ascii="Times New Roman" w:hAnsi="Times New Roman" w:eastAsia="宋体" w:cs="宋体"/>
          <w:b/>
          <w:color w:val="auto"/>
          <w:kern w:val="0"/>
          <w:sz w:val="30"/>
          <w:szCs w:val="30"/>
        </w:rPr>
        <w:t xml:space="preserve"> 投  标  人：</w:t>
      </w:r>
      <w:r>
        <w:rPr>
          <w:rFonts w:hint="eastAsia" w:ascii="Times New Roman" w:hAnsi="Times New Roman" w:eastAsia="宋体" w:cs="宋体"/>
          <w:bCs/>
          <w:color w:val="auto"/>
          <w:kern w:val="0"/>
          <w:sz w:val="30"/>
          <w:szCs w:val="30"/>
          <w:u w:val="single"/>
        </w:rPr>
        <w:t xml:space="preserve">                </w:t>
      </w:r>
      <w:r>
        <w:rPr>
          <w:rFonts w:hint="eastAsia" w:ascii="Times New Roman" w:hAnsi="Times New Roman" w:eastAsia="宋体" w:cs="宋体"/>
          <w:b/>
          <w:color w:val="auto"/>
          <w:kern w:val="0"/>
          <w:sz w:val="30"/>
          <w:szCs w:val="30"/>
        </w:rPr>
        <w:t>（单位CA数字证书章）</w:t>
      </w:r>
    </w:p>
    <w:p w14:paraId="7FD5097E">
      <w:pPr>
        <w:widowControl w:val="0"/>
        <w:autoSpaceDE w:val="0"/>
        <w:autoSpaceDN w:val="0"/>
        <w:adjustRightInd w:val="0"/>
        <w:spacing w:after="0" w:line="360" w:lineRule="auto"/>
        <w:ind w:firstLine="1205" w:firstLineChars="400"/>
        <w:jc w:val="both"/>
        <w:rPr>
          <w:rFonts w:ascii="Times New Roman" w:hAnsi="Times New Roman" w:eastAsia="宋体" w:cs="宋体"/>
          <w:b/>
          <w:color w:val="auto"/>
          <w:kern w:val="0"/>
          <w:sz w:val="30"/>
          <w:szCs w:val="30"/>
        </w:rPr>
      </w:pPr>
      <w:r>
        <w:rPr>
          <w:rFonts w:hint="eastAsia" w:ascii="Times New Roman" w:hAnsi="Times New Roman" w:eastAsia="宋体" w:cs="宋体"/>
          <w:b/>
          <w:color w:val="auto"/>
          <w:kern w:val="0"/>
          <w:sz w:val="30"/>
          <w:szCs w:val="30"/>
        </w:rPr>
        <w:t>法定代表人：</w:t>
      </w:r>
      <w:r>
        <w:rPr>
          <w:rFonts w:hint="eastAsia" w:ascii="Times New Roman" w:hAnsi="Times New Roman" w:eastAsia="宋体" w:cs="宋体"/>
          <w:bCs/>
          <w:color w:val="auto"/>
          <w:kern w:val="0"/>
          <w:sz w:val="30"/>
          <w:szCs w:val="30"/>
          <w:u w:val="single"/>
        </w:rPr>
        <w:t xml:space="preserve">                  </w:t>
      </w:r>
      <w:r>
        <w:rPr>
          <w:rFonts w:hint="eastAsia" w:ascii="Times New Roman" w:hAnsi="Times New Roman" w:eastAsia="宋体" w:cs="宋体"/>
          <w:b/>
          <w:color w:val="auto"/>
          <w:kern w:val="0"/>
          <w:sz w:val="30"/>
          <w:szCs w:val="30"/>
        </w:rPr>
        <w:t>（CA数字证书章）</w:t>
      </w:r>
    </w:p>
    <w:p w14:paraId="2ADA325E">
      <w:pPr>
        <w:widowControl w:val="0"/>
        <w:spacing w:after="0" w:line="360" w:lineRule="auto"/>
        <w:ind w:firstLine="1500" w:firstLineChars="500"/>
        <w:jc w:val="both"/>
        <w:rPr>
          <w:rFonts w:ascii="Times New Roman" w:hAnsi="Times New Roman" w:eastAsia="宋体" w:cs="宋体"/>
          <w:bCs/>
          <w:color w:val="auto"/>
          <w:sz w:val="30"/>
          <w:szCs w:val="30"/>
        </w:rPr>
      </w:pPr>
      <w:r>
        <w:rPr>
          <w:rFonts w:hint="eastAsia" w:ascii="Times New Roman" w:hAnsi="Times New Roman" w:eastAsia="宋体" w:cs="宋体"/>
          <w:bCs/>
          <w:color w:val="auto"/>
          <w:sz w:val="30"/>
          <w:szCs w:val="30"/>
        </w:rPr>
        <w:t>时      间：</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年</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月</w:t>
      </w:r>
      <w:r>
        <w:rPr>
          <w:rFonts w:hint="eastAsia" w:ascii="Times New Roman" w:hAnsi="Times New Roman" w:eastAsia="宋体" w:cs="宋体"/>
          <w:bCs/>
          <w:color w:val="auto"/>
          <w:sz w:val="30"/>
          <w:szCs w:val="30"/>
          <w:u w:val="single"/>
        </w:rPr>
        <w:t xml:space="preserve">      </w:t>
      </w:r>
      <w:r>
        <w:rPr>
          <w:rFonts w:hint="eastAsia" w:ascii="Times New Roman" w:hAnsi="Times New Roman" w:eastAsia="宋体" w:cs="宋体"/>
          <w:bCs/>
          <w:color w:val="auto"/>
          <w:sz w:val="30"/>
          <w:szCs w:val="30"/>
        </w:rPr>
        <w:t>日</w:t>
      </w:r>
    </w:p>
    <w:p w14:paraId="0FCB02EA">
      <w:pPr>
        <w:widowControl w:val="0"/>
        <w:spacing w:after="0" w:line="360" w:lineRule="auto"/>
        <w:jc w:val="center"/>
        <w:rPr>
          <w:rFonts w:ascii="Times New Roman" w:hAnsi="Times New Roman" w:eastAsia="宋体" w:cs="宋体"/>
          <w:bCs/>
          <w:color w:val="auto"/>
          <w:sz w:val="30"/>
          <w:szCs w:val="30"/>
        </w:rPr>
      </w:pPr>
    </w:p>
    <w:p w14:paraId="7A3B7869">
      <w:pPr>
        <w:widowControl w:val="0"/>
        <w:adjustRightInd w:val="0"/>
        <w:snapToGrid w:val="0"/>
        <w:spacing w:after="0" w:line="480" w:lineRule="auto"/>
        <w:jc w:val="center"/>
        <w:rPr>
          <w:rFonts w:ascii="Times New Roman" w:hAnsi="Times New Roman" w:eastAsia="宋体" w:cs="宋体"/>
          <w:b/>
          <w:color w:val="auto"/>
          <w:sz w:val="28"/>
        </w:rPr>
      </w:pPr>
      <w:r>
        <w:rPr>
          <w:rFonts w:hint="eastAsia" w:ascii="Times New Roman" w:hAnsi="Times New Roman" w:eastAsia="宋体" w:cs="宋体"/>
          <w:b/>
          <w:color w:val="auto"/>
          <w:sz w:val="36"/>
        </w:rPr>
        <w:t xml:space="preserve"> </w:t>
      </w:r>
    </w:p>
    <w:p w14:paraId="56875731">
      <w:pPr>
        <w:widowControl w:val="0"/>
        <w:tabs>
          <w:tab w:val="center" w:pos="4320"/>
          <w:tab w:val="center" w:pos="8723"/>
        </w:tabs>
        <w:adjustRightInd w:val="0"/>
        <w:snapToGrid w:val="0"/>
        <w:spacing w:after="0" w:line="490" w:lineRule="exac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2128E72B"/>
    <w:p w14:paraId="39391378">
      <w:pPr>
        <w:pStyle w:val="3"/>
        <w:keepNext w:val="0"/>
        <w:keepLines w:val="0"/>
        <w:widowControl w:val="0"/>
        <w:adjustRightInd w:val="0"/>
        <w:snapToGrid w:val="0"/>
        <w:spacing w:line="490" w:lineRule="exact"/>
        <w:ind w:left="0" w:right="0" w:firstLine="0"/>
        <w:jc w:val="center"/>
        <w:rPr>
          <w:rFonts w:ascii="Times New Roman" w:hAnsi="Times New Roman" w:cs="宋体"/>
          <w:b w:val="0"/>
          <w:color w:val="auto"/>
          <w:sz w:val="36"/>
          <w:szCs w:val="28"/>
        </w:rPr>
      </w:pPr>
      <w:bookmarkStart w:id="703" w:name="_Toc31938"/>
      <w:bookmarkStart w:id="704" w:name="_Toc40275074"/>
      <w:bookmarkStart w:id="705" w:name="_Toc30410"/>
      <w:bookmarkStart w:id="706" w:name="_Toc20692"/>
      <w:bookmarkStart w:id="707" w:name="_Toc300"/>
      <w:bookmarkStart w:id="708" w:name="_Toc56792850"/>
      <w:bookmarkStart w:id="709" w:name="_Toc26213"/>
      <w:bookmarkStart w:id="710" w:name="_Toc22082"/>
      <w:bookmarkStart w:id="711" w:name="_Toc29822"/>
      <w:r>
        <w:rPr>
          <w:rFonts w:hint="eastAsia" w:ascii="Times New Roman" w:hAnsi="Times New Roman" w:cs="宋体"/>
          <w:b w:val="0"/>
          <w:color w:val="auto"/>
          <w:sz w:val="36"/>
          <w:szCs w:val="28"/>
        </w:rPr>
        <w:t>目   录</w:t>
      </w:r>
      <w:bookmarkEnd w:id="703"/>
      <w:bookmarkEnd w:id="704"/>
      <w:bookmarkEnd w:id="705"/>
      <w:bookmarkEnd w:id="706"/>
      <w:bookmarkEnd w:id="707"/>
      <w:bookmarkEnd w:id="708"/>
      <w:bookmarkEnd w:id="709"/>
      <w:bookmarkEnd w:id="710"/>
      <w:bookmarkEnd w:id="711"/>
    </w:p>
    <w:p w14:paraId="5DACBAEF"/>
    <w:p w14:paraId="468C4295">
      <w:pPr>
        <w:spacing w:line="260" w:lineRule="auto"/>
        <w:ind w:firstLine="1100" w:firstLineChars="500"/>
        <w:rPr>
          <w:color w:val="auto"/>
        </w:rPr>
      </w:pPr>
      <w:bookmarkStart w:id="712" w:name="_Toc18214"/>
      <w:bookmarkStart w:id="713" w:name="_Toc23796"/>
      <w:bookmarkStart w:id="714" w:name="_Toc31872"/>
      <w:bookmarkStart w:id="715" w:name="_Toc8847"/>
      <w:bookmarkStart w:id="716" w:name="_Toc30936"/>
      <w:r>
        <w:rPr>
          <w:rFonts w:hint="eastAsia"/>
          <w:color w:val="auto"/>
        </w:rPr>
        <w:t>第一部分：商务部分</w:t>
      </w:r>
    </w:p>
    <w:p w14:paraId="0DE32D37">
      <w:pPr>
        <w:spacing w:line="260" w:lineRule="auto"/>
        <w:ind w:firstLine="1100" w:firstLineChars="500"/>
        <w:rPr>
          <w:color w:val="auto"/>
        </w:rPr>
      </w:pPr>
      <w:r>
        <w:rPr>
          <w:rFonts w:hint="eastAsia"/>
          <w:color w:val="auto"/>
        </w:rPr>
        <w:t>一、投标函</w:t>
      </w:r>
      <w:bookmarkEnd w:id="712"/>
      <w:bookmarkEnd w:id="713"/>
      <w:bookmarkEnd w:id="714"/>
      <w:bookmarkEnd w:id="715"/>
      <w:bookmarkEnd w:id="716"/>
    </w:p>
    <w:p w14:paraId="5F4A5DB6">
      <w:pPr>
        <w:spacing w:line="260" w:lineRule="auto"/>
        <w:ind w:firstLine="1100" w:firstLineChars="500"/>
        <w:rPr>
          <w:color w:val="auto"/>
        </w:rPr>
      </w:pPr>
      <w:bookmarkStart w:id="717" w:name="_Toc20247"/>
      <w:bookmarkStart w:id="718" w:name="_Toc26611"/>
      <w:bookmarkStart w:id="719" w:name="_Toc27095"/>
      <w:bookmarkStart w:id="720" w:name="_Toc22941"/>
      <w:bookmarkStart w:id="721" w:name="_Toc15311"/>
      <w:r>
        <w:rPr>
          <w:rFonts w:hint="eastAsia"/>
          <w:color w:val="auto"/>
        </w:rPr>
        <w:t>二、法定代表人（单位负责人）身份证明（适用于无委托代理人的情况）</w:t>
      </w:r>
      <w:bookmarkEnd w:id="717"/>
      <w:bookmarkEnd w:id="718"/>
      <w:bookmarkEnd w:id="719"/>
      <w:bookmarkEnd w:id="720"/>
      <w:bookmarkEnd w:id="721"/>
    </w:p>
    <w:p w14:paraId="42F9FAF0">
      <w:pPr>
        <w:spacing w:line="260" w:lineRule="auto"/>
        <w:ind w:firstLine="1100" w:firstLineChars="500"/>
        <w:rPr>
          <w:color w:val="auto"/>
        </w:rPr>
      </w:pPr>
      <w:bookmarkStart w:id="722" w:name="_Toc17573"/>
      <w:bookmarkStart w:id="723" w:name="_Toc1091"/>
      <w:bookmarkStart w:id="724" w:name="_Toc20832"/>
      <w:bookmarkStart w:id="725" w:name="_Toc22715"/>
      <w:bookmarkStart w:id="726" w:name="_Toc30537"/>
      <w:r>
        <w:rPr>
          <w:rFonts w:hint="eastAsia"/>
          <w:color w:val="auto"/>
        </w:rPr>
        <w:t>二、授权委托书（适用于有委托代理人的情况）</w:t>
      </w:r>
      <w:bookmarkEnd w:id="722"/>
      <w:bookmarkEnd w:id="723"/>
      <w:bookmarkEnd w:id="724"/>
      <w:bookmarkEnd w:id="725"/>
      <w:bookmarkEnd w:id="726"/>
    </w:p>
    <w:p w14:paraId="0B1CB1A4">
      <w:pPr>
        <w:spacing w:line="260" w:lineRule="auto"/>
        <w:ind w:firstLine="1100" w:firstLineChars="500"/>
        <w:rPr>
          <w:color w:val="auto"/>
        </w:rPr>
      </w:pPr>
      <w:bookmarkStart w:id="727" w:name="_Toc12603"/>
      <w:bookmarkStart w:id="728" w:name="_Toc7824"/>
      <w:bookmarkStart w:id="729" w:name="_Toc2149"/>
      <w:bookmarkStart w:id="730" w:name="_Toc4184"/>
      <w:bookmarkStart w:id="731" w:name="_Toc26565"/>
      <w:r>
        <w:rPr>
          <w:rFonts w:hint="eastAsia"/>
          <w:color w:val="auto"/>
        </w:rPr>
        <w:t>三、联合体协议书</w:t>
      </w:r>
      <w:bookmarkEnd w:id="727"/>
      <w:bookmarkEnd w:id="728"/>
      <w:bookmarkEnd w:id="729"/>
      <w:bookmarkEnd w:id="730"/>
      <w:bookmarkEnd w:id="731"/>
    </w:p>
    <w:p w14:paraId="66D79BFF">
      <w:pPr>
        <w:spacing w:line="260" w:lineRule="auto"/>
        <w:ind w:firstLine="1100" w:firstLineChars="500"/>
        <w:rPr>
          <w:color w:val="auto"/>
        </w:rPr>
      </w:pPr>
      <w:bookmarkStart w:id="732" w:name="_Toc8815"/>
      <w:bookmarkStart w:id="733" w:name="_Toc9999"/>
      <w:bookmarkStart w:id="734" w:name="_Toc22173"/>
      <w:bookmarkStart w:id="735" w:name="_Toc19922"/>
      <w:bookmarkStart w:id="736" w:name="_Toc10336"/>
      <w:r>
        <w:rPr>
          <w:rFonts w:hint="eastAsia"/>
          <w:color w:val="auto"/>
        </w:rPr>
        <w:t>四、投标保证金</w:t>
      </w:r>
      <w:bookmarkEnd w:id="732"/>
      <w:bookmarkEnd w:id="733"/>
      <w:bookmarkEnd w:id="734"/>
      <w:bookmarkEnd w:id="735"/>
      <w:bookmarkEnd w:id="736"/>
    </w:p>
    <w:p w14:paraId="7888610C">
      <w:pPr>
        <w:spacing w:line="260" w:lineRule="auto"/>
        <w:ind w:firstLine="1100" w:firstLineChars="500"/>
        <w:rPr>
          <w:color w:val="auto"/>
        </w:rPr>
      </w:pPr>
      <w:bookmarkStart w:id="737" w:name="_Toc13806"/>
      <w:bookmarkStart w:id="738" w:name="_Toc10741"/>
      <w:bookmarkStart w:id="739" w:name="_Toc14536"/>
      <w:bookmarkStart w:id="740" w:name="_Toc9038"/>
      <w:bookmarkStart w:id="741" w:name="_Toc21731"/>
      <w:r>
        <w:rPr>
          <w:rFonts w:hint="eastAsia"/>
          <w:color w:val="auto"/>
        </w:rPr>
        <w:t>五、商务和技术偏差表</w:t>
      </w:r>
      <w:bookmarkEnd w:id="737"/>
      <w:bookmarkEnd w:id="738"/>
      <w:bookmarkEnd w:id="739"/>
      <w:bookmarkEnd w:id="740"/>
      <w:bookmarkEnd w:id="741"/>
    </w:p>
    <w:p w14:paraId="22FFFA47">
      <w:pPr>
        <w:spacing w:line="260" w:lineRule="auto"/>
        <w:ind w:firstLine="1100" w:firstLineChars="500"/>
        <w:rPr>
          <w:color w:val="auto"/>
        </w:rPr>
      </w:pPr>
      <w:bookmarkStart w:id="742" w:name="_Toc17365"/>
      <w:bookmarkStart w:id="743" w:name="_Toc31716"/>
      <w:bookmarkStart w:id="744" w:name="_Toc27809"/>
      <w:bookmarkStart w:id="745" w:name="_Toc6574"/>
      <w:bookmarkStart w:id="746" w:name="_Toc20336"/>
      <w:r>
        <w:rPr>
          <w:rFonts w:hint="eastAsia"/>
          <w:color w:val="auto"/>
        </w:rPr>
        <w:t>六、分项报价表</w:t>
      </w:r>
      <w:bookmarkEnd w:id="742"/>
      <w:bookmarkEnd w:id="743"/>
      <w:bookmarkEnd w:id="744"/>
      <w:bookmarkEnd w:id="745"/>
      <w:bookmarkEnd w:id="746"/>
    </w:p>
    <w:p w14:paraId="51314571">
      <w:pPr>
        <w:spacing w:line="260" w:lineRule="auto"/>
        <w:ind w:firstLine="1100" w:firstLineChars="500"/>
        <w:rPr>
          <w:color w:val="auto"/>
        </w:rPr>
      </w:pPr>
      <w:bookmarkStart w:id="747" w:name="_Toc12440"/>
      <w:bookmarkStart w:id="748" w:name="_Toc515"/>
      <w:bookmarkStart w:id="749" w:name="_Toc8758"/>
      <w:bookmarkStart w:id="750" w:name="_Toc2172"/>
      <w:bookmarkStart w:id="751" w:name="_Toc19251"/>
      <w:r>
        <w:rPr>
          <w:rFonts w:hint="eastAsia"/>
          <w:color w:val="auto"/>
        </w:rPr>
        <w:t>七、资格审查资料</w:t>
      </w:r>
      <w:bookmarkEnd w:id="747"/>
      <w:bookmarkEnd w:id="748"/>
      <w:bookmarkEnd w:id="749"/>
      <w:bookmarkEnd w:id="750"/>
      <w:bookmarkEnd w:id="751"/>
    </w:p>
    <w:p w14:paraId="6A41DD1C">
      <w:pPr>
        <w:spacing w:line="260" w:lineRule="auto"/>
        <w:ind w:firstLine="1100" w:firstLineChars="500"/>
        <w:rPr>
          <w:color w:val="auto"/>
        </w:rPr>
      </w:pPr>
      <w:bookmarkStart w:id="752" w:name="_Toc12061"/>
      <w:bookmarkStart w:id="753" w:name="_Toc11629"/>
      <w:bookmarkStart w:id="754" w:name="_Toc3791"/>
      <w:bookmarkStart w:id="755" w:name="_Toc26896"/>
      <w:bookmarkStart w:id="756" w:name="_Toc31041"/>
      <w:r>
        <w:rPr>
          <w:rFonts w:hint="eastAsia"/>
          <w:color w:val="auto"/>
        </w:rPr>
        <w:t>第二部分：技术部分</w:t>
      </w:r>
    </w:p>
    <w:p w14:paraId="7BCC6BF0">
      <w:pPr>
        <w:spacing w:line="260" w:lineRule="auto"/>
        <w:ind w:firstLine="1100" w:firstLineChars="500"/>
        <w:rPr>
          <w:color w:val="auto"/>
        </w:rPr>
      </w:pPr>
      <w:r>
        <w:rPr>
          <w:rFonts w:hint="eastAsia"/>
          <w:color w:val="auto"/>
        </w:rPr>
        <w:t>八、投标设备技术性能指标的详细描述</w:t>
      </w:r>
      <w:bookmarkEnd w:id="752"/>
      <w:bookmarkEnd w:id="753"/>
      <w:bookmarkEnd w:id="754"/>
      <w:bookmarkEnd w:id="755"/>
      <w:bookmarkEnd w:id="756"/>
    </w:p>
    <w:p w14:paraId="6C55BE30">
      <w:pPr>
        <w:spacing w:line="260" w:lineRule="auto"/>
        <w:ind w:firstLine="1100" w:firstLineChars="500"/>
        <w:rPr>
          <w:color w:val="auto"/>
        </w:rPr>
      </w:pPr>
      <w:bookmarkStart w:id="757" w:name="_Toc3769"/>
      <w:bookmarkStart w:id="758" w:name="_Toc21247"/>
      <w:bookmarkStart w:id="759" w:name="_Toc24753"/>
      <w:bookmarkStart w:id="760" w:name="_Toc19386"/>
      <w:bookmarkStart w:id="761" w:name="_Toc5756"/>
      <w:r>
        <w:rPr>
          <w:rFonts w:hint="eastAsia"/>
          <w:color w:val="auto"/>
        </w:rPr>
        <w:t>九、技术支持资料</w:t>
      </w:r>
      <w:bookmarkEnd w:id="757"/>
      <w:bookmarkEnd w:id="758"/>
      <w:bookmarkEnd w:id="759"/>
      <w:bookmarkEnd w:id="760"/>
      <w:bookmarkEnd w:id="761"/>
    </w:p>
    <w:p w14:paraId="306E15C6">
      <w:pPr>
        <w:spacing w:line="260" w:lineRule="auto"/>
        <w:ind w:firstLine="1100" w:firstLineChars="500"/>
        <w:rPr>
          <w:color w:val="auto"/>
        </w:rPr>
      </w:pPr>
      <w:bookmarkStart w:id="762" w:name="_Toc3321"/>
      <w:bookmarkStart w:id="763" w:name="_Toc19705"/>
      <w:bookmarkStart w:id="764" w:name="_Toc6619"/>
      <w:bookmarkStart w:id="765" w:name="_Toc24239"/>
      <w:bookmarkStart w:id="766" w:name="_Toc11546"/>
      <w:r>
        <w:rPr>
          <w:rFonts w:hint="eastAsia"/>
          <w:color w:val="auto"/>
        </w:rPr>
        <w:t>十、技术服务和质保期服务计划</w:t>
      </w:r>
      <w:bookmarkEnd w:id="762"/>
      <w:bookmarkEnd w:id="763"/>
      <w:bookmarkEnd w:id="764"/>
      <w:bookmarkEnd w:id="765"/>
      <w:bookmarkEnd w:id="766"/>
    </w:p>
    <w:p w14:paraId="0A461AC9">
      <w:pPr>
        <w:spacing w:line="260" w:lineRule="auto"/>
        <w:ind w:firstLine="1100" w:firstLineChars="500"/>
        <w:rPr>
          <w:color w:val="auto"/>
        </w:rPr>
      </w:pPr>
      <w:bookmarkStart w:id="767" w:name="_Toc16491"/>
      <w:bookmarkStart w:id="768" w:name="_Toc14490"/>
      <w:bookmarkStart w:id="769" w:name="_Toc9516"/>
      <w:bookmarkStart w:id="770" w:name="_Toc12268"/>
      <w:bookmarkStart w:id="771" w:name="_Toc10110"/>
      <w:r>
        <w:rPr>
          <w:rFonts w:hint="eastAsia"/>
          <w:color w:val="auto"/>
        </w:rPr>
        <w:t>第三部分：其他</w:t>
      </w:r>
    </w:p>
    <w:p w14:paraId="3E7E39EE">
      <w:pPr>
        <w:spacing w:line="260" w:lineRule="auto"/>
        <w:ind w:firstLine="1100" w:firstLineChars="500"/>
        <w:rPr>
          <w:color w:val="auto"/>
        </w:rPr>
      </w:pPr>
      <w:r>
        <w:rPr>
          <w:rFonts w:hint="eastAsia"/>
          <w:color w:val="auto"/>
        </w:rPr>
        <w:t>十一、其他资料</w:t>
      </w:r>
      <w:bookmarkEnd w:id="767"/>
      <w:bookmarkEnd w:id="768"/>
      <w:bookmarkEnd w:id="769"/>
      <w:bookmarkEnd w:id="770"/>
      <w:bookmarkEnd w:id="771"/>
    </w:p>
    <w:p w14:paraId="0B81400C">
      <w:r>
        <w:rPr>
          <w:rFonts w:hint="eastAsia"/>
        </w:rPr>
        <w:br w:type="page"/>
      </w:r>
    </w:p>
    <w:p w14:paraId="7882C501"/>
    <w:p w14:paraId="4BCC9D7D">
      <w:pPr>
        <w:rPr>
          <w:color w:val="auto"/>
        </w:rPr>
      </w:pPr>
    </w:p>
    <w:p w14:paraId="03C2B46F"/>
    <w:p w14:paraId="5F90A8A4"/>
    <w:p w14:paraId="4BA27CC2">
      <w:pPr>
        <w:jc w:val="center"/>
        <w:rPr>
          <w:rFonts w:ascii="Times New Roman" w:hAnsi="Times New Roman" w:eastAsia="宋体" w:cs="宋体"/>
          <w:color w:val="auto"/>
          <w:szCs w:val="28"/>
        </w:rPr>
      </w:pPr>
      <w:bookmarkStart w:id="772" w:name="_Toc29342"/>
      <w:r>
        <w:rPr>
          <w:rFonts w:hint="eastAsia" w:ascii="宋体" w:hAnsi="宋体" w:eastAsia="宋体" w:cs="宋体"/>
          <w:color w:val="auto"/>
          <w:sz w:val="44"/>
          <w:szCs w:val="44"/>
        </w:rPr>
        <w:t>商务部分</w:t>
      </w:r>
      <w:r>
        <w:rPr>
          <w:rFonts w:hint="eastAsia" w:ascii="Times New Roman" w:hAnsi="Times New Roman" w:eastAsia="宋体" w:cs="宋体"/>
          <w:color w:val="auto"/>
          <w:szCs w:val="28"/>
        </w:rPr>
        <w:br w:type="page"/>
      </w:r>
      <w:bookmarkEnd w:id="772"/>
      <w:bookmarkStart w:id="773" w:name="_Toc19926"/>
      <w:bookmarkStart w:id="774" w:name="_Toc56792851"/>
    </w:p>
    <w:p w14:paraId="33990EDF">
      <w:pPr>
        <w:pStyle w:val="3"/>
        <w:keepNext w:val="0"/>
        <w:keepLines w:val="0"/>
        <w:widowControl w:val="0"/>
        <w:adjustRightInd w:val="0"/>
        <w:snapToGrid w:val="0"/>
        <w:spacing w:line="490" w:lineRule="exact"/>
        <w:ind w:left="0" w:right="0" w:firstLine="0"/>
        <w:jc w:val="center"/>
        <w:rPr>
          <w:rFonts w:ascii="Times New Roman" w:hAnsi="Times New Roman" w:cs="宋体"/>
          <w:b w:val="0"/>
          <w:bCs/>
          <w:color w:val="auto"/>
          <w:sz w:val="36"/>
          <w:szCs w:val="28"/>
        </w:rPr>
      </w:pPr>
      <w:bookmarkStart w:id="775" w:name="_Toc2486"/>
      <w:bookmarkStart w:id="776" w:name="_Toc13762"/>
      <w:bookmarkStart w:id="777" w:name="_Toc15604"/>
      <w:bookmarkStart w:id="778" w:name="_Toc2961"/>
      <w:bookmarkStart w:id="779" w:name="_Toc8713"/>
      <w:r>
        <w:rPr>
          <w:rFonts w:hint="eastAsia" w:ascii="Times New Roman" w:hAnsi="Times New Roman" w:cs="宋体"/>
          <w:b w:val="0"/>
          <w:bCs/>
          <w:color w:val="auto"/>
          <w:sz w:val="36"/>
          <w:szCs w:val="28"/>
        </w:rPr>
        <w:t>一、投标函</w:t>
      </w:r>
      <w:bookmarkEnd w:id="773"/>
      <w:bookmarkEnd w:id="774"/>
      <w:bookmarkEnd w:id="775"/>
      <w:bookmarkEnd w:id="776"/>
      <w:bookmarkEnd w:id="777"/>
      <w:bookmarkEnd w:id="778"/>
      <w:bookmarkEnd w:id="779"/>
      <w:r>
        <w:rPr>
          <w:rFonts w:hint="eastAsia" w:ascii="Times New Roman" w:hAnsi="Times New Roman" w:cs="宋体"/>
          <w:b w:val="0"/>
          <w:bCs/>
          <w:color w:val="auto"/>
          <w:sz w:val="36"/>
          <w:szCs w:val="28"/>
        </w:rPr>
        <w:t xml:space="preserve"> </w:t>
      </w:r>
    </w:p>
    <w:p w14:paraId="11DC462C">
      <w:pPr>
        <w:widowControl w:val="0"/>
        <w:adjustRightInd w:val="0"/>
        <w:snapToGrid w:val="0"/>
        <w:spacing w:after="0" w:line="490" w:lineRule="exact"/>
        <w:rPr>
          <w:rFonts w:ascii="Times New Roman" w:hAnsi="Times New Roman" w:eastAsia="宋体" w:cs="宋体"/>
          <w:color w:val="auto"/>
          <w:sz w:val="28"/>
          <w:szCs w:val="28"/>
          <w:u w:val="single" w:color="000000"/>
        </w:rPr>
      </w:pPr>
    </w:p>
    <w:p w14:paraId="4A7CD2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（招标人名称）： </w:t>
      </w:r>
    </w:p>
    <w:p w14:paraId="31A6AA3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1.我方已仔细研究了</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（项目名称）招标项目招标文件的全部内容，愿意以人民币（大写）</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）的投标总报价（其中，增值税税率为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）提供</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（设备名称）及相关服务，并按合同约定履行义务。</w:t>
      </w:r>
    </w:p>
    <w:p w14:paraId="61DCD9E5">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2.我方的投标文件包括下列内容： </w:t>
      </w:r>
    </w:p>
    <w:p w14:paraId="709FFED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（1）投标函； </w:t>
      </w:r>
    </w:p>
    <w:p w14:paraId="450006A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（2）法定代表人（单位负责人）身份证明或授权委托书； </w:t>
      </w:r>
    </w:p>
    <w:p w14:paraId="2D0BDD0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（3）联合体协议书（如有）； </w:t>
      </w:r>
    </w:p>
    <w:p w14:paraId="3B2C3841">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（4）投标保证金（如有）； </w:t>
      </w:r>
    </w:p>
    <w:p w14:paraId="2A76EB1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（5）商务和技术偏差表； </w:t>
      </w:r>
    </w:p>
    <w:p w14:paraId="2F264E51">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（6）分项报价表； </w:t>
      </w:r>
    </w:p>
    <w:p w14:paraId="6B97354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（7）资格审查资料； </w:t>
      </w:r>
    </w:p>
    <w:p w14:paraId="22E45D1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（8）投标设备技术性能指标的详细描述</w:t>
      </w:r>
    </w:p>
    <w:p w14:paraId="2DD4AD2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（9）技术支持资料； </w:t>
      </w:r>
    </w:p>
    <w:p w14:paraId="53036A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（10）</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技术服务和质保期服务计划；</w:t>
      </w:r>
    </w:p>
    <w:p w14:paraId="451BF56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5CA210C9">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投标文件的上述组成部分如存在内容不一致的，以投标函为准。</w:t>
      </w:r>
    </w:p>
    <w:p w14:paraId="506ADAD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3.我方承诺除商务和技术偏差表列出的偏差外，我方响应招标文件的全部要求。</w:t>
      </w:r>
    </w:p>
    <w:p w14:paraId="2E5A528F">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4.我方承诺投标有效期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天，在投标有效期内不补充、修改、替代或者撤回本投标文件。</w:t>
      </w:r>
    </w:p>
    <w:p w14:paraId="5A1DF35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5.如我方中标，我方承诺： </w:t>
      </w:r>
    </w:p>
    <w:p w14:paraId="4A0E389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在收到中标通知书后，在中标通知书规定的期限内与你方签订合同；</w:t>
      </w:r>
    </w:p>
    <w:p w14:paraId="1E9CB6DE">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 xml:space="preserve">在签订合同时不向你方提出附加条件； </w:t>
      </w:r>
    </w:p>
    <w:p w14:paraId="7D203238">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 xml:space="preserve">按照招标文件要求提交履约保证金； </w:t>
      </w:r>
    </w:p>
    <w:p w14:paraId="57338AC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w:t>
      </w:r>
      <w:r>
        <w:rPr>
          <w:rFonts w:hint="eastAsia" w:ascii="Times New Roman" w:hAnsi="Times New Roman" w:eastAsia="宋体" w:cs="宋体"/>
          <w:color w:val="auto"/>
          <w:sz w:val="24"/>
          <w:szCs w:val="24"/>
        </w:rPr>
        <w:tab/>
      </w:r>
      <w:r>
        <w:rPr>
          <w:rFonts w:hint="eastAsia" w:ascii="Times New Roman" w:hAnsi="Times New Roman" w:eastAsia="宋体" w:cs="宋体"/>
          <w:color w:val="auto"/>
          <w:sz w:val="24"/>
          <w:szCs w:val="24"/>
        </w:rPr>
        <w:t>在合同约定的期限内完成合同规定的全部义务。</w:t>
      </w:r>
    </w:p>
    <w:p w14:paraId="6F60A912">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6.我方在此声明，所递交的投标文件及有关资料内容完整、真实和准确，且不存在第二章“投标人须知”第 1.4.3 项规定的任何一种情形。</w:t>
      </w:r>
    </w:p>
    <w:p w14:paraId="6A430622">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（其他补充说明）。</w:t>
      </w:r>
    </w:p>
    <w:p w14:paraId="284F2417">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7F2842BF">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469582A9">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投 标 人：</w:t>
      </w:r>
      <w:r>
        <w:rPr>
          <w:rFonts w:hint="eastAsia" w:ascii="Times New Roman" w:hAnsi="Times New Roman" w:eastAsia="宋体" w:cs="宋体"/>
          <w:color w:val="auto"/>
          <w:sz w:val="24"/>
          <w:szCs w:val="24"/>
          <w:u w:val="single"/>
        </w:rPr>
        <w:t xml:space="preserve">                     （单位CA数字证书章）                   </w:t>
      </w:r>
    </w:p>
    <w:p w14:paraId="70C26F2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         </w:t>
      </w:r>
    </w:p>
    <w:p w14:paraId="6E2FECC2">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通讯地址：</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cr/>
      </w:r>
      <w:r>
        <w:rPr>
          <w:rFonts w:hint="eastAsia" w:ascii="Times New Roman" w:hAnsi="Times New Roman" w:eastAsia="宋体" w:cs="宋体"/>
          <w:color w:val="auto"/>
          <w:sz w:val="24"/>
          <w:szCs w:val="24"/>
        </w:rPr>
        <w:t xml:space="preserve">        邮政编码：</w:t>
      </w:r>
      <w:r>
        <w:rPr>
          <w:rFonts w:hint="eastAsia" w:ascii="Times New Roman" w:hAnsi="Times New Roman" w:eastAsia="宋体" w:cs="宋体"/>
          <w:color w:val="auto"/>
          <w:sz w:val="24"/>
          <w:szCs w:val="24"/>
          <w:u w:val="single"/>
        </w:rPr>
        <w:t xml:space="preserve">                             </w:t>
      </w:r>
    </w:p>
    <w:p w14:paraId="3F9ABF65">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电    话：</w:t>
      </w:r>
      <w:r>
        <w:rPr>
          <w:rFonts w:hint="eastAsia" w:ascii="Times New Roman" w:hAnsi="Times New Roman" w:eastAsia="宋体" w:cs="宋体"/>
          <w:color w:val="auto"/>
          <w:sz w:val="24"/>
          <w:szCs w:val="24"/>
          <w:u w:val="single"/>
        </w:rPr>
        <w:t xml:space="preserve">                             </w:t>
      </w:r>
    </w:p>
    <w:p w14:paraId="2EAD5557">
      <w:pPr>
        <w:widowControl w:val="0"/>
        <w:adjustRightInd w:val="0"/>
        <w:snapToGrid w:val="0"/>
        <w:spacing w:after="0" w:line="490" w:lineRule="exact"/>
        <w:ind w:left="3840" w:leftChars="218" w:hanging="3360" w:hangingChars="14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传    真：</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cr/>
      </w: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4AAFC7AB">
      <w:pPr>
        <w:widowControl w:val="0"/>
        <w:adjustRightInd w:val="0"/>
        <w:snapToGrid w:val="0"/>
        <w:spacing w:after="0" w:line="490" w:lineRule="exact"/>
        <w:ind w:firstLine="5858"/>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548BB586">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0EBFBDAF">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0"/>
        </w:rPr>
        <w:t xml:space="preserve"> </w:t>
      </w:r>
    </w:p>
    <w:p w14:paraId="6CDC9A8B">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1"/>
        </w:rPr>
        <w:t xml:space="preserve"> </w:t>
      </w:r>
      <w:r>
        <w:rPr>
          <w:rFonts w:hint="eastAsia" w:ascii="Times New Roman" w:hAnsi="Times New Roman" w:eastAsia="宋体" w:cs="宋体"/>
          <w:color w:val="auto"/>
          <w:sz w:val="21"/>
        </w:rPr>
        <w:tab/>
      </w:r>
      <w:r>
        <w:rPr>
          <w:rFonts w:hint="eastAsia" w:ascii="Times New Roman" w:hAnsi="Times New Roman" w:eastAsia="宋体" w:cs="宋体"/>
          <w:color w:val="auto"/>
          <w:sz w:val="20"/>
        </w:rPr>
        <w:t xml:space="preserve"> </w:t>
      </w:r>
      <w:r>
        <w:rPr>
          <w:rFonts w:hint="eastAsia" w:ascii="Times New Roman" w:hAnsi="Times New Roman" w:eastAsia="宋体" w:cs="宋体"/>
          <w:color w:val="auto"/>
        </w:rPr>
        <w:br w:type="page"/>
      </w:r>
    </w:p>
    <w:p w14:paraId="6621BAA2">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780" w:name="_Toc5179"/>
      <w:bookmarkStart w:id="781" w:name="_Toc24951"/>
      <w:bookmarkStart w:id="782" w:name="_Toc14308"/>
      <w:bookmarkStart w:id="783" w:name="_Toc18424"/>
      <w:bookmarkStart w:id="784" w:name="_Toc56792852"/>
      <w:bookmarkStart w:id="785" w:name="_Toc14423"/>
      <w:bookmarkStart w:id="786" w:name="_Toc15642"/>
      <w:r>
        <w:rPr>
          <w:rFonts w:hint="eastAsia" w:ascii="Times New Roman" w:hAnsi="Times New Roman" w:cs="宋体"/>
          <w:b w:val="0"/>
          <w:bCs/>
          <w:color w:val="auto"/>
          <w:sz w:val="36"/>
        </w:rPr>
        <w:t>二、法定代表人（单位负责人）身份证明</w:t>
      </w:r>
      <w:bookmarkEnd w:id="780"/>
      <w:bookmarkEnd w:id="781"/>
      <w:bookmarkEnd w:id="782"/>
      <w:bookmarkEnd w:id="783"/>
      <w:bookmarkEnd w:id="784"/>
      <w:bookmarkEnd w:id="785"/>
      <w:bookmarkEnd w:id="786"/>
      <w:r>
        <w:rPr>
          <w:rFonts w:hint="eastAsia" w:ascii="Times New Roman" w:hAnsi="Times New Roman" w:cs="宋体"/>
          <w:b w:val="0"/>
          <w:bCs/>
          <w:color w:val="auto"/>
          <w:sz w:val="36"/>
        </w:rPr>
        <w:t xml:space="preserve"> </w:t>
      </w:r>
    </w:p>
    <w:p w14:paraId="3701C7AC">
      <w:pPr>
        <w:widowControl w:val="0"/>
        <w:adjustRightInd w:val="0"/>
        <w:snapToGrid w:val="0"/>
        <w:spacing w:after="0" w:line="49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5A55DDC3">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投标人名称：</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2B29583C">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单位性质：</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6C2AB9D4">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姓    名：</w:t>
      </w:r>
      <w:r>
        <w:rPr>
          <w:rFonts w:hint="eastAsia" w:ascii="Times New Roman" w:hAnsi="Times New Roman" w:eastAsia="宋体" w:cs="宋体"/>
          <w:color w:val="auto"/>
          <w:sz w:val="24"/>
          <w:szCs w:val="24"/>
          <w:u w:val="single" w:color="000000"/>
        </w:rPr>
        <w:t xml:space="preserve">                           </w:t>
      </w:r>
    </w:p>
    <w:p w14:paraId="3E27F785">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性    别：</w:t>
      </w:r>
      <w:r>
        <w:rPr>
          <w:rFonts w:hint="eastAsia" w:ascii="Times New Roman" w:hAnsi="Times New Roman" w:eastAsia="宋体" w:cs="宋体"/>
          <w:color w:val="auto"/>
          <w:sz w:val="24"/>
          <w:szCs w:val="24"/>
          <w:u w:val="single" w:color="000000"/>
        </w:rPr>
        <w:t xml:space="preserve">                           </w:t>
      </w:r>
    </w:p>
    <w:p w14:paraId="1E4F8CC0">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年    龄：</w:t>
      </w:r>
      <w:r>
        <w:rPr>
          <w:rFonts w:hint="eastAsia" w:ascii="Times New Roman" w:hAnsi="Times New Roman" w:eastAsia="宋体" w:cs="宋体"/>
          <w:color w:val="auto"/>
          <w:sz w:val="24"/>
          <w:szCs w:val="24"/>
          <w:u w:val="single" w:color="000000"/>
        </w:rPr>
        <w:t xml:space="preserve">                           </w:t>
      </w:r>
    </w:p>
    <w:p w14:paraId="6CD756A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职    务：</w:t>
      </w:r>
      <w:r>
        <w:rPr>
          <w:rFonts w:hint="eastAsia" w:ascii="Times New Roman" w:hAnsi="Times New Roman" w:eastAsia="宋体" w:cs="宋体"/>
          <w:color w:val="auto"/>
          <w:sz w:val="24"/>
          <w:szCs w:val="24"/>
          <w:u w:val="single" w:color="000000"/>
        </w:rPr>
        <w:t xml:space="preserve">                           </w:t>
      </w:r>
    </w:p>
    <w:p w14:paraId="1C24014A">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系</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（投标人名称）的法定代表人（单位负责人）。</w:t>
      </w:r>
    </w:p>
    <w:p w14:paraId="2C522569">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6672097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3FE19EF4">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特此证明。</w:t>
      </w:r>
    </w:p>
    <w:p w14:paraId="4D9BBB2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p>
    <w:p w14:paraId="6A66953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附：法定代表人（单位负责人）身份证扫描件 </w:t>
      </w:r>
    </w:p>
    <w:p w14:paraId="7C77299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02841C38">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213B3C07">
      <w:pPr>
        <w:widowControl w:val="0"/>
        <w:tabs>
          <w:tab w:val="center" w:pos="2956"/>
          <w:tab w:val="center" w:pos="7052"/>
        </w:tabs>
        <w:adjustRightInd w:val="0"/>
        <w:snapToGrid w:val="0"/>
        <w:spacing w:after="0" w:line="490" w:lineRule="exact"/>
        <w:ind w:firstLine="480" w:firstLineChars="200"/>
        <w:jc w:val="center"/>
        <w:rPr>
          <w:rFonts w:ascii="Times New Roman" w:hAnsi="Times New Roman" w:eastAsia="宋体" w:cs="宋体"/>
          <w:color w:val="auto"/>
          <w:sz w:val="24"/>
          <w:szCs w:val="24"/>
          <w:u w:val="single" w:color="000000"/>
        </w:rPr>
      </w:pPr>
      <w:r>
        <w:rPr>
          <w:rFonts w:hint="eastAsia" w:ascii="Times New Roman" w:hAnsi="Times New Roman" w:eastAsia="宋体" w:cs="宋体"/>
          <w:color w:val="auto"/>
          <w:sz w:val="24"/>
          <w:szCs w:val="24"/>
        </w:rPr>
        <w:t xml:space="preserve">                                    投标人：</w:t>
      </w:r>
      <w:r>
        <w:rPr>
          <w:rFonts w:hint="eastAsia" w:ascii="Times New Roman" w:hAnsi="Times New Roman" w:eastAsia="宋体" w:cs="宋体"/>
          <w:color w:val="auto"/>
          <w:sz w:val="24"/>
          <w:szCs w:val="24"/>
          <w:u w:val="single" w:color="000000"/>
        </w:rPr>
        <w:t xml:space="preserve">     （单位CA数字证书章）        </w:t>
      </w:r>
    </w:p>
    <w:p w14:paraId="787AAE69">
      <w:pPr>
        <w:widowControl w:val="0"/>
        <w:tabs>
          <w:tab w:val="center" w:pos="2956"/>
          <w:tab w:val="center" w:pos="7052"/>
        </w:tabs>
        <w:adjustRightInd w:val="0"/>
        <w:snapToGrid w:val="0"/>
        <w:spacing w:after="0" w:line="490" w:lineRule="exact"/>
        <w:ind w:firstLine="480" w:firstLineChars="200"/>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p>
    <w:p w14:paraId="1581E922">
      <w:pPr>
        <w:widowControl w:val="0"/>
        <w:adjustRightInd w:val="0"/>
        <w:snapToGrid w:val="0"/>
        <w:spacing w:after="0" w:line="490" w:lineRule="exact"/>
        <w:ind w:firstLine="5520" w:firstLineChars="23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日 </w:t>
      </w:r>
    </w:p>
    <w:p w14:paraId="33D981E9">
      <w:pPr>
        <w:widowControl w:val="0"/>
        <w:adjustRightInd w:val="0"/>
        <w:snapToGrid w:val="0"/>
        <w:spacing w:after="0" w:line="490" w:lineRule="exact"/>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3A59A934">
      <w:pPr>
        <w:widowControl w:val="0"/>
        <w:adjustRightInd w:val="0"/>
        <w:snapToGrid w:val="0"/>
        <w:spacing w:after="0" w:line="490" w:lineRule="exact"/>
        <w:ind w:firstLine="560" w:firstLineChars="200"/>
        <w:jc w:val="righ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r>
        <w:rPr>
          <w:rFonts w:hint="eastAsia" w:ascii="Times New Roman" w:hAnsi="Times New Roman" w:eastAsia="宋体" w:cs="宋体"/>
          <w:color w:val="auto"/>
          <w:sz w:val="28"/>
          <w:szCs w:val="28"/>
        </w:rPr>
        <w:tab/>
      </w:r>
      <w:r>
        <w:rPr>
          <w:rFonts w:hint="eastAsia" w:ascii="Times New Roman" w:hAnsi="Times New Roman" w:eastAsia="宋体" w:cs="宋体"/>
          <w:color w:val="auto"/>
          <w:sz w:val="28"/>
          <w:szCs w:val="28"/>
        </w:rPr>
        <w:t xml:space="preserve"> </w:t>
      </w:r>
    </w:p>
    <w:p w14:paraId="1CBCF667">
      <w:r>
        <w:rPr>
          <w:rFonts w:hint="eastAsia"/>
        </w:rPr>
        <w:br w:type="page"/>
      </w:r>
      <w:bookmarkStart w:id="787" w:name="_Toc30435"/>
      <w:bookmarkStart w:id="788" w:name="_Toc56792853"/>
    </w:p>
    <w:p w14:paraId="18457DF9">
      <w:pPr>
        <w:pStyle w:val="3"/>
        <w:keepNext w:val="0"/>
        <w:keepLines w:val="0"/>
        <w:widowControl w:val="0"/>
        <w:adjustRightInd w:val="0"/>
        <w:snapToGrid w:val="0"/>
        <w:spacing w:line="490" w:lineRule="exact"/>
        <w:ind w:right="0" w:hangingChars="3"/>
        <w:jc w:val="center"/>
        <w:rPr>
          <w:rFonts w:ascii="Times New Roman" w:hAnsi="Times New Roman" w:cs="宋体"/>
          <w:b w:val="0"/>
          <w:bCs/>
          <w:color w:val="auto"/>
          <w:sz w:val="36"/>
        </w:rPr>
      </w:pPr>
      <w:bookmarkStart w:id="789" w:name="_Toc22622"/>
      <w:bookmarkStart w:id="790" w:name="_Toc27848"/>
      <w:bookmarkStart w:id="791" w:name="_Toc5609"/>
      <w:bookmarkStart w:id="792" w:name="_Toc23911"/>
      <w:bookmarkStart w:id="793" w:name="_Toc18855"/>
      <w:r>
        <w:rPr>
          <w:rFonts w:hint="eastAsia" w:ascii="Times New Roman" w:hAnsi="Times New Roman" w:cs="宋体"/>
          <w:b w:val="0"/>
          <w:bCs/>
          <w:color w:val="auto"/>
          <w:sz w:val="36"/>
        </w:rPr>
        <w:t>二、授权委托书</w:t>
      </w:r>
      <w:bookmarkEnd w:id="787"/>
      <w:bookmarkEnd w:id="788"/>
      <w:bookmarkEnd w:id="789"/>
      <w:bookmarkEnd w:id="790"/>
      <w:bookmarkEnd w:id="791"/>
      <w:bookmarkEnd w:id="792"/>
      <w:bookmarkEnd w:id="793"/>
    </w:p>
    <w:p w14:paraId="3CFE87E8">
      <w:pPr>
        <w:widowControl w:val="0"/>
        <w:adjustRightInd w:val="0"/>
        <w:snapToGrid w:val="0"/>
        <w:spacing w:after="0" w:line="490" w:lineRule="exact"/>
        <w:rPr>
          <w:rFonts w:ascii="Times New Roman" w:hAnsi="Times New Roman" w:eastAsia="宋体" w:cs="宋体"/>
          <w:color w:val="auto"/>
          <w:sz w:val="28"/>
          <w:szCs w:val="28"/>
        </w:rPr>
      </w:pPr>
    </w:p>
    <w:p w14:paraId="0BB0AFF1">
      <w:pPr>
        <w:widowControl w:val="0"/>
        <w:adjustRightInd w:val="0"/>
        <w:snapToGrid w:val="0"/>
        <w:spacing w:after="0" w:line="490" w:lineRule="exact"/>
        <w:ind w:firstLine="720" w:firstLineChars="3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（姓名）系</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（投标人名称）的法定代表人（单位负责人），现委托</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（姓名）为我方代理人。代理人根据授权，以我方名义签署、澄清确认、递交、撤回、修改设备采购招标项目投标文件、签订合同和处理有关事宜，其法律后果由我方承担。</w:t>
      </w:r>
    </w:p>
    <w:p w14:paraId="145A702B">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委托期限：</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w:t>
      </w:r>
    </w:p>
    <w:p w14:paraId="6C8DDD43">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代理人无转委托权。</w:t>
      </w:r>
    </w:p>
    <w:p w14:paraId="196E43A9">
      <w:pPr>
        <w:widowControl w:val="0"/>
        <w:adjustRightInd w:val="0"/>
        <w:snapToGrid w:val="0"/>
        <w:spacing w:after="0" w:line="490" w:lineRule="exact"/>
        <w:ind w:firstLine="420" w:firstLineChars="200"/>
        <w:rPr>
          <w:rFonts w:ascii="Times New Roman" w:hAnsi="Times New Roman" w:eastAsia="宋体" w:cs="宋体"/>
          <w:color w:val="auto"/>
          <w:sz w:val="21"/>
          <w:szCs w:val="21"/>
        </w:rPr>
      </w:pPr>
    </w:p>
    <w:p w14:paraId="362668A9">
      <w:pPr>
        <w:spacing w:line="490" w:lineRule="exact"/>
        <w:ind w:firstLine="420" w:firstLineChars="200"/>
        <w:rPr>
          <w:rFonts w:ascii="Times New Roman" w:hAnsi="Times New Roman" w:eastAsia="宋体"/>
          <w:color w:val="auto"/>
          <w:sz w:val="21"/>
          <w:szCs w:val="21"/>
        </w:rPr>
      </w:pPr>
      <w:r>
        <w:rPr>
          <w:rFonts w:ascii="Times New Roman" w:hAnsi="Times New Roman" w:eastAsia="宋体" w:cs="Times New Roman"/>
          <w:color w:val="auto"/>
          <w:sz w:val="21"/>
          <w:szCs w:val="21"/>
        </w:rPr>
        <w:t>附：法定代表</w:t>
      </w:r>
      <w:r>
        <w:rPr>
          <w:rFonts w:ascii="Times New Roman" w:hAnsi="Times New Roman" w:eastAsia="宋体"/>
          <w:color w:val="auto"/>
          <w:sz w:val="21"/>
          <w:szCs w:val="21"/>
        </w:rPr>
        <w:t>人及委托代理人的身份证扫描件。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14:paraId="1347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3570" w:type="dxa"/>
            <w:vAlign w:val="center"/>
          </w:tcPr>
          <w:p w14:paraId="7A89F30F">
            <w:pPr>
              <w:pStyle w:val="8"/>
              <w:jc w:val="center"/>
              <w:rPr>
                <w:rFonts w:ascii="Times New Roman" w:hAnsi="Times New Roman" w:cs="Times New Roman"/>
                <w:b/>
              </w:rPr>
            </w:pPr>
            <w:r>
              <w:rPr>
                <w:rFonts w:ascii="Times New Roman" w:hAnsi="Times New Roman" w:cs="Times New Roman"/>
                <w:b/>
              </w:rPr>
              <w:t>法定代表人身份证（正、反面）扫描件</w:t>
            </w:r>
          </w:p>
        </w:tc>
        <w:tc>
          <w:tcPr>
            <w:tcW w:w="735" w:type="dxa"/>
            <w:tcBorders>
              <w:top w:val="nil"/>
              <w:bottom w:val="nil"/>
            </w:tcBorders>
          </w:tcPr>
          <w:p w14:paraId="193E7439">
            <w:pPr>
              <w:pStyle w:val="8"/>
              <w:ind w:firstLine="480"/>
              <w:jc w:val="center"/>
              <w:rPr>
                <w:rFonts w:ascii="Times New Roman" w:hAnsi="Times New Roman" w:cs="Times New Roman"/>
                <w:b/>
              </w:rPr>
            </w:pPr>
          </w:p>
        </w:tc>
        <w:tc>
          <w:tcPr>
            <w:tcW w:w="3570" w:type="dxa"/>
            <w:vAlign w:val="center"/>
          </w:tcPr>
          <w:p w14:paraId="0BFD663B">
            <w:pPr>
              <w:pStyle w:val="8"/>
              <w:jc w:val="center"/>
              <w:rPr>
                <w:rFonts w:ascii="Times New Roman" w:hAnsi="Times New Roman" w:cs="Times New Roman"/>
                <w:b/>
              </w:rPr>
            </w:pPr>
            <w:r>
              <w:rPr>
                <w:rFonts w:ascii="Times New Roman" w:hAnsi="Times New Roman" w:cs="Times New Roman"/>
                <w:b/>
              </w:rPr>
              <w:t>委托代理人身份证（正、反面）扫描件</w:t>
            </w:r>
          </w:p>
        </w:tc>
      </w:tr>
    </w:tbl>
    <w:p w14:paraId="402EACDF"/>
    <w:p w14:paraId="59AAC977">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rPr>
      </w:pPr>
      <w:r>
        <w:rPr>
          <w:rFonts w:hint="eastAsia" w:ascii="Times New Roman" w:hAnsi="Times New Roman" w:eastAsia="宋体" w:cs="宋体"/>
          <w:color w:val="auto"/>
          <w:sz w:val="24"/>
          <w:szCs w:val="24"/>
        </w:rPr>
        <w:t>投 标 人：</w:t>
      </w:r>
      <w:r>
        <w:rPr>
          <w:rFonts w:hint="eastAsia" w:ascii="Times New Roman" w:hAnsi="Times New Roman" w:eastAsia="宋体" w:cs="宋体"/>
          <w:color w:val="auto"/>
          <w:sz w:val="24"/>
          <w:szCs w:val="24"/>
          <w:u w:val="single"/>
        </w:rPr>
        <w:t xml:space="preserve">                     （单位CA数字证书章）                   </w:t>
      </w:r>
    </w:p>
    <w:p w14:paraId="07FFCE00">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w:t>
      </w:r>
      <w:r>
        <w:rPr>
          <w:rFonts w:hint="eastAsia" w:ascii="Times New Roman" w:hAnsi="Times New Roman" w:eastAsia="宋体" w:cs="宋体"/>
          <w:color w:val="auto"/>
          <w:sz w:val="24"/>
          <w:szCs w:val="24"/>
          <w:u w:val="single"/>
        </w:rPr>
        <w:t xml:space="preserve">      （CA数字证书章）                                       </w:t>
      </w:r>
    </w:p>
    <w:p w14:paraId="7B8E7B76">
      <w:pPr>
        <w:widowControl w:val="0"/>
        <w:tabs>
          <w:tab w:val="center" w:pos="3325"/>
          <w:tab w:val="center" w:pos="4201"/>
          <w:tab w:val="center" w:pos="4621"/>
          <w:tab w:val="center" w:pos="5041"/>
          <w:tab w:val="center" w:pos="840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color="000000"/>
        </w:rPr>
        <w:tab/>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2423572E">
      <w:pPr>
        <w:widowControl w:val="0"/>
        <w:tabs>
          <w:tab w:val="center" w:pos="3325"/>
          <w:tab w:val="center" w:pos="4201"/>
          <w:tab w:val="center" w:pos="4621"/>
          <w:tab w:val="center" w:pos="672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委托代理人：</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u w:val="single"/>
        </w:rPr>
        <w:t xml:space="preserve">（CA数字证书章） </w:t>
      </w:r>
      <w:r>
        <w:rPr>
          <w:rFonts w:hint="eastAsia" w:ascii="Times New Roman" w:hAnsi="Times New Roman" w:eastAsia="宋体" w:cs="宋体"/>
          <w:color w:val="auto"/>
          <w:sz w:val="24"/>
          <w:szCs w:val="24"/>
          <w:u w:val="single" w:color="000000"/>
        </w:rPr>
        <w:t xml:space="preserve">                                           </w:t>
      </w:r>
    </w:p>
    <w:p w14:paraId="7AD4362E">
      <w:pPr>
        <w:pStyle w:val="34"/>
        <w:snapToGrid w:val="0"/>
        <w:spacing w:line="490" w:lineRule="exact"/>
        <w:ind w:firstLine="480" w:firstLineChars="200"/>
        <w:rPr>
          <w:rFonts w:ascii="Times New Roman"/>
          <w:color w:val="auto"/>
          <w:u w:val="single"/>
        </w:rPr>
      </w:pPr>
      <w:r>
        <w:rPr>
          <w:rFonts w:hint="eastAsia" w:ascii="Times New Roman"/>
          <w:color w:val="auto"/>
        </w:rPr>
        <w:t>委托代理人联系电话（必填）：</w:t>
      </w:r>
      <w:r>
        <w:rPr>
          <w:rFonts w:hint="eastAsia" w:ascii="Times New Roman"/>
          <w:color w:val="auto"/>
          <w:u w:val="single"/>
        </w:rPr>
        <w:t xml:space="preserve">                       </w:t>
      </w:r>
    </w:p>
    <w:p w14:paraId="3A2F84F0">
      <w:pPr>
        <w:widowControl w:val="0"/>
        <w:tabs>
          <w:tab w:val="center" w:pos="3325"/>
          <w:tab w:val="center" w:pos="4201"/>
          <w:tab w:val="center" w:pos="4621"/>
          <w:tab w:val="center" w:pos="5041"/>
          <w:tab w:val="center" w:pos="8402"/>
        </w:tabs>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身份证号码：</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 </w:t>
      </w:r>
    </w:p>
    <w:p w14:paraId="4C0BB956">
      <w:pPr>
        <w:widowControl w:val="0"/>
        <w:adjustRightInd w:val="0"/>
        <w:snapToGrid w:val="0"/>
        <w:spacing w:after="0"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color="000000"/>
        </w:rPr>
        <w:t xml:space="preserve">      </w:t>
      </w:r>
      <w:r>
        <w:rPr>
          <w:rFonts w:hint="eastAsia" w:ascii="Times New Roman" w:hAnsi="Times New Roman" w:eastAsia="宋体" w:cs="宋体"/>
          <w:color w:val="auto"/>
          <w:sz w:val="24"/>
          <w:szCs w:val="24"/>
        </w:rPr>
        <w:t xml:space="preserve">日 </w:t>
      </w:r>
    </w:p>
    <w:p w14:paraId="78D20363">
      <w:pPr>
        <w:widowControl w:val="0"/>
        <w:adjustRightInd w:val="0"/>
        <w:snapToGrid w:val="0"/>
        <w:spacing w:after="0" w:line="490" w:lineRule="exact"/>
        <w:ind w:firstLine="420" w:firstLineChars="200"/>
        <w:jc w:val="right"/>
        <w:rPr>
          <w:rFonts w:ascii="Times New Roman" w:hAnsi="Times New Roman" w:eastAsia="宋体" w:cs="宋体"/>
          <w:color w:val="auto"/>
          <w:sz w:val="21"/>
          <w:szCs w:val="21"/>
        </w:rPr>
      </w:pPr>
    </w:p>
    <w:p w14:paraId="2BD8E36E">
      <w:pPr>
        <w:widowControl w:val="0"/>
        <w:adjustRightInd w:val="0"/>
        <w:snapToGrid w:val="0"/>
        <w:spacing w:after="0" w:line="265" w:lineRule="auto"/>
        <w:ind w:hanging="10"/>
        <w:jc w:val="right"/>
        <w:rPr>
          <w:rFonts w:ascii="Times New Roman" w:hAnsi="Times New Roman" w:eastAsia="宋体" w:cs="宋体"/>
          <w:color w:val="auto"/>
          <w:sz w:val="21"/>
        </w:rPr>
      </w:pPr>
    </w:p>
    <w:p w14:paraId="3A99AD2E">
      <w:bookmarkStart w:id="794" w:name="_Toc56792854"/>
      <w:bookmarkStart w:id="795" w:name="_Toc31525"/>
    </w:p>
    <w:p w14:paraId="34959CB9">
      <w:pPr>
        <w:rPr>
          <w:rFonts w:ascii="Times New Roman" w:hAnsi="Times New Roman" w:eastAsia="宋体" w:cs="宋体"/>
          <w:bCs/>
          <w:color w:val="auto"/>
          <w:sz w:val="36"/>
        </w:rPr>
      </w:pPr>
      <w:bookmarkStart w:id="796" w:name="_Toc29233"/>
      <w:bookmarkStart w:id="797" w:name="_Toc3664"/>
      <w:bookmarkStart w:id="798" w:name="_Toc28566"/>
      <w:bookmarkStart w:id="799" w:name="_Toc23529"/>
      <w:r>
        <w:rPr>
          <w:rFonts w:hint="eastAsia" w:ascii="Times New Roman" w:hAnsi="Times New Roman" w:eastAsia="宋体" w:cs="宋体"/>
          <w:bCs/>
          <w:color w:val="auto"/>
          <w:sz w:val="36"/>
        </w:rPr>
        <w:br w:type="page"/>
      </w:r>
    </w:p>
    <w:p w14:paraId="6AAA24F8">
      <w:pPr>
        <w:pStyle w:val="3"/>
        <w:keepNext w:val="0"/>
        <w:keepLines w:val="0"/>
        <w:widowControl w:val="0"/>
        <w:adjustRightInd w:val="0"/>
        <w:snapToGrid w:val="0"/>
        <w:spacing w:after="156" w:afterLines="50" w:line="240" w:lineRule="auto"/>
        <w:ind w:left="0" w:right="0" w:firstLine="0"/>
        <w:jc w:val="center"/>
        <w:rPr>
          <w:rFonts w:ascii="Times New Roman" w:hAnsi="Times New Roman" w:cs="宋体"/>
          <w:b w:val="0"/>
          <w:bCs/>
          <w:color w:val="auto"/>
          <w:sz w:val="36"/>
        </w:rPr>
      </w:pPr>
      <w:bookmarkStart w:id="800" w:name="_Toc12413"/>
      <w:r>
        <w:rPr>
          <w:rFonts w:hint="eastAsia" w:ascii="Times New Roman" w:hAnsi="Times New Roman" w:cs="宋体"/>
          <w:b w:val="0"/>
          <w:bCs/>
          <w:color w:val="auto"/>
          <w:sz w:val="36"/>
        </w:rPr>
        <w:t>三、联合体协议书</w:t>
      </w:r>
      <w:bookmarkEnd w:id="794"/>
      <w:bookmarkEnd w:id="795"/>
      <w:r>
        <w:rPr>
          <w:rFonts w:hint="eastAsia" w:ascii="Times New Roman" w:hAnsi="Times New Roman" w:cs="宋体"/>
          <w:b w:val="0"/>
          <w:bCs/>
          <w:color w:val="auto"/>
          <w:sz w:val="36"/>
        </w:rPr>
        <w:t>（</w:t>
      </w:r>
      <w:r>
        <w:rPr>
          <w:rFonts w:hint="eastAsia" w:ascii="Times New Roman" w:hAnsi="Times New Roman" w:cs="宋体"/>
          <w:bCs/>
          <w:color w:val="auto"/>
          <w:sz w:val="36"/>
        </w:rPr>
        <w:t>如有</w:t>
      </w:r>
      <w:r>
        <w:rPr>
          <w:rFonts w:hint="eastAsia" w:ascii="Times New Roman" w:hAnsi="Times New Roman" w:cs="宋体"/>
          <w:b w:val="0"/>
          <w:bCs/>
          <w:color w:val="auto"/>
          <w:sz w:val="36"/>
        </w:rPr>
        <w:t>）</w:t>
      </w:r>
      <w:bookmarkEnd w:id="796"/>
      <w:bookmarkEnd w:id="797"/>
      <w:bookmarkEnd w:id="798"/>
      <w:bookmarkEnd w:id="799"/>
      <w:bookmarkEnd w:id="800"/>
    </w:p>
    <w:p w14:paraId="1C592E0A">
      <w:pPr>
        <w:widowControl w:val="0"/>
        <w:spacing w:after="0" w:line="360" w:lineRule="auto"/>
        <w:ind w:firstLine="480" w:firstLineChars="200"/>
        <w:jc w:val="both"/>
        <w:rPr>
          <w:rFonts w:ascii="Times New Roman" w:hAnsi="Times New Roman" w:eastAsia="宋体" w:cs="宋体"/>
          <w:color w:val="auto"/>
          <w:sz w:val="24"/>
          <w:szCs w:val="24"/>
        </w:rPr>
      </w:pPr>
      <w:bookmarkStart w:id="801" w:name="_Hlk51172158"/>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（所有成员单位名称）自愿组成联合体，共同参加</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（项目名称）设备采购投标。现就联合体投标事宜订立如下协议。 </w:t>
      </w:r>
    </w:p>
    <w:p w14:paraId="2447F759">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（某成员单位名称）为 </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（联合体名称）牵头人。</w:t>
      </w:r>
    </w:p>
    <w:p w14:paraId="77E8D045">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在本招标项目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398AD716">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1E6A2FC0">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4、联合体各成员单位内部的职责分工如下：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。按照本条上述分工，联合体成员单位各自所承担的合同工作量比例如下：</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 xml:space="preserve"> 。</w:t>
      </w:r>
    </w:p>
    <w:p w14:paraId="6AB69A89">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5、投标工作和联合体在中标后工程实施过程中的有关费用按各自承担的工作量分摊。</w:t>
      </w:r>
    </w:p>
    <w:p w14:paraId="7A53660A">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6、联合体中标后，本联合体协议是合同的附件，对联合体各成员单位有合同约束力。</w:t>
      </w:r>
    </w:p>
    <w:p w14:paraId="6C7E7987">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7、本协议书自签署之日起生效，联合体未中标或者中标时合同履行完毕后自动失效。</w:t>
      </w:r>
    </w:p>
    <w:p w14:paraId="4B091F76">
      <w:pPr>
        <w:widowControl w:val="0"/>
        <w:spacing w:after="0" w:line="360" w:lineRule="auto"/>
        <w:ind w:firstLine="480" w:firstLineChars="200"/>
        <w:jc w:val="both"/>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8、本协议书一式</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份，联合体成员和招标人各执一份。</w:t>
      </w:r>
    </w:p>
    <w:p w14:paraId="3808CF9A">
      <w:pPr>
        <w:widowControl w:val="0"/>
        <w:spacing w:after="0" w:line="360" w:lineRule="auto"/>
        <w:ind w:firstLine="48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4"/>
          <w:szCs w:val="24"/>
        </w:rPr>
        <w:t>注：本协议书由联合体各成员法定代表人签字，附法定代表人身份证明。</w:t>
      </w:r>
    </w:p>
    <w:p w14:paraId="451129B3">
      <w:pPr>
        <w:widowControl w:val="0"/>
        <w:spacing w:after="0" w:line="360" w:lineRule="auto"/>
        <w:ind w:firstLine="420" w:firstLineChars="200"/>
        <w:jc w:val="both"/>
        <w:rPr>
          <w:rFonts w:ascii="Times New Roman" w:hAnsi="Times New Roman" w:eastAsia="宋体" w:cs="宋体"/>
          <w:color w:val="auto"/>
          <w:sz w:val="21"/>
          <w:szCs w:val="21"/>
        </w:rPr>
      </w:pPr>
    </w:p>
    <w:p w14:paraId="3E79A14D">
      <w:pPr>
        <w:spacing w:line="360" w:lineRule="auto"/>
        <w:ind w:right="140"/>
        <w:rPr>
          <w:rFonts w:ascii="宋体" w:hAnsi="宋体" w:eastAsia="宋体" w:cs="宋体"/>
          <w:color w:val="auto"/>
          <w:sz w:val="24"/>
          <w:szCs w:val="24"/>
        </w:rPr>
      </w:pPr>
      <w:r>
        <w:rPr>
          <w:rFonts w:hint="eastAsia" w:ascii="宋体" w:hAnsi="宋体" w:eastAsia="宋体" w:cs="宋体"/>
          <w:color w:val="auto"/>
          <w:sz w:val="24"/>
          <w:szCs w:val="24"/>
        </w:rPr>
        <w:t>牵头人名称：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5B2DE8AE">
      <w:pPr>
        <w:wordWrap w:val="0"/>
        <w:spacing w:line="360" w:lineRule="auto"/>
        <w:rPr>
          <w:rFonts w:ascii="宋体" w:hAnsi="宋体" w:eastAsia="宋体" w:cs="宋体"/>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0B442FA9">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成员一名称：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51E50EB5">
      <w:pPr>
        <w:wordWrap w:val="0"/>
        <w:spacing w:line="360" w:lineRule="auto"/>
        <w:rPr>
          <w:rFonts w:ascii="宋体" w:hAnsi="宋体" w:eastAsia="宋体" w:cs="宋体"/>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5B7204F4">
      <w:pPr>
        <w:spacing w:line="360" w:lineRule="auto"/>
        <w:rPr>
          <w:rFonts w:ascii="宋体" w:hAnsi="宋体" w:eastAsia="宋体" w:cs="宋体"/>
          <w:color w:val="auto"/>
          <w:sz w:val="24"/>
          <w:szCs w:val="24"/>
        </w:rPr>
      </w:pPr>
      <w:r>
        <w:rPr>
          <w:rFonts w:hint="eastAsia" w:ascii="宋体" w:hAnsi="宋体" w:eastAsia="宋体" w:cs="宋体"/>
          <w:color w:val="auto"/>
          <w:sz w:val="24"/>
          <w:szCs w:val="24"/>
        </w:rPr>
        <w:t>成员二名称：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（单位CA数字证书章）</w:t>
      </w:r>
    </w:p>
    <w:p w14:paraId="4034DE41">
      <w:pPr>
        <w:wordWrap w:val="0"/>
        <w:spacing w:line="360" w:lineRule="auto"/>
        <w:rPr>
          <w:color w:val="auto"/>
          <w:sz w:val="24"/>
          <w:szCs w:val="24"/>
        </w:rPr>
      </w:pPr>
      <w:r>
        <w:rPr>
          <w:rFonts w:hint="eastAsia" w:ascii="宋体" w:hAnsi="宋体" w:eastAsia="宋体" w:cs="宋体"/>
          <w:bCs/>
          <w:color w:val="auto"/>
          <w:sz w:val="24"/>
          <w:szCs w:val="24"/>
        </w:rPr>
        <w:t>法定代表人或其委托代理人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（CA数字证书章）</w:t>
      </w:r>
    </w:p>
    <w:p w14:paraId="473F46BE">
      <w:pPr>
        <w:spacing w:line="360" w:lineRule="auto"/>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p w14:paraId="6189CCC6">
      <w:pPr>
        <w:spacing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年</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月</w:t>
      </w:r>
      <w:r>
        <w:rPr>
          <w:rFonts w:ascii="Times New Roman" w:hAnsi="Times New Roman" w:eastAsia="宋体"/>
          <w:color w:val="auto"/>
          <w:sz w:val="24"/>
          <w:szCs w:val="24"/>
          <w:u w:val="single"/>
        </w:rPr>
        <w:t xml:space="preserve">    </w:t>
      </w:r>
      <w:r>
        <w:rPr>
          <w:rFonts w:hint="eastAsia" w:ascii="Times New Roman" w:hAnsi="Times New Roman" w:eastAsia="宋体"/>
          <w:color w:val="auto"/>
          <w:sz w:val="24"/>
          <w:szCs w:val="24"/>
          <w:u w:val="single"/>
        </w:rPr>
        <w:t xml:space="preserve">        </w:t>
      </w:r>
      <w:r>
        <w:rPr>
          <w:rFonts w:ascii="Times New Roman" w:hAnsi="Times New Roman" w:eastAsia="宋体"/>
          <w:color w:val="auto"/>
          <w:sz w:val="24"/>
          <w:szCs w:val="24"/>
          <w:u w:val="single"/>
        </w:rPr>
        <w:t xml:space="preserve">  </w:t>
      </w:r>
      <w:r>
        <w:rPr>
          <w:rFonts w:ascii="Times New Roman" w:hAnsi="Times New Roman" w:eastAsia="宋体"/>
          <w:color w:val="auto"/>
          <w:sz w:val="24"/>
          <w:szCs w:val="24"/>
        </w:rPr>
        <w:t>日</w:t>
      </w:r>
    </w:p>
    <w:p w14:paraId="7E81BB64">
      <w:pPr>
        <w:widowControl w:val="0"/>
        <w:spacing w:after="0" w:line="360" w:lineRule="auto"/>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br w:type="page"/>
      </w:r>
    </w:p>
    <w:bookmarkEnd w:id="801"/>
    <w:p w14:paraId="51FEE802">
      <w:pPr>
        <w:widowControl w:val="0"/>
        <w:spacing w:after="0" w:line="360" w:lineRule="auto"/>
        <w:jc w:val="both"/>
        <w:rPr>
          <w:rFonts w:ascii="Times New Roman" w:hAnsi="Times New Roman" w:eastAsia="宋体" w:cs="宋体"/>
          <w:color w:val="auto"/>
        </w:rPr>
      </w:pPr>
      <w:r>
        <w:rPr>
          <w:rFonts w:hint="eastAsia" w:ascii="Times New Roman" w:hAnsi="Times New Roman" w:eastAsia="宋体" w:cs="宋体"/>
          <w:color w:val="auto"/>
          <w:sz w:val="21"/>
        </w:rPr>
        <w:t xml:space="preserve"> </w:t>
      </w:r>
    </w:p>
    <w:p w14:paraId="3B177828">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02" w:name="_Toc56792855"/>
      <w:bookmarkStart w:id="803" w:name="_Toc16512"/>
      <w:bookmarkStart w:id="804" w:name="_Toc16606"/>
      <w:bookmarkStart w:id="805" w:name="_Toc18696"/>
      <w:bookmarkStart w:id="806" w:name="_Toc11311"/>
      <w:bookmarkStart w:id="807" w:name="_Toc15802"/>
      <w:bookmarkStart w:id="808" w:name="_Toc12517"/>
      <w:r>
        <w:rPr>
          <w:rFonts w:hint="eastAsia" w:ascii="Times New Roman" w:hAnsi="Times New Roman" w:cs="宋体"/>
          <w:b w:val="0"/>
          <w:bCs/>
          <w:color w:val="auto"/>
          <w:sz w:val="36"/>
        </w:rPr>
        <w:t>四、</w:t>
      </w:r>
      <w:bookmarkEnd w:id="802"/>
      <w:bookmarkEnd w:id="803"/>
      <w:r>
        <w:rPr>
          <w:rFonts w:hint="eastAsia" w:ascii="Times New Roman" w:hAnsi="Times New Roman" w:cs="宋体"/>
          <w:b w:val="0"/>
          <w:bCs/>
          <w:color w:val="auto"/>
          <w:sz w:val="36"/>
        </w:rPr>
        <w:t>投标保证金</w:t>
      </w:r>
      <w:bookmarkEnd w:id="804"/>
      <w:bookmarkEnd w:id="805"/>
      <w:bookmarkEnd w:id="806"/>
      <w:bookmarkEnd w:id="807"/>
      <w:bookmarkEnd w:id="808"/>
    </w:p>
    <w:p w14:paraId="0E6971CC">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若采用现金或支票，投标人应在此提供汇款凭证的复印件。</w:t>
      </w:r>
    </w:p>
    <w:p w14:paraId="7E3F5BB9">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如采用银行保函，在此提供银行保函的复印件，参考格式如下。</w:t>
      </w:r>
    </w:p>
    <w:p w14:paraId="5FAEC662">
      <w:pPr>
        <w:shd w:val="clear" w:color="auto" w:fill="FFFFFF"/>
        <w:spacing w:line="440" w:lineRule="exact"/>
        <w:rPr>
          <w:rFonts w:ascii="Times New Roman" w:hAnsi="Times New Roman" w:eastAsia="宋体" w:cs="FangSong_GB2312"/>
          <w:color w:val="auto"/>
          <w:sz w:val="21"/>
          <w:szCs w:val="21"/>
          <w:u w:val="single"/>
        </w:rPr>
      </w:pPr>
    </w:p>
    <w:p w14:paraId="4EFD994F">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（招标人名称）：</w:t>
      </w:r>
    </w:p>
    <w:p w14:paraId="71EF4144">
      <w:pPr>
        <w:shd w:val="clear" w:color="auto" w:fill="FFFFFF"/>
        <w:spacing w:line="440" w:lineRule="exact"/>
        <w:rPr>
          <w:rFonts w:ascii="Times New Roman" w:hAnsi="Times New Roman" w:eastAsia="宋体" w:cs="FangSong_GB2312"/>
          <w:color w:val="auto"/>
          <w:sz w:val="21"/>
          <w:szCs w:val="21"/>
        </w:rPr>
      </w:pPr>
    </w:p>
    <w:p w14:paraId="02A7B82E">
      <w:pPr>
        <w:shd w:val="clear" w:color="auto" w:fill="FFFFFF"/>
        <w:spacing w:line="440" w:lineRule="exact"/>
        <w:ind w:firstLine="420" w:firstLineChars="200"/>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鉴于</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（投标人名称）（以下简称“投标人”）于</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年</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月</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日参加</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（项目名称）</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标段施工的投标，</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担保人名称，以下简称“我方”）无条件地、不可撤销地保证：投标人在规定的投标文件有效期内撤销或修改其投标文件的，或者投标人在收到中标通知书后无正当理由拒签合同或拒交规定履约保证金的，我方承担保证责任。收到你方书面通知后，在7日内无条件向你方支付人民币（大写）</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元。</w:t>
      </w:r>
    </w:p>
    <w:p w14:paraId="77517488">
      <w:pPr>
        <w:shd w:val="clear" w:color="auto" w:fill="FFFFFF"/>
        <w:spacing w:line="440" w:lineRule="exact"/>
        <w:ind w:firstLine="420" w:firstLineChars="200"/>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本保函在投标有效期内保持有效。要求我方承担保证责任的通知应在投标有效期内送达我方。</w:t>
      </w:r>
    </w:p>
    <w:p w14:paraId="0AF06B9D">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 xml:space="preserve"> </w:t>
      </w:r>
    </w:p>
    <w:p w14:paraId="445D274C">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担保人名称：</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w:t>
      </w:r>
      <w:r>
        <w:rPr>
          <w:rFonts w:ascii="Times New Roman" w:hAnsi="Times New Roman" w:eastAsia="宋体"/>
          <w:color w:val="auto"/>
          <w:sz w:val="21"/>
          <w:szCs w:val="21"/>
        </w:rPr>
        <w:t>盖单位公章</w:t>
      </w:r>
      <w:r>
        <w:rPr>
          <w:rFonts w:hint="eastAsia" w:ascii="Times New Roman" w:hAnsi="Times New Roman" w:eastAsia="宋体" w:cs="FangSong_GB2312"/>
          <w:color w:val="auto"/>
          <w:sz w:val="21"/>
          <w:szCs w:val="21"/>
        </w:rPr>
        <w:t>）</w:t>
      </w:r>
    </w:p>
    <w:p w14:paraId="44B97077">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法定代表人或其委托代理人：</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w:t>
      </w:r>
      <w:r>
        <w:rPr>
          <w:rFonts w:hint="eastAsia" w:ascii="Times New Roman" w:hAnsi="Times New Roman" w:eastAsia="宋体" w:cs="Times New Roman"/>
          <w:color w:val="auto"/>
          <w:sz w:val="21"/>
          <w:szCs w:val="21"/>
        </w:rPr>
        <w:t>签字或盖章</w:t>
      </w:r>
      <w:r>
        <w:rPr>
          <w:rFonts w:hint="eastAsia" w:ascii="Times New Roman" w:hAnsi="Times New Roman" w:eastAsia="宋体" w:cs="FangSong_GB2312"/>
          <w:color w:val="auto"/>
          <w:sz w:val="21"/>
          <w:szCs w:val="21"/>
        </w:rPr>
        <w:t>）</w:t>
      </w:r>
    </w:p>
    <w:p w14:paraId="191C679D">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地    址：</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p>
    <w:p w14:paraId="71BFB877">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邮政编码：</w:t>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ab/>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u w:val="single"/>
        </w:rPr>
        <w:tab/>
      </w:r>
    </w:p>
    <w:p w14:paraId="6314A38A">
      <w:pPr>
        <w:shd w:val="clear" w:color="auto" w:fill="FFFFFF"/>
        <w:spacing w:line="440" w:lineRule="exact"/>
        <w:rPr>
          <w:rFonts w:ascii="Times New Roman" w:hAnsi="Times New Roman" w:eastAsia="宋体" w:cs="FangSong_GB2312"/>
          <w:color w:val="auto"/>
          <w:sz w:val="21"/>
          <w:szCs w:val="21"/>
          <w:u w:val="single"/>
        </w:rPr>
      </w:pPr>
      <w:r>
        <w:rPr>
          <w:rFonts w:hint="eastAsia" w:ascii="Times New Roman" w:hAnsi="Times New Roman" w:eastAsia="宋体" w:cs="FangSong_GB2312"/>
          <w:color w:val="auto"/>
          <w:sz w:val="21"/>
          <w:szCs w:val="21"/>
        </w:rPr>
        <w:t>电    话：</w:t>
      </w:r>
      <w:r>
        <w:rPr>
          <w:rFonts w:hint="eastAsia" w:ascii="Times New Roman" w:hAnsi="Times New Roman" w:eastAsia="宋体" w:cs="FangSong_GB2312"/>
          <w:color w:val="auto"/>
          <w:sz w:val="21"/>
          <w:szCs w:val="21"/>
          <w:u w:val="single"/>
        </w:rPr>
        <w:t xml:space="preserve">                                          </w:t>
      </w:r>
    </w:p>
    <w:p w14:paraId="29D2DE25">
      <w:pPr>
        <w:shd w:val="clear" w:color="auto" w:fill="FFFFFF"/>
        <w:spacing w:line="440" w:lineRule="exact"/>
        <w:rPr>
          <w:rFonts w:ascii="Times New Roman" w:hAnsi="Times New Roman" w:eastAsia="宋体" w:cs="FangSong_GB2312"/>
          <w:color w:val="auto"/>
          <w:sz w:val="21"/>
          <w:szCs w:val="21"/>
        </w:rPr>
      </w:pPr>
      <w:r>
        <w:rPr>
          <w:rFonts w:hint="eastAsia" w:ascii="Times New Roman" w:hAnsi="Times New Roman" w:eastAsia="宋体" w:cs="FangSong_GB2312"/>
          <w:color w:val="auto"/>
          <w:sz w:val="21"/>
          <w:szCs w:val="21"/>
        </w:rPr>
        <w:t>传    真：</w:t>
      </w:r>
      <w:r>
        <w:rPr>
          <w:rFonts w:hint="eastAsia" w:ascii="Times New Roman" w:hAnsi="Times New Roman" w:eastAsia="宋体" w:cs="FangSong_GB2312"/>
          <w:color w:val="auto"/>
          <w:sz w:val="21"/>
          <w:szCs w:val="21"/>
          <w:u w:val="single"/>
        </w:rPr>
        <w:t xml:space="preserve">                                          </w:t>
      </w:r>
    </w:p>
    <w:p w14:paraId="19A0F255">
      <w:pPr>
        <w:shd w:val="clear" w:color="auto" w:fill="FFFFFF"/>
        <w:spacing w:line="440" w:lineRule="exact"/>
        <w:ind w:firstLine="2158" w:firstLineChars="1028"/>
        <w:rPr>
          <w:rFonts w:ascii="Times New Roman" w:hAnsi="Times New Roman" w:eastAsia="宋体" w:cs="FangSong_GB2312"/>
          <w:color w:val="auto"/>
          <w:sz w:val="21"/>
          <w:szCs w:val="21"/>
        </w:rPr>
      </w:pPr>
    </w:p>
    <w:p w14:paraId="4E7D65E5">
      <w:pPr>
        <w:shd w:val="clear" w:color="auto" w:fill="FFFFFF"/>
        <w:spacing w:line="440" w:lineRule="exact"/>
        <w:rPr>
          <w:rFonts w:ascii="Times New Roman" w:hAnsi="Times New Roman" w:eastAsia="宋体" w:cs="宋体"/>
          <w:color w:val="auto"/>
          <w:sz w:val="21"/>
          <w:szCs w:val="21"/>
        </w:rPr>
      </w:pP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年</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月</w:t>
      </w:r>
      <w:r>
        <w:rPr>
          <w:rFonts w:hint="eastAsia" w:ascii="Times New Roman" w:hAnsi="Times New Roman" w:eastAsia="宋体" w:cs="FangSong_GB2312"/>
          <w:color w:val="auto"/>
          <w:sz w:val="21"/>
          <w:szCs w:val="21"/>
          <w:u w:val="single"/>
        </w:rPr>
        <w:t xml:space="preserve">      </w:t>
      </w:r>
      <w:r>
        <w:rPr>
          <w:rFonts w:hint="eastAsia" w:ascii="Times New Roman" w:hAnsi="Times New Roman" w:eastAsia="宋体" w:cs="FangSong_GB2312"/>
          <w:color w:val="auto"/>
          <w:sz w:val="21"/>
          <w:szCs w:val="21"/>
        </w:rPr>
        <w:t>日</w:t>
      </w:r>
    </w:p>
    <w:p w14:paraId="3BBAD2D1">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sz w:val="28"/>
          <w:szCs w:val="28"/>
        </w:rPr>
        <w:br w:type="page"/>
      </w:r>
    </w:p>
    <w:p w14:paraId="0936607D">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09" w:name="_Toc23285"/>
      <w:bookmarkStart w:id="810" w:name="_Toc2981"/>
      <w:bookmarkStart w:id="811" w:name="_Toc13282"/>
      <w:bookmarkStart w:id="812" w:name="_Toc13925"/>
      <w:bookmarkStart w:id="813" w:name="_Toc18645"/>
      <w:bookmarkStart w:id="814" w:name="_Toc7222"/>
      <w:bookmarkStart w:id="815" w:name="_Toc56792856"/>
      <w:r>
        <w:rPr>
          <w:rFonts w:hint="eastAsia" w:ascii="Times New Roman" w:hAnsi="Times New Roman" w:cs="宋体"/>
          <w:b w:val="0"/>
          <w:bCs/>
          <w:color w:val="auto"/>
          <w:sz w:val="36"/>
        </w:rPr>
        <w:t>五、商务和技术偏差表</w:t>
      </w:r>
      <w:bookmarkEnd w:id="809"/>
      <w:bookmarkEnd w:id="810"/>
      <w:bookmarkEnd w:id="811"/>
      <w:bookmarkEnd w:id="812"/>
      <w:bookmarkEnd w:id="813"/>
      <w:bookmarkEnd w:id="814"/>
      <w:bookmarkEnd w:id="815"/>
      <w:r>
        <w:rPr>
          <w:rFonts w:hint="eastAsia" w:ascii="Times New Roman" w:hAnsi="Times New Roman" w:cs="宋体"/>
          <w:b w:val="0"/>
          <w:bCs/>
          <w:color w:val="auto"/>
          <w:sz w:val="36"/>
        </w:rPr>
        <w:t xml:space="preserve"> </w:t>
      </w:r>
    </w:p>
    <w:p w14:paraId="0620569B">
      <w:pPr>
        <w:widowControl w:val="0"/>
        <w:rPr>
          <w:rFonts w:ascii="Times New Roman" w:hAnsi="Times New Roman" w:eastAsia="宋体" w:cs="宋体"/>
          <w:color w:val="auto"/>
        </w:rPr>
      </w:pPr>
    </w:p>
    <w:tbl>
      <w:tblPr>
        <w:tblStyle w:val="17"/>
        <w:tblW w:w="5000" w:type="pct"/>
        <w:jc w:val="center"/>
        <w:tblLayout w:type="autofit"/>
        <w:tblCellMar>
          <w:top w:w="0" w:type="dxa"/>
          <w:left w:w="250" w:type="dxa"/>
          <w:bottom w:w="10" w:type="dxa"/>
          <w:right w:w="115" w:type="dxa"/>
        </w:tblCellMar>
      </w:tblPr>
      <w:tblGrid>
        <w:gridCol w:w="1396"/>
        <w:gridCol w:w="2544"/>
        <w:gridCol w:w="2629"/>
        <w:gridCol w:w="2102"/>
      </w:tblGrid>
      <w:tr w14:paraId="25A29C86">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21A73ED1">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序号</w:t>
            </w:r>
          </w:p>
        </w:tc>
        <w:tc>
          <w:tcPr>
            <w:tcW w:w="1467" w:type="pct"/>
            <w:tcBorders>
              <w:top w:val="single" w:color="000000" w:sz="4" w:space="0"/>
              <w:left w:val="single" w:color="000000" w:sz="4" w:space="0"/>
              <w:bottom w:val="single" w:color="000000" w:sz="4" w:space="0"/>
              <w:right w:val="single" w:color="000000" w:sz="4" w:space="0"/>
            </w:tcBorders>
            <w:vAlign w:val="center"/>
          </w:tcPr>
          <w:p w14:paraId="2821AED8">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招标文件章节及条款号</w:t>
            </w:r>
          </w:p>
        </w:tc>
        <w:tc>
          <w:tcPr>
            <w:tcW w:w="1516" w:type="pct"/>
            <w:tcBorders>
              <w:top w:val="single" w:color="000000" w:sz="4" w:space="0"/>
              <w:left w:val="single" w:color="000000" w:sz="4" w:space="0"/>
              <w:bottom w:val="single" w:color="000000" w:sz="4" w:space="0"/>
              <w:right w:val="single" w:color="000000" w:sz="4" w:space="0"/>
            </w:tcBorders>
            <w:vAlign w:val="center"/>
          </w:tcPr>
          <w:p w14:paraId="2F3D62EC">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投标文件章节及条款号</w:t>
            </w:r>
          </w:p>
        </w:tc>
        <w:tc>
          <w:tcPr>
            <w:tcW w:w="1212" w:type="pct"/>
            <w:tcBorders>
              <w:top w:val="single" w:color="000000" w:sz="4" w:space="0"/>
              <w:left w:val="single" w:color="000000" w:sz="4" w:space="0"/>
              <w:bottom w:val="single" w:color="000000" w:sz="4" w:space="0"/>
              <w:right w:val="single" w:color="000000" w:sz="4" w:space="0"/>
            </w:tcBorders>
            <w:vAlign w:val="center"/>
          </w:tcPr>
          <w:p w14:paraId="6108B207">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偏差说明</w:t>
            </w:r>
          </w:p>
        </w:tc>
      </w:tr>
      <w:tr w14:paraId="6C35EE92">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6A5B7C52">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w:t>
            </w:r>
          </w:p>
        </w:tc>
        <w:tc>
          <w:tcPr>
            <w:tcW w:w="1467" w:type="pct"/>
            <w:tcBorders>
              <w:top w:val="single" w:color="000000" w:sz="4" w:space="0"/>
              <w:left w:val="single" w:color="000000" w:sz="4" w:space="0"/>
              <w:bottom w:val="single" w:color="000000" w:sz="4" w:space="0"/>
              <w:right w:val="single" w:color="000000" w:sz="4" w:space="0"/>
            </w:tcBorders>
            <w:vAlign w:val="center"/>
          </w:tcPr>
          <w:p w14:paraId="52BD461B">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42375E5D">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612BE67B">
            <w:pPr>
              <w:widowControl w:val="0"/>
              <w:adjustRightInd w:val="0"/>
              <w:snapToGrid w:val="0"/>
              <w:spacing w:after="0" w:line="240" w:lineRule="auto"/>
              <w:jc w:val="center"/>
              <w:rPr>
                <w:rFonts w:ascii="Times New Roman" w:hAnsi="Times New Roman" w:eastAsia="宋体" w:cs="宋体"/>
                <w:color w:val="auto"/>
                <w:sz w:val="24"/>
                <w:szCs w:val="24"/>
              </w:rPr>
            </w:pPr>
          </w:p>
        </w:tc>
      </w:tr>
      <w:tr w14:paraId="23A175FE">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6C0E5AD6">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w:t>
            </w:r>
          </w:p>
        </w:tc>
        <w:tc>
          <w:tcPr>
            <w:tcW w:w="1467" w:type="pct"/>
            <w:tcBorders>
              <w:top w:val="single" w:color="000000" w:sz="4" w:space="0"/>
              <w:left w:val="single" w:color="000000" w:sz="4" w:space="0"/>
              <w:bottom w:val="single" w:color="000000" w:sz="4" w:space="0"/>
              <w:right w:val="single" w:color="000000" w:sz="4" w:space="0"/>
            </w:tcBorders>
            <w:vAlign w:val="center"/>
          </w:tcPr>
          <w:p w14:paraId="7DBFB10F">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3DF88D40">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34FB362">
            <w:pPr>
              <w:widowControl w:val="0"/>
              <w:adjustRightInd w:val="0"/>
              <w:snapToGrid w:val="0"/>
              <w:spacing w:after="0" w:line="240" w:lineRule="auto"/>
              <w:jc w:val="center"/>
              <w:rPr>
                <w:rFonts w:ascii="Times New Roman" w:hAnsi="Times New Roman" w:eastAsia="宋体" w:cs="宋体"/>
                <w:color w:val="auto"/>
                <w:sz w:val="24"/>
                <w:szCs w:val="24"/>
              </w:rPr>
            </w:pPr>
          </w:p>
        </w:tc>
      </w:tr>
      <w:tr w14:paraId="7D51A164">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04385E62">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w:t>
            </w:r>
          </w:p>
        </w:tc>
        <w:tc>
          <w:tcPr>
            <w:tcW w:w="1467" w:type="pct"/>
            <w:tcBorders>
              <w:top w:val="single" w:color="000000" w:sz="4" w:space="0"/>
              <w:left w:val="single" w:color="000000" w:sz="4" w:space="0"/>
              <w:bottom w:val="single" w:color="000000" w:sz="4" w:space="0"/>
              <w:right w:val="single" w:color="000000" w:sz="4" w:space="0"/>
            </w:tcBorders>
            <w:vAlign w:val="center"/>
          </w:tcPr>
          <w:p w14:paraId="01897633">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11883688">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31A0B522">
            <w:pPr>
              <w:widowControl w:val="0"/>
              <w:adjustRightInd w:val="0"/>
              <w:snapToGrid w:val="0"/>
              <w:spacing w:after="0" w:line="240" w:lineRule="auto"/>
              <w:jc w:val="center"/>
              <w:rPr>
                <w:rFonts w:ascii="Times New Roman" w:hAnsi="Times New Roman" w:eastAsia="宋体" w:cs="宋体"/>
                <w:color w:val="auto"/>
                <w:sz w:val="24"/>
                <w:szCs w:val="24"/>
              </w:rPr>
            </w:pPr>
          </w:p>
        </w:tc>
      </w:tr>
      <w:tr w14:paraId="37F83B65">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3FA97F30">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4</w:t>
            </w:r>
          </w:p>
        </w:tc>
        <w:tc>
          <w:tcPr>
            <w:tcW w:w="1467" w:type="pct"/>
            <w:tcBorders>
              <w:top w:val="single" w:color="000000" w:sz="4" w:space="0"/>
              <w:left w:val="single" w:color="000000" w:sz="4" w:space="0"/>
              <w:bottom w:val="single" w:color="000000" w:sz="4" w:space="0"/>
              <w:right w:val="single" w:color="000000" w:sz="4" w:space="0"/>
            </w:tcBorders>
            <w:vAlign w:val="center"/>
          </w:tcPr>
          <w:p w14:paraId="64812E6D">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4ADEEB35">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64F22166">
            <w:pPr>
              <w:widowControl w:val="0"/>
              <w:adjustRightInd w:val="0"/>
              <w:snapToGrid w:val="0"/>
              <w:spacing w:after="0" w:line="240" w:lineRule="auto"/>
              <w:jc w:val="center"/>
              <w:rPr>
                <w:rFonts w:ascii="Times New Roman" w:hAnsi="Times New Roman" w:eastAsia="宋体" w:cs="宋体"/>
                <w:color w:val="auto"/>
                <w:sz w:val="24"/>
                <w:szCs w:val="24"/>
              </w:rPr>
            </w:pPr>
          </w:p>
        </w:tc>
      </w:tr>
      <w:tr w14:paraId="02BD92AD">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490B5667">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5</w:t>
            </w:r>
          </w:p>
        </w:tc>
        <w:tc>
          <w:tcPr>
            <w:tcW w:w="1467" w:type="pct"/>
            <w:tcBorders>
              <w:top w:val="single" w:color="000000" w:sz="4" w:space="0"/>
              <w:left w:val="single" w:color="000000" w:sz="4" w:space="0"/>
              <w:bottom w:val="single" w:color="000000" w:sz="4" w:space="0"/>
              <w:right w:val="single" w:color="000000" w:sz="4" w:space="0"/>
            </w:tcBorders>
            <w:vAlign w:val="center"/>
          </w:tcPr>
          <w:p w14:paraId="52FE768C">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0716BD7E">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E703C14">
            <w:pPr>
              <w:widowControl w:val="0"/>
              <w:adjustRightInd w:val="0"/>
              <w:snapToGrid w:val="0"/>
              <w:spacing w:after="0" w:line="240" w:lineRule="auto"/>
              <w:jc w:val="center"/>
              <w:rPr>
                <w:rFonts w:ascii="Times New Roman" w:hAnsi="Times New Roman" w:eastAsia="宋体" w:cs="宋体"/>
                <w:color w:val="auto"/>
                <w:sz w:val="24"/>
                <w:szCs w:val="24"/>
              </w:rPr>
            </w:pPr>
          </w:p>
        </w:tc>
      </w:tr>
      <w:tr w14:paraId="6BB45473">
        <w:tblPrEx>
          <w:tblCellMar>
            <w:top w:w="0" w:type="dxa"/>
            <w:left w:w="250" w:type="dxa"/>
            <w:bottom w:w="10" w:type="dxa"/>
            <w:right w:w="115" w:type="dxa"/>
          </w:tblCellMar>
        </w:tblPrEx>
        <w:trPr>
          <w:trHeight w:val="567" w:hRule="atLeast"/>
          <w:jc w:val="center"/>
        </w:trPr>
        <w:tc>
          <w:tcPr>
            <w:tcW w:w="805" w:type="pct"/>
            <w:tcBorders>
              <w:top w:val="single" w:color="000000" w:sz="4" w:space="0"/>
              <w:left w:val="single" w:color="000000" w:sz="4" w:space="0"/>
              <w:bottom w:val="single" w:color="000000" w:sz="4" w:space="0"/>
              <w:right w:val="single" w:color="000000" w:sz="4" w:space="0"/>
            </w:tcBorders>
            <w:vAlign w:val="center"/>
          </w:tcPr>
          <w:p w14:paraId="3DB0AE4C">
            <w:pPr>
              <w:widowControl w:val="0"/>
              <w:adjustRightInd w:val="0"/>
              <w:snapToGrid w:val="0"/>
              <w:spacing w:after="0" w:line="240" w:lineRule="auto"/>
              <w:jc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w:t>
            </w:r>
          </w:p>
        </w:tc>
        <w:tc>
          <w:tcPr>
            <w:tcW w:w="1467" w:type="pct"/>
            <w:tcBorders>
              <w:top w:val="single" w:color="000000" w:sz="4" w:space="0"/>
              <w:left w:val="single" w:color="000000" w:sz="4" w:space="0"/>
              <w:bottom w:val="single" w:color="000000" w:sz="4" w:space="0"/>
              <w:right w:val="single" w:color="000000" w:sz="4" w:space="0"/>
            </w:tcBorders>
            <w:vAlign w:val="center"/>
          </w:tcPr>
          <w:p w14:paraId="3E1B5CF9">
            <w:pPr>
              <w:widowControl w:val="0"/>
              <w:adjustRightInd w:val="0"/>
              <w:snapToGrid w:val="0"/>
              <w:spacing w:after="0" w:line="240" w:lineRule="auto"/>
              <w:jc w:val="center"/>
              <w:rPr>
                <w:rFonts w:ascii="Times New Roman" w:hAnsi="Times New Roman" w:eastAsia="宋体" w:cs="宋体"/>
                <w:color w:val="auto"/>
                <w:sz w:val="24"/>
                <w:szCs w:val="24"/>
              </w:rPr>
            </w:pPr>
          </w:p>
        </w:tc>
        <w:tc>
          <w:tcPr>
            <w:tcW w:w="1516" w:type="pct"/>
            <w:tcBorders>
              <w:top w:val="single" w:color="000000" w:sz="4" w:space="0"/>
              <w:left w:val="single" w:color="000000" w:sz="4" w:space="0"/>
              <w:bottom w:val="single" w:color="000000" w:sz="4" w:space="0"/>
              <w:right w:val="single" w:color="000000" w:sz="4" w:space="0"/>
            </w:tcBorders>
            <w:vAlign w:val="center"/>
          </w:tcPr>
          <w:p w14:paraId="3ACA9240">
            <w:pPr>
              <w:widowControl w:val="0"/>
              <w:adjustRightInd w:val="0"/>
              <w:snapToGrid w:val="0"/>
              <w:spacing w:after="0" w:line="240" w:lineRule="auto"/>
              <w:jc w:val="center"/>
              <w:rPr>
                <w:rFonts w:ascii="Times New Roman" w:hAnsi="Times New Roman" w:eastAsia="宋体" w:cs="宋体"/>
                <w:color w:val="auto"/>
                <w:sz w:val="24"/>
                <w:szCs w:val="24"/>
              </w:rPr>
            </w:pPr>
          </w:p>
        </w:tc>
        <w:tc>
          <w:tcPr>
            <w:tcW w:w="1212" w:type="pct"/>
            <w:tcBorders>
              <w:top w:val="single" w:color="000000" w:sz="4" w:space="0"/>
              <w:left w:val="single" w:color="000000" w:sz="4" w:space="0"/>
              <w:bottom w:val="single" w:color="000000" w:sz="4" w:space="0"/>
              <w:right w:val="single" w:color="000000" w:sz="4" w:space="0"/>
            </w:tcBorders>
            <w:vAlign w:val="center"/>
          </w:tcPr>
          <w:p w14:paraId="08597A45">
            <w:pPr>
              <w:widowControl w:val="0"/>
              <w:adjustRightInd w:val="0"/>
              <w:snapToGrid w:val="0"/>
              <w:spacing w:after="0" w:line="240" w:lineRule="auto"/>
              <w:jc w:val="center"/>
              <w:rPr>
                <w:rFonts w:ascii="Times New Roman" w:hAnsi="Times New Roman" w:eastAsia="宋体" w:cs="宋体"/>
                <w:color w:val="auto"/>
                <w:sz w:val="24"/>
                <w:szCs w:val="24"/>
              </w:rPr>
            </w:pPr>
          </w:p>
        </w:tc>
      </w:tr>
    </w:tbl>
    <w:p w14:paraId="0018A024">
      <w:pPr>
        <w:widowControl w:val="0"/>
        <w:adjustRightInd w:val="0"/>
        <w:snapToGrid w:val="0"/>
        <w:spacing w:after="0" w:line="265" w:lineRule="auto"/>
        <w:ind w:hanging="10"/>
        <w:rPr>
          <w:rFonts w:ascii="Times New Roman" w:hAnsi="Times New Roman" w:eastAsia="宋体" w:cs="宋体"/>
          <w:color w:val="auto"/>
          <w:sz w:val="24"/>
          <w:szCs w:val="24"/>
        </w:rPr>
      </w:pPr>
    </w:p>
    <w:p w14:paraId="4BC428F8">
      <w:pPr>
        <w:widowControl w:val="0"/>
        <w:adjustRightInd w:val="0"/>
        <w:snapToGrid w:val="0"/>
        <w:spacing w:after="0" w:line="265" w:lineRule="auto"/>
        <w:ind w:hanging="1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投标人保证：除商务和技术偏差表列出的偏差外，投标人响应招标文件的全部要求。</w:t>
      </w:r>
    </w:p>
    <w:p w14:paraId="3F648C29">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0F61CEC0">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364544A9">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1A67E7FB">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1F3B40D5">
      <w:pPr>
        <w:widowControl w:val="0"/>
        <w:autoSpaceDE w:val="0"/>
        <w:adjustRightInd w:val="0"/>
        <w:snapToGrid w:val="0"/>
        <w:spacing w:after="0" w:line="360" w:lineRule="auto"/>
        <w:ind w:firstLine="3200" w:firstLineChars="1600"/>
        <w:rPr>
          <w:rFonts w:ascii="Times New Roman" w:hAnsi="Times New Roman" w:eastAsia="宋体" w:cs="宋体"/>
          <w:color w:val="auto"/>
          <w:sz w:val="20"/>
        </w:rPr>
      </w:pPr>
    </w:p>
    <w:p w14:paraId="3F32EB2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投 标 人：</w:t>
      </w:r>
      <w:r>
        <w:rPr>
          <w:rFonts w:hint="eastAsia" w:ascii="Times New Roman" w:hAnsi="Times New Roman" w:eastAsia="宋体" w:cs="宋体"/>
          <w:color w:val="auto"/>
          <w:sz w:val="24"/>
          <w:szCs w:val="24"/>
          <w:u w:val="single"/>
        </w:rPr>
        <w:t xml:space="preserve">       （单位CA数字证书章）</w:t>
      </w:r>
    </w:p>
    <w:p w14:paraId="1F73B406">
      <w:pPr>
        <w:widowControl w:val="0"/>
        <w:adjustRightInd w:val="0"/>
        <w:snapToGrid w:val="0"/>
        <w:spacing w:after="0" w:line="360" w:lineRule="auto"/>
        <w:rPr>
          <w:rFonts w:ascii="Times New Roman" w:hAnsi="Times New Roman" w:eastAsia="宋体" w:cs="宋体"/>
          <w:color w:val="auto"/>
          <w:sz w:val="24"/>
          <w:szCs w:val="24"/>
        </w:rPr>
      </w:pPr>
    </w:p>
    <w:p w14:paraId="34CE0BE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w:t>
      </w:r>
      <w:r>
        <w:rPr>
          <w:rFonts w:hint="eastAsia" w:ascii="Times New Roman" w:hAnsi="Times New Roman" w:eastAsia="宋体" w:cs="宋体"/>
          <w:color w:val="auto"/>
          <w:sz w:val="24"/>
          <w:szCs w:val="24"/>
        </w:rPr>
        <w:t xml:space="preserve">         </w:t>
      </w:r>
    </w:p>
    <w:p w14:paraId="5FAB0F21">
      <w:pPr>
        <w:widowControl w:val="0"/>
        <w:jc w:val="both"/>
        <w:rPr>
          <w:rFonts w:ascii="Times New Roman" w:hAnsi="Times New Roman" w:eastAsia="宋体" w:cs="宋体"/>
          <w:color w:val="auto"/>
          <w:sz w:val="24"/>
          <w:szCs w:val="24"/>
          <w:u w:val="single"/>
        </w:rPr>
      </w:pPr>
    </w:p>
    <w:p w14:paraId="40705502">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3079F669">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rPr>
        <w:br w:type="page"/>
      </w:r>
    </w:p>
    <w:p w14:paraId="51EED4F6">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16" w:name="_Toc4251"/>
      <w:bookmarkStart w:id="817" w:name="_Toc56792857"/>
      <w:bookmarkStart w:id="818" w:name="_Toc15813"/>
      <w:bookmarkStart w:id="819" w:name="_Toc8882"/>
      <w:bookmarkStart w:id="820" w:name="_Toc2651"/>
      <w:bookmarkStart w:id="821" w:name="_Toc26934"/>
      <w:bookmarkStart w:id="822" w:name="_Toc23989"/>
      <w:r>
        <w:rPr>
          <w:rFonts w:hint="eastAsia" w:ascii="Times New Roman" w:hAnsi="Times New Roman" w:cs="宋体"/>
          <w:b w:val="0"/>
          <w:bCs/>
          <w:color w:val="auto"/>
          <w:sz w:val="36"/>
        </w:rPr>
        <w:t>六、分项报价表</w:t>
      </w:r>
      <w:bookmarkEnd w:id="816"/>
      <w:bookmarkEnd w:id="817"/>
      <w:bookmarkEnd w:id="818"/>
      <w:bookmarkEnd w:id="819"/>
      <w:bookmarkEnd w:id="820"/>
      <w:bookmarkEnd w:id="821"/>
      <w:bookmarkEnd w:id="822"/>
    </w:p>
    <w:p w14:paraId="526CD1C2">
      <w:pPr>
        <w:widowControl w:val="0"/>
        <w:adjustRightInd w:val="0"/>
        <w:snapToGrid w:val="0"/>
        <w:spacing w:after="0" w:line="360" w:lineRule="auto"/>
        <w:rPr>
          <w:rFonts w:ascii="Times New Roman" w:hAnsi="Times New Roman" w:eastAsia="宋体" w:cs="宋体"/>
          <w:color w:val="auto"/>
          <w:sz w:val="21"/>
        </w:rPr>
      </w:pPr>
    </w:p>
    <w:p w14:paraId="33B7EB00">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t xml:space="preserve">（一）分项报价表说明 </w:t>
      </w:r>
    </w:p>
    <w:p w14:paraId="31BF2B94">
      <w:pPr>
        <w:widowControl w:val="0"/>
        <w:rPr>
          <w:rFonts w:ascii="Times New Roman" w:hAnsi="Times New Roman" w:eastAsia="宋体" w:cs="宋体"/>
          <w:color w:val="auto"/>
        </w:rPr>
      </w:pPr>
      <w:r>
        <w:rPr>
          <w:rFonts w:hint="eastAsia" w:ascii="Times New Roman" w:hAnsi="Times New Roman" w:eastAsia="宋体" w:cs="宋体"/>
          <w:color w:val="auto"/>
        </w:rPr>
        <w:t>本项目为总价合同，投标人所填报的工程设备分项报价作为总价的参考，如分项报价表中的投标总价与投标函中的投标总价不一致的，以投标函中的投标总价为准。</w:t>
      </w:r>
    </w:p>
    <w:p w14:paraId="0DF798AC">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br w:type="page"/>
      </w:r>
      <w:r>
        <w:rPr>
          <w:rFonts w:hint="eastAsia" w:ascii="Times New Roman" w:hAnsi="Times New Roman" w:eastAsia="宋体" w:cs="宋体"/>
          <w:b/>
          <w:bCs/>
          <w:color w:val="auto"/>
        </w:rPr>
        <w:t xml:space="preserve">（二）分项报价表 </w:t>
      </w:r>
    </w:p>
    <w:p w14:paraId="6EA8B208">
      <w:pPr>
        <w:widowControl w:val="0"/>
        <w:adjustRightInd w:val="0"/>
        <w:snapToGrid w:val="0"/>
        <w:spacing w:after="0" w:line="360" w:lineRule="auto"/>
        <w:jc w:val="right"/>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单位：人民币元 </w:t>
      </w:r>
    </w:p>
    <w:tbl>
      <w:tblPr>
        <w:tblStyle w:val="17"/>
        <w:tblW w:w="4741" w:type="pct"/>
        <w:jc w:val="center"/>
        <w:tblLayout w:type="fixed"/>
        <w:tblCellMar>
          <w:top w:w="0" w:type="dxa"/>
          <w:left w:w="108" w:type="dxa"/>
          <w:bottom w:w="0" w:type="dxa"/>
          <w:right w:w="108" w:type="dxa"/>
        </w:tblCellMar>
      </w:tblPr>
      <w:tblGrid>
        <w:gridCol w:w="609"/>
        <w:gridCol w:w="1263"/>
        <w:gridCol w:w="798"/>
        <w:gridCol w:w="731"/>
        <w:gridCol w:w="583"/>
        <w:gridCol w:w="480"/>
        <w:gridCol w:w="520"/>
        <w:gridCol w:w="507"/>
        <w:gridCol w:w="810"/>
        <w:gridCol w:w="836"/>
        <w:gridCol w:w="944"/>
      </w:tblGrid>
      <w:tr w14:paraId="3C76B3EC">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58C2DBE9">
            <w:pPr>
              <w:pStyle w:val="38"/>
              <w:spacing w:line="331" w:lineRule="exact"/>
              <w:jc w:val="center"/>
              <w:rPr>
                <w:rFonts w:ascii="宋体" w:hAnsi="宋体" w:cs="Microsoft JhengHei"/>
                <w:sz w:val="21"/>
                <w:szCs w:val="21"/>
              </w:rPr>
            </w:pPr>
            <w:r>
              <w:rPr>
                <w:rFonts w:ascii="宋体" w:hAnsi="宋体" w:cs="Microsoft JhengHei"/>
                <w:sz w:val="21"/>
                <w:szCs w:val="21"/>
              </w:rPr>
              <w:t>序号</w:t>
            </w:r>
          </w:p>
        </w:tc>
        <w:tc>
          <w:tcPr>
            <w:tcW w:w="781" w:type="pct"/>
            <w:tcBorders>
              <w:top w:val="single" w:color="000000" w:sz="4" w:space="0"/>
              <w:left w:val="single" w:color="000000" w:sz="4" w:space="0"/>
              <w:bottom w:val="single" w:color="000000" w:sz="4" w:space="0"/>
              <w:right w:val="single" w:color="auto" w:sz="4" w:space="0"/>
            </w:tcBorders>
            <w:vAlign w:val="center"/>
          </w:tcPr>
          <w:p w14:paraId="467B4EFD">
            <w:pPr>
              <w:pStyle w:val="38"/>
              <w:spacing w:line="331" w:lineRule="exact"/>
              <w:jc w:val="center"/>
              <w:rPr>
                <w:rFonts w:ascii="宋体" w:hAnsi="宋体" w:cs="Microsoft JhengHei"/>
                <w:sz w:val="21"/>
                <w:szCs w:val="21"/>
              </w:rPr>
            </w:pPr>
            <w:r>
              <w:rPr>
                <w:rFonts w:hint="eastAsia" w:ascii="宋体" w:hAnsi="宋体" w:cs="Microsoft JhengHei"/>
                <w:sz w:val="21"/>
                <w:szCs w:val="21"/>
              </w:rPr>
              <w:t>设备</w:t>
            </w:r>
            <w:r>
              <w:rPr>
                <w:rFonts w:ascii="宋体" w:hAnsi="宋体" w:cs="Microsoft JhengHei"/>
                <w:sz w:val="21"/>
                <w:szCs w:val="21"/>
              </w:rPr>
              <w:t>名称</w:t>
            </w:r>
          </w:p>
        </w:tc>
        <w:tc>
          <w:tcPr>
            <w:tcW w:w="494" w:type="pct"/>
            <w:tcBorders>
              <w:top w:val="single" w:color="000000" w:sz="4" w:space="0"/>
              <w:left w:val="single" w:color="auto" w:sz="4" w:space="0"/>
              <w:bottom w:val="single" w:color="000000" w:sz="4" w:space="0"/>
              <w:right w:val="single" w:color="auto" w:sz="4" w:space="0"/>
            </w:tcBorders>
            <w:vAlign w:val="center"/>
          </w:tcPr>
          <w:p w14:paraId="0392157B">
            <w:pPr>
              <w:pStyle w:val="38"/>
              <w:spacing w:line="331" w:lineRule="exact"/>
              <w:jc w:val="center"/>
              <w:rPr>
                <w:rFonts w:ascii="宋体" w:hAnsi="宋体" w:cs="Microsoft JhengHei"/>
                <w:sz w:val="21"/>
                <w:szCs w:val="21"/>
              </w:rPr>
            </w:pPr>
            <w:r>
              <w:rPr>
                <w:rFonts w:hint="eastAsia" w:ascii="宋体" w:hAnsi="宋体" w:cs="Microsoft JhengHei"/>
                <w:sz w:val="21"/>
                <w:szCs w:val="21"/>
              </w:rPr>
              <w:t>品牌</w:t>
            </w:r>
          </w:p>
        </w:tc>
        <w:tc>
          <w:tcPr>
            <w:tcW w:w="452" w:type="pct"/>
            <w:tcBorders>
              <w:top w:val="single" w:color="000000" w:sz="4" w:space="0"/>
              <w:left w:val="single" w:color="auto" w:sz="4" w:space="0"/>
              <w:bottom w:val="single" w:color="000000" w:sz="4" w:space="0"/>
              <w:right w:val="single" w:color="000000" w:sz="4" w:space="0"/>
            </w:tcBorders>
            <w:vAlign w:val="center"/>
          </w:tcPr>
          <w:p w14:paraId="164ED3CC">
            <w:pPr>
              <w:adjustRightInd w:val="0"/>
              <w:snapToGrid w:val="0"/>
              <w:ind w:left="-101" w:leftChars="-46" w:right="-66" w:rightChars="-30"/>
              <w:jc w:val="center"/>
              <w:rPr>
                <w:rFonts w:ascii="仿宋" w:hAnsi="仿宋" w:cs="FangSong_GB2312"/>
                <w:szCs w:val="21"/>
              </w:rPr>
            </w:pPr>
            <w:r>
              <w:rPr>
                <w:rFonts w:hint="eastAsia" w:ascii="仿宋" w:hAnsi="仿宋" w:cs="FangSong_GB2312"/>
                <w:szCs w:val="21"/>
              </w:rPr>
              <w:t>型号</w:t>
            </w:r>
          </w:p>
          <w:p w14:paraId="691FF0DB">
            <w:pPr>
              <w:pStyle w:val="38"/>
              <w:spacing w:line="331" w:lineRule="exact"/>
              <w:jc w:val="center"/>
              <w:rPr>
                <w:rFonts w:ascii="宋体" w:hAnsi="宋体" w:cs="Microsoft JhengHei"/>
                <w:sz w:val="21"/>
                <w:szCs w:val="21"/>
              </w:rPr>
            </w:pPr>
            <w:r>
              <w:rPr>
                <w:rFonts w:hint="eastAsia" w:ascii="仿宋" w:hAnsi="仿宋" w:cs="FangSong_GB2312"/>
                <w:szCs w:val="21"/>
              </w:rPr>
              <w:t>规格</w:t>
            </w:r>
          </w:p>
        </w:tc>
        <w:tc>
          <w:tcPr>
            <w:tcW w:w="361" w:type="pct"/>
            <w:tcBorders>
              <w:top w:val="single" w:color="000000" w:sz="4" w:space="0"/>
              <w:left w:val="single" w:color="000000" w:sz="4" w:space="0"/>
              <w:bottom w:val="single" w:color="000000" w:sz="4" w:space="0"/>
              <w:right w:val="single" w:color="000000" w:sz="4" w:space="0"/>
            </w:tcBorders>
            <w:vAlign w:val="center"/>
          </w:tcPr>
          <w:p w14:paraId="0967E0CC">
            <w:pPr>
              <w:pStyle w:val="38"/>
              <w:spacing w:line="331" w:lineRule="exact"/>
              <w:jc w:val="center"/>
              <w:rPr>
                <w:rFonts w:ascii="宋体" w:hAnsi="宋体" w:cs="Microsoft JhengHei"/>
                <w:sz w:val="21"/>
                <w:szCs w:val="21"/>
              </w:rPr>
            </w:pPr>
            <w:r>
              <w:rPr>
                <w:rFonts w:hint="eastAsia" w:ascii="宋体" w:hAnsi="宋体" w:cs="Microsoft JhengHei"/>
                <w:sz w:val="21"/>
                <w:szCs w:val="21"/>
              </w:rPr>
              <w:t>原产地</w:t>
            </w:r>
          </w:p>
        </w:tc>
        <w:tc>
          <w:tcPr>
            <w:tcW w:w="297" w:type="pct"/>
            <w:tcBorders>
              <w:top w:val="single" w:color="000000" w:sz="4" w:space="0"/>
              <w:left w:val="single" w:color="000000" w:sz="4" w:space="0"/>
              <w:bottom w:val="single" w:color="000000" w:sz="4" w:space="0"/>
              <w:right w:val="single" w:color="000000" w:sz="4" w:space="0"/>
            </w:tcBorders>
            <w:vAlign w:val="center"/>
          </w:tcPr>
          <w:p w14:paraId="7127A06A">
            <w:pPr>
              <w:pStyle w:val="38"/>
              <w:spacing w:line="331" w:lineRule="exact"/>
              <w:jc w:val="center"/>
              <w:rPr>
                <w:rFonts w:ascii="宋体" w:hAnsi="宋体" w:cs="Microsoft JhengHei"/>
                <w:sz w:val="21"/>
                <w:szCs w:val="21"/>
              </w:rPr>
            </w:pPr>
            <w:r>
              <w:rPr>
                <w:rFonts w:hint="eastAsia" w:ascii="宋体" w:hAnsi="宋体" w:cs="Microsoft JhengHei"/>
                <w:sz w:val="21"/>
                <w:szCs w:val="21"/>
              </w:rPr>
              <w:t>制造商名称</w:t>
            </w:r>
          </w:p>
        </w:tc>
        <w:tc>
          <w:tcPr>
            <w:tcW w:w="322" w:type="pct"/>
            <w:tcBorders>
              <w:top w:val="single" w:color="000000" w:sz="4" w:space="0"/>
              <w:left w:val="single" w:color="000000" w:sz="4" w:space="0"/>
              <w:bottom w:val="single" w:color="000000" w:sz="4" w:space="0"/>
              <w:right w:val="single" w:color="auto" w:sz="4" w:space="0"/>
            </w:tcBorders>
            <w:vAlign w:val="center"/>
          </w:tcPr>
          <w:p w14:paraId="1841E617">
            <w:pPr>
              <w:pStyle w:val="38"/>
              <w:spacing w:line="331" w:lineRule="exact"/>
              <w:jc w:val="center"/>
              <w:rPr>
                <w:rFonts w:ascii="宋体" w:hAnsi="宋体" w:cs="Microsoft JhengHei"/>
                <w:sz w:val="21"/>
                <w:szCs w:val="21"/>
              </w:rPr>
            </w:pPr>
            <w:r>
              <w:rPr>
                <w:rFonts w:ascii="宋体" w:hAnsi="宋体" w:cs="Microsoft JhengHei"/>
                <w:sz w:val="21"/>
                <w:szCs w:val="21"/>
              </w:rPr>
              <w:t>单位</w:t>
            </w:r>
          </w:p>
        </w:tc>
        <w:tc>
          <w:tcPr>
            <w:tcW w:w="314" w:type="pct"/>
            <w:tcBorders>
              <w:top w:val="single" w:color="000000" w:sz="4" w:space="0"/>
              <w:left w:val="single" w:color="auto" w:sz="4" w:space="0"/>
              <w:bottom w:val="single" w:color="000000" w:sz="4" w:space="0"/>
              <w:right w:val="single" w:color="auto" w:sz="4" w:space="0"/>
            </w:tcBorders>
            <w:vAlign w:val="center"/>
          </w:tcPr>
          <w:p w14:paraId="3324C344">
            <w:pPr>
              <w:pStyle w:val="38"/>
              <w:spacing w:line="331" w:lineRule="exact"/>
              <w:jc w:val="center"/>
              <w:rPr>
                <w:rFonts w:ascii="宋体" w:hAnsi="宋体" w:cs="Microsoft JhengHei"/>
                <w:sz w:val="21"/>
                <w:szCs w:val="21"/>
              </w:rPr>
            </w:pPr>
            <w:r>
              <w:rPr>
                <w:rFonts w:ascii="宋体" w:hAnsi="宋体" w:cs="Microsoft JhengHei"/>
                <w:sz w:val="21"/>
                <w:szCs w:val="21"/>
              </w:rPr>
              <w:t>数量</w:t>
            </w:r>
          </w:p>
        </w:tc>
        <w:tc>
          <w:tcPr>
            <w:tcW w:w="494" w:type="pct"/>
            <w:tcBorders>
              <w:top w:val="single" w:color="000000" w:sz="4" w:space="0"/>
              <w:left w:val="single" w:color="auto" w:sz="4" w:space="0"/>
              <w:bottom w:val="single" w:color="000000" w:sz="4" w:space="0"/>
              <w:right w:val="single" w:color="000000" w:sz="4" w:space="0"/>
            </w:tcBorders>
            <w:vAlign w:val="center"/>
          </w:tcPr>
          <w:p w14:paraId="2463E969">
            <w:pPr>
              <w:pStyle w:val="38"/>
              <w:spacing w:line="331" w:lineRule="exact"/>
              <w:jc w:val="center"/>
              <w:rPr>
                <w:rFonts w:ascii="宋体" w:hAnsi="宋体" w:cs="Microsoft JhengHei"/>
                <w:sz w:val="21"/>
                <w:szCs w:val="21"/>
              </w:rPr>
            </w:pPr>
            <w:r>
              <w:rPr>
                <w:rFonts w:ascii="宋体" w:hAnsi="宋体" w:cs="Microsoft JhengHei"/>
                <w:sz w:val="21"/>
                <w:szCs w:val="21"/>
              </w:rPr>
              <w:t>单价（元）</w:t>
            </w:r>
          </w:p>
        </w:tc>
        <w:tc>
          <w:tcPr>
            <w:tcW w:w="517" w:type="pct"/>
            <w:tcBorders>
              <w:top w:val="single" w:color="000000" w:sz="4" w:space="0"/>
              <w:left w:val="single" w:color="000000" w:sz="4" w:space="0"/>
              <w:bottom w:val="single" w:color="000000" w:sz="4" w:space="0"/>
              <w:right w:val="single" w:color="000000" w:sz="4" w:space="0"/>
            </w:tcBorders>
            <w:vAlign w:val="center"/>
          </w:tcPr>
          <w:p w14:paraId="27FE3597">
            <w:pPr>
              <w:pStyle w:val="38"/>
              <w:spacing w:line="331" w:lineRule="exact"/>
              <w:jc w:val="center"/>
              <w:rPr>
                <w:rFonts w:ascii="宋体" w:hAnsi="宋体" w:cs="Microsoft JhengHei"/>
                <w:sz w:val="21"/>
                <w:szCs w:val="21"/>
              </w:rPr>
            </w:pPr>
            <w:r>
              <w:rPr>
                <w:rFonts w:ascii="宋体" w:hAnsi="宋体" w:cs="Microsoft JhengHei"/>
                <w:sz w:val="21"/>
                <w:szCs w:val="21"/>
              </w:rPr>
              <w:t>总价（元）</w:t>
            </w:r>
          </w:p>
        </w:tc>
        <w:tc>
          <w:tcPr>
            <w:tcW w:w="584" w:type="pct"/>
            <w:tcBorders>
              <w:top w:val="single" w:color="000000" w:sz="4" w:space="0"/>
              <w:left w:val="single" w:color="000000" w:sz="4" w:space="0"/>
              <w:bottom w:val="single" w:color="000000" w:sz="4" w:space="0"/>
              <w:right w:val="single" w:color="000000" w:sz="4" w:space="0"/>
            </w:tcBorders>
            <w:vAlign w:val="center"/>
          </w:tcPr>
          <w:p w14:paraId="5E5AB087">
            <w:pPr>
              <w:pStyle w:val="38"/>
              <w:spacing w:line="331" w:lineRule="exact"/>
              <w:jc w:val="center"/>
              <w:rPr>
                <w:rFonts w:ascii="宋体" w:hAnsi="宋体" w:cs="Microsoft JhengHei"/>
                <w:sz w:val="21"/>
                <w:szCs w:val="21"/>
              </w:rPr>
            </w:pPr>
            <w:r>
              <w:rPr>
                <w:rFonts w:ascii="宋体" w:hAnsi="宋体" w:cs="Microsoft JhengHei"/>
                <w:sz w:val="21"/>
                <w:szCs w:val="21"/>
              </w:rPr>
              <w:t>备注</w:t>
            </w:r>
          </w:p>
          <w:p w14:paraId="5833209B">
            <w:pPr>
              <w:pStyle w:val="38"/>
              <w:spacing w:line="331" w:lineRule="exact"/>
              <w:jc w:val="center"/>
              <w:rPr>
                <w:rFonts w:ascii="宋体" w:hAnsi="宋体" w:cs="Microsoft JhengHei"/>
                <w:sz w:val="18"/>
                <w:szCs w:val="18"/>
              </w:rPr>
            </w:pPr>
            <w:r>
              <w:rPr>
                <w:rFonts w:hint="eastAsia" w:ascii="宋体" w:hAnsi="宋体" w:cs="Microsoft JhengHei"/>
                <w:sz w:val="18"/>
                <w:szCs w:val="18"/>
              </w:rPr>
              <w:t>（选用电机品牌）</w:t>
            </w:r>
          </w:p>
        </w:tc>
      </w:tr>
      <w:tr w14:paraId="49EDD275">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0E147DE">
            <w:pPr>
              <w:pStyle w:val="38"/>
              <w:spacing w:before="74"/>
              <w:ind w:left="275" w:right="277"/>
              <w:jc w:val="center"/>
              <w:rPr>
                <w:rFonts w:ascii="宋体" w:hAnsi="宋体"/>
                <w:sz w:val="21"/>
                <w:szCs w:val="21"/>
              </w:rPr>
            </w:pPr>
            <w:r>
              <w:rPr>
                <w:rFonts w:ascii="宋体" w:hAnsi="宋体"/>
                <w:sz w:val="21"/>
                <w:szCs w:val="21"/>
              </w:rPr>
              <w:t>1</w:t>
            </w:r>
          </w:p>
        </w:tc>
        <w:tc>
          <w:tcPr>
            <w:tcW w:w="781" w:type="pct"/>
            <w:tcBorders>
              <w:top w:val="single" w:color="000000" w:sz="4" w:space="0"/>
              <w:left w:val="single" w:color="000000" w:sz="4" w:space="0"/>
              <w:bottom w:val="single" w:color="000000" w:sz="4" w:space="0"/>
              <w:right w:val="single" w:color="auto" w:sz="4" w:space="0"/>
            </w:tcBorders>
            <w:vAlign w:val="center"/>
          </w:tcPr>
          <w:p w14:paraId="4D8ECF0A">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7AA97FBB">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5396259D">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422DDB77">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74493F7E">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3915A7C1">
            <w:pPr>
              <w:pStyle w:val="38"/>
              <w:spacing w:line="331" w:lineRule="exact"/>
              <w:jc w:val="center"/>
              <w:rPr>
                <w:rFonts w:ascii="宋体" w:hAnsi="宋体" w:cs="Microsoft JhengHei"/>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0ED16F02">
            <w:pPr>
              <w:pStyle w:val="38"/>
              <w:spacing w:line="331" w:lineRule="exact"/>
              <w:jc w:val="center"/>
              <w:rPr>
                <w:rFonts w:ascii="宋体" w:hAnsi="宋体" w:cs="Microsoft JhengHei"/>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139C55AE">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6F8F9F4B">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73DEEB17">
            <w:pPr>
              <w:jc w:val="center"/>
              <w:rPr>
                <w:rFonts w:ascii="宋体" w:hAnsi="宋体"/>
                <w:sz w:val="21"/>
                <w:szCs w:val="21"/>
              </w:rPr>
            </w:pPr>
          </w:p>
        </w:tc>
      </w:tr>
      <w:tr w14:paraId="7827D6A3">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43AFAB25">
            <w:pPr>
              <w:pStyle w:val="38"/>
              <w:spacing w:before="74"/>
              <w:ind w:left="275" w:right="277"/>
              <w:jc w:val="center"/>
              <w:rPr>
                <w:rFonts w:ascii="宋体" w:hAnsi="宋体"/>
                <w:sz w:val="21"/>
                <w:szCs w:val="21"/>
              </w:rPr>
            </w:pPr>
            <w:r>
              <w:rPr>
                <w:rFonts w:ascii="宋体" w:hAnsi="宋体"/>
                <w:sz w:val="21"/>
                <w:szCs w:val="21"/>
              </w:rPr>
              <w:t>2</w:t>
            </w:r>
          </w:p>
        </w:tc>
        <w:tc>
          <w:tcPr>
            <w:tcW w:w="781" w:type="pct"/>
            <w:tcBorders>
              <w:top w:val="single" w:color="000000" w:sz="4" w:space="0"/>
              <w:left w:val="single" w:color="000000" w:sz="4" w:space="0"/>
              <w:bottom w:val="single" w:color="000000" w:sz="4" w:space="0"/>
              <w:right w:val="single" w:color="auto" w:sz="4" w:space="0"/>
            </w:tcBorders>
            <w:vAlign w:val="center"/>
          </w:tcPr>
          <w:p w14:paraId="45457FB6">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164137B8">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5F035613">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1E09F4A4">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7EFAF3F8">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7C6E5A5D">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308DA9EE">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5BCEAF3">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7B8E3DCC">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1AE5ACEE">
            <w:pPr>
              <w:jc w:val="center"/>
              <w:rPr>
                <w:rFonts w:ascii="宋体" w:hAnsi="宋体"/>
                <w:sz w:val="21"/>
                <w:szCs w:val="21"/>
              </w:rPr>
            </w:pPr>
          </w:p>
        </w:tc>
      </w:tr>
      <w:tr w14:paraId="25D33E1D">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2B62238D">
            <w:pPr>
              <w:pStyle w:val="38"/>
              <w:spacing w:before="74"/>
              <w:ind w:left="275" w:right="277"/>
              <w:jc w:val="center"/>
              <w:rPr>
                <w:rFonts w:ascii="宋体" w:hAnsi="宋体"/>
                <w:sz w:val="21"/>
                <w:szCs w:val="21"/>
              </w:rPr>
            </w:pPr>
            <w:r>
              <w:rPr>
                <w:rFonts w:ascii="宋体" w:hAnsi="宋体"/>
                <w:sz w:val="21"/>
                <w:szCs w:val="21"/>
              </w:rPr>
              <w:t>3</w:t>
            </w:r>
          </w:p>
        </w:tc>
        <w:tc>
          <w:tcPr>
            <w:tcW w:w="781" w:type="pct"/>
            <w:tcBorders>
              <w:top w:val="single" w:color="000000" w:sz="4" w:space="0"/>
              <w:left w:val="single" w:color="000000" w:sz="4" w:space="0"/>
              <w:bottom w:val="single" w:color="000000" w:sz="4" w:space="0"/>
              <w:right w:val="single" w:color="auto" w:sz="4" w:space="0"/>
            </w:tcBorders>
            <w:vAlign w:val="center"/>
          </w:tcPr>
          <w:p w14:paraId="6EFAA745">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20EFF41C">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30749B55">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0477D876">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04B7CC69">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1A298BB3">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6E1044E">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16EF99B">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596A7DE8">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656D1BE0">
            <w:pPr>
              <w:jc w:val="center"/>
              <w:rPr>
                <w:rFonts w:ascii="宋体" w:hAnsi="宋体"/>
                <w:sz w:val="21"/>
                <w:szCs w:val="21"/>
              </w:rPr>
            </w:pPr>
          </w:p>
        </w:tc>
      </w:tr>
      <w:tr w14:paraId="6EA48389">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4029AEE">
            <w:pPr>
              <w:pStyle w:val="38"/>
              <w:spacing w:before="74"/>
              <w:ind w:left="275" w:right="277"/>
              <w:jc w:val="center"/>
              <w:rPr>
                <w:rFonts w:ascii="宋体" w:hAnsi="宋体"/>
                <w:sz w:val="21"/>
                <w:szCs w:val="21"/>
              </w:rPr>
            </w:pPr>
            <w:r>
              <w:rPr>
                <w:rFonts w:ascii="宋体" w:hAnsi="宋体"/>
                <w:sz w:val="21"/>
                <w:szCs w:val="21"/>
              </w:rPr>
              <w:t>4</w:t>
            </w:r>
          </w:p>
        </w:tc>
        <w:tc>
          <w:tcPr>
            <w:tcW w:w="781" w:type="pct"/>
            <w:tcBorders>
              <w:top w:val="single" w:color="000000" w:sz="4" w:space="0"/>
              <w:left w:val="single" w:color="000000" w:sz="4" w:space="0"/>
              <w:bottom w:val="single" w:color="000000" w:sz="4" w:space="0"/>
              <w:right w:val="single" w:color="auto" w:sz="4" w:space="0"/>
            </w:tcBorders>
            <w:vAlign w:val="center"/>
          </w:tcPr>
          <w:p w14:paraId="62FE5F5F">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539DA138">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613EB5C9">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3DD0D50F">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0F8A6FA7">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4CEA0CEB">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9FE7680">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4214F241">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389E74B7">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31F066CD">
            <w:pPr>
              <w:jc w:val="center"/>
              <w:rPr>
                <w:rFonts w:ascii="宋体" w:hAnsi="宋体"/>
                <w:sz w:val="21"/>
                <w:szCs w:val="21"/>
              </w:rPr>
            </w:pPr>
          </w:p>
        </w:tc>
      </w:tr>
      <w:tr w14:paraId="1FC58300">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38572065">
            <w:pPr>
              <w:pStyle w:val="38"/>
              <w:spacing w:before="74"/>
              <w:ind w:left="275" w:right="277"/>
              <w:jc w:val="center"/>
              <w:rPr>
                <w:rFonts w:ascii="宋体" w:hAnsi="宋体"/>
                <w:sz w:val="21"/>
                <w:szCs w:val="21"/>
              </w:rPr>
            </w:pPr>
            <w:r>
              <w:rPr>
                <w:rFonts w:ascii="宋体" w:hAnsi="宋体"/>
                <w:sz w:val="21"/>
                <w:szCs w:val="21"/>
              </w:rPr>
              <w:t>5</w:t>
            </w:r>
          </w:p>
        </w:tc>
        <w:tc>
          <w:tcPr>
            <w:tcW w:w="781" w:type="pct"/>
            <w:tcBorders>
              <w:top w:val="single" w:color="000000" w:sz="4" w:space="0"/>
              <w:left w:val="single" w:color="000000" w:sz="4" w:space="0"/>
              <w:bottom w:val="single" w:color="000000" w:sz="4" w:space="0"/>
              <w:right w:val="single" w:color="auto" w:sz="4" w:space="0"/>
            </w:tcBorders>
            <w:vAlign w:val="center"/>
          </w:tcPr>
          <w:p w14:paraId="0182A5D3">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auto" w:sz="4" w:space="0"/>
            </w:tcBorders>
            <w:vAlign w:val="center"/>
          </w:tcPr>
          <w:p w14:paraId="0C204F0C">
            <w:pPr>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4E852619">
            <w:pPr>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65136EE6">
            <w:pPr>
              <w:jc w:val="center"/>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35925F99">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4B6A3597">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4496C6DC">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6757BA10">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2B89F758">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66E2A449">
            <w:pPr>
              <w:jc w:val="center"/>
              <w:rPr>
                <w:rFonts w:ascii="宋体" w:hAnsi="宋体"/>
                <w:sz w:val="21"/>
                <w:szCs w:val="21"/>
              </w:rPr>
            </w:pPr>
          </w:p>
        </w:tc>
      </w:tr>
      <w:tr w14:paraId="425B22D0">
        <w:tblPrEx>
          <w:tblCellMar>
            <w:top w:w="0" w:type="dxa"/>
            <w:left w:w="108" w:type="dxa"/>
            <w:bottom w:w="0" w:type="dxa"/>
            <w:right w:w="108" w:type="dxa"/>
          </w:tblCellMar>
        </w:tblPrEx>
        <w:trPr>
          <w:cantSplit/>
          <w:trHeight w:val="567" w:hRule="atLeast"/>
          <w:jc w:val="center"/>
        </w:trPr>
        <w:tc>
          <w:tcPr>
            <w:tcW w:w="376" w:type="pct"/>
            <w:tcBorders>
              <w:top w:val="single" w:color="000000" w:sz="4" w:space="0"/>
              <w:left w:val="single" w:color="000000" w:sz="4" w:space="0"/>
              <w:bottom w:val="single" w:color="000000" w:sz="4" w:space="0"/>
              <w:right w:val="single" w:color="000000" w:sz="4" w:space="0"/>
            </w:tcBorders>
            <w:vAlign w:val="center"/>
          </w:tcPr>
          <w:p w14:paraId="773F61DA">
            <w:pPr>
              <w:pStyle w:val="38"/>
              <w:spacing w:before="74"/>
              <w:ind w:left="138"/>
              <w:jc w:val="center"/>
              <w:rPr>
                <w:rFonts w:ascii="宋体" w:hAnsi="宋体"/>
                <w:sz w:val="21"/>
                <w:szCs w:val="21"/>
              </w:rPr>
            </w:pPr>
            <w:r>
              <w:rPr>
                <w:rFonts w:ascii="宋体" w:hAnsi="宋体"/>
                <w:sz w:val="21"/>
                <w:szCs w:val="21"/>
              </w:rPr>
              <w:t>……</w:t>
            </w:r>
          </w:p>
        </w:tc>
        <w:tc>
          <w:tcPr>
            <w:tcW w:w="781" w:type="pct"/>
            <w:tcBorders>
              <w:top w:val="single" w:color="000000" w:sz="4" w:space="0"/>
              <w:left w:val="single" w:color="000000" w:sz="4" w:space="0"/>
              <w:bottom w:val="single" w:color="000000" w:sz="4" w:space="0"/>
              <w:right w:val="single" w:color="auto" w:sz="4" w:space="0"/>
            </w:tcBorders>
            <w:vAlign w:val="center"/>
          </w:tcPr>
          <w:p w14:paraId="5599D3A4">
            <w:pPr>
              <w:pStyle w:val="38"/>
              <w:spacing w:before="74"/>
              <w:jc w:val="center"/>
              <w:rPr>
                <w:rFonts w:ascii="宋体" w:hAnsi="宋体"/>
                <w:sz w:val="21"/>
                <w:szCs w:val="21"/>
              </w:rPr>
            </w:pPr>
            <w:r>
              <w:rPr>
                <w:rFonts w:ascii="宋体" w:hAnsi="宋体"/>
                <w:sz w:val="21"/>
                <w:szCs w:val="21"/>
              </w:rPr>
              <w:t>……</w:t>
            </w:r>
          </w:p>
        </w:tc>
        <w:tc>
          <w:tcPr>
            <w:tcW w:w="494" w:type="pct"/>
            <w:tcBorders>
              <w:top w:val="single" w:color="000000" w:sz="4" w:space="0"/>
              <w:left w:val="single" w:color="auto" w:sz="4" w:space="0"/>
              <w:bottom w:val="single" w:color="000000" w:sz="4" w:space="0"/>
              <w:right w:val="single" w:color="auto" w:sz="4" w:space="0"/>
            </w:tcBorders>
            <w:vAlign w:val="center"/>
          </w:tcPr>
          <w:p w14:paraId="095926B4">
            <w:pPr>
              <w:pStyle w:val="38"/>
              <w:spacing w:before="74"/>
              <w:jc w:val="center"/>
              <w:rPr>
                <w:rFonts w:ascii="宋体" w:hAnsi="宋体"/>
                <w:sz w:val="21"/>
                <w:szCs w:val="21"/>
              </w:rPr>
            </w:pPr>
          </w:p>
        </w:tc>
        <w:tc>
          <w:tcPr>
            <w:tcW w:w="452" w:type="pct"/>
            <w:tcBorders>
              <w:top w:val="single" w:color="000000" w:sz="4" w:space="0"/>
              <w:left w:val="single" w:color="auto" w:sz="4" w:space="0"/>
              <w:bottom w:val="single" w:color="000000" w:sz="4" w:space="0"/>
              <w:right w:val="single" w:color="000000" w:sz="4" w:space="0"/>
            </w:tcBorders>
            <w:vAlign w:val="center"/>
          </w:tcPr>
          <w:p w14:paraId="3C2E7EFD">
            <w:pPr>
              <w:pStyle w:val="38"/>
              <w:spacing w:before="74"/>
              <w:jc w:val="center"/>
              <w:rPr>
                <w:rFonts w:ascii="宋体" w:hAnsi="宋体"/>
                <w:sz w:val="21"/>
                <w:szCs w:val="21"/>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5ECA8135">
            <w:pPr>
              <w:pStyle w:val="38"/>
              <w:rPr>
                <w:rFonts w:ascii="宋体" w:hAnsi="宋体"/>
                <w:sz w:val="21"/>
                <w:szCs w:val="21"/>
              </w:rPr>
            </w:pPr>
          </w:p>
        </w:tc>
        <w:tc>
          <w:tcPr>
            <w:tcW w:w="297" w:type="pct"/>
            <w:tcBorders>
              <w:top w:val="single" w:color="000000" w:sz="4" w:space="0"/>
              <w:left w:val="single" w:color="000000" w:sz="4" w:space="0"/>
              <w:bottom w:val="single" w:color="000000" w:sz="4" w:space="0"/>
              <w:right w:val="single" w:color="000000" w:sz="4" w:space="0"/>
            </w:tcBorders>
            <w:vAlign w:val="center"/>
          </w:tcPr>
          <w:p w14:paraId="19CBAB2B">
            <w:pPr>
              <w:jc w:val="center"/>
              <w:rPr>
                <w:rFonts w:ascii="宋体" w:hAnsi="宋体"/>
                <w:sz w:val="21"/>
                <w:szCs w:val="21"/>
              </w:rPr>
            </w:pPr>
          </w:p>
        </w:tc>
        <w:tc>
          <w:tcPr>
            <w:tcW w:w="322" w:type="pct"/>
            <w:tcBorders>
              <w:top w:val="single" w:color="000000" w:sz="4" w:space="0"/>
              <w:left w:val="single" w:color="000000" w:sz="4" w:space="0"/>
              <w:bottom w:val="single" w:color="000000" w:sz="4" w:space="0"/>
              <w:right w:val="single" w:color="auto" w:sz="4" w:space="0"/>
            </w:tcBorders>
            <w:vAlign w:val="center"/>
          </w:tcPr>
          <w:p w14:paraId="35724D17">
            <w:pPr>
              <w:jc w:val="center"/>
              <w:rPr>
                <w:rFonts w:ascii="宋体" w:hAnsi="宋体"/>
                <w:sz w:val="21"/>
                <w:szCs w:val="21"/>
              </w:rPr>
            </w:pPr>
          </w:p>
        </w:tc>
        <w:tc>
          <w:tcPr>
            <w:tcW w:w="314" w:type="pct"/>
            <w:tcBorders>
              <w:top w:val="single" w:color="000000" w:sz="4" w:space="0"/>
              <w:left w:val="single" w:color="auto" w:sz="4" w:space="0"/>
              <w:bottom w:val="single" w:color="000000" w:sz="4" w:space="0"/>
              <w:right w:val="single" w:color="auto" w:sz="4" w:space="0"/>
            </w:tcBorders>
            <w:vAlign w:val="center"/>
          </w:tcPr>
          <w:p w14:paraId="7D04353B">
            <w:pPr>
              <w:jc w:val="center"/>
              <w:rPr>
                <w:rFonts w:ascii="宋体" w:hAnsi="宋体"/>
                <w:sz w:val="21"/>
                <w:szCs w:val="21"/>
              </w:rPr>
            </w:pPr>
          </w:p>
        </w:tc>
        <w:tc>
          <w:tcPr>
            <w:tcW w:w="494" w:type="pct"/>
            <w:tcBorders>
              <w:top w:val="single" w:color="000000" w:sz="4" w:space="0"/>
              <w:left w:val="single" w:color="auto" w:sz="4" w:space="0"/>
              <w:bottom w:val="single" w:color="000000" w:sz="4" w:space="0"/>
              <w:right w:val="single" w:color="000000" w:sz="4" w:space="0"/>
            </w:tcBorders>
            <w:vAlign w:val="center"/>
          </w:tcPr>
          <w:p w14:paraId="257B1C62">
            <w:pPr>
              <w:jc w:val="center"/>
              <w:rPr>
                <w:rFonts w:ascii="宋体" w:hAnsi="宋体"/>
                <w:sz w:val="21"/>
                <w:szCs w:val="21"/>
              </w:rPr>
            </w:pPr>
          </w:p>
        </w:tc>
        <w:tc>
          <w:tcPr>
            <w:tcW w:w="517" w:type="pct"/>
            <w:tcBorders>
              <w:top w:val="single" w:color="000000" w:sz="4" w:space="0"/>
              <w:left w:val="single" w:color="000000" w:sz="4" w:space="0"/>
              <w:bottom w:val="single" w:color="000000" w:sz="4" w:space="0"/>
              <w:right w:val="single" w:color="000000" w:sz="4" w:space="0"/>
            </w:tcBorders>
            <w:vAlign w:val="center"/>
          </w:tcPr>
          <w:p w14:paraId="7EFCB07E">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3F0BCA42">
            <w:pPr>
              <w:jc w:val="center"/>
              <w:rPr>
                <w:rFonts w:ascii="宋体" w:hAnsi="宋体"/>
                <w:sz w:val="21"/>
                <w:szCs w:val="21"/>
              </w:rPr>
            </w:pPr>
          </w:p>
        </w:tc>
      </w:tr>
      <w:tr w14:paraId="7A480615">
        <w:tblPrEx>
          <w:tblCellMar>
            <w:top w:w="0" w:type="dxa"/>
            <w:left w:w="108" w:type="dxa"/>
            <w:bottom w:w="0" w:type="dxa"/>
            <w:right w:w="108" w:type="dxa"/>
          </w:tblCellMar>
        </w:tblPrEx>
        <w:trPr>
          <w:cantSplit/>
          <w:trHeight w:val="567" w:hRule="atLeast"/>
          <w:jc w:val="center"/>
        </w:trPr>
        <w:tc>
          <w:tcPr>
            <w:tcW w:w="3898" w:type="pct"/>
            <w:gridSpan w:val="9"/>
            <w:tcBorders>
              <w:top w:val="single" w:color="000000" w:sz="4" w:space="0"/>
              <w:left w:val="single" w:color="000000" w:sz="4" w:space="0"/>
              <w:bottom w:val="single" w:color="000000" w:sz="4" w:space="0"/>
              <w:right w:val="single" w:color="000000" w:sz="4" w:space="0"/>
            </w:tcBorders>
            <w:vAlign w:val="center"/>
          </w:tcPr>
          <w:p w14:paraId="3D53616D">
            <w:pPr>
              <w:pStyle w:val="38"/>
              <w:spacing w:line="328" w:lineRule="exact"/>
              <w:jc w:val="center"/>
              <w:rPr>
                <w:rFonts w:ascii="宋体" w:hAnsi="宋体" w:cs="Microsoft JhengHei"/>
                <w:sz w:val="21"/>
                <w:szCs w:val="21"/>
              </w:rPr>
            </w:pPr>
            <w:r>
              <w:rPr>
                <w:rFonts w:ascii="宋体" w:hAnsi="宋体" w:cs="Microsoft JhengHei"/>
                <w:sz w:val="21"/>
                <w:szCs w:val="21"/>
              </w:rPr>
              <w:t>合计报价</w:t>
            </w:r>
          </w:p>
        </w:tc>
        <w:tc>
          <w:tcPr>
            <w:tcW w:w="517" w:type="pct"/>
            <w:tcBorders>
              <w:top w:val="single" w:color="000000" w:sz="4" w:space="0"/>
              <w:left w:val="single" w:color="000000" w:sz="4" w:space="0"/>
              <w:bottom w:val="single" w:color="000000" w:sz="4" w:space="0"/>
              <w:right w:val="single" w:color="000000" w:sz="4" w:space="0"/>
            </w:tcBorders>
            <w:vAlign w:val="center"/>
          </w:tcPr>
          <w:p w14:paraId="42CD6099">
            <w:pPr>
              <w:jc w:val="center"/>
              <w:rPr>
                <w:rFonts w:ascii="宋体" w:hAnsi="宋体"/>
                <w:sz w:val="21"/>
                <w:szCs w:val="21"/>
              </w:rPr>
            </w:pPr>
          </w:p>
        </w:tc>
        <w:tc>
          <w:tcPr>
            <w:tcW w:w="584" w:type="pct"/>
            <w:tcBorders>
              <w:top w:val="single" w:color="000000" w:sz="4" w:space="0"/>
              <w:left w:val="single" w:color="000000" w:sz="4" w:space="0"/>
              <w:bottom w:val="single" w:color="000000" w:sz="4" w:space="0"/>
              <w:right w:val="single" w:color="000000" w:sz="4" w:space="0"/>
            </w:tcBorders>
            <w:vAlign w:val="center"/>
          </w:tcPr>
          <w:p w14:paraId="5BFFAACB">
            <w:pPr>
              <w:jc w:val="center"/>
              <w:rPr>
                <w:rFonts w:ascii="宋体" w:hAnsi="宋体"/>
                <w:sz w:val="21"/>
                <w:szCs w:val="21"/>
              </w:rPr>
            </w:pPr>
          </w:p>
        </w:tc>
      </w:tr>
    </w:tbl>
    <w:p w14:paraId="381E59C0">
      <w:pPr>
        <w:widowControl w:val="0"/>
        <w:adjustRightInd w:val="0"/>
        <w:snapToGrid w:val="0"/>
        <w:spacing w:after="0"/>
        <w:jc w:val="righ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7F65F9FB">
      <w:pPr>
        <w:widowControl w:val="0"/>
        <w:adjustRightInd w:val="0"/>
        <w:snapToGrid w:val="0"/>
        <w:spacing w:after="0"/>
        <w:rPr>
          <w:rFonts w:ascii="Times New Roman" w:hAnsi="Times New Roman" w:eastAsia="宋体" w:cs="宋体"/>
          <w:color w:val="auto"/>
          <w:sz w:val="21"/>
          <w:szCs w:val="21"/>
        </w:rPr>
      </w:pPr>
    </w:p>
    <w:p w14:paraId="06340D38">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 xml:space="preserve"> 投 标 人：</w:t>
      </w:r>
      <w:r>
        <w:rPr>
          <w:rFonts w:hint="eastAsia" w:ascii="Times New Roman" w:hAnsi="Times New Roman" w:eastAsia="宋体" w:cs="宋体"/>
          <w:color w:val="auto"/>
          <w:sz w:val="24"/>
          <w:szCs w:val="24"/>
          <w:u w:val="single"/>
        </w:rPr>
        <w:t xml:space="preserve">       （单位CA数字证书章）</w:t>
      </w:r>
    </w:p>
    <w:p w14:paraId="15EBDAB7">
      <w:pPr>
        <w:widowControl w:val="0"/>
        <w:adjustRightInd w:val="0"/>
        <w:snapToGrid w:val="0"/>
        <w:spacing w:after="0" w:line="360" w:lineRule="auto"/>
        <w:rPr>
          <w:rFonts w:ascii="Times New Roman" w:hAnsi="Times New Roman" w:eastAsia="宋体" w:cs="宋体"/>
          <w:color w:val="auto"/>
          <w:sz w:val="24"/>
          <w:szCs w:val="24"/>
        </w:rPr>
      </w:pPr>
    </w:p>
    <w:p w14:paraId="143248E5">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法定代表人或其委托代理人：</w:t>
      </w:r>
      <w:r>
        <w:rPr>
          <w:rFonts w:hint="eastAsia" w:ascii="Times New Roman" w:hAnsi="Times New Roman" w:eastAsia="宋体" w:cs="宋体"/>
          <w:color w:val="auto"/>
          <w:sz w:val="24"/>
          <w:szCs w:val="24"/>
          <w:u w:val="single"/>
        </w:rPr>
        <w:t xml:space="preserve">      （CA数字证书章）</w:t>
      </w:r>
      <w:r>
        <w:rPr>
          <w:rFonts w:hint="eastAsia" w:ascii="Times New Roman" w:hAnsi="Times New Roman" w:eastAsia="宋体" w:cs="宋体"/>
          <w:color w:val="auto"/>
          <w:sz w:val="24"/>
          <w:szCs w:val="24"/>
        </w:rPr>
        <w:t xml:space="preserve">         </w:t>
      </w:r>
    </w:p>
    <w:p w14:paraId="68232552">
      <w:pPr>
        <w:widowControl w:val="0"/>
        <w:jc w:val="both"/>
        <w:rPr>
          <w:rFonts w:ascii="Times New Roman" w:hAnsi="Times New Roman" w:eastAsia="宋体" w:cs="宋体"/>
          <w:color w:val="auto"/>
          <w:sz w:val="24"/>
          <w:szCs w:val="24"/>
          <w:u w:val="single"/>
        </w:rPr>
      </w:pPr>
    </w:p>
    <w:p w14:paraId="275BBA78">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年</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月</w:t>
      </w:r>
      <w:r>
        <w:rPr>
          <w:rFonts w:hint="eastAsia" w:ascii="Times New Roman" w:hAnsi="Times New Roman" w:eastAsia="宋体" w:cs="宋体"/>
          <w:color w:val="auto"/>
          <w:sz w:val="24"/>
          <w:szCs w:val="24"/>
          <w:u w:val="single"/>
        </w:rPr>
        <w:t xml:space="preserve">      </w:t>
      </w:r>
      <w:r>
        <w:rPr>
          <w:rFonts w:hint="eastAsia" w:ascii="Times New Roman" w:hAnsi="Times New Roman" w:eastAsia="宋体" w:cs="宋体"/>
          <w:color w:val="auto"/>
          <w:sz w:val="24"/>
          <w:szCs w:val="24"/>
        </w:rPr>
        <w:t>日</w:t>
      </w:r>
    </w:p>
    <w:p w14:paraId="050D54DB">
      <w:pPr>
        <w:widowControl w:val="0"/>
        <w:adjustRightInd w:val="0"/>
        <w:snapToGrid w:val="0"/>
        <w:spacing w:after="0" w:line="360" w:lineRule="auto"/>
        <w:rPr>
          <w:rFonts w:ascii="Times New Roman" w:hAnsi="Times New Roman" w:eastAsia="宋体" w:cs="宋体"/>
          <w:color w:val="auto"/>
          <w:sz w:val="21"/>
          <w:szCs w:val="21"/>
        </w:rPr>
      </w:pPr>
    </w:p>
    <w:p w14:paraId="6B7CFF11">
      <w:pPr>
        <w:widowControl w:val="0"/>
        <w:adjustRightInd w:val="0"/>
        <w:snapToGrid w:val="0"/>
        <w:spacing w:after="0" w:line="360" w:lineRule="auto"/>
        <w:rPr>
          <w:rFonts w:ascii="Times New Roman" w:hAnsi="Times New Roman" w:eastAsia="宋体" w:cs="宋体"/>
          <w:color w:val="auto"/>
          <w:sz w:val="24"/>
          <w:szCs w:val="24"/>
        </w:rPr>
      </w:pPr>
      <w:r>
        <w:rPr>
          <w:rFonts w:hint="eastAsia" w:ascii="Times New Roman" w:hAnsi="Times New Roman" w:eastAsia="宋体" w:cs="宋体"/>
          <w:color w:val="auto"/>
          <w:sz w:val="21"/>
          <w:szCs w:val="21"/>
        </w:rPr>
        <w:t>注：投标人可根据具体采购项目情况编制分项报价表格式及内容，本表仅供参考。</w:t>
      </w:r>
    </w:p>
    <w:p w14:paraId="35522125">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r>
        <w:rPr>
          <w:rFonts w:hint="eastAsia" w:ascii="Times New Roman" w:hAnsi="Times New Roman" w:cs="宋体"/>
          <w:color w:val="auto"/>
          <w:sz w:val="24"/>
          <w:szCs w:val="24"/>
        </w:rPr>
        <w:br w:type="page"/>
      </w:r>
      <w:bookmarkStart w:id="823" w:name="_Toc22660"/>
      <w:bookmarkStart w:id="824" w:name="_Toc3589"/>
      <w:bookmarkStart w:id="825" w:name="_Toc30928"/>
      <w:bookmarkStart w:id="826" w:name="_Toc9353"/>
      <w:bookmarkStart w:id="827" w:name="_Toc5790"/>
      <w:bookmarkStart w:id="828" w:name="_Toc7678"/>
      <w:bookmarkStart w:id="829" w:name="_Toc56792858"/>
      <w:r>
        <w:rPr>
          <w:rFonts w:hint="eastAsia" w:ascii="Times New Roman" w:hAnsi="Times New Roman" w:cs="宋体"/>
          <w:b w:val="0"/>
          <w:bCs/>
          <w:color w:val="auto"/>
          <w:sz w:val="36"/>
        </w:rPr>
        <w:t>七、资格审查资料</w:t>
      </w:r>
      <w:bookmarkEnd w:id="823"/>
      <w:bookmarkEnd w:id="824"/>
      <w:bookmarkEnd w:id="825"/>
      <w:bookmarkEnd w:id="826"/>
      <w:bookmarkEnd w:id="827"/>
      <w:bookmarkEnd w:id="828"/>
      <w:bookmarkEnd w:id="829"/>
      <w:r>
        <w:rPr>
          <w:rFonts w:hint="eastAsia" w:ascii="Times New Roman" w:hAnsi="Times New Roman" w:cs="宋体"/>
          <w:b w:val="0"/>
          <w:bCs/>
          <w:color w:val="auto"/>
          <w:sz w:val="36"/>
        </w:rPr>
        <w:t xml:space="preserve"> </w:t>
      </w:r>
    </w:p>
    <w:p w14:paraId="2ACE468F">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0" w:name="_Toc14227"/>
      <w:r>
        <w:rPr>
          <w:rFonts w:hint="eastAsia" w:ascii="Times New Roman" w:hAnsi="Times New Roman" w:eastAsia="宋体" w:cs="宋体"/>
          <w:b/>
          <w:bCs/>
          <w:color w:val="auto"/>
        </w:rPr>
        <w:t>（一）基本情况表</w:t>
      </w:r>
      <w:bookmarkEnd w:id="830"/>
    </w:p>
    <w:tbl>
      <w:tblPr>
        <w:tblStyle w:val="17"/>
        <w:tblW w:w="5260" w:type="pct"/>
        <w:jc w:val="center"/>
        <w:tblLayout w:type="autofit"/>
        <w:tblCellMar>
          <w:top w:w="0" w:type="dxa"/>
          <w:left w:w="89" w:type="dxa"/>
          <w:bottom w:w="46" w:type="dxa"/>
          <w:right w:w="89" w:type="dxa"/>
        </w:tblCellMar>
      </w:tblPr>
      <w:tblGrid>
        <w:gridCol w:w="2492"/>
        <w:gridCol w:w="762"/>
        <w:gridCol w:w="1997"/>
        <w:gridCol w:w="1076"/>
        <w:gridCol w:w="2598"/>
      </w:tblGrid>
      <w:tr w14:paraId="06097BFD">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4675A5A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2A61D3DD">
            <w:pPr>
              <w:widowControl w:val="0"/>
              <w:adjustRightInd w:val="0"/>
              <w:snapToGrid w:val="0"/>
              <w:spacing w:after="0" w:line="240" w:lineRule="auto"/>
              <w:rPr>
                <w:rFonts w:ascii="Times New Roman" w:hAnsi="Times New Roman" w:eastAsia="宋体" w:cs="宋体"/>
                <w:color w:val="auto"/>
                <w:sz w:val="21"/>
                <w:szCs w:val="21"/>
              </w:rPr>
            </w:pPr>
          </w:p>
        </w:tc>
      </w:tr>
      <w:tr w14:paraId="298A1262">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4E63CF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注册资金</w:t>
            </w:r>
          </w:p>
        </w:tc>
        <w:tc>
          <w:tcPr>
            <w:tcW w:w="1546" w:type="pct"/>
            <w:gridSpan w:val="2"/>
            <w:tcBorders>
              <w:top w:val="single" w:color="000000" w:sz="4" w:space="0"/>
              <w:left w:val="single" w:color="000000" w:sz="4" w:space="0"/>
              <w:bottom w:val="single" w:color="000000" w:sz="4" w:space="0"/>
              <w:right w:val="single" w:color="000000" w:sz="4" w:space="0"/>
            </w:tcBorders>
            <w:vAlign w:val="center"/>
          </w:tcPr>
          <w:p w14:paraId="7FBD1E46">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153F6821">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成立时间</w:t>
            </w:r>
          </w:p>
        </w:tc>
        <w:tc>
          <w:tcPr>
            <w:tcW w:w="1455" w:type="pct"/>
            <w:tcBorders>
              <w:top w:val="single" w:color="000000" w:sz="4" w:space="0"/>
              <w:left w:val="single" w:color="000000" w:sz="4" w:space="0"/>
              <w:bottom w:val="single" w:color="000000" w:sz="4" w:space="0"/>
              <w:right w:val="single" w:color="000000" w:sz="4" w:space="0"/>
            </w:tcBorders>
            <w:vAlign w:val="center"/>
          </w:tcPr>
          <w:p w14:paraId="3C8A87D7">
            <w:pPr>
              <w:widowControl w:val="0"/>
              <w:adjustRightInd w:val="0"/>
              <w:snapToGrid w:val="0"/>
              <w:spacing w:after="0" w:line="240" w:lineRule="auto"/>
              <w:rPr>
                <w:rFonts w:ascii="Times New Roman" w:hAnsi="Times New Roman" w:eastAsia="宋体" w:cs="宋体"/>
                <w:color w:val="auto"/>
                <w:sz w:val="21"/>
                <w:szCs w:val="21"/>
              </w:rPr>
            </w:pPr>
          </w:p>
        </w:tc>
      </w:tr>
      <w:tr w14:paraId="6EEAAFBC">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0EFF3D2">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注册地址</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00699E4D">
            <w:pPr>
              <w:widowControl w:val="0"/>
              <w:adjustRightInd w:val="0"/>
              <w:snapToGrid w:val="0"/>
              <w:spacing w:after="0" w:line="240" w:lineRule="auto"/>
              <w:rPr>
                <w:rFonts w:ascii="Times New Roman" w:hAnsi="Times New Roman" w:eastAsia="宋体" w:cs="宋体"/>
                <w:color w:val="auto"/>
                <w:sz w:val="21"/>
                <w:szCs w:val="21"/>
              </w:rPr>
            </w:pPr>
          </w:p>
        </w:tc>
      </w:tr>
      <w:tr w14:paraId="0286BE10">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C64AF3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邮政编码</w:t>
            </w:r>
          </w:p>
        </w:tc>
        <w:tc>
          <w:tcPr>
            <w:tcW w:w="1546" w:type="pct"/>
            <w:gridSpan w:val="2"/>
            <w:tcBorders>
              <w:top w:val="single" w:color="000000" w:sz="4" w:space="0"/>
              <w:left w:val="single" w:color="000000" w:sz="4" w:space="0"/>
              <w:bottom w:val="single" w:color="000000" w:sz="4" w:space="0"/>
              <w:right w:val="single" w:color="000000" w:sz="4" w:space="0"/>
            </w:tcBorders>
            <w:vAlign w:val="center"/>
          </w:tcPr>
          <w:p w14:paraId="7DA3AD9E">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0B488D46">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员工总数</w:t>
            </w:r>
          </w:p>
        </w:tc>
        <w:tc>
          <w:tcPr>
            <w:tcW w:w="1455" w:type="pct"/>
            <w:tcBorders>
              <w:top w:val="single" w:color="000000" w:sz="4" w:space="0"/>
              <w:left w:val="single" w:color="000000" w:sz="4" w:space="0"/>
              <w:bottom w:val="single" w:color="000000" w:sz="4" w:space="0"/>
              <w:right w:val="single" w:color="000000" w:sz="4" w:space="0"/>
            </w:tcBorders>
            <w:vAlign w:val="center"/>
          </w:tcPr>
          <w:p w14:paraId="7960681B">
            <w:pPr>
              <w:widowControl w:val="0"/>
              <w:adjustRightInd w:val="0"/>
              <w:snapToGrid w:val="0"/>
              <w:spacing w:after="0" w:line="240" w:lineRule="auto"/>
              <w:rPr>
                <w:rFonts w:ascii="Times New Roman" w:hAnsi="Times New Roman" w:eastAsia="宋体" w:cs="宋体"/>
                <w:color w:val="auto"/>
                <w:sz w:val="21"/>
                <w:szCs w:val="21"/>
              </w:rPr>
            </w:pPr>
          </w:p>
        </w:tc>
      </w:tr>
      <w:tr w14:paraId="2D9C019D">
        <w:tblPrEx>
          <w:tblCellMar>
            <w:top w:w="0" w:type="dxa"/>
            <w:left w:w="89" w:type="dxa"/>
            <w:bottom w:w="46" w:type="dxa"/>
            <w:right w:w="89" w:type="dxa"/>
          </w:tblCellMar>
        </w:tblPrEx>
        <w:trPr>
          <w:trHeight w:val="454" w:hRule="atLeast"/>
          <w:jc w:val="center"/>
        </w:trPr>
        <w:tc>
          <w:tcPr>
            <w:tcW w:w="1396" w:type="pct"/>
            <w:vMerge w:val="restart"/>
            <w:tcBorders>
              <w:top w:val="single" w:color="000000" w:sz="4" w:space="0"/>
              <w:left w:val="single" w:color="000000" w:sz="4" w:space="0"/>
              <w:bottom w:val="single" w:color="000000" w:sz="4" w:space="0"/>
              <w:right w:val="single" w:color="000000" w:sz="4" w:space="0"/>
            </w:tcBorders>
            <w:vAlign w:val="center"/>
          </w:tcPr>
          <w:p w14:paraId="06360ECF">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联系方式</w:t>
            </w:r>
          </w:p>
        </w:tc>
        <w:tc>
          <w:tcPr>
            <w:tcW w:w="427" w:type="pct"/>
            <w:tcBorders>
              <w:top w:val="single" w:color="000000" w:sz="4" w:space="0"/>
              <w:left w:val="single" w:color="000000" w:sz="4" w:space="0"/>
              <w:bottom w:val="single" w:color="000000" w:sz="4" w:space="0"/>
              <w:right w:val="single" w:color="000000" w:sz="4" w:space="0"/>
            </w:tcBorders>
            <w:vAlign w:val="center"/>
          </w:tcPr>
          <w:p w14:paraId="62E2C802">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联系人</w:t>
            </w:r>
          </w:p>
        </w:tc>
        <w:tc>
          <w:tcPr>
            <w:tcW w:w="1119" w:type="pct"/>
            <w:tcBorders>
              <w:top w:val="single" w:color="000000" w:sz="4" w:space="0"/>
              <w:left w:val="single" w:color="000000" w:sz="4" w:space="0"/>
              <w:bottom w:val="single" w:color="000000" w:sz="4" w:space="0"/>
              <w:right w:val="single" w:color="000000" w:sz="4" w:space="0"/>
            </w:tcBorders>
            <w:vAlign w:val="center"/>
          </w:tcPr>
          <w:p w14:paraId="311FD706">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2D88D7B9">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电话</w:t>
            </w:r>
          </w:p>
        </w:tc>
        <w:tc>
          <w:tcPr>
            <w:tcW w:w="1455" w:type="pct"/>
            <w:tcBorders>
              <w:top w:val="single" w:color="000000" w:sz="4" w:space="0"/>
              <w:left w:val="single" w:color="000000" w:sz="4" w:space="0"/>
              <w:bottom w:val="single" w:color="000000" w:sz="4" w:space="0"/>
              <w:right w:val="single" w:color="000000" w:sz="4" w:space="0"/>
            </w:tcBorders>
            <w:vAlign w:val="center"/>
          </w:tcPr>
          <w:p w14:paraId="75C8A62D">
            <w:pPr>
              <w:widowControl w:val="0"/>
              <w:adjustRightInd w:val="0"/>
              <w:snapToGrid w:val="0"/>
              <w:spacing w:after="0" w:line="240" w:lineRule="auto"/>
              <w:rPr>
                <w:rFonts w:ascii="Times New Roman" w:hAnsi="Times New Roman" w:eastAsia="宋体" w:cs="宋体"/>
                <w:color w:val="auto"/>
                <w:sz w:val="21"/>
                <w:szCs w:val="21"/>
              </w:rPr>
            </w:pPr>
          </w:p>
        </w:tc>
      </w:tr>
      <w:tr w14:paraId="62147E72">
        <w:tblPrEx>
          <w:tblCellMar>
            <w:top w:w="0" w:type="dxa"/>
            <w:left w:w="89" w:type="dxa"/>
            <w:bottom w:w="46" w:type="dxa"/>
            <w:right w:w="89" w:type="dxa"/>
          </w:tblCellMar>
        </w:tblPrEx>
        <w:trPr>
          <w:trHeight w:val="454" w:hRule="atLeast"/>
          <w:jc w:val="center"/>
        </w:trPr>
        <w:tc>
          <w:tcPr>
            <w:tcW w:w="1396" w:type="pct"/>
            <w:vMerge w:val="continue"/>
            <w:tcBorders>
              <w:top w:val="nil"/>
              <w:left w:val="single" w:color="000000" w:sz="4" w:space="0"/>
              <w:bottom w:val="single" w:color="000000" w:sz="4" w:space="0"/>
              <w:right w:val="single" w:color="000000" w:sz="4" w:space="0"/>
            </w:tcBorders>
            <w:vAlign w:val="center"/>
          </w:tcPr>
          <w:p w14:paraId="54F6A1DA">
            <w:pPr>
              <w:widowControl w:val="0"/>
              <w:adjustRightInd w:val="0"/>
              <w:snapToGrid w:val="0"/>
              <w:spacing w:after="0" w:line="240" w:lineRule="auto"/>
              <w:jc w:val="center"/>
              <w:rPr>
                <w:rFonts w:ascii="Times New Roman" w:hAnsi="Times New Roman" w:eastAsia="宋体" w:cs="宋体"/>
                <w:color w:val="auto"/>
                <w:sz w:val="21"/>
                <w:szCs w:val="21"/>
              </w:rPr>
            </w:pPr>
          </w:p>
        </w:tc>
        <w:tc>
          <w:tcPr>
            <w:tcW w:w="427" w:type="pct"/>
            <w:tcBorders>
              <w:top w:val="single" w:color="000000" w:sz="4" w:space="0"/>
              <w:left w:val="single" w:color="000000" w:sz="4" w:space="0"/>
              <w:bottom w:val="single" w:color="000000" w:sz="4" w:space="0"/>
              <w:right w:val="single" w:color="000000" w:sz="4" w:space="0"/>
            </w:tcBorders>
            <w:vAlign w:val="center"/>
          </w:tcPr>
          <w:p w14:paraId="14ABFC6B">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网址</w:t>
            </w:r>
          </w:p>
        </w:tc>
        <w:tc>
          <w:tcPr>
            <w:tcW w:w="1119" w:type="pct"/>
            <w:tcBorders>
              <w:top w:val="single" w:color="000000" w:sz="4" w:space="0"/>
              <w:left w:val="single" w:color="000000" w:sz="4" w:space="0"/>
              <w:bottom w:val="single" w:color="000000" w:sz="4" w:space="0"/>
              <w:right w:val="single" w:color="000000" w:sz="4" w:space="0"/>
            </w:tcBorders>
            <w:vAlign w:val="center"/>
          </w:tcPr>
          <w:p w14:paraId="24FF4EA5">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7178C523">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传真</w:t>
            </w:r>
          </w:p>
        </w:tc>
        <w:tc>
          <w:tcPr>
            <w:tcW w:w="1455" w:type="pct"/>
            <w:tcBorders>
              <w:top w:val="single" w:color="000000" w:sz="4" w:space="0"/>
              <w:left w:val="single" w:color="000000" w:sz="4" w:space="0"/>
              <w:bottom w:val="single" w:color="000000" w:sz="4" w:space="0"/>
              <w:right w:val="single" w:color="000000" w:sz="4" w:space="0"/>
            </w:tcBorders>
            <w:vAlign w:val="center"/>
          </w:tcPr>
          <w:p w14:paraId="412FCE92">
            <w:pPr>
              <w:widowControl w:val="0"/>
              <w:adjustRightInd w:val="0"/>
              <w:snapToGrid w:val="0"/>
              <w:spacing w:after="0" w:line="240" w:lineRule="auto"/>
              <w:rPr>
                <w:rFonts w:ascii="Times New Roman" w:hAnsi="Times New Roman" w:eastAsia="宋体" w:cs="宋体"/>
                <w:color w:val="auto"/>
                <w:sz w:val="21"/>
                <w:szCs w:val="21"/>
              </w:rPr>
            </w:pPr>
          </w:p>
        </w:tc>
      </w:tr>
      <w:tr w14:paraId="16C553C8">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4743B939">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w:t>
            </w:r>
          </w:p>
          <w:p w14:paraId="0C25A96F">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（单位负责人）</w:t>
            </w:r>
          </w:p>
        </w:tc>
        <w:tc>
          <w:tcPr>
            <w:tcW w:w="427" w:type="pct"/>
            <w:tcBorders>
              <w:top w:val="single" w:color="000000" w:sz="4" w:space="0"/>
              <w:left w:val="single" w:color="000000" w:sz="4" w:space="0"/>
              <w:bottom w:val="single" w:color="000000" w:sz="4" w:space="0"/>
              <w:right w:val="single" w:color="000000" w:sz="4" w:space="0"/>
            </w:tcBorders>
            <w:vAlign w:val="center"/>
          </w:tcPr>
          <w:p w14:paraId="1BE1C61E">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姓名</w:t>
            </w:r>
          </w:p>
        </w:tc>
        <w:tc>
          <w:tcPr>
            <w:tcW w:w="1119" w:type="pct"/>
            <w:tcBorders>
              <w:top w:val="single" w:color="000000" w:sz="4" w:space="0"/>
              <w:left w:val="single" w:color="000000" w:sz="4" w:space="0"/>
              <w:bottom w:val="single" w:color="000000" w:sz="4" w:space="0"/>
              <w:right w:val="single" w:color="000000" w:sz="4" w:space="0"/>
            </w:tcBorders>
            <w:vAlign w:val="center"/>
          </w:tcPr>
          <w:p w14:paraId="3F7A289E">
            <w:pPr>
              <w:widowControl w:val="0"/>
              <w:adjustRightInd w:val="0"/>
              <w:snapToGrid w:val="0"/>
              <w:spacing w:after="0" w:line="240" w:lineRule="auto"/>
              <w:rPr>
                <w:rFonts w:ascii="Times New Roman" w:hAnsi="Times New Roman" w:eastAsia="宋体" w:cs="宋体"/>
                <w:color w:val="auto"/>
                <w:sz w:val="21"/>
                <w:szCs w:val="21"/>
              </w:rPr>
            </w:pPr>
          </w:p>
        </w:tc>
        <w:tc>
          <w:tcPr>
            <w:tcW w:w="603" w:type="pct"/>
            <w:tcBorders>
              <w:top w:val="single" w:color="000000" w:sz="4" w:space="0"/>
              <w:left w:val="single" w:color="000000" w:sz="4" w:space="0"/>
              <w:bottom w:val="single" w:color="000000" w:sz="4" w:space="0"/>
              <w:right w:val="single" w:color="000000" w:sz="4" w:space="0"/>
            </w:tcBorders>
            <w:vAlign w:val="center"/>
          </w:tcPr>
          <w:p w14:paraId="4C750652">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电话</w:t>
            </w:r>
          </w:p>
        </w:tc>
        <w:tc>
          <w:tcPr>
            <w:tcW w:w="1455" w:type="pct"/>
            <w:tcBorders>
              <w:top w:val="single" w:color="000000" w:sz="4" w:space="0"/>
              <w:left w:val="single" w:color="000000" w:sz="4" w:space="0"/>
              <w:bottom w:val="single" w:color="000000" w:sz="4" w:space="0"/>
              <w:right w:val="single" w:color="000000" w:sz="4" w:space="0"/>
            </w:tcBorders>
            <w:vAlign w:val="center"/>
          </w:tcPr>
          <w:p w14:paraId="40805839">
            <w:pPr>
              <w:widowControl w:val="0"/>
              <w:adjustRightInd w:val="0"/>
              <w:snapToGrid w:val="0"/>
              <w:spacing w:after="0" w:line="240" w:lineRule="auto"/>
              <w:rPr>
                <w:rFonts w:ascii="Times New Roman" w:hAnsi="Times New Roman" w:eastAsia="宋体" w:cs="宋体"/>
                <w:color w:val="auto"/>
                <w:sz w:val="21"/>
                <w:szCs w:val="21"/>
              </w:rPr>
            </w:pPr>
          </w:p>
        </w:tc>
      </w:tr>
      <w:tr w14:paraId="4DD8C29C">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B2BE7AA">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投标人须知要求投标人需具有的各类资质证书</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E632D96">
            <w:pPr>
              <w:widowControl w:val="0"/>
              <w:adjustRightInd w:val="0"/>
              <w:snapToGrid w:val="0"/>
              <w:spacing w:after="0" w:line="240" w:lineRule="auto"/>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类 型：            等 级：              证 书 号：</w:t>
            </w:r>
          </w:p>
        </w:tc>
      </w:tr>
      <w:tr w14:paraId="248AFFD9">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0FAEC2D3">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基本账户开户银行</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3E74DE90">
            <w:pPr>
              <w:widowControl w:val="0"/>
              <w:adjustRightInd w:val="0"/>
              <w:snapToGrid w:val="0"/>
              <w:spacing w:after="0" w:line="240" w:lineRule="auto"/>
              <w:rPr>
                <w:rFonts w:ascii="Times New Roman" w:hAnsi="Times New Roman" w:eastAsia="宋体" w:cs="宋体"/>
                <w:color w:val="auto"/>
                <w:sz w:val="21"/>
                <w:szCs w:val="21"/>
              </w:rPr>
            </w:pPr>
          </w:p>
        </w:tc>
      </w:tr>
      <w:tr w14:paraId="26FF316A">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0385F0E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基本账户银行账号</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4771220">
            <w:pPr>
              <w:widowControl w:val="0"/>
              <w:adjustRightInd w:val="0"/>
              <w:snapToGrid w:val="0"/>
              <w:spacing w:after="0" w:line="240" w:lineRule="auto"/>
              <w:rPr>
                <w:rFonts w:ascii="Times New Roman" w:hAnsi="Times New Roman" w:eastAsia="宋体" w:cs="宋体"/>
                <w:color w:val="auto"/>
                <w:sz w:val="21"/>
                <w:szCs w:val="21"/>
              </w:rPr>
            </w:pPr>
          </w:p>
        </w:tc>
      </w:tr>
      <w:tr w14:paraId="7F13463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717768B">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近三年营业额</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4A2B6D77">
            <w:pPr>
              <w:widowControl w:val="0"/>
              <w:adjustRightInd w:val="0"/>
              <w:snapToGrid w:val="0"/>
              <w:spacing w:after="0" w:line="240" w:lineRule="auto"/>
              <w:rPr>
                <w:rFonts w:ascii="Times New Roman" w:hAnsi="Times New Roman" w:eastAsia="宋体" w:cs="宋体"/>
                <w:color w:val="auto"/>
                <w:sz w:val="21"/>
                <w:szCs w:val="21"/>
              </w:rPr>
            </w:pPr>
          </w:p>
        </w:tc>
      </w:tr>
      <w:tr w14:paraId="4E40BEC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178CF72">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投标人关联企业情况（包括但不限于与投标人法定代表人（单位负责人）为同一人或者存在控股、管理关系的不同单位）</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32BB15D1">
            <w:pPr>
              <w:widowControl w:val="0"/>
              <w:adjustRightInd w:val="0"/>
              <w:snapToGrid w:val="0"/>
              <w:spacing w:after="0" w:line="240" w:lineRule="auto"/>
              <w:rPr>
                <w:rFonts w:ascii="Times New Roman" w:hAnsi="Times New Roman" w:eastAsia="宋体" w:cs="宋体"/>
                <w:color w:val="auto"/>
                <w:sz w:val="21"/>
                <w:szCs w:val="21"/>
              </w:rPr>
            </w:pPr>
          </w:p>
        </w:tc>
      </w:tr>
      <w:tr w14:paraId="0A37C584">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24E2C510">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投标设备制造商名称</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2AAEAD36">
            <w:pPr>
              <w:widowControl w:val="0"/>
              <w:adjustRightInd w:val="0"/>
              <w:snapToGrid w:val="0"/>
              <w:spacing w:after="0" w:line="240" w:lineRule="auto"/>
              <w:rPr>
                <w:rFonts w:ascii="Times New Roman" w:hAnsi="Times New Roman" w:eastAsia="宋体" w:cs="宋体"/>
                <w:color w:val="auto"/>
                <w:sz w:val="21"/>
                <w:szCs w:val="21"/>
              </w:rPr>
            </w:pPr>
          </w:p>
        </w:tc>
      </w:tr>
      <w:tr w14:paraId="2031EA81">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18A104B7">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投标人须知要求投标设备制造商需具有的资质证书</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743E96F3">
            <w:pPr>
              <w:widowControl w:val="0"/>
              <w:adjustRightInd w:val="0"/>
              <w:snapToGrid w:val="0"/>
              <w:spacing w:after="0" w:line="240" w:lineRule="auto"/>
              <w:rPr>
                <w:rFonts w:ascii="Times New Roman" w:hAnsi="Times New Roman" w:eastAsia="宋体" w:cs="宋体"/>
                <w:color w:val="auto"/>
                <w:sz w:val="21"/>
                <w:szCs w:val="21"/>
              </w:rPr>
            </w:pPr>
          </w:p>
        </w:tc>
      </w:tr>
      <w:tr w14:paraId="0BC12743">
        <w:tblPrEx>
          <w:tblCellMar>
            <w:top w:w="0" w:type="dxa"/>
            <w:left w:w="89" w:type="dxa"/>
            <w:bottom w:w="46" w:type="dxa"/>
            <w:right w:w="89" w:type="dxa"/>
          </w:tblCellMar>
        </w:tblPrEx>
        <w:trPr>
          <w:trHeight w:val="454" w:hRule="atLeast"/>
          <w:jc w:val="center"/>
        </w:trPr>
        <w:tc>
          <w:tcPr>
            <w:tcW w:w="1396" w:type="pct"/>
            <w:tcBorders>
              <w:top w:val="single" w:color="000000" w:sz="4" w:space="0"/>
              <w:left w:val="single" w:color="000000" w:sz="4" w:space="0"/>
              <w:bottom w:val="single" w:color="000000" w:sz="4" w:space="0"/>
              <w:right w:val="single" w:color="000000" w:sz="4" w:space="0"/>
            </w:tcBorders>
            <w:vAlign w:val="center"/>
          </w:tcPr>
          <w:p w14:paraId="35FE2504">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c>
          <w:tcPr>
            <w:tcW w:w="3604" w:type="pct"/>
            <w:gridSpan w:val="4"/>
            <w:tcBorders>
              <w:top w:val="single" w:color="000000" w:sz="4" w:space="0"/>
              <w:left w:val="single" w:color="000000" w:sz="4" w:space="0"/>
              <w:bottom w:val="single" w:color="000000" w:sz="4" w:space="0"/>
              <w:right w:val="single" w:color="000000" w:sz="4" w:space="0"/>
            </w:tcBorders>
            <w:vAlign w:val="center"/>
          </w:tcPr>
          <w:p w14:paraId="71DECF3C">
            <w:pPr>
              <w:widowControl w:val="0"/>
              <w:adjustRightInd w:val="0"/>
              <w:snapToGrid w:val="0"/>
              <w:spacing w:after="0" w:line="240" w:lineRule="auto"/>
              <w:rPr>
                <w:rFonts w:ascii="Times New Roman" w:hAnsi="Times New Roman" w:eastAsia="宋体" w:cs="宋体"/>
                <w:color w:val="auto"/>
                <w:sz w:val="21"/>
                <w:szCs w:val="21"/>
              </w:rPr>
            </w:pPr>
          </w:p>
        </w:tc>
      </w:tr>
    </w:tbl>
    <w:p w14:paraId="0C0BEF90">
      <w:pPr>
        <w:widowControl w:val="0"/>
        <w:adjustRightInd w:val="0"/>
        <w:snapToGrid w:val="0"/>
        <w:spacing w:after="0" w:line="374" w:lineRule="auto"/>
        <w:ind w:hanging="10"/>
        <w:rPr>
          <w:rFonts w:ascii="Times New Roman" w:hAnsi="Times New Roman" w:eastAsia="宋体" w:cs="宋体"/>
          <w:color w:val="auto"/>
        </w:rPr>
      </w:pPr>
      <w:r>
        <w:rPr>
          <w:rFonts w:hint="eastAsia" w:ascii="Times New Roman" w:hAnsi="Times New Roman" w:eastAsia="宋体" w:cs="宋体"/>
          <w:color w:val="auto"/>
          <w:sz w:val="21"/>
        </w:rPr>
        <w:t>注：1. 投标人应根据投标人须知第 3.5.1 项的要求在本表后附相关证明材料扫描件。</w:t>
      </w:r>
    </w:p>
    <w:p w14:paraId="40F21FF5">
      <w:pPr>
        <w:widowControl w:val="0"/>
        <w:adjustRightInd w:val="0"/>
        <w:snapToGrid w:val="0"/>
        <w:spacing w:after="0" w:line="373" w:lineRule="auto"/>
        <w:ind w:firstLine="420"/>
        <w:rPr>
          <w:rFonts w:ascii="Times New Roman" w:hAnsi="Times New Roman" w:eastAsia="宋体" w:cs="宋体"/>
          <w:color w:val="auto"/>
          <w:sz w:val="21"/>
        </w:rPr>
      </w:pPr>
      <w:r>
        <w:rPr>
          <w:rFonts w:hint="eastAsia" w:ascii="Times New Roman" w:hAnsi="Times New Roman" w:eastAsia="宋体" w:cs="宋体"/>
          <w:color w:val="auto"/>
          <w:sz w:val="21"/>
        </w:rPr>
        <w:t>2. 如果投标人须知第 1.4.1 项对投标设备制造商的资质提出了要求，投标人应根据投标人须知第 3.5.1 项的要求在本表后附相关资质证书扫描件。</w:t>
      </w:r>
    </w:p>
    <w:p w14:paraId="23C0E022">
      <w:pPr>
        <w:widowControl w:val="0"/>
        <w:adjustRightInd w:val="0"/>
        <w:snapToGrid w:val="0"/>
        <w:spacing w:after="0" w:line="373" w:lineRule="auto"/>
        <w:ind w:firstLine="420"/>
        <w:rPr>
          <w:rFonts w:ascii="Times New Roman" w:hAnsi="Times New Roman" w:eastAsia="宋体" w:cs="宋体"/>
          <w:color w:val="auto"/>
          <w:sz w:val="21"/>
          <w:szCs w:val="21"/>
        </w:rPr>
      </w:pPr>
      <w:bookmarkStart w:id="831" w:name="_Hlk39765445"/>
      <w:r>
        <w:rPr>
          <w:rFonts w:hint="eastAsia" w:ascii="Times New Roman" w:hAnsi="Times New Roman" w:eastAsia="宋体" w:cs="宋体"/>
          <w:color w:val="auto"/>
          <w:sz w:val="21"/>
        </w:rPr>
        <w:t xml:space="preserve">3. </w:t>
      </w:r>
      <w:r>
        <w:rPr>
          <w:rFonts w:hint="eastAsia" w:ascii="Times New Roman" w:hAnsi="Times New Roman" w:eastAsia="宋体" w:cs="宋体"/>
          <w:color w:val="auto"/>
          <w:sz w:val="21"/>
          <w:szCs w:val="21"/>
        </w:rPr>
        <w:t>如为联合体投标，联合体各成员单位均应填写本表，并注明联合体牵头单位或成员单位。</w:t>
      </w:r>
      <w:bookmarkEnd w:id="831"/>
    </w:p>
    <w:p w14:paraId="396341EF">
      <w:pPr>
        <w:widowControl w:val="0"/>
        <w:adjustRightInd w:val="0"/>
        <w:snapToGrid w:val="0"/>
        <w:spacing w:after="0"/>
        <w:rPr>
          <w:rFonts w:ascii="Times New Roman" w:hAnsi="Times New Roman" w:eastAsia="宋体" w:cs="宋体"/>
          <w:color w:val="auto"/>
          <w:sz w:val="20"/>
        </w:rPr>
      </w:pPr>
      <w:r>
        <w:rPr>
          <w:rFonts w:hint="eastAsia" w:ascii="Times New Roman" w:hAnsi="Times New Roman" w:eastAsia="宋体" w:cs="宋体"/>
          <w:color w:val="auto"/>
          <w:sz w:val="20"/>
        </w:rPr>
        <w:t xml:space="preserve"> </w:t>
      </w:r>
    </w:p>
    <w:p w14:paraId="2FE52F8A">
      <w:pPr>
        <w:pStyle w:val="16"/>
        <w:ind w:left="440" w:firstLine="400"/>
        <w:rPr>
          <w:rFonts w:cs="宋体"/>
          <w:sz w:val="20"/>
        </w:rPr>
      </w:pPr>
    </w:p>
    <w:p w14:paraId="065D8014">
      <w:pPr>
        <w:pStyle w:val="16"/>
        <w:ind w:left="440" w:firstLine="400"/>
        <w:rPr>
          <w:rFonts w:cs="宋体"/>
          <w:sz w:val="20"/>
        </w:rPr>
      </w:pPr>
    </w:p>
    <w:p w14:paraId="4C07228E">
      <w:pPr>
        <w:pStyle w:val="16"/>
        <w:ind w:left="440" w:firstLine="400"/>
        <w:rPr>
          <w:rFonts w:cs="宋体"/>
          <w:sz w:val="20"/>
        </w:rPr>
      </w:pPr>
    </w:p>
    <w:p w14:paraId="48C590A1">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2" w:name="_Toc7915"/>
      <w:r>
        <w:rPr>
          <w:rFonts w:hint="eastAsia" w:ascii="Times New Roman" w:hAnsi="Times New Roman" w:eastAsia="宋体" w:cs="宋体"/>
          <w:b/>
          <w:bCs/>
          <w:color w:val="auto"/>
        </w:rPr>
        <w:t>（二）近年财务状况表</w:t>
      </w:r>
      <w:bookmarkEnd w:id="832"/>
      <w:r>
        <w:rPr>
          <w:rFonts w:hint="eastAsia" w:ascii="Times New Roman" w:hAnsi="Times New Roman" w:eastAsia="宋体" w:cs="宋体"/>
          <w:b/>
          <w:bCs/>
          <w:color w:val="auto"/>
        </w:rPr>
        <w:t xml:space="preserve"> </w:t>
      </w:r>
    </w:p>
    <w:p w14:paraId="5E4A51AB">
      <w:pPr>
        <w:widowControl w:val="0"/>
        <w:jc w:val="right"/>
        <w:rPr>
          <w:rFonts w:ascii="Times New Roman" w:hAnsi="Times New Roman" w:eastAsia="宋体" w:cs="宋体"/>
          <w:color w:val="auto"/>
          <w:sz w:val="21"/>
          <w:szCs w:val="21"/>
        </w:rPr>
      </w:pPr>
      <w:bookmarkStart w:id="833" w:name="_Hlk39765482"/>
      <w:r>
        <w:rPr>
          <w:rFonts w:hint="eastAsia" w:ascii="Times New Roman" w:hAnsi="Times New Roman" w:eastAsia="宋体" w:cs="宋体"/>
          <w:color w:val="auto"/>
          <w:sz w:val="21"/>
          <w:szCs w:val="21"/>
        </w:rPr>
        <w:t>单位：元</w:t>
      </w:r>
    </w:p>
    <w:tbl>
      <w:tblPr>
        <w:tblStyle w:val="17"/>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557"/>
        <w:gridCol w:w="1713"/>
        <w:gridCol w:w="1713"/>
        <w:gridCol w:w="1709"/>
      </w:tblGrid>
      <w:tr w14:paraId="690E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642BFD83">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rPr>
              <w:t>名称</w:t>
            </w:r>
          </w:p>
        </w:tc>
        <w:tc>
          <w:tcPr>
            <w:tcW w:w="927" w:type="pct"/>
            <w:vAlign w:val="center"/>
          </w:tcPr>
          <w:p w14:paraId="06A9761E">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20" w:type="pct"/>
            <w:vAlign w:val="center"/>
          </w:tcPr>
          <w:p w14:paraId="2E25031D">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20" w:type="pct"/>
            <w:vAlign w:val="center"/>
          </w:tcPr>
          <w:p w14:paraId="5CF53B70">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u w:val="single"/>
              </w:rPr>
              <w:t>______</w:t>
            </w:r>
            <w:r>
              <w:rPr>
                <w:rFonts w:hint="eastAsia" w:ascii="Times New Roman" w:hAnsi="Times New Roman" w:eastAsia="宋体" w:cs="宋体"/>
                <w:color w:val="auto"/>
                <w:kern w:val="0"/>
                <w:sz w:val="21"/>
                <w:szCs w:val="21"/>
              </w:rPr>
              <w:t>年</w:t>
            </w:r>
          </w:p>
        </w:tc>
        <w:tc>
          <w:tcPr>
            <w:tcW w:w="1018" w:type="pct"/>
            <w:vAlign w:val="center"/>
          </w:tcPr>
          <w:p w14:paraId="46F6119A">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w:t>
            </w:r>
          </w:p>
        </w:tc>
      </w:tr>
      <w:tr w14:paraId="4917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CF864C2">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一、注册资金</w:t>
            </w:r>
          </w:p>
        </w:tc>
        <w:tc>
          <w:tcPr>
            <w:tcW w:w="927" w:type="pct"/>
            <w:vAlign w:val="center"/>
          </w:tcPr>
          <w:p w14:paraId="403E5B71">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346C64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D3195E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32502E96">
            <w:pPr>
              <w:widowControl w:val="0"/>
              <w:adjustRightInd w:val="0"/>
              <w:snapToGrid w:val="0"/>
              <w:spacing w:after="0" w:line="240" w:lineRule="auto"/>
              <w:jc w:val="center"/>
              <w:rPr>
                <w:rFonts w:ascii="Times New Roman" w:hAnsi="Times New Roman" w:eastAsia="宋体" w:cs="宋体"/>
                <w:color w:val="auto"/>
                <w:sz w:val="21"/>
                <w:szCs w:val="21"/>
              </w:rPr>
            </w:pPr>
          </w:p>
        </w:tc>
      </w:tr>
      <w:tr w14:paraId="52EC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36E19820">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二、净资产</w:t>
            </w:r>
          </w:p>
        </w:tc>
        <w:tc>
          <w:tcPr>
            <w:tcW w:w="927" w:type="pct"/>
            <w:vAlign w:val="center"/>
          </w:tcPr>
          <w:p w14:paraId="0795D813">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1A8EF93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9FB822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40BDF853">
            <w:pPr>
              <w:widowControl w:val="0"/>
              <w:adjustRightInd w:val="0"/>
              <w:snapToGrid w:val="0"/>
              <w:spacing w:after="0" w:line="240" w:lineRule="auto"/>
              <w:jc w:val="center"/>
              <w:rPr>
                <w:rFonts w:ascii="Times New Roman" w:hAnsi="Times New Roman" w:eastAsia="宋体" w:cs="宋体"/>
                <w:color w:val="auto"/>
                <w:sz w:val="21"/>
                <w:szCs w:val="21"/>
              </w:rPr>
            </w:pPr>
          </w:p>
        </w:tc>
      </w:tr>
      <w:tr w14:paraId="438A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2DC8EE8">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三、总资产</w:t>
            </w:r>
          </w:p>
        </w:tc>
        <w:tc>
          <w:tcPr>
            <w:tcW w:w="927" w:type="pct"/>
            <w:vAlign w:val="center"/>
          </w:tcPr>
          <w:p w14:paraId="72634DBE">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66AA6EB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365D2D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64559D8D">
            <w:pPr>
              <w:widowControl w:val="0"/>
              <w:adjustRightInd w:val="0"/>
              <w:snapToGrid w:val="0"/>
              <w:spacing w:after="0" w:line="240" w:lineRule="auto"/>
              <w:jc w:val="center"/>
              <w:rPr>
                <w:rFonts w:ascii="Times New Roman" w:hAnsi="Times New Roman" w:eastAsia="宋体" w:cs="宋体"/>
                <w:color w:val="auto"/>
                <w:sz w:val="21"/>
                <w:szCs w:val="21"/>
              </w:rPr>
            </w:pPr>
          </w:p>
        </w:tc>
      </w:tr>
      <w:tr w14:paraId="6BCE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22295BB5">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四、固定资产</w:t>
            </w:r>
          </w:p>
        </w:tc>
        <w:tc>
          <w:tcPr>
            <w:tcW w:w="927" w:type="pct"/>
            <w:vAlign w:val="center"/>
          </w:tcPr>
          <w:p w14:paraId="27B00419">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269A08A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E4AB2C6">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12B95A68">
            <w:pPr>
              <w:widowControl w:val="0"/>
              <w:adjustRightInd w:val="0"/>
              <w:snapToGrid w:val="0"/>
              <w:spacing w:after="0" w:line="240" w:lineRule="auto"/>
              <w:jc w:val="center"/>
              <w:rPr>
                <w:rFonts w:ascii="Times New Roman" w:hAnsi="Times New Roman" w:eastAsia="宋体" w:cs="宋体"/>
                <w:color w:val="auto"/>
                <w:sz w:val="21"/>
                <w:szCs w:val="21"/>
              </w:rPr>
            </w:pPr>
          </w:p>
        </w:tc>
      </w:tr>
      <w:tr w14:paraId="5B7A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58FBDB56">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五、流动资产</w:t>
            </w:r>
          </w:p>
        </w:tc>
        <w:tc>
          <w:tcPr>
            <w:tcW w:w="927" w:type="pct"/>
            <w:vAlign w:val="center"/>
          </w:tcPr>
          <w:p w14:paraId="511A55F9">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A61023A">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69F63E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5BC97AD9">
            <w:pPr>
              <w:widowControl w:val="0"/>
              <w:adjustRightInd w:val="0"/>
              <w:snapToGrid w:val="0"/>
              <w:spacing w:after="0" w:line="240" w:lineRule="auto"/>
              <w:jc w:val="center"/>
              <w:rPr>
                <w:rFonts w:ascii="Times New Roman" w:hAnsi="Times New Roman" w:eastAsia="宋体" w:cs="宋体"/>
                <w:color w:val="auto"/>
                <w:sz w:val="21"/>
                <w:szCs w:val="21"/>
              </w:rPr>
            </w:pPr>
          </w:p>
        </w:tc>
      </w:tr>
      <w:tr w14:paraId="42BA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0DD99DC">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六、流动负债</w:t>
            </w:r>
          </w:p>
        </w:tc>
        <w:tc>
          <w:tcPr>
            <w:tcW w:w="927" w:type="pct"/>
            <w:vAlign w:val="center"/>
          </w:tcPr>
          <w:p w14:paraId="206454C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4415378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D00ED3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79964BF">
            <w:pPr>
              <w:widowControl w:val="0"/>
              <w:adjustRightInd w:val="0"/>
              <w:snapToGrid w:val="0"/>
              <w:spacing w:after="0" w:line="240" w:lineRule="auto"/>
              <w:jc w:val="center"/>
              <w:rPr>
                <w:rFonts w:ascii="Times New Roman" w:hAnsi="Times New Roman" w:eastAsia="宋体" w:cs="宋体"/>
                <w:color w:val="auto"/>
                <w:sz w:val="21"/>
                <w:szCs w:val="21"/>
              </w:rPr>
            </w:pPr>
          </w:p>
        </w:tc>
      </w:tr>
      <w:tr w14:paraId="1C01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17191FD">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七、负债合计</w:t>
            </w:r>
          </w:p>
        </w:tc>
        <w:tc>
          <w:tcPr>
            <w:tcW w:w="927" w:type="pct"/>
            <w:vAlign w:val="center"/>
          </w:tcPr>
          <w:p w14:paraId="4CFA5C3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BB0AADC">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03977D96">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65B997CA">
            <w:pPr>
              <w:widowControl w:val="0"/>
              <w:adjustRightInd w:val="0"/>
              <w:snapToGrid w:val="0"/>
              <w:spacing w:after="0" w:line="240" w:lineRule="auto"/>
              <w:jc w:val="center"/>
              <w:rPr>
                <w:rFonts w:ascii="Times New Roman" w:hAnsi="Times New Roman" w:eastAsia="宋体" w:cs="宋体"/>
                <w:color w:val="auto"/>
                <w:sz w:val="21"/>
                <w:szCs w:val="21"/>
              </w:rPr>
            </w:pPr>
          </w:p>
        </w:tc>
      </w:tr>
      <w:tr w14:paraId="68B8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710FBA63">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八、营业收入</w:t>
            </w:r>
          </w:p>
        </w:tc>
        <w:tc>
          <w:tcPr>
            <w:tcW w:w="927" w:type="pct"/>
            <w:vAlign w:val="center"/>
          </w:tcPr>
          <w:p w14:paraId="036E60AE">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3C7F984D">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0602987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C9EF20E">
            <w:pPr>
              <w:widowControl w:val="0"/>
              <w:adjustRightInd w:val="0"/>
              <w:snapToGrid w:val="0"/>
              <w:spacing w:after="0" w:line="240" w:lineRule="auto"/>
              <w:jc w:val="center"/>
              <w:rPr>
                <w:rFonts w:ascii="Times New Roman" w:hAnsi="Times New Roman" w:eastAsia="宋体" w:cs="宋体"/>
                <w:color w:val="auto"/>
                <w:sz w:val="21"/>
                <w:szCs w:val="21"/>
              </w:rPr>
            </w:pPr>
          </w:p>
        </w:tc>
      </w:tr>
      <w:tr w14:paraId="7C21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15FAAD8B">
            <w:pPr>
              <w:widowControl w:val="0"/>
              <w:autoSpaceDE w:val="0"/>
              <w:autoSpaceDN w:val="0"/>
              <w:adjustRightInd w:val="0"/>
              <w:snapToGrid w:val="0"/>
              <w:spacing w:after="0" w:line="240" w:lineRule="auto"/>
              <w:rPr>
                <w:rFonts w:ascii="Times New Roman" w:hAnsi="Times New Roman" w:eastAsia="宋体" w:cs="宋体"/>
                <w:color w:val="auto"/>
                <w:kern w:val="0"/>
                <w:sz w:val="21"/>
                <w:szCs w:val="21"/>
              </w:rPr>
            </w:pPr>
            <w:r>
              <w:rPr>
                <w:rFonts w:hint="eastAsia" w:ascii="Times New Roman" w:hAnsi="Times New Roman" w:eastAsia="宋体" w:cs="宋体"/>
                <w:color w:val="auto"/>
                <w:kern w:val="0"/>
                <w:sz w:val="21"/>
                <w:szCs w:val="21"/>
              </w:rPr>
              <w:t>九、净利润</w:t>
            </w:r>
          </w:p>
        </w:tc>
        <w:tc>
          <w:tcPr>
            <w:tcW w:w="927" w:type="pct"/>
            <w:vAlign w:val="center"/>
          </w:tcPr>
          <w:p w14:paraId="4CE057E8">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559931C7">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7117789B">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C7ABFEE">
            <w:pPr>
              <w:widowControl w:val="0"/>
              <w:adjustRightInd w:val="0"/>
              <w:snapToGrid w:val="0"/>
              <w:spacing w:after="0" w:line="240" w:lineRule="auto"/>
              <w:jc w:val="center"/>
              <w:rPr>
                <w:rFonts w:ascii="Times New Roman" w:hAnsi="Times New Roman" w:eastAsia="宋体" w:cs="宋体"/>
                <w:color w:val="auto"/>
                <w:sz w:val="21"/>
                <w:szCs w:val="21"/>
              </w:rPr>
            </w:pPr>
          </w:p>
        </w:tc>
      </w:tr>
      <w:tr w14:paraId="74A0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5" w:type="pct"/>
            <w:vAlign w:val="center"/>
          </w:tcPr>
          <w:p w14:paraId="3A37D7B7">
            <w:pPr>
              <w:widowControl w:val="0"/>
              <w:adjustRightInd w:val="0"/>
              <w:snapToGrid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kern w:val="0"/>
                <w:sz w:val="21"/>
                <w:szCs w:val="21"/>
              </w:rPr>
              <w:t>……</w:t>
            </w:r>
          </w:p>
        </w:tc>
        <w:tc>
          <w:tcPr>
            <w:tcW w:w="927" w:type="pct"/>
            <w:vAlign w:val="center"/>
          </w:tcPr>
          <w:p w14:paraId="0B5B67EB">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4CAE4D14">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20" w:type="pct"/>
            <w:vAlign w:val="center"/>
          </w:tcPr>
          <w:p w14:paraId="55CFE6A2">
            <w:pPr>
              <w:widowControl w:val="0"/>
              <w:adjustRightInd w:val="0"/>
              <w:snapToGrid w:val="0"/>
              <w:spacing w:after="0" w:line="240" w:lineRule="auto"/>
              <w:jc w:val="center"/>
              <w:rPr>
                <w:rFonts w:ascii="Times New Roman" w:hAnsi="Times New Roman" w:eastAsia="宋体" w:cs="宋体"/>
                <w:color w:val="auto"/>
                <w:sz w:val="21"/>
                <w:szCs w:val="21"/>
              </w:rPr>
            </w:pPr>
          </w:p>
        </w:tc>
        <w:tc>
          <w:tcPr>
            <w:tcW w:w="1018" w:type="pct"/>
            <w:vAlign w:val="center"/>
          </w:tcPr>
          <w:p w14:paraId="23CFC40C">
            <w:pPr>
              <w:widowControl w:val="0"/>
              <w:adjustRightInd w:val="0"/>
              <w:snapToGrid w:val="0"/>
              <w:spacing w:after="0" w:line="240" w:lineRule="auto"/>
              <w:jc w:val="center"/>
              <w:rPr>
                <w:rFonts w:ascii="Times New Roman" w:hAnsi="Times New Roman" w:eastAsia="宋体" w:cs="宋体"/>
                <w:color w:val="auto"/>
                <w:sz w:val="21"/>
                <w:szCs w:val="21"/>
              </w:rPr>
            </w:pPr>
          </w:p>
        </w:tc>
      </w:tr>
    </w:tbl>
    <w:p w14:paraId="575045AF">
      <w:pPr>
        <w:widowControl w:val="0"/>
        <w:adjustRightInd w:val="0"/>
        <w:snapToGrid w:val="0"/>
        <w:spacing w:after="0" w:line="360" w:lineRule="auto"/>
        <w:ind w:firstLine="420" w:firstLineChars="200"/>
        <w:rPr>
          <w:rFonts w:ascii="Times New Roman" w:hAnsi="Times New Roman" w:eastAsia="宋体" w:cs="宋体"/>
          <w:color w:val="auto"/>
          <w:sz w:val="21"/>
        </w:rPr>
      </w:pPr>
    </w:p>
    <w:p w14:paraId="3D8E36FF">
      <w:pPr>
        <w:widowControl w:val="0"/>
        <w:adjustRightInd w:val="0"/>
        <w:snapToGrid w:val="0"/>
        <w:spacing w:after="0" w:line="360" w:lineRule="auto"/>
        <w:ind w:firstLine="420" w:firstLineChars="200"/>
        <w:rPr>
          <w:rFonts w:ascii="Times New Roman" w:hAnsi="Times New Roman" w:eastAsia="宋体" w:cs="宋体"/>
          <w:color w:val="auto"/>
          <w:sz w:val="21"/>
        </w:rPr>
      </w:pPr>
      <w:r>
        <w:rPr>
          <w:rFonts w:hint="eastAsia" w:ascii="Times New Roman" w:hAnsi="Times New Roman" w:eastAsia="宋体" w:cs="宋体"/>
          <w:color w:val="auto"/>
          <w:sz w:val="21"/>
        </w:rPr>
        <w:t>注：</w:t>
      </w:r>
      <w:r>
        <w:rPr>
          <w:rFonts w:hint="eastAsia" w:ascii="Times New Roman" w:hAnsi="Times New Roman" w:eastAsia="宋体" w:cs="Times New Roman"/>
          <w:color w:val="auto"/>
        </w:rPr>
        <w:t>按第二章投标人须知第3.5.2条款要求，提供相关资料。</w:t>
      </w:r>
    </w:p>
    <w:bookmarkEnd w:id="833"/>
    <w:p w14:paraId="13E0A81C">
      <w:pPr>
        <w:widowControl w:val="0"/>
        <w:adjustRightInd w:val="0"/>
        <w:snapToGrid w:val="0"/>
        <w:spacing w:after="0"/>
        <w:rPr>
          <w:rFonts w:ascii="Times New Roman" w:hAnsi="Times New Roman" w:eastAsia="宋体" w:cs="宋体"/>
          <w:color w:val="auto"/>
        </w:rPr>
      </w:pPr>
      <w:r>
        <w:rPr>
          <w:rFonts w:hint="eastAsia" w:ascii="Times New Roman" w:hAnsi="Times New Roman" w:eastAsia="宋体" w:cs="宋体"/>
          <w:color w:val="auto"/>
        </w:rPr>
        <w:br w:type="page"/>
      </w:r>
    </w:p>
    <w:p w14:paraId="2C9DFAFD">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4" w:name="_Toc30990"/>
      <w:r>
        <w:rPr>
          <w:rFonts w:hint="eastAsia" w:ascii="Times New Roman" w:hAnsi="Times New Roman" w:eastAsia="宋体" w:cs="宋体"/>
          <w:b/>
          <w:bCs/>
          <w:color w:val="auto"/>
        </w:rPr>
        <w:t>（三）近年完成的类似项目情况汇总表</w:t>
      </w:r>
      <w:bookmarkEnd w:id="834"/>
      <w:r>
        <w:rPr>
          <w:rFonts w:hint="eastAsia" w:ascii="Times New Roman" w:hAnsi="Times New Roman" w:eastAsia="宋体" w:cs="宋体"/>
          <w:b/>
          <w:bCs/>
          <w:color w:val="auto"/>
        </w:rPr>
        <w:t xml:space="preserve"> </w:t>
      </w:r>
    </w:p>
    <w:p w14:paraId="43B273F5">
      <w:pPr>
        <w:widowControl w:val="0"/>
        <w:rPr>
          <w:rFonts w:ascii="Times New Roman" w:hAnsi="Times New Roman" w:eastAsia="宋体" w:cs="宋体"/>
          <w:color w:val="auto"/>
        </w:rPr>
      </w:pPr>
    </w:p>
    <w:p w14:paraId="301752C0">
      <w:pPr>
        <w:widowControl w:val="0"/>
        <w:jc w:val="center"/>
        <w:rPr>
          <w:rFonts w:ascii="Times New Roman" w:hAnsi="Times New Roman" w:eastAsia="宋体" w:cs="宋体"/>
          <w:b/>
          <w:color w:val="auto"/>
          <w:sz w:val="28"/>
          <w:szCs w:val="28"/>
        </w:rPr>
      </w:pPr>
      <w:r>
        <w:rPr>
          <w:rFonts w:hint="eastAsia" w:ascii="Times New Roman" w:hAnsi="Times New Roman" w:eastAsia="宋体" w:cs="宋体"/>
          <w:b/>
          <w:color w:val="auto"/>
          <w:sz w:val="28"/>
          <w:szCs w:val="28"/>
        </w:rPr>
        <w:t xml:space="preserve">3.1 </w:t>
      </w:r>
      <w:bookmarkStart w:id="835" w:name="_Hlk38288313"/>
      <w:r>
        <w:rPr>
          <w:rFonts w:hint="eastAsia" w:ascii="Times New Roman" w:hAnsi="Times New Roman" w:eastAsia="宋体" w:cs="宋体"/>
          <w:b/>
          <w:color w:val="auto"/>
          <w:sz w:val="28"/>
          <w:szCs w:val="28"/>
        </w:rPr>
        <w:t>投标设备业绩汇总表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4"/>
        <w:gridCol w:w="1264"/>
        <w:gridCol w:w="829"/>
        <w:gridCol w:w="829"/>
        <w:gridCol w:w="829"/>
        <w:gridCol w:w="829"/>
        <w:gridCol w:w="829"/>
        <w:gridCol w:w="1028"/>
        <w:gridCol w:w="624"/>
      </w:tblGrid>
      <w:tr w14:paraId="3237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45" w:type="pct"/>
            <w:vAlign w:val="center"/>
          </w:tcPr>
          <w:p w14:paraId="09CE53F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513" w:type="pct"/>
            <w:vAlign w:val="center"/>
          </w:tcPr>
          <w:p w14:paraId="4B76DCE7">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设备名称</w:t>
            </w:r>
          </w:p>
        </w:tc>
        <w:tc>
          <w:tcPr>
            <w:tcW w:w="742" w:type="pct"/>
            <w:vAlign w:val="center"/>
          </w:tcPr>
          <w:p w14:paraId="2A056508">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规格和型号</w:t>
            </w:r>
          </w:p>
        </w:tc>
        <w:tc>
          <w:tcPr>
            <w:tcW w:w="486" w:type="pct"/>
            <w:vAlign w:val="center"/>
          </w:tcPr>
          <w:p w14:paraId="2C01B8F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项目名称</w:t>
            </w:r>
          </w:p>
        </w:tc>
        <w:tc>
          <w:tcPr>
            <w:tcW w:w="486" w:type="pct"/>
            <w:vAlign w:val="center"/>
          </w:tcPr>
          <w:p w14:paraId="59212256">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合同价格</w:t>
            </w:r>
          </w:p>
        </w:tc>
        <w:tc>
          <w:tcPr>
            <w:tcW w:w="486" w:type="pct"/>
            <w:vAlign w:val="center"/>
          </w:tcPr>
          <w:p w14:paraId="672F11D6">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买方名称</w:t>
            </w:r>
          </w:p>
        </w:tc>
        <w:tc>
          <w:tcPr>
            <w:tcW w:w="486" w:type="pct"/>
            <w:vAlign w:val="center"/>
          </w:tcPr>
          <w:p w14:paraId="13CC1B5B">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买方联系人及电话</w:t>
            </w:r>
          </w:p>
        </w:tc>
        <w:tc>
          <w:tcPr>
            <w:tcW w:w="486" w:type="pct"/>
            <w:vAlign w:val="center"/>
          </w:tcPr>
          <w:p w14:paraId="18423905">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制造商名称</w:t>
            </w:r>
          </w:p>
        </w:tc>
        <w:tc>
          <w:tcPr>
            <w:tcW w:w="603" w:type="pct"/>
            <w:vAlign w:val="center"/>
          </w:tcPr>
          <w:p w14:paraId="3F9228D1">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项目概况及设备使用情况</w:t>
            </w:r>
          </w:p>
        </w:tc>
        <w:tc>
          <w:tcPr>
            <w:tcW w:w="366" w:type="pct"/>
            <w:vAlign w:val="center"/>
          </w:tcPr>
          <w:p w14:paraId="6534B603">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r>
      <w:tr w14:paraId="7D40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469CE7D">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3A234483">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76082AC8">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25E28A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14A5B0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C92AC2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1E420A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7C471B7">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564B6048">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24B98C17">
            <w:pPr>
              <w:widowControl w:val="0"/>
              <w:spacing w:after="0" w:line="240" w:lineRule="auto"/>
              <w:jc w:val="center"/>
              <w:rPr>
                <w:rFonts w:ascii="Times New Roman" w:hAnsi="Times New Roman" w:eastAsia="宋体" w:cs="宋体"/>
                <w:color w:val="auto"/>
                <w:sz w:val="21"/>
                <w:szCs w:val="21"/>
              </w:rPr>
            </w:pPr>
          </w:p>
        </w:tc>
      </w:tr>
      <w:tr w14:paraId="33F3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DE61F48">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204ADD8E">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7322669A">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09C70FDE">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4B87D1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4A45D43">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09A8EC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46383E3">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08C78C63">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6A615B2C">
            <w:pPr>
              <w:widowControl w:val="0"/>
              <w:spacing w:after="0" w:line="240" w:lineRule="auto"/>
              <w:jc w:val="center"/>
              <w:rPr>
                <w:rFonts w:ascii="Times New Roman" w:hAnsi="Times New Roman" w:eastAsia="宋体" w:cs="宋体"/>
                <w:color w:val="auto"/>
                <w:sz w:val="21"/>
                <w:szCs w:val="21"/>
              </w:rPr>
            </w:pPr>
          </w:p>
        </w:tc>
      </w:tr>
      <w:tr w14:paraId="0707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24D1F494">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25A09308">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1C35556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51A0C7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135BEB2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4857D436">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C74EE30">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CE287B8">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97D876A">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5FC0EB16">
            <w:pPr>
              <w:widowControl w:val="0"/>
              <w:spacing w:after="0" w:line="240" w:lineRule="auto"/>
              <w:jc w:val="center"/>
              <w:rPr>
                <w:rFonts w:ascii="Times New Roman" w:hAnsi="Times New Roman" w:eastAsia="宋体" w:cs="宋体"/>
                <w:color w:val="auto"/>
                <w:sz w:val="21"/>
                <w:szCs w:val="21"/>
              </w:rPr>
            </w:pPr>
          </w:p>
        </w:tc>
      </w:tr>
    </w:tbl>
    <w:p w14:paraId="48F81499">
      <w:pPr>
        <w:widowControl w:val="0"/>
        <w:adjustRightInd w:val="0"/>
        <w:snapToGrid w:val="0"/>
        <w:spacing w:after="0" w:line="360" w:lineRule="auto"/>
        <w:rPr>
          <w:rFonts w:ascii="Times New Roman" w:hAnsi="Times New Roman" w:eastAsia="宋体" w:cs="宋体"/>
          <w:color w:val="auto"/>
          <w:sz w:val="21"/>
        </w:rPr>
      </w:pPr>
      <w:r>
        <w:rPr>
          <w:rFonts w:hint="eastAsia" w:ascii="Times New Roman" w:hAnsi="Times New Roman" w:eastAsia="宋体" w:cs="宋体"/>
          <w:color w:val="auto"/>
          <w:sz w:val="21"/>
        </w:rPr>
        <w:t>注：1.投标人为代理经销商的，投标人须知第 1.4.1项要求投标人提供投标设备业绩的，投标人应按照上表的格式提供投标设备业绩情况并根据投标人须知第 3.5.2 项的要求在本表后附相关证明材料扫描件。</w:t>
      </w:r>
    </w:p>
    <w:p w14:paraId="703B190E">
      <w:pPr>
        <w:widowControl w:val="0"/>
        <w:adjustRightInd w:val="0"/>
        <w:snapToGrid w:val="0"/>
        <w:spacing w:after="0" w:line="360" w:lineRule="auto"/>
        <w:rPr>
          <w:rFonts w:ascii="Times New Roman" w:hAnsi="Times New Roman" w:eastAsia="宋体" w:cs="宋体"/>
          <w:color w:val="auto"/>
          <w:sz w:val="21"/>
        </w:rPr>
      </w:pPr>
    </w:p>
    <w:p w14:paraId="263D285F">
      <w:pPr>
        <w:widowControl w:val="0"/>
        <w:adjustRightInd w:val="0"/>
        <w:snapToGrid w:val="0"/>
        <w:spacing w:after="0" w:line="360" w:lineRule="auto"/>
        <w:rPr>
          <w:rFonts w:ascii="Times New Roman" w:hAnsi="Times New Roman" w:eastAsia="宋体" w:cs="宋体"/>
          <w:color w:val="auto"/>
          <w:sz w:val="21"/>
        </w:rPr>
      </w:pPr>
    </w:p>
    <w:bookmarkEnd w:id="835"/>
    <w:p w14:paraId="134288C6">
      <w:pPr>
        <w:widowControl w:val="0"/>
        <w:adjustRightInd w:val="0"/>
        <w:snapToGrid w:val="0"/>
        <w:spacing w:after="0" w:line="360" w:lineRule="auto"/>
        <w:jc w:val="both"/>
        <w:rPr>
          <w:rFonts w:ascii="Times New Roman" w:hAnsi="Times New Roman" w:eastAsia="宋体" w:cs="宋体"/>
          <w:color w:val="auto"/>
          <w:sz w:val="21"/>
          <w:szCs w:val="21"/>
        </w:rPr>
      </w:pPr>
    </w:p>
    <w:p w14:paraId="7A85D99C">
      <w:pPr>
        <w:widowControl w:val="0"/>
        <w:adjustRightInd w:val="0"/>
        <w:snapToGrid w:val="0"/>
        <w:spacing w:after="0" w:line="360" w:lineRule="auto"/>
        <w:ind w:firstLine="420" w:firstLineChars="200"/>
        <w:rPr>
          <w:rFonts w:ascii="Times New Roman" w:hAnsi="Times New Roman" w:eastAsia="宋体" w:cs="宋体"/>
          <w:color w:val="auto"/>
          <w:sz w:val="21"/>
        </w:rPr>
      </w:pPr>
    </w:p>
    <w:p w14:paraId="7BFA3306">
      <w:pPr>
        <w:widowControl w:val="0"/>
        <w:adjustRightInd w:val="0"/>
        <w:snapToGrid w:val="0"/>
        <w:spacing w:after="0" w:line="360" w:lineRule="auto"/>
        <w:ind w:firstLine="420" w:firstLineChars="200"/>
        <w:rPr>
          <w:rFonts w:ascii="Times New Roman" w:hAnsi="Times New Roman" w:eastAsia="宋体" w:cs="宋体"/>
          <w:color w:val="auto"/>
        </w:rPr>
      </w:pPr>
      <w:r>
        <w:rPr>
          <w:rFonts w:hint="eastAsia" w:ascii="Times New Roman" w:hAnsi="Times New Roman" w:eastAsia="宋体" w:cs="宋体"/>
          <w:color w:val="auto"/>
          <w:sz w:val="21"/>
        </w:rPr>
        <w:br w:type="page"/>
      </w:r>
    </w:p>
    <w:p w14:paraId="48846909">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6" w:name="_Toc17810"/>
      <w:r>
        <w:rPr>
          <w:rFonts w:hint="eastAsia" w:ascii="Times New Roman" w:hAnsi="Times New Roman" w:eastAsia="宋体" w:cs="宋体"/>
          <w:b/>
          <w:bCs/>
          <w:color w:val="auto"/>
        </w:rPr>
        <w:t>（四）正在供货和新承接的项目情况表</w:t>
      </w:r>
      <w:bookmarkEnd w:id="836"/>
      <w:r>
        <w:rPr>
          <w:rFonts w:hint="eastAsia" w:ascii="Times New Roman" w:hAnsi="Times New Roman" w:eastAsia="宋体" w:cs="宋体"/>
          <w:b/>
          <w:bCs/>
          <w:color w:val="auto"/>
        </w:rPr>
        <w:t xml:space="preserve"> </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4"/>
        <w:gridCol w:w="1264"/>
        <w:gridCol w:w="829"/>
        <w:gridCol w:w="829"/>
        <w:gridCol w:w="829"/>
        <w:gridCol w:w="829"/>
        <w:gridCol w:w="829"/>
        <w:gridCol w:w="1028"/>
        <w:gridCol w:w="624"/>
      </w:tblGrid>
      <w:tr w14:paraId="3F0E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345" w:type="pct"/>
            <w:vAlign w:val="center"/>
          </w:tcPr>
          <w:p w14:paraId="1ABE61DA">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513" w:type="pct"/>
            <w:vAlign w:val="center"/>
          </w:tcPr>
          <w:p w14:paraId="14BCAB09">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设备名称</w:t>
            </w:r>
          </w:p>
        </w:tc>
        <w:tc>
          <w:tcPr>
            <w:tcW w:w="742" w:type="pct"/>
            <w:vAlign w:val="center"/>
          </w:tcPr>
          <w:p w14:paraId="24FA2CA5">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规格和型号</w:t>
            </w:r>
          </w:p>
        </w:tc>
        <w:tc>
          <w:tcPr>
            <w:tcW w:w="486" w:type="pct"/>
            <w:vAlign w:val="center"/>
          </w:tcPr>
          <w:p w14:paraId="2C8F8E82">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项目名称</w:t>
            </w:r>
          </w:p>
        </w:tc>
        <w:tc>
          <w:tcPr>
            <w:tcW w:w="486" w:type="pct"/>
            <w:vAlign w:val="center"/>
          </w:tcPr>
          <w:p w14:paraId="1A5ADF87">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合同价格</w:t>
            </w:r>
          </w:p>
        </w:tc>
        <w:tc>
          <w:tcPr>
            <w:tcW w:w="486" w:type="pct"/>
            <w:vAlign w:val="center"/>
          </w:tcPr>
          <w:p w14:paraId="2B3E10C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买方名称</w:t>
            </w:r>
          </w:p>
        </w:tc>
        <w:tc>
          <w:tcPr>
            <w:tcW w:w="486" w:type="pct"/>
            <w:vAlign w:val="center"/>
          </w:tcPr>
          <w:p w14:paraId="0715F71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买方联系人及电话</w:t>
            </w:r>
          </w:p>
        </w:tc>
        <w:tc>
          <w:tcPr>
            <w:tcW w:w="486" w:type="pct"/>
            <w:vAlign w:val="center"/>
          </w:tcPr>
          <w:p w14:paraId="70B3DBB4">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制造商名称</w:t>
            </w:r>
          </w:p>
        </w:tc>
        <w:tc>
          <w:tcPr>
            <w:tcW w:w="603" w:type="pct"/>
            <w:vAlign w:val="center"/>
          </w:tcPr>
          <w:p w14:paraId="3F007FC0">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项目概况及设备使用情况</w:t>
            </w:r>
          </w:p>
        </w:tc>
        <w:tc>
          <w:tcPr>
            <w:tcW w:w="366" w:type="pct"/>
            <w:vAlign w:val="center"/>
          </w:tcPr>
          <w:p w14:paraId="1131D03B">
            <w:pPr>
              <w:widowControl w:val="0"/>
              <w:spacing w:after="0" w:line="240" w:lineRule="auto"/>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备注</w:t>
            </w:r>
          </w:p>
        </w:tc>
      </w:tr>
      <w:tr w14:paraId="1C0A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1A481889">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5AE20574">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2BF80A2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5A98FC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4FD551B">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5B6ACCB">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C0FEC97">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09F45F02">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EED96D4">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7BC051AD">
            <w:pPr>
              <w:widowControl w:val="0"/>
              <w:spacing w:after="0" w:line="240" w:lineRule="auto"/>
              <w:jc w:val="center"/>
              <w:rPr>
                <w:rFonts w:ascii="Times New Roman" w:hAnsi="Times New Roman" w:eastAsia="宋体" w:cs="宋体"/>
                <w:color w:val="auto"/>
                <w:sz w:val="21"/>
                <w:szCs w:val="21"/>
              </w:rPr>
            </w:pPr>
          </w:p>
        </w:tc>
      </w:tr>
      <w:tr w14:paraId="525E0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534780D1">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7925A2B2">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33DF7F86">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02C111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5597ADC3">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6F203F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7D8E99FA">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62B61310">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7E0647C4">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51FC2D2D">
            <w:pPr>
              <w:widowControl w:val="0"/>
              <w:spacing w:after="0" w:line="240" w:lineRule="auto"/>
              <w:jc w:val="center"/>
              <w:rPr>
                <w:rFonts w:ascii="Times New Roman" w:hAnsi="Times New Roman" w:eastAsia="宋体" w:cs="宋体"/>
                <w:color w:val="auto"/>
                <w:sz w:val="21"/>
                <w:szCs w:val="21"/>
              </w:rPr>
            </w:pPr>
          </w:p>
        </w:tc>
      </w:tr>
      <w:tr w14:paraId="3DA6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5" w:type="pct"/>
            <w:vAlign w:val="center"/>
          </w:tcPr>
          <w:p w14:paraId="7BE5EE7B">
            <w:pPr>
              <w:widowControl w:val="0"/>
              <w:spacing w:after="0" w:line="240" w:lineRule="auto"/>
              <w:jc w:val="center"/>
              <w:rPr>
                <w:rFonts w:ascii="Times New Roman" w:hAnsi="Times New Roman" w:eastAsia="宋体" w:cs="宋体"/>
                <w:color w:val="auto"/>
                <w:sz w:val="21"/>
                <w:szCs w:val="21"/>
              </w:rPr>
            </w:pPr>
          </w:p>
        </w:tc>
        <w:tc>
          <w:tcPr>
            <w:tcW w:w="513" w:type="pct"/>
            <w:vAlign w:val="center"/>
          </w:tcPr>
          <w:p w14:paraId="3EFAE722">
            <w:pPr>
              <w:widowControl w:val="0"/>
              <w:spacing w:after="0" w:line="240" w:lineRule="auto"/>
              <w:jc w:val="center"/>
              <w:rPr>
                <w:rFonts w:ascii="Times New Roman" w:hAnsi="Times New Roman" w:eastAsia="宋体" w:cs="宋体"/>
                <w:color w:val="auto"/>
                <w:sz w:val="21"/>
                <w:szCs w:val="21"/>
              </w:rPr>
            </w:pPr>
          </w:p>
        </w:tc>
        <w:tc>
          <w:tcPr>
            <w:tcW w:w="742" w:type="pct"/>
            <w:vAlign w:val="center"/>
          </w:tcPr>
          <w:p w14:paraId="3A81E655">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46E22B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3035DC02">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1D460E4C">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39F3DB9">
            <w:pPr>
              <w:widowControl w:val="0"/>
              <w:spacing w:after="0" w:line="240" w:lineRule="auto"/>
              <w:jc w:val="center"/>
              <w:rPr>
                <w:rFonts w:ascii="Times New Roman" w:hAnsi="Times New Roman" w:eastAsia="宋体" w:cs="宋体"/>
                <w:color w:val="auto"/>
                <w:sz w:val="21"/>
                <w:szCs w:val="21"/>
              </w:rPr>
            </w:pPr>
          </w:p>
        </w:tc>
        <w:tc>
          <w:tcPr>
            <w:tcW w:w="486" w:type="pct"/>
            <w:vAlign w:val="center"/>
          </w:tcPr>
          <w:p w14:paraId="2F0F99F4">
            <w:pPr>
              <w:widowControl w:val="0"/>
              <w:spacing w:after="0" w:line="240" w:lineRule="auto"/>
              <w:jc w:val="center"/>
              <w:rPr>
                <w:rFonts w:ascii="Times New Roman" w:hAnsi="Times New Roman" w:eastAsia="宋体" w:cs="宋体"/>
                <w:color w:val="auto"/>
                <w:sz w:val="21"/>
                <w:szCs w:val="21"/>
              </w:rPr>
            </w:pPr>
          </w:p>
        </w:tc>
        <w:tc>
          <w:tcPr>
            <w:tcW w:w="603" w:type="pct"/>
            <w:vAlign w:val="center"/>
          </w:tcPr>
          <w:p w14:paraId="049204E1">
            <w:pPr>
              <w:widowControl w:val="0"/>
              <w:spacing w:after="0" w:line="240" w:lineRule="auto"/>
              <w:jc w:val="center"/>
              <w:rPr>
                <w:rFonts w:ascii="Times New Roman" w:hAnsi="Times New Roman" w:eastAsia="宋体" w:cs="宋体"/>
                <w:color w:val="auto"/>
                <w:sz w:val="21"/>
                <w:szCs w:val="21"/>
              </w:rPr>
            </w:pPr>
          </w:p>
        </w:tc>
        <w:tc>
          <w:tcPr>
            <w:tcW w:w="366" w:type="pct"/>
            <w:vAlign w:val="center"/>
          </w:tcPr>
          <w:p w14:paraId="70D1DA0B">
            <w:pPr>
              <w:widowControl w:val="0"/>
              <w:spacing w:after="0" w:line="240" w:lineRule="auto"/>
              <w:jc w:val="center"/>
              <w:rPr>
                <w:rFonts w:ascii="Times New Roman" w:hAnsi="Times New Roman" w:eastAsia="宋体" w:cs="宋体"/>
                <w:color w:val="auto"/>
                <w:sz w:val="21"/>
                <w:szCs w:val="21"/>
              </w:rPr>
            </w:pPr>
          </w:p>
        </w:tc>
      </w:tr>
    </w:tbl>
    <w:p w14:paraId="4076DFAD">
      <w:pPr>
        <w:widowControl w:val="0"/>
        <w:adjustRightInd w:val="0"/>
        <w:snapToGrid w:val="0"/>
        <w:spacing w:after="0" w:line="265" w:lineRule="auto"/>
        <w:ind w:hanging="10"/>
        <w:rPr>
          <w:rFonts w:ascii="Times New Roman" w:hAnsi="Times New Roman" w:eastAsia="宋体" w:cs="宋体"/>
          <w:color w:val="auto"/>
        </w:rPr>
      </w:pPr>
      <w:r>
        <w:rPr>
          <w:rFonts w:hint="eastAsia" w:ascii="Times New Roman" w:hAnsi="Times New Roman" w:eastAsia="宋体" w:cs="宋体"/>
          <w:color w:val="auto"/>
          <w:sz w:val="21"/>
        </w:rPr>
        <w:t>注：投标人应根据投标人须知第 3.5.3 项的要求在本表后附相关证明材料；除第二章“投标人须知”第1.4.1项和第三章“评标办法”有关要求外，本表可不附证明材料扫描件。</w:t>
      </w:r>
    </w:p>
    <w:p w14:paraId="2B6FD18E">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7" w:name="_Toc27891"/>
      <w:r>
        <w:rPr>
          <w:rFonts w:hint="eastAsia" w:ascii="Times New Roman" w:hAnsi="Times New Roman" w:eastAsia="宋体" w:cs="宋体"/>
          <w:color w:val="auto"/>
          <w:sz w:val="21"/>
        </w:rPr>
        <w:br w:type="page"/>
      </w:r>
      <w:r>
        <w:rPr>
          <w:rFonts w:hint="eastAsia" w:ascii="Times New Roman" w:hAnsi="Times New Roman" w:eastAsia="宋体" w:cs="宋体"/>
          <w:b/>
          <w:bCs/>
          <w:color w:val="auto"/>
        </w:rPr>
        <w:t>（五）近年发生的诉讼及仲裁情况</w:t>
      </w:r>
      <w:bookmarkEnd w:id="837"/>
      <w:r>
        <w:rPr>
          <w:rFonts w:hint="eastAsia" w:ascii="Times New Roman" w:hAnsi="Times New Roman" w:eastAsia="宋体" w:cs="宋体"/>
          <w:b/>
          <w:bCs/>
          <w:color w:val="auto"/>
        </w:rPr>
        <w:t xml:space="preserve"> </w:t>
      </w:r>
    </w:p>
    <w:p w14:paraId="7BC70907">
      <w:pPr>
        <w:widowControl w:val="0"/>
        <w:adjustRightInd w:val="0"/>
        <w:snapToGrid w:val="0"/>
        <w:spacing w:after="0" w:line="264" w:lineRule="auto"/>
        <w:ind w:firstLine="560" w:firstLineChars="200"/>
        <w:rPr>
          <w:rFonts w:ascii="Times New Roman" w:hAnsi="Times New Roman" w:eastAsia="宋体" w:cs="宋体"/>
          <w:color w:val="auto"/>
          <w:sz w:val="28"/>
          <w:szCs w:val="28"/>
        </w:rPr>
      </w:pPr>
    </w:p>
    <w:p w14:paraId="1DB24695">
      <w:pPr>
        <w:widowControl w:val="0"/>
        <w:adjustRightInd w:val="0"/>
        <w:snapToGrid w:val="0"/>
        <w:spacing w:after="0" w:line="264" w:lineRule="auto"/>
        <w:ind w:firstLine="420" w:firstLineChars="20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注：投标人应根据投标人须知第 3.5.4 项的要求附相关证明材料扫描件。</w:t>
      </w:r>
    </w:p>
    <w:p w14:paraId="5B4A917A">
      <w:pPr>
        <w:widowControl w:val="0"/>
        <w:adjustRightInd w:val="0"/>
        <w:snapToGrid w:val="0"/>
        <w:spacing w:after="0" w:line="264" w:lineRule="auto"/>
        <w:ind w:firstLine="560" w:firstLineChars="200"/>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br w:type="page"/>
      </w:r>
    </w:p>
    <w:p w14:paraId="56BBDCDF">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bookmarkStart w:id="838" w:name="_Toc14073"/>
      <w:r>
        <w:rPr>
          <w:rFonts w:hint="eastAsia" w:ascii="Times New Roman" w:hAnsi="Times New Roman" w:eastAsia="宋体" w:cs="宋体"/>
          <w:b/>
          <w:bCs/>
          <w:color w:val="auto"/>
        </w:rPr>
        <w:t>（六）制造商授权书</w:t>
      </w:r>
      <w:bookmarkEnd w:id="838"/>
    </w:p>
    <w:p w14:paraId="001531E7">
      <w:pPr>
        <w:widowControl w:val="0"/>
        <w:rPr>
          <w:rFonts w:ascii="Times New Roman" w:hAnsi="Times New Roman" w:eastAsia="宋体" w:cs="宋体"/>
          <w:color w:val="auto"/>
        </w:rPr>
      </w:pPr>
    </w:p>
    <w:p w14:paraId="48282B0E">
      <w:pPr>
        <w:widowControl w:val="0"/>
        <w:adjustRightInd w:val="0"/>
        <w:snapToGrid w:val="0"/>
        <w:spacing w:after="0" w:line="265" w:lineRule="auto"/>
        <w:ind w:hanging="10"/>
        <w:jc w:val="center"/>
        <w:rPr>
          <w:rFonts w:ascii="Times New Roman" w:hAnsi="Times New Roman" w:eastAsia="宋体" w:cs="宋体"/>
          <w:b/>
          <w:bCs/>
          <w:color w:val="auto"/>
          <w:sz w:val="24"/>
        </w:rPr>
      </w:pPr>
      <w:r>
        <w:rPr>
          <w:rFonts w:hint="eastAsia" w:ascii="Times New Roman" w:hAnsi="Times New Roman" w:eastAsia="宋体" w:cs="宋体"/>
          <w:b/>
          <w:bCs/>
          <w:color w:val="auto"/>
          <w:sz w:val="32"/>
        </w:rPr>
        <w:t xml:space="preserve">制造商授权书 </w:t>
      </w:r>
    </w:p>
    <w:p w14:paraId="4808A482">
      <w:pPr>
        <w:widowControl w:val="0"/>
        <w:adjustRightInd w:val="0"/>
        <w:snapToGrid w:val="0"/>
        <w:spacing w:after="0" w:line="490" w:lineRule="exact"/>
        <w:jc w:val="center"/>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 xml:space="preserve"> </w:t>
      </w:r>
    </w:p>
    <w:p w14:paraId="0E9BF056">
      <w:pPr>
        <w:widowControl w:val="0"/>
        <w:adjustRightInd w:val="0"/>
        <w:snapToGrid w:val="0"/>
        <w:spacing w:after="0" w:line="490" w:lineRule="exact"/>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致：</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（招标人）</w:t>
      </w:r>
    </w:p>
    <w:p w14:paraId="0F5FD64E">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我单位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（制造商名称）是按</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（国家／地区名称）法律成立的一家制造商，主要营业地点设在</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（制造商地址）。兹授权按</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（国家／地区名称）的法律正式成立的，主要营业地点设在</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（投标人的单位地址）的</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（投标人名称）以我单位制造的</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（设备名称）进行</w:t>
      </w:r>
    </w:p>
    <w:p w14:paraId="6AAD379D">
      <w:pPr>
        <w:widowControl w:val="0"/>
        <w:adjustRightInd w:val="0"/>
        <w:snapToGrid w:val="0"/>
        <w:spacing w:after="0" w:line="490" w:lineRule="exact"/>
        <w:ind w:firstLine="56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（项目名称）投标活动。我单位同意按照中标合同供货，并对产品质量承担责任。</w:t>
      </w:r>
    </w:p>
    <w:p w14:paraId="123B749B">
      <w:pPr>
        <w:widowControl w:val="0"/>
        <w:adjustRightInd w:val="0"/>
        <w:snapToGrid w:val="0"/>
        <w:spacing w:after="0" w:line="490" w:lineRule="exact"/>
        <w:ind w:firstLine="420" w:firstLineChars="200"/>
        <w:jc w:val="both"/>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授权期限：</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w:t>
      </w:r>
    </w:p>
    <w:p w14:paraId="0DF5075F">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0C288FAC">
      <w:pPr>
        <w:widowControl w:val="0"/>
        <w:adjustRightInd w:val="0"/>
        <w:snapToGrid w:val="0"/>
        <w:spacing w:after="0" w:line="49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14:paraId="0B1C69E4">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投标人名称：</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（盖单位公章）制造商名称：</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rPr>
        <w:t>（盖单位公章）</w:t>
      </w:r>
    </w:p>
    <w:p w14:paraId="5C171057">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签字人职务：</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签字人职务：</w:t>
      </w:r>
      <w:r>
        <w:rPr>
          <w:rFonts w:hint="eastAsia" w:ascii="Times New Roman" w:hAnsi="Times New Roman" w:eastAsia="宋体" w:cs="宋体"/>
          <w:color w:val="auto"/>
          <w:sz w:val="21"/>
          <w:szCs w:val="21"/>
          <w:u w:val="single" w:color="000000"/>
        </w:rPr>
        <w:t xml:space="preserve">                         </w:t>
      </w:r>
    </w:p>
    <w:p w14:paraId="7BDAC280">
      <w:pPr>
        <w:widowControl w:val="0"/>
        <w:adjustRightInd w:val="0"/>
        <w:snapToGrid w:val="0"/>
        <w:spacing w:after="0" w:line="490" w:lineRule="exact"/>
        <w:ind w:firstLine="480"/>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签字人姓名：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签字人姓名：</w:t>
      </w:r>
      <w:r>
        <w:rPr>
          <w:rFonts w:hint="eastAsia" w:ascii="Times New Roman" w:hAnsi="Times New Roman" w:eastAsia="宋体" w:cs="宋体"/>
          <w:color w:val="auto"/>
          <w:sz w:val="21"/>
          <w:szCs w:val="21"/>
          <w:u w:val="single" w:color="000000"/>
        </w:rPr>
        <w:t xml:space="preserve">                         </w:t>
      </w:r>
    </w:p>
    <w:p w14:paraId="1264B418">
      <w:pPr>
        <w:widowControl w:val="0"/>
        <w:adjustRightInd w:val="0"/>
        <w:snapToGrid w:val="0"/>
        <w:spacing w:after="0" w:line="490" w:lineRule="exact"/>
        <w:ind w:firstLine="480"/>
        <w:rPr>
          <w:rFonts w:ascii="Times New Roman" w:hAnsi="Times New Roman" w:eastAsia="宋体" w:cs="宋体"/>
          <w:color w:val="auto"/>
          <w:sz w:val="21"/>
          <w:szCs w:val="21"/>
          <w:u w:val="single" w:color="000000"/>
        </w:rPr>
      </w:pPr>
      <w:r>
        <w:rPr>
          <w:rFonts w:hint="eastAsia" w:ascii="Times New Roman" w:hAnsi="Times New Roman" w:eastAsia="宋体" w:cs="宋体"/>
          <w:color w:val="auto"/>
          <w:sz w:val="21"/>
          <w:szCs w:val="21"/>
        </w:rPr>
        <w:t>签字人签名：</w:t>
      </w:r>
      <w:r>
        <w:rPr>
          <w:rFonts w:hint="eastAsia" w:ascii="Times New Roman" w:hAnsi="Times New Roman" w:eastAsia="宋体" w:cs="宋体"/>
          <w:color w:val="auto"/>
          <w:sz w:val="21"/>
          <w:szCs w:val="21"/>
          <w:u w:val="single" w:color="000000"/>
        </w:rPr>
        <w:t xml:space="preserve">                    </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 xml:space="preserve">   签字人签名：</w:t>
      </w:r>
      <w:r>
        <w:rPr>
          <w:rFonts w:hint="eastAsia" w:ascii="Times New Roman" w:hAnsi="Times New Roman" w:eastAsia="宋体" w:cs="宋体"/>
          <w:color w:val="auto"/>
          <w:sz w:val="21"/>
          <w:szCs w:val="21"/>
          <w:u w:val="single" w:color="000000"/>
        </w:rPr>
        <w:t xml:space="preserve">                         </w:t>
      </w:r>
    </w:p>
    <w:p w14:paraId="3C5DBF7B">
      <w:pPr>
        <w:widowControl w:val="0"/>
        <w:adjustRightInd w:val="0"/>
        <w:snapToGrid w:val="0"/>
        <w:spacing w:after="0" w:line="490" w:lineRule="exact"/>
        <w:ind w:firstLine="480" w:firstLineChars="200"/>
        <w:rPr>
          <w:rFonts w:ascii="Times New Roman" w:hAnsi="Times New Roman" w:eastAsia="宋体" w:cs="宋体"/>
          <w:color w:val="auto"/>
          <w:sz w:val="24"/>
          <w:szCs w:val="24"/>
          <w:u w:val="single" w:color="000000"/>
        </w:rPr>
      </w:pPr>
    </w:p>
    <w:p w14:paraId="7387A573">
      <w:pPr>
        <w:widowControl w:val="0"/>
        <w:adjustRightInd w:val="0"/>
        <w:snapToGrid w:val="0"/>
        <w:spacing w:after="0" w:line="490" w:lineRule="exact"/>
        <w:ind w:firstLine="560" w:firstLineChars="200"/>
        <w:rPr>
          <w:rFonts w:ascii="Times New Roman" w:hAnsi="Times New Roman" w:eastAsia="宋体" w:cs="宋体"/>
          <w:color w:val="auto"/>
          <w:sz w:val="28"/>
          <w:szCs w:val="28"/>
          <w:u w:val="single" w:color="000000"/>
        </w:rPr>
      </w:pPr>
    </w:p>
    <w:p w14:paraId="35E32FD4">
      <w:pPr>
        <w:widowControl w:val="0"/>
        <w:spacing w:after="0" w:line="490" w:lineRule="exact"/>
        <w:rPr>
          <w:rFonts w:ascii="Times New Roman" w:hAnsi="Times New Roman" w:eastAsia="宋体" w:cs="宋体"/>
          <w:color w:val="auto"/>
          <w:sz w:val="28"/>
          <w:szCs w:val="28"/>
        </w:rPr>
      </w:pPr>
    </w:p>
    <w:p w14:paraId="67AEA604">
      <w:pPr>
        <w:widowControl w:val="0"/>
        <w:rPr>
          <w:rFonts w:ascii="Times New Roman" w:hAnsi="Times New Roman" w:eastAsia="宋体" w:cs="宋体"/>
          <w:color w:val="auto"/>
        </w:rPr>
      </w:pPr>
      <w:r>
        <w:rPr>
          <w:rFonts w:hint="eastAsia" w:ascii="Times New Roman" w:hAnsi="Times New Roman" w:eastAsia="宋体" w:cs="宋体"/>
          <w:color w:val="auto"/>
        </w:rPr>
        <w:br w:type="page"/>
      </w:r>
      <w:bookmarkStart w:id="839" w:name="_Hlk39765624"/>
    </w:p>
    <w:p w14:paraId="3223C4AA">
      <w:pPr>
        <w:pStyle w:val="4"/>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eastAsia="宋体" w:cs="宋体"/>
          <w:b/>
          <w:bCs/>
          <w:color w:val="auto"/>
        </w:rPr>
      </w:pPr>
      <w:r>
        <w:rPr>
          <w:rFonts w:hint="eastAsia" w:ascii="Times New Roman" w:hAnsi="Times New Roman" w:eastAsia="宋体" w:cs="宋体"/>
          <w:b/>
          <w:bCs/>
          <w:color w:val="auto"/>
        </w:rPr>
        <w:t>（七）其他要求（如果有）</w:t>
      </w:r>
    </w:p>
    <w:p w14:paraId="213C861A">
      <w:r>
        <w:rPr>
          <w:rFonts w:hint="eastAsia"/>
        </w:rPr>
        <w:br w:type="page"/>
      </w:r>
    </w:p>
    <w:p w14:paraId="29F14CD8">
      <w:pPr>
        <w:rPr>
          <w:rFonts w:ascii="Times New Roman" w:hAnsi="Times New Roman" w:eastAsia="宋体" w:cs="宋体"/>
          <w:b/>
          <w:bCs/>
          <w:color w:val="auto"/>
        </w:rPr>
      </w:pPr>
    </w:p>
    <w:p w14:paraId="291DB331"/>
    <w:p w14:paraId="73702588">
      <w:pPr>
        <w:jc w:val="center"/>
        <w:rPr>
          <w:rFonts w:ascii="Times New Roman" w:hAnsi="Times New Roman" w:eastAsia="宋体"/>
          <w:b/>
          <w:bCs/>
          <w:color w:val="auto"/>
          <w:sz w:val="52"/>
          <w:szCs w:val="52"/>
        </w:rPr>
      </w:pPr>
      <w:r>
        <w:rPr>
          <w:rFonts w:hint="eastAsia" w:ascii="Times New Roman" w:hAnsi="Times New Roman" w:eastAsia="宋体"/>
          <w:b/>
          <w:bCs/>
          <w:color w:val="auto"/>
          <w:sz w:val="52"/>
          <w:szCs w:val="52"/>
        </w:rPr>
        <w:t>技术部分</w:t>
      </w:r>
    </w:p>
    <w:p w14:paraId="305CBE3B">
      <w:pPr>
        <w:widowControl w:val="0"/>
        <w:rPr>
          <w:rFonts w:ascii="Times New Roman" w:hAnsi="Times New Roman" w:eastAsia="宋体" w:cs="宋体"/>
          <w:color w:val="auto"/>
        </w:rPr>
      </w:pPr>
    </w:p>
    <w:p w14:paraId="70FA9F98">
      <w:pPr>
        <w:widowControl w:val="0"/>
        <w:rPr>
          <w:rFonts w:ascii="Times New Roman" w:hAnsi="Times New Roman" w:eastAsia="宋体" w:cs="宋体"/>
          <w:color w:val="auto"/>
        </w:rPr>
      </w:pPr>
    </w:p>
    <w:p w14:paraId="59C972F8">
      <w:pPr>
        <w:widowControl w:val="0"/>
        <w:rPr>
          <w:rFonts w:ascii="Times New Roman" w:hAnsi="Times New Roman" w:eastAsia="宋体" w:cs="宋体"/>
          <w:color w:val="auto"/>
        </w:rPr>
      </w:pPr>
    </w:p>
    <w:p w14:paraId="204C6B8A">
      <w:pPr>
        <w:widowControl w:val="0"/>
        <w:rPr>
          <w:rFonts w:ascii="Times New Roman" w:hAnsi="Times New Roman" w:eastAsia="宋体" w:cs="宋体"/>
          <w:color w:val="auto"/>
        </w:rPr>
      </w:pPr>
    </w:p>
    <w:p w14:paraId="2EC63FA3">
      <w:pPr>
        <w:widowControl w:val="0"/>
        <w:rPr>
          <w:rFonts w:ascii="Times New Roman" w:hAnsi="Times New Roman" w:eastAsia="宋体" w:cs="宋体"/>
          <w:color w:val="auto"/>
        </w:rPr>
      </w:pPr>
    </w:p>
    <w:p w14:paraId="06841407">
      <w:pPr>
        <w:widowControl w:val="0"/>
        <w:rPr>
          <w:rFonts w:ascii="Times New Roman" w:hAnsi="Times New Roman" w:eastAsia="宋体" w:cs="宋体"/>
          <w:color w:val="auto"/>
        </w:rPr>
      </w:pPr>
    </w:p>
    <w:p w14:paraId="140112C8">
      <w:pPr>
        <w:widowControl w:val="0"/>
        <w:rPr>
          <w:rFonts w:ascii="Times New Roman" w:hAnsi="Times New Roman" w:eastAsia="宋体" w:cs="宋体"/>
          <w:color w:val="auto"/>
        </w:rPr>
      </w:pPr>
    </w:p>
    <w:bookmarkEnd w:id="839"/>
    <w:p w14:paraId="083A4C04">
      <w:pPr>
        <w:spacing w:line="490" w:lineRule="exact"/>
        <w:ind w:firstLine="440" w:firstLineChars="200"/>
        <w:rPr>
          <w:rFonts w:ascii="Times New Roman" w:hAnsi="Times New Roman" w:eastAsia="宋体" w:cs="宋体"/>
          <w:color w:val="auto"/>
          <w:sz w:val="24"/>
          <w:szCs w:val="24"/>
        </w:rPr>
      </w:pPr>
      <w:r>
        <w:rPr>
          <w:rFonts w:hint="eastAsia" w:ascii="Times New Roman" w:hAnsi="Times New Roman" w:eastAsia="宋体" w:cs="宋体"/>
          <w:color w:val="auto"/>
        </w:rPr>
        <w:br w:type="page"/>
      </w:r>
      <w:r>
        <w:rPr>
          <w:rFonts w:hint="eastAsia" w:ascii="Times New Roman" w:hAnsi="Times New Roman" w:eastAsia="宋体" w:cs="宋体"/>
          <w:b/>
          <w:bCs/>
          <w:color w:val="auto"/>
          <w:sz w:val="24"/>
          <w:szCs w:val="24"/>
        </w:rPr>
        <w:t>1.技术部分：</w:t>
      </w:r>
    </w:p>
    <w:p w14:paraId="3F82E243">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投标人应针对本招标工程项目的性质、规模、工作内容具体情况编制技术文件，技术文件包括下列章节内容：</w:t>
      </w:r>
    </w:p>
    <w:p w14:paraId="1B2EEFA5">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（1）投标设备技术性能指标的详细描述；</w:t>
      </w:r>
    </w:p>
    <w:p w14:paraId="72AC5578">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（2）技术支持资料；</w:t>
      </w:r>
    </w:p>
    <w:p w14:paraId="5857D634">
      <w:pPr>
        <w:spacing w:line="490" w:lineRule="exact"/>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（3）技术服务和质保期服务计划 ；</w:t>
      </w:r>
    </w:p>
    <w:p w14:paraId="3CC15B3D">
      <w:pPr>
        <w:pStyle w:val="14"/>
        <w:spacing w:line="490" w:lineRule="exact"/>
        <w:ind w:left="0" w:leftChars="0" w:firstLine="422" w:firstLineChars="200"/>
        <w:rPr>
          <w:rFonts w:cs="宋体"/>
          <w:b/>
          <w:sz w:val="24"/>
        </w:rPr>
      </w:pPr>
      <w:r>
        <w:rPr>
          <w:rFonts w:hint="eastAsia" w:cs="宋体"/>
          <w:b/>
          <w:szCs w:val="21"/>
        </w:rPr>
        <w:br w:type="page"/>
      </w:r>
      <w:r>
        <w:rPr>
          <w:rFonts w:hint="eastAsia" w:cs="宋体"/>
          <w:b/>
          <w:sz w:val="24"/>
        </w:rPr>
        <w:t>2.暗标制作要求（如适用）</w:t>
      </w:r>
    </w:p>
    <w:p w14:paraId="60D5FE89">
      <w:pPr>
        <w:spacing w:line="490" w:lineRule="exact"/>
        <w:ind w:firstLine="480" w:firstLineChars="200"/>
        <w:rPr>
          <w:rFonts w:ascii="Times New Roman" w:hAnsi="Times New Roman" w:eastAsia="宋体" w:cs="宋体"/>
          <w:color w:val="auto"/>
          <w:sz w:val="21"/>
          <w:szCs w:val="21"/>
        </w:rPr>
      </w:pPr>
      <w:r>
        <w:rPr>
          <w:rFonts w:hint="eastAsia" w:ascii="Times New Roman" w:hAnsi="Times New Roman" w:eastAsia="宋体" w:cs="宋体"/>
          <w:color w:val="auto"/>
          <w:sz w:val="24"/>
          <w:szCs w:val="24"/>
        </w:rPr>
        <w:t>技术文件采用暗标评审，构成投标文件的“暗标”的文件中均不得出现投标人的名称和其他可识别投标人身份的字符、徽标、人员名称以及其他特殊标记等。投标人编制文件应当满 足招标文件技术标要求，不得随意编制。</w:t>
      </w:r>
      <w:r>
        <w:rPr>
          <w:rFonts w:hint="eastAsia" w:ascii="Times New Roman" w:hAnsi="Times New Roman" w:eastAsia="宋体" w:cs="宋体"/>
          <w:color w:val="auto"/>
          <w:sz w:val="21"/>
          <w:szCs w:val="21"/>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775"/>
        <w:gridCol w:w="4747"/>
      </w:tblGrid>
      <w:tr w14:paraId="6F0D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0C92C3A3">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序号</w:t>
            </w:r>
          </w:p>
        </w:tc>
        <w:tc>
          <w:tcPr>
            <w:tcW w:w="2775" w:type="dxa"/>
            <w:vAlign w:val="center"/>
          </w:tcPr>
          <w:p w14:paraId="7567ECF9">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项目内容</w:t>
            </w:r>
          </w:p>
        </w:tc>
        <w:tc>
          <w:tcPr>
            <w:tcW w:w="4747" w:type="dxa"/>
            <w:vAlign w:val="center"/>
          </w:tcPr>
          <w:p w14:paraId="2EFB057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类别、内容</w:t>
            </w:r>
          </w:p>
        </w:tc>
      </w:tr>
      <w:tr w14:paraId="79C8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75FC6CE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w:t>
            </w:r>
          </w:p>
        </w:tc>
        <w:tc>
          <w:tcPr>
            <w:tcW w:w="2775" w:type="dxa"/>
            <w:vAlign w:val="center"/>
          </w:tcPr>
          <w:p w14:paraId="6FEBD97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字体要求</w:t>
            </w:r>
          </w:p>
        </w:tc>
        <w:tc>
          <w:tcPr>
            <w:tcW w:w="4747" w:type="dxa"/>
            <w:vAlign w:val="center"/>
          </w:tcPr>
          <w:p w14:paraId="4602F04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宋体</w:t>
            </w:r>
          </w:p>
        </w:tc>
      </w:tr>
      <w:tr w14:paraId="20E8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1EDB300">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2</w:t>
            </w:r>
          </w:p>
        </w:tc>
        <w:tc>
          <w:tcPr>
            <w:tcW w:w="2775" w:type="dxa"/>
            <w:vAlign w:val="center"/>
          </w:tcPr>
          <w:p w14:paraId="66F8AEC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正文字号要求</w:t>
            </w:r>
          </w:p>
        </w:tc>
        <w:tc>
          <w:tcPr>
            <w:tcW w:w="4747" w:type="dxa"/>
            <w:vAlign w:val="center"/>
          </w:tcPr>
          <w:p w14:paraId="6D56402A">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五号 字体加粗：否</w:t>
            </w:r>
          </w:p>
        </w:tc>
      </w:tr>
      <w:tr w14:paraId="6DA9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2C5506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3</w:t>
            </w:r>
          </w:p>
        </w:tc>
        <w:tc>
          <w:tcPr>
            <w:tcW w:w="2775" w:type="dxa"/>
            <w:vAlign w:val="center"/>
          </w:tcPr>
          <w:p w14:paraId="36AB449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段落</w:t>
            </w:r>
          </w:p>
        </w:tc>
        <w:tc>
          <w:tcPr>
            <w:tcW w:w="4747" w:type="dxa"/>
            <w:vAlign w:val="center"/>
          </w:tcPr>
          <w:p w14:paraId="6373D46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行距：单倍行距</w:t>
            </w:r>
          </w:p>
        </w:tc>
      </w:tr>
      <w:tr w14:paraId="7625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DF696C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w:t>
            </w:r>
          </w:p>
        </w:tc>
        <w:tc>
          <w:tcPr>
            <w:tcW w:w="2775" w:type="dxa"/>
            <w:vAlign w:val="center"/>
          </w:tcPr>
          <w:p w14:paraId="180335A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正文纸张方向</w:t>
            </w:r>
          </w:p>
        </w:tc>
        <w:tc>
          <w:tcPr>
            <w:tcW w:w="4747" w:type="dxa"/>
            <w:vAlign w:val="center"/>
          </w:tcPr>
          <w:p w14:paraId="4E2ED81B">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纵向</w:t>
            </w:r>
          </w:p>
        </w:tc>
      </w:tr>
      <w:tr w14:paraId="7910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515DD7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5</w:t>
            </w:r>
          </w:p>
        </w:tc>
        <w:tc>
          <w:tcPr>
            <w:tcW w:w="2775" w:type="dxa"/>
            <w:vAlign w:val="center"/>
          </w:tcPr>
          <w:p w14:paraId="02DEF16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纸张大小</w:t>
            </w:r>
          </w:p>
        </w:tc>
        <w:tc>
          <w:tcPr>
            <w:tcW w:w="4747" w:type="dxa"/>
            <w:vAlign w:val="center"/>
          </w:tcPr>
          <w:p w14:paraId="3DE0EDD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A4</w:t>
            </w:r>
          </w:p>
        </w:tc>
      </w:tr>
      <w:tr w14:paraId="056F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7D39DDC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6</w:t>
            </w:r>
          </w:p>
        </w:tc>
        <w:tc>
          <w:tcPr>
            <w:tcW w:w="2775" w:type="dxa"/>
            <w:vAlign w:val="center"/>
          </w:tcPr>
          <w:p w14:paraId="2FFD57C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缩进</w:t>
            </w:r>
          </w:p>
        </w:tc>
        <w:tc>
          <w:tcPr>
            <w:tcW w:w="4747" w:type="dxa"/>
            <w:vAlign w:val="center"/>
          </w:tcPr>
          <w:p w14:paraId="251D7AA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左侧缩进：0 字符 </w:t>
            </w:r>
          </w:p>
          <w:p w14:paraId="76F85C0B">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右侧缩进：0 字符 </w:t>
            </w:r>
          </w:p>
          <w:p w14:paraId="30F0155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首行缩进：0 字符</w:t>
            </w:r>
          </w:p>
        </w:tc>
      </w:tr>
      <w:tr w14:paraId="320C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2A5FBD3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7</w:t>
            </w:r>
          </w:p>
        </w:tc>
        <w:tc>
          <w:tcPr>
            <w:tcW w:w="2775" w:type="dxa"/>
            <w:vAlign w:val="center"/>
          </w:tcPr>
          <w:p w14:paraId="35EA010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是否允许涂改或删除痕迹</w:t>
            </w:r>
          </w:p>
        </w:tc>
        <w:tc>
          <w:tcPr>
            <w:tcW w:w="4747" w:type="dxa"/>
            <w:vAlign w:val="center"/>
          </w:tcPr>
          <w:p w14:paraId="6D355508">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654F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145B08B3">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8</w:t>
            </w:r>
          </w:p>
        </w:tc>
        <w:tc>
          <w:tcPr>
            <w:tcW w:w="2775" w:type="dxa"/>
            <w:vAlign w:val="center"/>
          </w:tcPr>
          <w:p w14:paraId="0369676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网格设置</w:t>
            </w:r>
          </w:p>
        </w:tc>
        <w:tc>
          <w:tcPr>
            <w:tcW w:w="4747" w:type="dxa"/>
            <w:vAlign w:val="center"/>
          </w:tcPr>
          <w:p w14:paraId="7DB008D1">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39D1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2C926902">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9</w:t>
            </w:r>
          </w:p>
        </w:tc>
        <w:tc>
          <w:tcPr>
            <w:tcW w:w="2775" w:type="dxa"/>
            <w:vAlign w:val="center"/>
          </w:tcPr>
          <w:p w14:paraId="07D340B4">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是否允许字体、图片、表格涂色</w:t>
            </w:r>
          </w:p>
        </w:tc>
        <w:tc>
          <w:tcPr>
            <w:tcW w:w="4747" w:type="dxa"/>
            <w:vAlign w:val="center"/>
          </w:tcPr>
          <w:p w14:paraId="4E65FE19">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346F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46A09008">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10</w:t>
            </w:r>
          </w:p>
        </w:tc>
        <w:tc>
          <w:tcPr>
            <w:tcW w:w="2775" w:type="dxa"/>
            <w:vAlign w:val="center"/>
          </w:tcPr>
          <w:p w14:paraId="18C25A93">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是否允许出现目录</w:t>
            </w:r>
          </w:p>
        </w:tc>
        <w:tc>
          <w:tcPr>
            <w:tcW w:w="4747" w:type="dxa"/>
            <w:vAlign w:val="center"/>
          </w:tcPr>
          <w:p w14:paraId="731980CE">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740A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30362D74">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11</w:t>
            </w:r>
          </w:p>
        </w:tc>
        <w:tc>
          <w:tcPr>
            <w:tcW w:w="2775" w:type="dxa"/>
            <w:vAlign w:val="center"/>
          </w:tcPr>
          <w:p w14:paraId="297A79EF">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允许设置页眉、页脚、页码</w:t>
            </w:r>
          </w:p>
        </w:tc>
        <w:tc>
          <w:tcPr>
            <w:tcW w:w="4747" w:type="dxa"/>
            <w:vAlign w:val="center"/>
          </w:tcPr>
          <w:p w14:paraId="5AA4818A">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否</w:t>
            </w:r>
          </w:p>
        </w:tc>
      </w:tr>
      <w:tr w14:paraId="1A41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523A234E">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12</w:t>
            </w:r>
          </w:p>
        </w:tc>
        <w:tc>
          <w:tcPr>
            <w:tcW w:w="2775" w:type="dxa"/>
            <w:vAlign w:val="center"/>
          </w:tcPr>
          <w:p w14:paraId="1B69387C">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图表格式</w:t>
            </w:r>
          </w:p>
        </w:tc>
        <w:tc>
          <w:tcPr>
            <w:tcW w:w="4747" w:type="dxa"/>
            <w:vAlign w:val="center"/>
          </w:tcPr>
          <w:p w14:paraId="2EA8BC06">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表中的文本格式应与正文格式保持一 致。技术标的“图形”（包括框图、 流程图、结构图等，不包括纯表格） 内容需转换为“图片”格式插入到文 件对应位置上。</w:t>
            </w:r>
          </w:p>
        </w:tc>
      </w:tr>
      <w:tr w14:paraId="510B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Align w:val="center"/>
          </w:tcPr>
          <w:p w14:paraId="6FA951F5">
            <w:pPr>
              <w:widowControl w:val="0"/>
              <w:spacing w:line="400" w:lineRule="exact"/>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13</w:t>
            </w:r>
          </w:p>
        </w:tc>
        <w:tc>
          <w:tcPr>
            <w:tcW w:w="2775" w:type="dxa"/>
            <w:vAlign w:val="center"/>
          </w:tcPr>
          <w:p w14:paraId="4DBA08A2">
            <w:pPr>
              <w:widowControl w:val="0"/>
              <w:spacing w:line="400" w:lineRule="exact"/>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其他说明（技术标格式属性之外的补 充）</w:t>
            </w:r>
          </w:p>
        </w:tc>
        <w:tc>
          <w:tcPr>
            <w:tcW w:w="4747" w:type="dxa"/>
            <w:vAlign w:val="center"/>
          </w:tcPr>
          <w:p w14:paraId="74EA0697">
            <w:pPr>
              <w:widowControl w:val="0"/>
              <w:spacing w:line="400" w:lineRule="exact"/>
              <w:rPr>
                <w:rFonts w:ascii="Times New Roman" w:hAnsi="Times New Roman" w:eastAsia="宋体" w:cs="宋体"/>
                <w:color w:val="auto"/>
                <w:sz w:val="21"/>
                <w:szCs w:val="21"/>
              </w:rPr>
            </w:pPr>
          </w:p>
        </w:tc>
      </w:tr>
    </w:tbl>
    <w:p w14:paraId="4B5B780F">
      <w:pPr>
        <w:widowControl w:val="0"/>
        <w:adjustRightInd w:val="0"/>
        <w:snapToGrid w:val="0"/>
        <w:spacing w:after="0" w:line="265" w:lineRule="auto"/>
        <w:ind w:hanging="10"/>
        <w:rPr>
          <w:rFonts w:ascii="Times New Roman" w:hAnsi="Times New Roman" w:eastAsia="宋体" w:cs="宋体"/>
          <w:color w:val="auto"/>
        </w:rPr>
      </w:pPr>
      <w:r>
        <w:rPr>
          <w:rFonts w:hint="eastAsia" w:ascii="Times New Roman" w:hAnsi="Times New Roman" w:eastAsia="宋体" w:cs="宋体"/>
          <w:color w:val="auto"/>
        </w:rPr>
        <w:br w:type="page"/>
      </w:r>
    </w:p>
    <w:p w14:paraId="0F19A920">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40" w:name="_Toc17285"/>
      <w:bookmarkStart w:id="841" w:name="_Toc19509"/>
      <w:bookmarkStart w:id="842" w:name="_Toc5763"/>
      <w:bookmarkStart w:id="843" w:name="_Toc15333"/>
      <w:bookmarkStart w:id="844" w:name="_Toc11634"/>
      <w:bookmarkStart w:id="845" w:name="_Toc56792859"/>
      <w:bookmarkStart w:id="846" w:name="_Toc9115"/>
      <w:r>
        <w:rPr>
          <w:rFonts w:hint="eastAsia" w:ascii="Times New Roman" w:hAnsi="Times New Roman" w:cs="宋体"/>
          <w:b w:val="0"/>
          <w:bCs/>
          <w:color w:val="auto"/>
          <w:sz w:val="36"/>
        </w:rPr>
        <w:t>八、投标设备技术性能指标的详细描述</w:t>
      </w:r>
      <w:bookmarkEnd w:id="840"/>
      <w:bookmarkEnd w:id="841"/>
      <w:bookmarkEnd w:id="842"/>
      <w:bookmarkEnd w:id="843"/>
      <w:bookmarkEnd w:id="844"/>
    </w:p>
    <w:bookmarkEnd w:id="845"/>
    <w:p w14:paraId="6679E3A6">
      <w:pPr>
        <w:widowControl w:val="0"/>
        <w:rPr>
          <w:rFonts w:ascii="Times New Roman" w:hAnsi="Times New Roman" w:eastAsia="宋体" w:cs="宋体"/>
          <w:color w:val="auto"/>
          <w:sz w:val="24"/>
        </w:rPr>
      </w:pPr>
    </w:p>
    <w:p w14:paraId="6D1F4BE4">
      <w:pPr>
        <w:widowControl w:val="0"/>
        <w:rPr>
          <w:rFonts w:ascii="Times New Roman" w:hAnsi="Times New Roman" w:eastAsia="宋体" w:cs="宋体"/>
          <w:color w:val="auto"/>
          <w:sz w:val="24"/>
        </w:rPr>
      </w:pPr>
    </w:p>
    <w:p w14:paraId="64AF5BF1">
      <w:pPr>
        <w:widowControl w:val="0"/>
        <w:rPr>
          <w:rFonts w:ascii="Times New Roman" w:hAnsi="Times New Roman" w:eastAsia="宋体" w:cs="宋体"/>
          <w:color w:val="auto"/>
        </w:rPr>
      </w:pPr>
    </w:p>
    <w:p w14:paraId="36671EF8">
      <w:pPr>
        <w:widowControl w:val="0"/>
        <w:rPr>
          <w:rFonts w:ascii="Times New Roman" w:hAnsi="Times New Roman" w:eastAsia="宋体" w:cs="宋体"/>
          <w:color w:val="auto"/>
        </w:rPr>
      </w:pPr>
    </w:p>
    <w:p w14:paraId="2D1BD195">
      <w:pPr>
        <w:widowControl w:val="0"/>
        <w:rPr>
          <w:rFonts w:ascii="Times New Roman" w:hAnsi="Times New Roman" w:eastAsia="宋体" w:cs="宋体"/>
          <w:color w:val="auto"/>
        </w:rPr>
      </w:pPr>
      <w:r>
        <w:rPr>
          <w:rFonts w:hint="eastAsia" w:ascii="Times New Roman" w:hAnsi="Times New Roman" w:eastAsia="宋体" w:cs="宋体"/>
          <w:color w:val="auto"/>
        </w:rPr>
        <w:br w:type="page"/>
      </w:r>
    </w:p>
    <w:bookmarkEnd w:id="846"/>
    <w:p w14:paraId="1F441187">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47" w:name="_Toc7173"/>
      <w:bookmarkStart w:id="848" w:name="_Toc29325"/>
      <w:bookmarkStart w:id="849" w:name="_Toc1576"/>
      <w:bookmarkStart w:id="850" w:name="_Toc7876"/>
      <w:bookmarkStart w:id="851" w:name="_Toc15166"/>
      <w:bookmarkStart w:id="852" w:name="_Toc56792861"/>
      <w:bookmarkStart w:id="853" w:name="_Toc32608"/>
      <w:r>
        <w:rPr>
          <w:rFonts w:hint="eastAsia" w:ascii="Times New Roman" w:hAnsi="Times New Roman" w:cs="宋体"/>
          <w:b w:val="0"/>
          <w:bCs/>
          <w:color w:val="auto"/>
          <w:sz w:val="36"/>
        </w:rPr>
        <w:t>九、技术支持资料</w:t>
      </w:r>
      <w:bookmarkEnd w:id="847"/>
      <w:bookmarkEnd w:id="848"/>
      <w:bookmarkEnd w:id="849"/>
      <w:bookmarkEnd w:id="850"/>
      <w:bookmarkEnd w:id="851"/>
      <w:bookmarkEnd w:id="852"/>
      <w:bookmarkEnd w:id="853"/>
      <w:r>
        <w:rPr>
          <w:rFonts w:hint="eastAsia" w:ascii="Times New Roman" w:hAnsi="Times New Roman" w:cs="宋体"/>
          <w:b w:val="0"/>
          <w:bCs/>
          <w:color w:val="auto"/>
          <w:sz w:val="36"/>
        </w:rPr>
        <w:t xml:space="preserve"> </w:t>
      </w:r>
    </w:p>
    <w:p w14:paraId="11613E10">
      <w:pPr>
        <w:rPr>
          <w:rFonts w:ascii="Times New Roman" w:hAnsi="Times New Roman" w:eastAsia="宋体" w:cs="宋体"/>
          <w:color w:val="auto"/>
        </w:rPr>
      </w:pPr>
      <w:r>
        <w:rPr>
          <w:rFonts w:hint="eastAsia" w:ascii="Times New Roman" w:hAnsi="Times New Roman" w:eastAsia="宋体" w:cs="宋体"/>
          <w:b/>
          <w:color w:val="auto"/>
        </w:rPr>
        <w:br w:type="page"/>
      </w:r>
    </w:p>
    <w:p w14:paraId="5A96B35E">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54" w:name="_Toc56792862"/>
      <w:bookmarkStart w:id="855" w:name="_Toc23684"/>
      <w:bookmarkStart w:id="856" w:name="_Toc28939"/>
      <w:bookmarkStart w:id="857" w:name="_Toc20346"/>
      <w:bookmarkStart w:id="858" w:name="_Toc4397"/>
      <w:bookmarkStart w:id="859" w:name="_Toc29156"/>
      <w:bookmarkStart w:id="860" w:name="_Toc14821"/>
      <w:r>
        <w:rPr>
          <w:rFonts w:hint="eastAsia" w:ascii="Times New Roman" w:hAnsi="Times New Roman" w:cs="宋体"/>
          <w:b w:val="0"/>
          <w:bCs/>
          <w:color w:val="auto"/>
          <w:sz w:val="36"/>
        </w:rPr>
        <w:t>十、</w:t>
      </w:r>
      <w:bookmarkEnd w:id="854"/>
      <w:bookmarkEnd w:id="855"/>
      <w:r>
        <w:rPr>
          <w:rFonts w:hint="eastAsia" w:ascii="Times New Roman" w:hAnsi="Times New Roman" w:cs="宋体"/>
          <w:b w:val="0"/>
          <w:bCs/>
          <w:color w:val="auto"/>
          <w:sz w:val="36"/>
        </w:rPr>
        <w:t>技术</w:t>
      </w:r>
      <w:r>
        <w:rPr>
          <w:rFonts w:hint="eastAsia" w:ascii="Times New Roman" w:hAnsi="Times New Roman" w:cs="宋体"/>
          <w:bCs/>
          <w:color w:val="auto"/>
          <w:sz w:val="36"/>
        </w:rPr>
        <w:t>服务和质保期服务计划</w:t>
      </w:r>
      <w:bookmarkEnd w:id="856"/>
      <w:bookmarkEnd w:id="857"/>
      <w:bookmarkEnd w:id="858"/>
      <w:bookmarkEnd w:id="859"/>
      <w:bookmarkEnd w:id="860"/>
      <w:r>
        <w:rPr>
          <w:rFonts w:hint="eastAsia" w:ascii="Times New Roman" w:hAnsi="Times New Roman" w:cs="宋体"/>
          <w:b w:val="0"/>
          <w:bCs/>
          <w:color w:val="auto"/>
          <w:sz w:val="36"/>
        </w:rPr>
        <w:t xml:space="preserve"> </w:t>
      </w:r>
    </w:p>
    <w:p w14:paraId="626C08E5">
      <w:pPr>
        <w:widowControl w:val="0"/>
        <w:spacing w:after="0" w:line="490" w:lineRule="exact"/>
        <w:ind w:firstLine="440" w:firstLineChars="200"/>
        <w:jc w:val="both"/>
        <w:rPr>
          <w:rFonts w:ascii="Times New Roman" w:hAnsi="Times New Roman" w:eastAsia="宋体" w:cs="宋体"/>
          <w:color w:val="auto"/>
        </w:rPr>
      </w:pPr>
    </w:p>
    <w:p w14:paraId="659E1AAC">
      <w:pPr>
        <w:widowControl w:val="0"/>
        <w:spacing w:after="0" w:line="490" w:lineRule="exact"/>
        <w:ind w:firstLine="440" w:firstLineChars="200"/>
        <w:jc w:val="both"/>
        <w:rPr>
          <w:rFonts w:ascii="Times New Roman" w:hAnsi="Times New Roman" w:eastAsia="宋体" w:cs="宋体"/>
          <w:color w:val="auto"/>
        </w:rPr>
      </w:pPr>
    </w:p>
    <w:p w14:paraId="7D721E62">
      <w:pPr>
        <w:widowControl w:val="0"/>
        <w:spacing w:after="0" w:line="490" w:lineRule="exact"/>
        <w:ind w:firstLine="440" w:firstLineChars="200"/>
        <w:jc w:val="both"/>
        <w:rPr>
          <w:rFonts w:ascii="Times New Roman" w:hAnsi="Times New Roman" w:eastAsia="宋体" w:cs="宋体"/>
          <w:color w:val="auto"/>
        </w:rPr>
      </w:pPr>
    </w:p>
    <w:p w14:paraId="1E049701">
      <w:pPr>
        <w:widowControl w:val="0"/>
        <w:spacing w:after="0" w:line="490" w:lineRule="exact"/>
        <w:ind w:firstLine="440" w:firstLineChars="200"/>
        <w:jc w:val="both"/>
        <w:rPr>
          <w:rFonts w:ascii="Times New Roman" w:hAnsi="Times New Roman" w:eastAsia="宋体" w:cs="宋体"/>
          <w:color w:val="auto"/>
        </w:rPr>
      </w:pPr>
    </w:p>
    <w:p w14:paraId="3121CF84">
      <w:pPr>
        <w:widowControl w:val="0"/>
        <w:adjustRightInd w:val="0"/>
        <w:snapToGrid w:val="0"/>
        <w:spacing w:after="0" w:line="490" w:lineRule="exact"/>
        <w:ind w:firstLine="440" w:firstLineChars="200"/>
        <w:jc w:val="both"/>
        <w:rPr>
          <w:rFonts w:ascii="Times New Roman" w:hAnsi="Times New Roman" w:eastAsia="宋体" w:cs="宋体"/>
          <w:color w:val="auto"/>
        </w:rPr>
      </w:pPr>
    </w:p>
    <w:p w14:paraId="7922BFBC">
      <w:pPr>
        <w:widowControl w:val="0"/>
        <w:adjustRightInd w:val="0"/>
        <w:snapToGrid w:val="0"/>
        <w:spacing w:after="0" w:line="490" w:lineRule="exact"/>
        <w:ind w:firstLine="643" w:firstLineChars="200"/>
        <w:jc w:val="both"/>
        <w:rPr>
          <w:rFonts w:ascii="Times New Roman" w:hAnsi="Times New Roman" w:eastAsia="宋体" w:cs="宋体"/>
          <w:color w:val="auto"/>
          <w:sz w:val="20"/>
          <w:szCs w:val="20"/>
        </w:rPr>
      </w:pPr>
      <w:r>
        <w:rPr>
          <w:rFonts w:hint="eastAsia" w:ascii="Times New Roman" w:hAnsi="Times New Roman" w:eastAsia="宋体" w:cs="宋体"/>
          <w:b/>
          <w:color w:val="auto"/>
          <w:sz w:val="32"/>
        </w:rPr>
        <w:br w:type="page"/>
      </w:r>
    </w:p>
    <w:p w14:paraId="452285C2">
      <w:bookmarkStart w:id="861" w:name="_Toc23823"/>
      <w:bookmarkStart w:id="862" w:name="_Toc549"/>
      <w:bookmarkStart w:id="863" w:name="_Toc12226"/>
      <w:bookmarkStart w:id="864" w:name="_Toc1462"/>
      <w:bookmarkStart w:id="865" w:name="_Toc31875"/>
      <w:bookmarkStart w:id="866" w:name="_Toc56792863"/>
      <w:bookmarkStart w:id="867" w:name="_Toc15700"/>
    </w:p>
    <w:p w14:paraId="5872440F"/>
    <w:p w14:paraId="32A9D276">
      <w:pPr>
        <w:jc w:val="center"/>
        <w:rPr>
          <w:rFonts w:ascii="Times New Roman" w:hAnsi="Times New Roman" w:eastAsia="宋体" w:cs="宋体"/>
          <w:b/>
          <w:bCs/>
          <w:color w:val="auto"/>
          <w:sz w:val="36"/>
        </w:rPr>
      </w:pPr>
      <w:r>
        <w:rPr>
          <w:rFonts w:hint="eastAsia" w:ascii="Times New Roman" w:hAnsi="Times New Roman" w:eastAsia="宋体" w:cs="宋体"/>
          <w:b/>
          <w:bCs/>
          <w:color w:val="auto"/>
          <w:sz w:val="52"/>
          <w:szCs w:val="52"/>
        </w:rPr>
        <w:t>其他部分</w:t>
      </w:r>
      <w:r>
        <w:rPr>
          <w:rFonts w:hint="eastAsia" w:ascii="Times New Roman" w:hAnsi="Times New Roman" w:eastAsia="宋体" w:cs="宋体"/>
          <w:b/>
          <w:bCs/>
          <w:color w:val="auto"/>
          <w:sz w:val="36"/>
        </w:rPr>
        <w:br w:type="page"/>
      </w:r>
    </w:p>
    <w:p w14:paraId="37FBB8A2">
      <w:pPr>
        <w:pStyle w:val="3"/>
        <w:keepNext w:val="0"/>
        <w:keepLines w:val="0"/>
        <w:widowControl w:val="0"/>
        <w:adjustRightInd w:val="0"/>
        <w:snapToGrid w:val="0"/>
        <w:spacing w:before="156" w:beforeLines="50" w:after="156" w:afterLines="50" w:line="240" w:lineRule="auto"/>
        <w:ind w:left="0" w:right="0" w:firstLine="0"/>
        <w:jc w:val="center"/>
        <w:rPr>
          <w:rFonts w:ascii="Times New Roman" w:hAnsi="Times New Roman" w:cs="宋体"/>
          <w:b w:val="0"/>
          <w:bCs/>
          <w:color w:val="auto"/>
          <w:sz w:val="36"/>
        </w:rPr>
      </w:pPr>
      <w:bookmarkStart w:id="868" w:name="_Toc27812"/>
      <w:r>
        <w:rPr>
          <w:rFonts w:hint="eastAsia" w:ascii="Times New Roman" w:hAnsi="Times New Roman" w:cs="宋体"/>
          <w:b w:val="0"/>
          <w:bCs/>
          <w:color w:val="auto"/>
          <w:sz w:val="36"/>
        </w:rPr>
        <w:t>十一、其他资料</w:t>
      </w:r>
      <w:bookmarkEnd w:id="861"/>
      <w:bookmarkEnd w:id="862"/>
      <w:bookmarkEnd w:id="863"/>
      <w:bookmarkEnd w:id="864"/>
      <w:bookmarkEnd w:id="865"/>
      <w:bookmarkEnd w:id="866"/>
      <w:bookmarkEnd w:id="867"/>
      <w:bookmarkEnd w:id="868"/>
    </w:p>
    <w:p w14:paraId="4EE6E86E">
      <w:pPr>
        <w:rPr>
          <w:color w:val="auto"/>
        </w:rPr>
      </w:pPr>
    </w:p>
    <w:p w14:paraId="0B6FAC0A">
      <w:pPr>
        <w:widowControl w:val="0"/>
        <w:jc w:val="center"/>
        <w:outlineLvl w:val="1"/>
        <w:rPr>
          <w:rFonts w:ascii="Times New Roman" w:hAnsi="Times New Roman" w:eastAsia="宋体" w:cs="宋体"/>
          <w:b/>
          <w:color w:val="auto"/>
          <w:sz w:val="28"/>
        </w:rPr>
      </w:pPr>
      <w:bookmarkStart w:id="869" w:name="_Toc56792864"/>
      <w:bookmarkStart w:id="870" w:name="_Toc52810186"/>
      <w:bookmarkStart w:id="871" w:name="_Toc24349"/>
      <w:bookmarkStart w:id="872" w:name="_Toc21945"/>
      <w:bookmarkStart w:id="873" w:name="_Toc25694"/>
      <w:bookmarkStart w:id="874" w:name="_Toc14651"/>
      <w:bookmarkStart w:id="875" w:name="_Toc3668"/>
      <w:r>
        <w:rPr>
          <w:rFonts w:hint="eastAsia" w:ascii="Times New Roman" w:hAnsi="Times New Roman" w:eastAsia="宋体" w:cs="宋体"/>
          <w:b/>
          <w:color w:val="auto"/>
          <w:sz w:val="28"/>
        </w:rPr>
        <w:t>（一）</w:t>
      </w:r>
      <w:bookmarkEnd w:id="869"/>
      <w:bookmarkEnd w:id="870"/>
      <w:bookmarkEnd w:id="871"/>
      <w:r>
        <w:rPr>
          <w:rFonts w:hint="eastAsia" w:ascii="Times New Roman" w:hAnsi="Times New Roman" w:eastAsia="宋体" w:cs="宋体"/>
          <w:b/>
          <w:color w:val="auto"/>
          <w:sz w:val="28"/>
        </w:rPr>
        <w:t>投标人告知承诺函</w:t>
      </w:r>
      <w:bookmarkEnd w:id="872"/>
      <w:bookmarkEnd w:id="873"/>
      <w:bookmarkEnd w:id="874"/>
      <w:bookmarkEnd w:id="875"/>
    </w:p>
    <w:p w14:paraId="5627BA92">
      <w:pPr>
        <w:adjustRightInd w:val="0"/>
        <w:snapToGrid w:val="0"/>
        <w:spacing w:line="288" w:lineRule="auto"/>
        <w:rPr>
          <w:rFonts w:ascii="Times New Roman" w:hAnsi="Times New Roman" w:eastAsia="宋体" w:cs="FangSong_GB2312"/>
          <w:color w:val="auto"/>
          <w:szCs w:val="21"/>
          <w:u w:val="single"/>
        </w:rPr>
      </w:pPr>
    </w:p>
    <w:p w14:paraId="4D2D630E">
      <w:pPr>
        <w:adjustRightInd w:val="0"/>
        <w:snapToGrid w:val="0"/>
        <w:spacing w:line="288" w:lineRule="auto"/>
        <w:rPr>
          <w:rFonts w:ascii="Times New Roman" w:hAnsi="Times New Roman" w:eastAsia="宋体" w:cs="FangSong_GB2312"/>
          <w:color w:val="auto"/>
          <w:szCs w:val="21"/>
          <w:u w:val="single"/>
        </w:rPr>
      </w:pPr>
      <w:r>
        <w:rPr>
          <w:rFonts w:hint="eastAsia" w:ascii="Times New Roman" w:hAnsi="Times New Roman" w:eastAsia="宋体" w:cs="FangSong_GB2312"/>
          <w:color w:val="auto"/>
          <w:szCs w:val="21"/>
          <w:u w:val="single"/>
        </w:rPr>
        <w:t>招标人名称、行政监管部门：</w:t>
      </w:r>
    </w:p>
    <w:p w14:paraId="613DFF2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我单位参与</w:t>
      </w:r>
      <w:r>
        <w:rPr>
          <w:rFonts w:hint="eastAsia" w:ascii="Times New Roman" w:hAnsi="Times New Roman" w:eastAsia="宋体" w:cs="FangSong_GB2312"/>
          <w:color w:val="auto"/>
          <w:szCs w:val="21"/>
          <w:u w:val="single"/>
        </w:rPr>
        <w:t>（招标项目名称）</w:t>
      </w:r>
      <w:r>
        <w:rPr>
          <w:rFonts w:hint="eastAsia" w:ascii="Times New Roman" w:hAnsi="Times New Roman" w:eastAsia="宋体" w:cs="FangSong_GB2312"/>
          <w:color w:val="auto"/>
          <w:szCs w:val="21"/>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271762C">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一、我单位和我本人遵循公开、公平、公正、诚实守信的原则，依法依规参与本项目投标。</w:t>
      </w:r>
    </w:p>
    <w:p w14:paraId="75CF4003">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二、我单位具有参与本次投标的资质和能力，公司运营状况良好，不存在挂靠投标、不受让、租借、出租、出借资格或资质证书，无处罚期内的不良行为。</w:t>
      </w:r>
    </w:p>
    <w:p w14:paraId="2AD79E9D">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三、我单位在本项目投标过程中从招标公告/投标邀请书列明的渠道获取招标文件，没有通过其他不正当渠道获取招标文件。</w:t>
      </w:r>
    </w:p>
    <w:p w14:paraId="2CECB9B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四、我单位承诺投标文件由本单位员工独立编制，严格遵守保密义务。所提供的一切投标相关材料都是真实、有效、合法的。</w:t>
      </w:r>
    </w:p>
    <w:p w14:paraId="109C67D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五、我单位不与其他投标人相互串通投标报价，不恶意压低或抬高投标报价，不排挤其他投标人的公平竞争，不损害招标人或其他投标人的合法权益。</w:t>
      </w:r>
    </w:p>
    <w:p w14:paraId="5B4745FE">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六、我单位不与招标人或招标代理机构串通投标，损害国家利益、社会公共利益或者他人的合法权益;</w:t>
      </w:r>
    </w:p>
    <w:p w14:paraId="5854FA49">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七、我单位不向招标人或者评标委员会成员行贿以牟取中标，不在开标后进行虚假恶意投诉。</w:t>
      </w:r>
    </w:p>
    <w:p w14:paraId="4F12BAA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1C8E92D9">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九、我单位如在本项目招标投标活动评标工作中存在串通投标、弄虚作假等行为的，本单位及本人自愿承担法律责任，接受相应刑事、纪律和行政处罚以及失信惩戒。</w:t>
      </w:r>
    </w:p>
    <w:p w14:paraId="24A458F0">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十、本承诺函由我单位盖章及法定代表人（授权委托人）本人亲自签字确认。</w:t>
      </w:r>
    </w:p>
    <w:p w14:paraId="4FF4BB50">
      <w:pPr>
        <w:adjustRightInd w:val="0"/>
        <w:snapToGrid w:val="0"/>
        <w:spacing w:line="288" w:lineRule="auto"/>
        <w:ind w:firstLine="440" w:firstLineChars="200"/>
        <w:rPr>
          <w:rFonts w:ascii="Times New Roman" w:hAnsi="Times New Roman" w:eastAsia="宋体" w:cs="FangSong_GB2312"/>
          <w:color w:val="auto"/>
          <w:szCs w:val="21"/>
        </w:rPr>
      </w:pPr>
    </w:p>
    <w:p w14:paraId="7AC2DAE1">
      <w:pPr>
        <w:widowControl w:val="0"/>
        <w:adjustRightInd w:val="0"/>
        <w:snapToGrid w:val="0"/>
        <w:spacing w:line="360" w:lineRule="auto"/>
        <w:ind w:firstLine="440" w:firstLineChars="200"/>
        <w:rPr>
          <w:rFonts w:ascii="Times New Roman" w:hAnsi="Times New Roman" w:eastAsia="宋体" w:cs="FangSong_GB2312"/>
          <w:color w:val="auto"/>
          <w:szCs w:val="21"/>
        </w:rPr>
      </w:pPr>
      <w:bookmarkStart w:id="876" w:name="_Toc56792866"/>
      <w:bookmarkStart w:id="877" w:name="_Toc52810188"/>
      <w:r>
        <w:rPr>
          <w:rFonts w:hint="eastAsia" w:ascii="Times New Roman" w:hAnsi="Times New Roman" w:eastAsia="宋体" w:cs="FangSong_GB2312"/>
          <w:color w:val="auto"/>
          <w:szCs w:val="21"/>
        </w:rPr>
        <w:t>承诺单位：</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w:t>
      </w:r>
      <w:bookmarkStart w:id="878" w:name="_Toc123730276"/>
      <w:bookmarkStart w:id="879" w:name="_Toc9473"/>
      <w:bookmarkStart w:id="880" w:name="_Toc30770"/>
      <w:bookmarkStart w:id="881" w:name="_Toc10235"/>
      <w:bookmarkStart w:id="882" w:name="_Toc20038"/>
      <w:bookmarkStart w:id="883" w:name="_Toc2702"/>
      <w:bookmarkStart w:id="884" w:name="_Toc32592"/>
      <w:bookmarkStart w:id="885" w:name="_Toc14448"/>
      <w:r>
        <w:rPr>
          <w:rFonts w:hint="eastAsia" w:ascii="Times New Roman" w:hAnsi="Times New Roman" w:eastAsia="宋体" w:cs="FangSong_GB2312"/>
          <w:color w:val="auto"/>
          <w:szCs w:val="21"/>
        </w:rPr>
        <w:t>单位CA数字证书章</w:t>
      </w:r>
    </w:p>
    <w:p w14:paraId="2053DC61">
      <w:pPr>
        <w:widowControl w:val="0"/>
        <w:adjustRightInd w:val="0"/>
        <w:snapToGrid w:val="0"/>
        <w:spacing w:line="360" w:lineRule="auto"/>
        <w:ind w:firstLine="440" w:firstLineChars="200"/>
        <w:rPr>
          <w:rFonts w:ascii="Times New Roman" w:hAnsi="Times New Roman" w:eastAsia="宋体" w:cs="FangSong_GB2312"/>
          <w:color w:val="auto"/>
          <w:szCs w:val="21"/>
        </w:rPr>
      </w:pPr>
      <w:r>
        <w:rPr>
          <w:rFonts w:hint="eastAsia" w:ascii="Times New Roman" w:hAnsi="Times New Roman" w:eastAsia="宋体" w:cs="FangSong_GB2312"/>
          <w:color w:val="auto"/>
          <w:szCs w:val="21"/>
        </w:rPr>
        <w:t>法定代表人（或授权委托人）：</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（CA数字证书章）</w:t>
      </w:r>
      <w:bookmarkEnd w:id="878"/>
      <w:bookmarkEnd w:id="879"/>
      <w:bookmarkEnd w:id="880"/>
      <w:bookmarkEnd w:id="881"/>
      <w:bookmarkEnd w:id="882"/>
      <w:bookmarkEnd w:id="883"/>
      <w:bookmarkEnd w:id="884"/>
      <w:bookmarkEnd w:id="885"/>
    </w:p>
    <w:p w14:paraId="4C3A4BC8">
      <w:pPr>
        <w:widowControl w:val="0"/>
        <w:adjustRightInd w:val="0"/>
        <w:snapToGrid w:val="0"/>
        <w:spacing w:line="360" w:lineRule="auto"/>
        <w:ind w:firstLine="440" w:firstLineChars="200"/>
        <w:rPr>
          <w:rFonts w:ascii="Times New Roman" w:hAnsi="Times New Roman" w:eastAsia="宋体" w:cs="FangSong_GB2312"/>
          <w:color w:val="auto"/>
          <w:szCs w:val="21"/>
        </w:rPr>
        <w:sectPr>
          <w:pgSz w:w="11906" w:h="16838"/>
          <w:pgMar w:top="1440" w:right="1800" w:bottom="1440" w:left="1800" w:header="737" w:footer="850" w:gutter="0"/>
          <w:cols w:space="720" w:num="1"/>
          <w:docGrid w:type="lines" w:linePitch="312" w:charSpace="0"/>
        </w:sectPr>
      </w:pPr>
      <w:bookmarkStart w:id="886" w:name="_Toc123730277"/>
      <w:bookmarkStart w:id="887" w:name="_Toc19976"/>
      <w:bookmarkStart w:id="888" w:name="_Toc17951"/>
      <w:bookmarkStart w:id="889" w:name="_Toc7837"/>
      <w:bookmarkStart w:id="890" w:name="_Toc22874"/>
      <w:bookmarkStart w:id="891" w:name="_Toc118023013"/>
      <w:bookmarkStart w:id="892" w:name="_Toc8363"/>
      <w:bookmarkStart w:id="893" w:name="_Toc15294"/>
      <w:bookmarkStart w:id="894" w:name="_Toc25384"/>
      <w:bookmarkStart w:id="895" w:name="_Toc15498"/>
      <w:bookmarkStart w:id="896" w:name="_Toc26060"/>
      <w:bookmarkStart w:id="897" w:name="_Toc21136"/>
      <w:bookmarkStart w:id="898" w:name="_Toc19794"/>
      <w:bookmarkStart w:id="899" w:name="_Toc3564"/>
      <w:bookmarkStart w:id="900" w:name="_Toc17042"/>
      <w:r>
        <w:rPr>
          <w:rFonts w:hint="eastAsia" w:ascii="Times New Roman" w:hAnsi="Times New Roman" w:eastAsia="宋体" w:cs="FangSong_GB2312"/>
          <w:color w:val="auto"/>
          <w:szCs w:val="21"/>
        </w:rPr>
        <w:t>承诺时间：</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年</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月</w:t>
      </w:r>
      <w:r>
        <w:rPr>
          <w:rFonts w:hint="eastAsia" w:ascii="Times New Roman" w:hAnsi="Times New Roman" w:eastAsia="宋体" w:cs="FangSong_GB2312"/>
          <w:color w:val="auto"/>
          <w:szCs w:val="21"/>
          <w:u w:val="single"/>
        </w:rPr>
        <w:t xml:space="preserve">       </w:t>
      </w:r>
      <w:r>
        <w:rPr>
          <w:rFonts w:hint="eastAsia" w:ascii="Times New Roman" w:hAnsi="Times New Roman" w:eastAsia="宋体" w:cs="FangSong_GB2312"/>
          <w:color w:val="auto"/>
          <w:szCs w:val="21"/>
        </w:rPr>
        <w:t>日</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737A09A0"/>
    <w:p w14:paraId="2BD03464">
      <w:pPr>
        <w:widowControl w:val="0"/>
        <w:numPr>
          <w:ilvl w:val="0"/>
          <w:numId w:val="7"/>
        </w:numPr>
        <w:jc w:val="center"/>
        <w:outlineLvl w:val="1"/>
        <w:rPr>
          <w:rFonts w:hint="eastAsia" w:ascii="Times New Roman" w:hAnsi="Times New Roman" w:eastAsia="宋体" w:cs="宋体"/>
          <w:b/>
          <w:color w:val="auto"/>
          <w:sz w:val="28"/>
        </w:rPr>
      </w:pPr>
      <w:bookmarkStart w:id="901" w:name="_Toc16835"/>
      <w:bookmarkStart w:id="902" w:name="_Toc4699"/>
      <w:bookmarkStart w:id="903" w:name="_Toc6997"/>
      <w:bookmarkStart w:id="904" w:name="_Toc15613"/>
      <w:bookmarkStart w:id="905" w:name="_Toc15716"/>
      <w:bookmarkStart w:id="906" w:name="_Toc8924"/>
      <w:r>
        <w:rPr>
          <w:rFonts w:hint="eastAsia" w:ascii="Times New Roman" w:hAnsi="Times New Roman" w:eastAsia="宋体" w:cs="宋体"/>
          <w:b/>
          <w:color w:val="auto"/>
          <w:sz w:val="28"/>
        </w:rPr>
        <w:t>其它</w:t>
      </w:r>
      <w:bookmarkEnd w:id="876"/>
      <w:bookmarkEnd w:id="877"/>
      <w:bookmarkEnd w:id="901"/>
      <w:bookmarkEnd w:id="902"/>
      <w:bookmarkEnd w:id="903"/>
      <w:bookmarkEnd w:id="904"/>
      <w:bookmarkEnd w:id="905"/>
      <w:bookmarkEnd w:id="906"/>
    </w:p>
    <w:p w14:paraId="648F931F">
      <w:pPr>
        <w:pStyle w:val="4"/>
        <w:jc w:val="center"/>
      </w:pPr>
      <w:r>
        <w:rPr>
          <w:rFonts w:hint="eastAsia"/>
        </w:rPr>
        <w:t>投标人两个及以上</w:t>
      </w:r>
      <w:r>
        <w:rPr>
          <w:rFonts w:hint="eastAsia"/>
          <w:lang w:val="en-US" w:eastAsia="zh-CN"/>
        </w:rPr>
        <w:t>标段</w:t>
      </w:r>
      <w:r>
        <w:rPr>
          <w:rFonts w:hint="eastAsia"/>
        </w:rPr>
        <w:t>均参与投标承诺书</w:t>
      </w:r>
    </w:p>
    <w:p w14:paraId="7285384B">
      <w:pPr>
        <w:spacing w:before="120" w:line="22" w:lineRule="atLeast"/>
        <w:ind w:left="960" w:hanging="480"/>
        <w:rPr>
          <w:sz w:val="24"/>
          <w:szCs w:val="24"/>
          <w:u w:val="single"/>
        </w:rPr>
      </w:pPr>
      <w:r>
        <w:rPr>
          <w:rFonts w:hint="eastAsia"/>
          <w:sz w:val="24"/>
          <w:szCs w:val="24"/>
        </w:rPr>
        <w:t>如我方所投的</w:t>
      </w:r>
      <w:r>
        <w:rPr>
          <w:rFonts w:hint="eastAsia"/>
          <w:sz w:val="24"/>
          <w:szCs w:val="24"/>
          <w:lang w:val="en-US" w:eastAsia="zh-CN"/>
        </w:rPr>
        <w:t>标段</w:t>
      </w:r>
      <w:r>
        <w:rPr>
          <w:rFonts w:hint="eastAsia"/>
          <w:sz w:val="24"/>
          <w:szCs w:val="24"/>
        </w:rPr>
        <w:t>数量为两个及以上的，则优先选择中标的</w:t>
      </w:r>
      <w:r>
        <w:rPr>
          <w:rFonts w:hint="eastAsia"/>
          <w:sz w:val="24"/>
          <w:szCs w:val="24"/>
          <w:lang w:val="en-US" w:eastAsia="zh-CN"/>
        </w:rPr>
        <w:t>标段</w:t>
      </w:r>
      <w:r>
        <w:rPr>
          <w:rFonts w:hint="eastAsia"/>
          <w:sz w:val="24"/>
          <w:szCs w:val="24"/>
        </w:rPr>
        <w:t>顺序为：</w:t>
      </w:r>
      <w:r>
        <w:rPr>
          <w:sz w:val="24"/>
          <w:szCs w:val="24"/>
          <w:u w:val="single"/>
        </w:rPr>
        <w:t xml:space="preserve">   </w:t>
      </w:r>
    </w:p>
    <w:p w14:paraId="5EC71837">
      <w:pPr>
        <w:autoSpaceDE w:val="0"/>
        <w:autoSpaceDN w:val="0"/>
        <w:adjustRightInd w:val="0"/>
        <w:rPr>
          <w:rFonts w:hint="default" w:eastAsia="宋体"/>
          <w:sz w:val="24"/>
          <w:szCs w:val="24"/>
          <w:lang w:val="en-US" w:eastAsia="zh-CN"/>
        </w:rPr>
      </w:pPr>
      <w:r>
        <w:rPr>
          <w:sz w:val="24"/>
          <w:szCs w:val="24"/>
          <w:u w:val="single"/>
        </w:rPr>
        <w:t xml:space="preserve">                   </w:t>
      </w:r>
      <w:r>
        <w:rPr>
          <w:rFonts w:hint="eastAsia"/>
          <w:sz w:val="24"/>
          <w:szCs w:val="24"/>
        </w:rPr>
        <w:t>。（注：如不填写承诺，默认为优选顺序为第1，2，3</w:t>
      </w:r>
      <w:r>
        <w:rPr>
          <w:rFonts w:hint="eastAsia" w:eastAsia="宋体"/>
          <w:sz w:val="24"/>
          <w:szCs w:val="24"/>
          <w:lang w:eastAsia="zh-CN"/>
        </w:rPr>
        <w:t>，</w:t>
      </w:r>
      <w:r>
        <w:rPr>
          <w:rFonts w:hint="eastAsia" w:eastAsia="宋体"/>
          <w:sz w:val="24"/>
          <w:szCs w:val="24"/>
          <w:lang w:val="en-US" w:eastAsia="zh-CN"/>
        </w:rPr>
        <w:t>4</w:t>
      </w:r>
      <w:r>
        <w:rPr>
          <w:rFonts w:hint="eastAsia"/>
          <w:sz w:val="24"/>
          <w:szCs w:val="24"/>
        </w:rPr>
        <w:t>，</w:t>
      </w:r>
      <w:r>
        <w:rPr>
          <w:rFonts w:hint="eastAsia" w:eastAsia="宋体"/>
          <w:sz w:val="24"/>
          <w:szCs w:val="24"/>
          <w:lang w:val="en-US" w:eastAsia="zh-CN"/>
        </w:rPr>
        <w:t>5</w:t>
      </w:r>
      <w:r>
        <w:rPr>
          <w:rFonts w:hint="eastAsia"/>
          <w:sz w:val="24"/>
          <w:szCs w:val="24"/>
        </w:rPr>
        <w:t>，</w:t>
      </w:r>
      <w:r>
        <w:rPr>
          <w:rFonts w:hint="eastAsia" w:eastAsia="宋体"/>
          <w:sz w:val="24"/>
          <w:szCs w:val="24"/>
          <w:lang w:val="en-US" w:eastAsia="zh-CN"/>
        </w:rPr>
        <w:t>6</w:t>
      </w:r>
      <w:r>
        <w:rPr>
          <w:rFonts w:hint="eastAsia"/>
          <w:sz w:val="24"/>
          <w:szCs w:val="24"/>
        </w:rPr>
        <w:t>包）</w:t>
      </w:r>
      <w:r>
        <w:rPr>
          <w:rFonts w:hint="eastAsia" w:eastAsia="宋体"/>
          <w:sz w:val="24"/>
          <w:szCs w:val="24"/>
          <w:lang w:val="en-US" w:eastAsia="zh-CN"/>
        </w:rPr>
        <w:t>本项目兼投不兼中</w:t>
      </w:r>
    </w:p>
    <w:p w14:paraId="770A7659">
      <w:pPr>
        <w:autoSpaceDE w:val="0"/>
        <w:autoSpaceDN w:val="0"/>
        <w:adjustRightInd w:val="0"/>
        <w:rPr>
          <w:b/>
          <w:sz w:val="24"/>
          <w:szCs w:val="24"/>
        </w:rPr>
      </w:pPr>
    </w:p>
    <w:p w14:paraId="226DCC8E">
      <w:pPr>
        <w:autoSpaceDE w:val="0"/>
        <w:autoSpaceDN w:val="0"/>
        <w:adjustRightInd w:val="0"/>
        <w:rPr>
          <w:b/>
          <w:sz w:val="24"/>
          <w:szCs w:val="24"/>
        </w:rPr>
      </w:pPr>
    </w:p>
    <w:p w14:paraId="42F90F54">
      <w:pPr>
        <w:autoSpaceDE w:val="0"/>
        <w:autoSpaceDN w:val="0"/>
        <w:adjustRightInd w:val="0"/>
        <w:rPr>
          <w:b/>
          <w:sz w:val="24"/>
          <w:szCs w:val="24"/>
        </w:rPr>
      </w:pPr>
    </w:p>
    <w:p w14:paraId="28557A2D">
      <w:pPr>
        <w:autoSpaceDE w:val="0"/>
        <w:autoSpaceDN w:val="0"/>
        <w:adjustRightInd w:val="0"/>
        <w:rPr>
          <w:b/>
          <w:sz w:val="24"/>
          <w:szCs w:val="24"/>
        </w:rPr>
      </w:pPr>
    </w:p>
    <w:p w14:paraId="6B25E833">
      <w:pPr>
        <w:spacing w:before="120" w:line="22" w:lineRule="atLeast"/>
        <w:ind w:left="960" w:hanging="480"/>
        <w:jc w:val="right"/>
        <w:rPr>
          <w:rFonts w:hint="eastAsia"/>
          <w:sz w:val="24"/>
          <w:szCs w:val="24"/>
        </w:rPr>
      </w:pPr>
      <w:r>
        <w:rPr>
          <w:rFonts w:hint="eastAsia"/>
          <w:sz w:val="24"/>
          <w:szCs w:val="24"/>
        </w:rPr>
        <w:t>投 标 人：                      （盖单位章）</w:t>
      </w:r>
    </w:p>
    <w:p w14:paraId="27991446">
      <w:pPr>
        <w:spacing w:before="120" w:line="22" w:lineRule="atLeast"/>
        <w:ind w:left="960" w:hanging="480"/>
        <w:jc w:val="right"/>
        <w:rPr>
          <w:rFonts w:hint="eastAsia"/>
          <w:sz w:val="24"/>
          <w:szCs w:val="24"/>
        </w:rPr>
      </w:pPr>
      <w:r>
        <w:rPr>
          <w:rFonts w:hint="eastAsia"/>
          <w:sz w:val="24"/>
          <w:szCs w:val="24"/>
        </w:rPr>
        <w:t>法定代表人或其委托代理人：          （盖章）</w:t>
      </w:r>
    </w:p>
    <w:p w14:paraId="2B171039">
      <w:pPr>
        <w:spacing w:before="120" w:line="22" w:lineRule="atLeast"/>
        <w:ind w:left="960" w:hanging="480"/>
        <w:jc w:val="right"/>
        <w:rPr>
          <w:rFonts w:hint="eastAsia"/>
          <w:sz w:val="24"/>
          <w:szCs w:val="24"/>
        </w:rPr>
      </w:pPr>
      <w:r>
        <w:rPr>
          <w:rFonts w:hint="eastAsia"/>
          <w:sz w:val="24"/>
          <w:szCs w:val="24"/>
        </w:rPr>
        <w:t xml:space="preserve">        年        月        日</w:t>
      </w:r>
    </w:p>
    <w:p w14:paraId="750FBFA1"/>
    <w:sectPr>
      <w:footerReference r:id="rId9" w:type="first"/>
      <w:footerReference r:id="rId7" w:type="default"/>
      <w:footerReference r:id="rId8" w:type="even"/>
      <w:pgSz w:w="11906" w:h="16838"/>
      <w:pgMar w:top="1701" w:right="1418" w:bottom="1701" w:left="1418" w:header="737" w:footer="85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FangSong_GB2312">
    <w:altName w:val="仿宋"/>
    <w:panose1 w:val="0201060906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EEFB3">
    <w:pPr>
      <w:pStyle w:val="9"/>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A0AA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5A0AAC3">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FD31">
    <w:pPr>
      <w:pStyle w:val="9"/>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ABF7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122</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A5ABF7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122</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CE135">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53589CEC">
    <w:pPr>
      <w:spacing w:after="0"/>
      <w:ind w:left="360"/>
    </w:pP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34313">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484112BC">
    <w:pPr>
      <w:spacing w:after="0"/>
      <w:ind w:left="360"/>
    </w:pP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CFF61">
    <w:pPr>
      <w:pStyle w:val="10"/>
      <w:pBdr>
        <w:bottom w:val="double" w:color="auto" w:sz="8" w:space="1"/>
      </w:pBdr>
    </w:pPr>
    <w:r>
      <w:rPr>
        <w:rFonts w:hint="eastAsia"/>
        <w:sz w:val="24"/>
        <w:szCs w:val="24"/>
      </w:rPr>
      <w:t>辽宁省水利工程标准</w:t>
    </w:r>
    <w:r>
      <w:rPr>
        <w:rFonts w:hint="eastAsia" w:eastAsia="宋体"/>
        <w:sz w:val="24"/>
        <w:szCs w:val="24"/>
      </w:rPr>
      <w:t>设备采购</w:t>
    </w:r>
    <w:r>
      <w:rPr>
        <w:rFonts w:hint="eastAsia"/>
        <w:sz w:val="24"/>
        <w:szCs w:val="24"/>
      </w:rPr>
      <w:t>招标文件（电子招标）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6C3D8"/>
    <w:multiLevelType w:val="singleLevel"/>
    <w:tmpl w:val="E0A6C3D8"/>
    <w:lvl w:ilvl="0" w:tentative="0">
      <w:start w:val="2"/>
      <w:numFmt w:val="decimal"/>
      <w:suff w:val="nothing"/>
      <w:lvlText w:val="（%1）"/>
      <w:lvlJc w:val="left"/>
    </w:lvl>
  </w:abstractNum>
  <w:abstractNum w:abstractNumId="1">
    <w:nsid w:val="121A30D1"/>
    <w:multiLevelType w:val="singleLevel"/>
    <w:tmpl w:val="121A30D1"/>
    <w:lvl w:ilvl="0" w:tentative="0">
      <w:start w:val="2"/>
      <w:numFmt w:val="chineseCounting"/>
      <w:suff w:val="nothing"/>
      <w:lvlText w:val="（%1）"/>
      <w:lvlJc w:val="left"/>
      <w:rPr>
        <w:rFonts w:hint="eastAsia"/>
      </w:rPr>
    </w:lvl>
  </w:abstractNum>
  <w:abstractNum w:abstractNumId="2">
    <w:nsid w:val="13F84AD7"/>
    <w:multiLevelType w:val="multilevel"/>
    <w:tmpl w:val="13F84AD7"/>
    <w:lvl w:ilvl="0" w:tentative="0">
      <w:start w:val="1"/>
      <w:numFmt w:val="decimal"/>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3">
    <w:nsid w:val="1C860523"/>
    <w:multiLevelType w:val="multilevel"/>
    <w:tmpl w:val="1C860523"/>
    <w:lvl w:ilvl="0" w:tentative="0">
      <w:start w:val="1"/>
      <w:numFmt w:val="decimal"/>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4">
    <w:nsid w:val="24AA86F7"/>
    <w:multiLevelType w:val="singleLevel"/>
    <w:tmpl w:val="24AA86F7"/>
    <w:lvl w:ilvl="0" w:tentative="0">
      <w:start w:val="1"/>
      <w:numFmt w:val="decimal"/>
      <w:suff w:val="nothing"/>
      <w:lvlText w:val="（%1）"/>
      <w:lvlJc w:val="left"/>
    </w:lvl>
  </w:abstractNum>
  <w:abstractNum w:abstractNumId="5">
    <w:nsid w:val="5A6F232D"/>
    <w:multiLevelType w:val="multilevel"/>
    <w:tmpl w:val="5A6F232D"/>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6">
    <w:nsid w:val="702618CD"/>
    <w:multiLevelType w:val="singleLevel"/>
    <w:tmpl w:val="702618CD"/>
    <w:lvl w:ilvl="0" w:tentative="0">
      <w:start w:val="10"/>
      <w:numFmt w:val="decimal"/>
      <w:lvlText w:val="%1."/>
      <w:lvlJc w:val="left"/>
      <w:pPr>
        <w:tabs>
          <w:tab w:val="left" w:pos="312"/>
        </w:tabs>
      </w:pPr>
    </w:lvl>
  </w:abstractNum>
  <w:num w:numId="1">
    <w:abstractNumId w:val="6"/>
  </w:num>
  <w:num w:numId="2">
    <w:abstractNumId w:val="4"/>
  </w:num>
  <w:num w:numId="3">
    <w:abstractNumId w:val="2"/>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172A27"/>
    <w:rsid w:val="00172A27"/>
    <w:rsid w:val="00231C49"/>
    <w:rsid w:val="002E6413"/>
    <w:rsid w:val="00345D20"/>
    <w:rsid w:val="0067081E"/>
    <w:rsid w:val="007A700A"/>
    <w:rsid w:val="00947ED1"/>
    <w:rsid w:val="00A92EC3"/>
    <w:rsid w:val="00B956B6"/>
    <w:rsid w:val="00E139F7"/>
    <w:rsid w:val="00ED5DD8"/>
    <w:rsid w:val="01615BA8"/>
    <w:rsid w:val="019B1886"/>
    <w:rsid w:val="02757087"/>
    <w:rsid w:val="03B55BCE"/>
    <w:rsid w:val="04166B3C"/>
    <w:rsid w:val="04203DE5"/>
    <w:rsid w:val="04997414"/>
    <w:rsid w:val="04E51E09"/>
    <w:rsid w:val="04ED2492"/>
    <w:rsid w:val="063B02C3"/>
    <w:rsid w:val="0681752A"/>
    <w:rsid w:val="078F7797"/>
    <w:rsid w:val="090A2665"/>
    <w:rsid w:val="0B6B14FF"/>
    <w:rsid w:val="0D6C74FD"/>
    <w:rsid w:val="0FE73EE9"/>
    <w:rsid w:val="102B4E43"/>
    <w:rsid w:val="129C545E"/>
    <w:rsid w:val="12E904C9"/>
    <w:rsid w:val="14481226"/>
    <w:rsid w:val="1487513A"/>
    <w:rsid w:val="18437AC7"/>
    <w:rsid w:val="18893D8F"/>
    <w:rsid w:val="1966000D"/>
    <w:rsid w:val="1B0B572D"/>
    <w:rsid w:val="1C2F4C4D"/>
    <w:rsid w:val="1D952165"/>
    <w:rsid w:val="1E0F2F88"/>
    <w:rsid w:val="1E474734"/>
    <w:rsid w:val="2124748E"/>
    <w:rsid w:val="23DB6CBA"/>
    <w:rsid w:val="241864F2"/>
    <w:rsid w:val="244F1171"/>
    <w:rsid w:val="274B5A7B"/>
    <w:rsid w:val="278A38B7"/>
    <w:rsid w:val="28EB3533"/>
    <w:rsid w:val="29156672"/>
    <w:rsid w:val="295B3526"/>
    <w:rsid w:val="29E40EA4"/>
    <w:rsid w:val="2B764647"/>
    <w:rsid w:val="2BA00EA1"/>
    <w:rsid w:val="2BCA04F4"/>
    <w:rsid w:val="2C31056E"/>
    <w:rsid w:val="2D25798F"/>
    <w:rsid w:val="2DB00C1C"/>
    <w:rsid w:val="34BC77EC"/>
    <w:rsid w:val="34CC177B"/>
    <w:rsid w:val="38910D86"/>
    <w:rsid w:val="3931104B"/>
    <w:rsid w:val="3A8532BF"/>
    <w:rsid w:val="3AE3337B"/>
    <w:rsid w:val="3B6F19D9"/>
    <w:rsid w:val="3C5B2F97"/>
    <w:rsid w:val="3DE24C14"/>
    <w:rsid w:val="3ED43706"/>
    <w:rsid w:val="3FF613FE"/>
    <w:rsid w:val="40737350"/>
    <w:rsid w:val="40FB22E9"/>
    <w:rsid w:val="440418E3"/>
    <w:rsid w:val="441E23B2"/>
    <w:rsid w:val="4558360C"/>
    <w:rsid w:val="46792E63"/>
    <w:rsid w:val="46C67DD9"/>
    <w:rsid w:val="46FE6F95"/>
    <w:rsid w:val="48DC6D8C"/>
    <w:rsid w:val="495D66D7"/>
    <w:rsid w:val="49E862B8"/>
    <w:rsid w:val="4ECD5392"/>
    <w:rsid w:val="4EDD03C6"/>
    <w:rsid w:val="4F9667B6"/>
    <w:rsid w:val="4F9E48DD"/>
    <w:rsid w:val="508144F0"/>
    <w:rsid w:val="50A05B3E"/>
    <w:rsid w:val="50D07C03"/>
    <w:rsid w:val="550C29F8"/>
    <w:rsid w:val="56224665"/>
    <w:rsid w:val="566526DD"/>
    <w:rsid w:val="56994E73"/>
    <w:rsid w:val="597337BB"/>
    <w:rsid w:val="59D730FA"/>
    <w:rsid w:val="5A875679"/>
    <w:rsid w:val="5FEE30C3"/>
    <w:rsid w:val="603E5A35"/>
    <w:rsid w:val="614D7670"/>
    <w:rsid w:val="617D5661"/>
    <w:rsid w:val="622A170C"/>
    <w:rsid w:val="635B79C1"/>
    <w:rsid w:val="63827325"/>
    <w:rsid w:val="640F0557"/>
    <w:rsid w:val="646D7A69"/>
    <w:rsid w:val="67015061"/>
    <w:rsid w:val="67144738"/>
    <w:rsid w:val="67612AE3"/>
    <w:rsid w:val="69F12B0F"/>
    <w:rsid w:val="6C57004C"/>
    <w:rsid w:val="6CF512C4"/>
    <w:rsid w:val="7184103A"/>
    <w:rsid w:val="73EF4563"/>
    <w:rsid w:val="74E514C2"/>
    <w:rsid w:val="76162730"/>
    <w:rsid w:val="772235D6"/>
    <w:rsid w:val="772B3B04"/>
    <w:rsid w:val="7730111A"/>
    <w:rsid w:val="7855353D"/>
    <w:rsid w:val="7CB24380"/>
    <w:rsid w:val="7D6B4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3">
    <w:name w:val="heading 2"/>
    <w:next w:val="1"/>
    <w:link w:val="37"/>
    <w:qFormat/>
    <w:uiPriority w:val="9"/>
    <w:pPr>
      <w:keepNext/>
      <w:keepLines/>
      <w:spacing w:line="264" w:lineRule="auto"/>
      <w:ind w:left="11" w:right="57" w:hanging="11"/>
      <w:outlineLvl w:val="1"/>
    </w:pPr>
    <w:rPr>
      <w:rFonts w:ascii="黑体" w:hAnsi="黑体" w:eastAsia="宋体" w:cs="黑体"/>
      <w:b/>
      <w:color w:val="000000"/>
      <w:kern w:val="2"/>
      <w:sz w:val="28"/>
      <w:szCs w:val="22"/>
      <w:lang w:val="en-US" w:eastAsia="zh-CN" w:bidi="ar-SA"/>
    </w:rPr>
  </w:style>
  <w:style w:type="paragraph" w:styleId="4">
    <w:name w:val="heading 3"/>
    <w:basedOn w:val="1"/>
    <w:next w:val="1"/>
    <w:qFormat/>
    <w:uiPriority w:val="9"/>
    <w:pPr>
      <w:keepNext/>
      <w:keepLines/>
      <w:spacing w:after="281" w:line="265" w:lineRule="auto"/>
      <w:ind w:left="10" w:right="53" w:hanging="10"/>
      <w:outlineLvl w:val="2"/>
    </w:pPr>
    <w:rPr>
      <w:rFonts w:ascii="黑体" w:hAnsi="黑体" w:eastAsia="黑体" w:cs="黑体"/>
      <w:color w:val="000000"/>
      <w:kern w:val="2"/>
      <w:sz w:val="28"/>
      <w:szCs w:val="2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widowControl w:val="0"/>
      <w:spacing w:after="0" w:line="240" w:lineRule="auto"/>
      <w:ind w:firstLine="420" w:firstLineChars="200"/>
      <w:jc w:val="both"/>
    </w:pPr>
    <w:rPr>
      <w:rFonts w:ascii="Times New Roman" w:hAnsi="Times New Roman" w:eastAsia="宋体" w:cs="Times New Roman"/>
      <w:color w:val="auto"/>
      <w:sz w:val="21"/>
      <w:szCs w:val="24"/>
    </w:rPr>
  </w:style>
  <w:style w:type="paragraph" w:styleId="6">
    <w:name w:val="annotation text"/>
    <w:basedOn w:val="1"/>
    <w:qFormat/>
    <w:uiPriority w:val="0"/>
    <w:pPr>
      <w:widowControl w:val="0"/>
      <w:spacing w:after="0" w:line="240" w:lineRule="auto"/>
    </w:pPr>
    <w:rPr>
      <w:rFonts w:ascii="Times New Roman" w:hAnsi="Times New Roman" w:eastAsia="宋体" w:cs="Times New Roman"/>
      <w:color w:val="auto"/>
      <w:sz w:val="21"/>
      <w:szCs w:val="24"/>
    </w:rPr>
  </w:style>
  <w:style w:type="paragraph" w:styleId="7">
    <w:name w:val="Body Text Indent"/>
    <w:basedOn w:val="1"/>
    <w:qFormat/>
    <w:uiPriority w:val="0"/>
    <w:pPr>
      <w:widowControl w:val="0"/>
      <w:spacing w:after="120" w:line="240" w:lineRule="auto"/>
      <w:ind w:left="420" w:leftChars="200"/>
      <w:jc w:val="both"/>
    </w:pPr>
    <w:rPr>
      <w:rFonts w:ascii="Times New Roman" w:hAnsi="Times New Roman" w:eastAsia="宋体" w:cs="Times New Roman"/>
      <w:color w:val="auto"/>
      <w:sz w:val="21"/>
      <w:szCs w:val="24"/>
    </w:rPr>
  </w:style>
  <w:style w:type="paragraph" w:styleId="8">
    <w:name w:val="Plain Text"/>
    <w:basedOn w:val="1"/>
    <w:qFormat/>
    <w:uiPriority w:val="0"/>
    <w:pPr>
      <w:widowControl w:val="0"/>
      <w:spacing w:after="0" w:line="240" w:lineRule="auto"/>
      <w:jc w:val="both"/>
    </w:pPr>
    <w:rPr>
      <w:rFonts w:ascii="宋体" w:hAnsi="Courier New" w:eastAsia="宋体" w:cs="Courier New"/>
      <w:color w:val="auto"/>
      <w:sz w:val="21"/>
      <w:szCs w:val="21"/>
    </w:rPr>
  </w:style>
  <w:style w:type="paragraph" w:styleId="9">
    <w:name w:val="footer"/>
    <w:basedOn w:val="1"/>
    <w:unhideWhenUsed/>
    <w:qFormat/>
    <w:uiPriority w:val="0"/>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qFormat/>
    <w:uiPriority w:val="39"/>
    <w:pPr>
      <w:spacing w:after="6" w:line="257" w:lineRule="auto"/>
      <w:ind w:left="25" w:right="61" w:hanging="10"/>
      <w:jc w:val="both"/>
    </w:pPr>
    <w:rPr>
      <w:rFonts w:ascii="Calibri" w:hAnsi="Calibri" w:eastAsia="Calibri" w:cs="Calibri"/>
      <w:color w:val="000000"/>
      <w:kern w:val="2"/>
      <w:sz w:val="21"/>
      <w:szCs w:val="22"/>
      <w:lang w:val="en-US" w:eastAsia="zh-CN" w:bidi="ar-SA"/>
    </w:rPr>
  </w:style>
  <w:style w:type="paragraph" w:styleId="12">
    <w:name w:val="List"/>
    <w:basedOn w:val="1"/>
    <w:qFormat/>
    <w:uiPriority w:val="0"/>
    <w:pPr>
      <w:widowControl w:val="0"/>
      <w:spacing w:after="0" w:line="240" w:lineRule="auto"/>
      <w:ind w:left="200" w:hanging="200" w:hangingChars="200"/>
      <w:jc w:val="both"/>
    </w:pPr>
    <w:rPr>
      <w:rFonts w:ascii="Times New Roman" w:hAnsi="Times New Roman" w:eastAsia="宋体" w:cs="Times New Roman"/>
      <w:color w:val="auto"/>
      <w:sz w:val="21"/>
      <w:szCs w:val="24"/>
    </w:rPr>
  </w:style>
  <w:style w:type="paragraph" w:styleId="13">
    <w:name w:val="toc 2"/>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14">
    <w:name w:val="List 4"/>
    <w:basedOn w:val="1"/>
    <w:semiHidden/>
    <w:qFormat/>
    <w:uiPriority w:val="0"/>
    <w:pPr>
      <w:widowControl w:val="0"/>
      <w:spacing w:after="0" w:line="240" w:lineRule="auto"/>
      <w:ind w:left="100" w:leftChars="600" w:hanging="200" w:hangingChars="200"/>
      <w:jc w:val="both"/>
    </w:pPr>
    <w:rPr>
      <w:rFonts w:ascii="Times New Roman" w:hAnsi="Times New Roman" w:eastAsia="宋体" w:cs="Times New Roman"/>
      <w:color w:val="auto"/>
      <w:sz w:val="21"/>
      <w:szCs w:val="24"/>
    </w:rPr>
  </w:style>
  <w:style w:type="paragraph" w:styleId="15">
    <w:name w:val="Normal (Web)"/>
    <w:basedOn w:val="1"/>
    <w:qFormat/>
    <w:uiPriority w:val="0"/>
    <w:pPr>
      <w:widowControl w:val="0"/>
      <w:spacing w:after="0" w:line="240" w:lineRule="auto"/>
      <w:jc w:val="both"/>
    </w:pPr>
    <w:rPr>
      <w:rFonts w:ascii="Times New Roman" w:hAnsi="Times New Roman" w:eastAsia="宋体" w:cs="Times New Roman"/>
      <w:color w:val="auto"/>
      <w:sz w:val="24"/>
      <w:szCs w:val="24"/>
    </w:rPr>
  </w:style>
  <w:style w:type="paragraph" w:styleId="16">
    <w:name w:val="Body Text First Indent 2"/>
    <w:basedOn w:val="7"/>
    <w:qFormat/>
    <w:uiPriority w:val="0"/>
    <w:pPr>
      <w:ind w:firstLine="420" w:firstLineChars="2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hint="default"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Char Char Char"/>
    <w:basedOn w:val="1"/>
    <w:qFormat/>
    <w:uiPriority w:val="0"/>
    <w:pPr>
      <w:spacing w:line="240" w:lineRule="exact"/>
    </w:pPr>
    <w:rPr>
      <w:rFonts w:ascii="Verdana" w:hAnsi="Verdana" w:eastAsia="宋体" w:cs="Times New Roman"/>
      <w:color w:val="auto"/>
      <w:kern w:val="0"/>
      <w:sz w:val="20"/>
      <w:szCs w:val="20"/>
      <w:lang w:eastAsia="en-US"/>
    </w:rPr>
  </w:style>
  <w:style w:type="paragraph" w:customStyle="1" w:styleId="33">
    <w:name w:val="CM91"/>
    <w:basedOn w:val="1"/>
    <w:next w:val="1"/>
    <w:qFormat/>
    <w:uiPriority w:val="0"/>
    <w:pPr>
      <w:widowControl w:val="0"/>
      <w:autoSpaceDE w:val="0"/>
      <w:autoSpaceDN w:val="0"/>
      <w:adjustRightInd w:val="0"/>
      <w:spacing w:line="240" w:lineRule="auto"/>
    </w:pPr>
    <w:rPr>
      <w:rFonts w:ascii="宋体" w:hAnsi="Times New Roman" w:eastAsia="宋体" w:cs="宋体"/>
      <w:color w:val="auto"/>
      <w:kern w:val="0"/>
      <w:sz w:val="24"/>
      <w:szCs w:val="24"/>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p0"/>
    <w:basedOn w:val="1"/>
    <w:qFormat/>
    <w:uiPriority w:val="0"/>
    <w:pPr>
      <w:spacing w:after="0" w:line="240" w:lineRule="auto"/>
      <w:jc w:val="both"/>
    </w:pPr>
    <w:rPr>
      <w:rFonts w:ascii="等线" w:hAnsi="等线" w:eastAsia="宋体" w:cs="Times New Roman"/>
      <w:color w:val="auto"/>
      <w:sz w:val="21"/>
      <w:szCs w:val="21"/>
    </w:rPr>
  </w:style>
  <w:style w:type="paragraph" w:customStyle="1" w:styleId="36">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7">
    <w:name w:val="見出し 2 (文字)"/>
    <w:link w:val="3"/>
    <w:qFormat/>
    <w:uiPriority w:val="0"/>
    <w:rPr>
      <w:rFonts w:ascii="黑体" w:hAnsi="黑体" w:eastAsia="宋体" w:cs="黑体"/>
      <w:b/>
      <w:color w:val="000000"/>
      <w:kern w:val="2"/>
      <w:sz w:val="28"/>
      <w:szCs w:val="22"/>
      <w:lang w:val="en-US" w:eastAsia="zh-CN" w:bidi="ar-SA"/>
    </w:rPr>
  </w:style>
  <w:style w:type="paragraph" w:customStyle="1" w:styleId="3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110</Pages>
  <Words>39873</Words>
  <Characters>43148</Characters>
  <Lines>419</Lines>
  <Paragraphs>118</Paragraphs>
  <TotalTime>0</TotalTime>
  <ScaleCrop>false</ScaleCrop>
  <LinksUpToDate>false</LinksUpToDate>
  <CharactersWithSpaces>50210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2024-05-21T04:29:00Z</dcterms:created>
  <dc:creator>王天甲</dc:creator>
  <cp:lastModifiedBy>Administrator</cp:lastModifiedBy>
  <dcterms:modified xsi:type="dcterms:W3CDTF">2025-10-17T06:15:34Z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DBEAEBE74ABF468A970AB76E73169F78_13</vt:lpwstr>
  </property>
  <property fmtid="{D5CDD505-2E9C-101B-9397-08002B2CF9AE}" pid="4" name="KSOTemplateDocerSaveRecord">
    <vt:lpwstr>eyJoZGlkIjoiYzliYmU0OGRhMDk0MDE2M2U3NzE3MjY5NjdjZjE5ZWIiLCJ1c2VySWQiOiIxMjQxNDI3NjAyIn0=</vt:lpwstr>
  </property>
</Properties>
</file>