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C8B7D4">
      <w:pPr>
        <w:keepNext w:val="0"/>
        <w:keepLines w:val="0"/>
        <w:widowControl/>
        <w:suppressLineNumbers w:val="0"/>
        <w:jc w:val="center"/>
        <w:rPr>
          <w:color w:val="auto"/>
          <w:highlight w:val="none"/>
        </w:rPr>
      </w:pPr>
      <w:r>
        <w:rPr>
          <w:rFonts w:ascii="黑体" w:hAnsi="宋体" w:eastAsia="黑体" w:cs="黑体"/>
          <w:color w:val="auto"/>
          <w:kern w:val="0"/>
          <w:sz w:val="52"/>
          <w:szCs w:val="52"/>
          <w:highlight w:val="none"/>
          <w:lang w:val="en-US" w:eastAsia="zh-CN" w:bidi="ar"/>
        </w:rPr>
        <w:t>辽宁省房屋建筑和市政工程</w:t>
      </w:r>
    </w:p>
    <w:p w14:paraId="49579259">
      <w:pPr>
        <w:keepNext w:val="0"/>
        <w:keepLines w:val="0"/>
        <w:widowControl/>
        <w:suppressLineNumbers w:val="0"/>
        <w:jc w:val="center"/>
        <w:rPr>
          <w:color w:val="auto"/>
          <w:highlight w:val="none"/>
        </w:rPr>
      </w:pPr>
      <w:r>
        <w:rPr>
          <w:rFonts w:hint="eastAsia" w:ascii="黑体" w:hAnsi="宋体" w:eastAsia="黑体" w:cs="黑体"/>
          <w:color w:val="auto"/>
          <w:kern w:val="0"/>
          <w:sz w:val="52"/>
          <w:szCs w:val="52"/>
          <w:highlight w:val="none"/>
          <w:lang w:val="en-US" w:eastAsia="zh-CN" w:bidi="ar"/>
        </w:rPr>
        <w:t>设计施工总承包招标文件示范文本</w:t>
      </w:r>
    </w:p>
    <w:p w14:paraId="24867628">
      <w:pPr>
        <w:keepNext w:val="0"/>
        <w:keepLines w:val="0"/>
        <w:widowControl/>
        <w:suppressLineNumbers w:val="0"/>
        <w:jc w:val="center"/>
        <w:rPr>
          <w:color w:val="auto"/>
          <w:highlight w:val="none"/>
        </w:rPr>
      </w:pPr>
      <w:r>
        <w:rPr>
          <w:rFonts w:ascii="楷体" w:hAnsi="楷体" w:eastAsia="楷体" w:cs="楷体"/>
          <w:color w:val="auto"/>
          <w:kern w:val="0"/>
          <w:sz w:val="36"/>
          <w:szCs w:val="36"/>
          <w:highlight w:val="none"/>
          <w:lang w:val="en-US" w:eastAsia="zh-CN" w:bidi="ar"/>
        </w:rPr>
        <w:t>（</w:t>
      </w:r>
      <w:r>
        <w:rPr>
          <w:rFonts w:hint="default" w:ascii="Times New Roman" w:hAnsi="Times New Roman" w:eastAsia="宋体" w:cs="Times New Roman"/>
          <w:color w:val="auto"/>
          <w:kern w:val="0"/>
          <w:sz w:val="36"/>
          <w:szCs w:val="36"/>
          <w:highlight w:val="none"/>
          <w:lang w:val="en-US" w:eastAsia="zh-CN" w:bidi="ar"/>
        </w:rPr>
        <w:t xml:space="preserve">2024 </w:t>
      </w:r>
      <w:r>
        <w:rPr>
          <w:rFonts w:hint="eastAsia" w:ascii="楷体" w:hAnsi="楷体" w:eastAsia="楷体" w:cs="楷体"/>
          <w:color w:val="auto"/>
          <w:kern w:val="0"/>
          <w:sz w:val="36"/>
          <w:szCs w:val="36"/>
          <w:highlight w:val="none"/>
          <w:lang w:val="en-US" w:eastAsia="zh-CN" w:bidi="ar"/>
        </w:rPr>
        <w:t>年版，适用于未进行资格预审的）</w:t>
      </w:r>
    </w:p>
    <w:p w14:paraId="0729C37A">
      <w:pPr>
        <w:keepNext w:val="0"/>
        <w:keepLines w:val="0"/>
        <w:widowControl/>
        <w:suppressLineNumbers w:val="0"/>
        <w:jc w:val="left"/>
        <w:rPr>
          <w:rFonts w:hint="eastAsia" w:ascii="黑体" w:hAnsi="宋体" w:eastAsia="黑体" w:cs="黑体"/>
          <w:color w:val="auto"/>
          <w:kern w:val="0"/>
          <w:sz w:val="32"/>
          <w:szCs w:val="32"/>
          <w:highlight w:val="none"/>
          <w:lang w:val="en-US" w:eastAsia="zh-CN" w:bidi="ar"/>
        </w:rPr>
      </w:pPr>
    </w:p>
    <w:p w14:paraId="5516D725">
      <w:pPr>
        <w:keepNext w:val="0"/>
        <w:keepLines w:val="0"/>
        <w:widowControl/>
        <w:suppressLineNumbers w:val="0"/>
        <w:jc w:val="left"/>
        <w:rPr>
          <w:rFonts w:hint="eastAsia" w:ascii="黑体" w:hAnsi="宋体" w:eastAsia="黑体" w:cs="黑体"/>
          <w:color w:val="auto"/>
          <w:kern w:val="0"/>
          <w:sz w:val="32"/>
          <w:szCs w:val="32"/>
          <w:highlight w:val="none"/>
          <w:lang w:val="en-US" w:eastAsia="zh-CN" w:bidi="ar"/>
        </w:rPr>
      </w:pPr>
    </w:p>
    <w:p w14:paraId="38DA3D65">
      <w:pPr>
        <w:keepNext w:val="0"/>
        <w:keepLines w:val="0"/>
        <w:widowControl/>
        <w:suppressLineNumbers w:val="0"/>
        <w:jc w:val="left"/>
        <w:rPr>
          <w:rFonts w:hint="eastAsia" w:ascii="黑体" w:hAnsi="宋体" w:eastAsia="黑体" w:cs="黑体"/>
          <w:color w:val="auto"/>
          <w:kern w:val="0"/>
          <w:sz w:val="32"/>
          <w:szCs w:val="32"/>
          <w:highlight w:val="none"/>
          <w:lang w:val="en-US" w:eastAsia="zh-CN" w:bidi="ar"/>
        </w:rPr>
      </w:pPr>
    </w:p>
    <w:p w14:paraId="05871B54">
      <w:pPr>
        <w:keepNext w:val="0"/>
        <w:keepLines w:val="0"/>
        <w:widowControl/>
        <w:suppressLineNumbers w:val="0"/>
        <w:jc w:val="left"/>
        <w:rPr>
          <w:rFonts w:hint="eastAsia" w:ascii="黑体" w:hAnsi="宋体" w:eastAsia="黑体" w:cs="黑体"/>
          <w:color w:val="auto"/>
          <w:kern w:val="0"/>
          <w:sz w:val="32"/>
          <w:szCs w:val="32"/>
          <w:highlight w:val="none"/>
          <w:lang w:val="en-US" w:eastAsia="zh-CN" w:bidi="ar"/>
        </w:rPr>
      </w:pPr>
    </w:p>
    <w:p w14:paraId="5A4E8019">
      <w:pPr>
        <w:keepNext w:val="0"/>
        <w:keepLines w:val="0"/>
        <w:widowControl/>
        <w:suppressLineNumbers w:val="0"/>
        <w:jc w:val="left"/>
        <w:rPr>
          <w:rFonts w:hint="eastAsia" w:ascii="黑体" w:hAnsi="宋体" w:eastAsia="黑体" w:cs="黑体"/>
          <w:color w:val="auto"/>
          <w:kern w:val="0"/>
          <w:sz w:val="32"/>
          <w:szCs w:val="32"/>
          <w:highlight w:val="none"/>
          <w:lang w:val="en-US" w:eastAsia="zh-CN" w:bidi="ar"/>
        </w:rPr>
      </w:pPr>
    </w:p>
    <w:p w14:paraId="52F31289">
      <w:pPr>
        <w:keepNext w:val="0"/>
        <w:keepLines w:val="0"/>
        <w:widowControl/>
        <w:suppressLineNumbers w:val="0"/>
        <w:jc w:val="left"/>
        <w:rPr>
          <w:rFonts w:hint="eastAsia" w:ascii="黑体" w:hAnsi="宋体" w:eastAsia="黑体" w:cs="黑体"/>
          <w:color w:val="auto"/>
          <w:kern w:val="0"/>
          <w:sz w:val="32"/>
          <w:szCs w:val="32"/>
          <w:highlight w:val="none"/>
          <w:lang w:val="en-US" w:eastAsia="zh-CN" w:bidi="ar"/>
        </w:rPr>
      </w:pPr>
    </w:p>
    <w:p w14:paraId="0E716B94">
      <w:pPr>
        <w:keepNext w:val="0"/>
        <w:keepLines w:val="0"/>
        <w:widowControl/>
        <w:suppressLineNumbers w:val="0"/>
        <w:jc w:val="left"/>
        <w:rPr>
          <w:rFonts w:hint="eastAsia" w:ascii="黑体" w:hAnsi="宋体" w:eastAsia="黑体" w:cs="黑体"/>
          <w:color w:val="auto"/>
          <w:kern w:val="0"/>
          <w:sz w:val="32"/>
          <w:szCs w:val="32"/>
          <w:highlight w:val="none"/>
          <w:lang w:val="en-US" w:eastAsia="zh-CN" w:bidi="ar"/>
        </w:rPr>
      </w:pPr>
    </w:p>
    <w:p w14:paraId="7465A61D">
      <w:pPr>
        <w:keepNext w:val="0"/>
        <w:keepLines w:val="0"/>
        <w:widowControl/>
        <w:suppressLineNumbers w:val="0"/>
        <w:jc w:val="left"/>
        <w:rPr>
          <w:rFonts w:hint="eastAsia" w:ascii="黑体" w:hAnsi="宋体" w:eastAsia="黑体" w:cs="黑体"/>
          <w:color w:val="auto"/>
          <w:kern w:val="0"/>
          <w:sz w:val="32"/>
          <w:szCs w:val="32"/>
          <w:highlight w:val="none"/>
          <w:lang w:val="en-US" w:eastAsia="zh-CN" w:bidi="ar"/>
        </w:rPr>
      </w:pPr>
    </w:p>
    <w:p w14:paraId="23A724D3">
      <w:pPr>
        <w:keepNext w:val="0"/>
        <w:keepLines w:val="0"/>
        <w:widowControl/>
        <w:suppressLineNumbers w:val="0"/>
        <w:jc w:val="left"/>
        <w:rPr>
          <w:rFonts w:hint="eastAsia" w:ascii="黑体" w:hAnsi="宋体" w:eastAsia="黑体" w:cs="黑体"/>
          <w:color w:val="auto"/>
          <w:kern w:val="0"/>
          <w:sz w:val="32"/>
          <w:szCs w:val="32"/>
          <w:highlight w:val="none"/>
          <w:lang w:val="en-US" w:eastAsia="zh-CN" w:bidi="ar"/>
        </w:rPr>
      </w:pPr>
    </w:p>
    <w:p w14:paraId="4A6051BE">
      <w:pPr>
        <w:keepNext w:val="0"/>
        <w:keepLines w:val="0"/>
        <w:widowControl/>
        <w:suppressLineNumbers w:val="0"/>
        <w:jc w:val="left"/>
        <w:rPr>
          <w:rFonts w:hint="eastAsia" w:ascii="黑体" w:hAnsi="宋体" w:eastAsia="黑体" w:cs="黑体"/>
          <w:color w:val="auto"/>
          <w:kern w:val="0"/>
          <w:sz w:val="32"/>
          <w:szCs w:val="32"/>
          <w:highlight w:val="none"/>
          <w:lang w:val="en-US" w:eastAsia="zh-CN" w:bidi="ar"/>
        </w:rPr>
      </w:pPr>
    </w:p>
    <w:p w14:paraId="3C43310C">
      <w:pPr>
        <w:keepNext w:val="0"/>
        <w:keepLines w:val="0"/>
        <w:widowControl/>
        <w:suppressLineNumbers w:val="0"/>
        <w:jc w:val="left"/>
        <w:rPr>
          <w:rFonts w:hint="eastAsia" w:ascii="黑体" w:hAnsi="宋体" w:eastAsia="黑体" w:cs="黑体"/>
          <w:color w:val="auto"/>
          <w:kern w:val="0"/>
          <w:sz w:val="32"/>
          <w:szCs w:val="32"/>
          <w:highlight w:val="none"/>
          <w:lang w:val="en-US" w:eastAsia="zh-CN" w:bidi="ar"/>
        </w:rPr>
      </w:pPr>
    </w:p>
    <w:p w14:paraId="46390BD6">
      <w:pPr>
        <w:keepNext w:val="0"/>
        <w:keepLines w:val="0"/>
        <w:widowControl/>
        <w:suppressLineNumbers w:val="0"/>
        <w:jc w:val="left"/>
        <w:rPr>
          <w:rFonts w:hint="eastAsia" w:ascii="黑体" w:hAnsi="宋体" w:eastAsia="黑体" w:cs="黑体"/>
          <w:color w:val="auto"/>
          <w:kern w:val="0"/>
          <w:sz w:val="32"/>
          <w:szCs w:val="32"/>
          <w:highlight w:val="none"/>
          <w:lang w:val="en-US" w:eastAsia="zh-CN" w:bidi="ar"/>
        </w:rPr>
      </w:pPr>
    </w:p>
    <w:p w14:paraId="247B0225">
      <w:pPr>
        <w:keepNext w:val="0"/>
        <w:keepLines w:val="0"/>
        <w:widowControl/>
        <w:suppressLineNumbers w:val="0"/>
        <w:jc w:val="center"/>
        <w:rPr>
          <w:color w:val="auto"/>
          <w:highlight w:val="none"/>
        </w:rPr>
      </w:pPr>
      <w:r>
        <w:rPr>
          <w:rFonts w:hint="eastAsia" w:ascii="黑体" w:hAnsi="宋体" w:eastAsia="黑体" w:cs="黑体"/>
          <w:color w:val="auto"/>
          <w:kern w:val="0"/>
          <w:sz w:val="32"/>
          <w:szCs w:val="32"/>
          <w:highlight w:val="none"/>
          <w:lang w:val="en-US" w:eastAsia="zh-CN" w:bidi="ar"/>
        </w:rPr>
        <w:t>辽宁省住房和城乡建设厅</w:t>
      </w:r>
    </w:p>
    <w:p w14:paraId="39D8FB51">
      <w:pPr>
        <w:keepNext w:val="0"/>
        <w:keepLines w:val="0"/>
        <w:widowControl/>
        <w:suppressLineNumbers w:val="0"/>
        <w:jc w:val="center"/>
        <w:rPr>
          <w:color w:val="auto"/>
          <w:highlight w:val="none"/>
        </w:rPr>
      </w:pPr>
      <w:r>
        <w:rPr>
          <w:rFonts w:hint="eastAsia" w:ascii="黑体" w:hAnsi="宋体" w:eastAsia="黑体" w:cs="黑体"/>
          <w:color w:val="auto"/>
          <w:kern w:val="0"/>
          <w:sz w:val="32"/>
          <w:szCs w:val="32"/>
          <w:highlight w:val="none"/>
          <w:lang w:val="en-US" w:eastAsia="zh-CN" w:bidi="ar"/>
        </w:rPr>
        <w:t>辽宁省发展和改革委员会</w:t>
      </w:r>
    </w:p>
    <w:p w14:paraId="2DAFFE7F">
      <w:pPr>
        <w:keepNext w:val="0"/>
        <w:keepLines w:val="0"/>
        <w:widowControl/>
        <w:suppressLineNumbers w:val="0"/>
        <w:jc w:val="center"/>
        <w:rPr>
          <w:rFonts w:hint="eastAsia" w:ascii="黑体" w:hAnsi="宋体" w:eastAsia="黑体" w:cs="黑体"/>
          <w:color w:val="auto"/>
          <w:kern w:val="0"/>
          <w:sz w:val="32"/>
          <w:szCs w:val="32"/>
          <w:highlight w:val="none"/>
          <w:lang w:val="en-US" w:eastAsia="zh-CN" w:bidi="ar"/>
        </w:rPr>
      </w:pPr>
      <w:r>
        <w:rPr>
          <w:rFonts w:hint="eastAsia" w:ascii="黑体" w:hAnsi="宋体" w:eastAsia="黑体" w:cs="黑体"/>
          <w:color w:val="auto"/>
          <w:kern w:val="0"/>
          <w:sz w:val="32"/>
          <w:szCs w:val="32"/>
          <w:highlight w:val="none"/>
          <w:lang w:val="en-US" w:eastAsia="zh-CN" w:bidi="ar"/>
        </w:rPr>
        <w:t>二〇二四年十一月</w:t>
      </w:r>
    </w:p>
    <w:p w14:paraId="12F16944">
      <w:pPr>
        <w:keepNext w:val="0"/>
        <w:keepLines w:val="0"/>
        <w:widowControl/>
        <w:suppressLineNumbers w:val="0"/>
        <w:jc w:val="center"/>
        <w:rPr>
          <w:rFonts w:hint="eastAsia" w:ascii="黑体" w:hAnsi="宋体" w:eastAsia="黑体" w:cs="黑体"/>
          <w:color w:val="auto"/>
          <w:kern w:val="0"/>
          <w:sz w:val="32"/>
          <w:szCs w:val="32"/>
          <w:highlight w:val="none"/>
          <w:lang w:val="en-US" w:eastAsia="zh-CN" w:bidi="ar"/>
        </w:rPr>
      </w:pPr>
    </w:p>
    <w:p w14:paraId="6392B45F">
      <w:pPr>
        <w:keepNext w:val="0"/>
        <w:keepLines w:val="0"/>
        <w:widowControl/>
        <w:suppressLineNumbers w:val="0"/>
        <w:jc w:val="center"/>
        <w:rPr>
          <w:rFonts w:hint="eastAsia" w:ascii="黑体" w:hAnsi="宋体" w:eastAsia="黑体" w:cs="黑体"/>
          <w:color w:val="auto"/>
          <w:kern w:val="0"/>
          <w:sz w:val="32"/>
          <w:szCs w:val="32"/>
          <w:highlight w:val="none"/>
          <w:lang w:val="en-US" w:eastAsia="zh-CN" w:bidi="ar"/>
        </w:rPr>
      </w:pPr>
    </w:p>
    <w:p w14:paraId="2CD18A86">
      <w:pPr>
        <w:keepNext w:val="0"/>
        <w:keepLines w:val="0"/>
        <w:widowControl/>
        <w:suppressLineNumbers w:val="0"/>
        <w:jc w:val="center"/>
        <w:rPr>
          <w:rFonts w:hint="eastAsia" w:ascii="黑体" w:hAnsi="宋体" w:eastAsia="黑体" w:cs="黑体"/>
          <w:color w:val="auto"/>
          <w:kern w:val="0"/>
          <w:sz w:val="32"/>
          <w:szCs w:val="32"/>
          <w:highlight w:val="none"/>
          <w:lang w:val="en-US" w:eastAsia="zh-CN" w:bidi="ar"/>
        </w:rPr>
      </w:pPr>
    </w:p>
    <w:p w14:paraId="4D2C0959">
      <w:pPr>
        <w:keepNext w:val="0"/>
        <w:keepLines w:val="0"/>
        <w:widowControl/>
        <w:suppressLineNumbers w:val="0"/>
        <w:jc w:val="center"/>
        <w:rPr>
          <w:rFonts w:hint="eastAsia" w:ascii="宋体" w:hAnsi="宋体" w:eastAsia="宋体" w:cs="宋体"/>
          <w:color w:val="auto"/>
          <w:kern w:val="0"/>
          <w:sz w:val="24"/>
          <w:szCs w:val="24"/>
          <w:highlight w:val="none"/>
          <w:lang w:val="en-US" w:eastAsia="zh-CN" w:bidi="ar"/>
        </w:rPr>
      </w:pPr>
      <w:r>
        <w:rPr>
          <w:rFonts w:hint="eastAsia" w:ascii="黑体" w:hAnsi="宋体" w:eastAsia="黑体" w:cs="黑体"/>
          <w:color w:val="auto"/>
          <w:kern w:val="0"/>
          <w:sz w:val="32"/>
          <w:szCs w:val="32"/>
          <w:highlight w:val="none"/>
          <w:lang w:val="en-US" w:eastAsia="zh-CN" w:bidi="ar"/>
        </w:rPr>
        <w:t>使用说明</w:t>
      </w:r>
    </w:p>
    <w:p w14:paraId="5B2E7F7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一、《辽宁省房屋建筑和市政工程设计施工总承包招标文件示范文本》（以</w:t>
      </w:r>
    </w:p>
    <w:p w14:paraId="79AC99B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 xml:space="preserve">下简称“示范文本”）是依据《中华人民共和国招标投标法实施条例》《辽宁省房屋建筑和市政基础设施项目工程总承包管理实施细则》《电子招标投标办法》 </w:t>
      </w:r>
    </w:p>
    <w:p w14:paraId="65FEFFB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《标准设计施工总承包招标文件》制定，适用于依法必须招标的房屋建筑和市政工程的设计施工一体化的总承包招标。</w:t>
      </w:r>
    </w:p>
    <w:p w14:paraId="47D0AC5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二、《示范文本》以空格标示的由招标人填写的内容，招标人应根据招标项目具体特点和实际需要具体化，确实没有需要填写的，在空格中用“／”标示。</w:t>
      </w:r>
    </w:p>
    <w:p w14:paraId="2494E13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三、招标人按照《示范文本》第一章的格式发布招标公告或发出投标邀请书（邀请招标，下同）后，将实际发布的招标公告或实际发出的投标邀请书编入招标文件中，作为投标邀请。其中，招标公告应同时注明发布所在的所有媒介名称。</w:t>
      </w:r>
    </w:p>
    <w:p w14:paraId="30923EC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四、《示范文本》第二章“投标人须知”正文和前附表，除以空格标示的由招标人填空的内容、选择性内容和可补充内容外，均应不加修改地直接引用。填空、选择和补充内容由招标人根据国家和地方有关法律、法规、规章、规范性文件的规定以及项目具体情况确定。</w:t>
      </w:r>
    </w:p>
    <w:p w14:paraId="77E949B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五、《示范文本》第三章“评标办法”分别规定经评审的最低投标价法和综合评估法两种评标方法，供招标人根据招标项目具体特点和实际需要选择适用。招标人选择适用综合评估法的，各评审因素的评审标准、分值和权重等由招标人根据行业管理有关规定，在依法接受监管下自主确定。国务院有关部门对各评审因素的评审标准、分值和权重等有规定的，从其规定。</w:t>
      </w:r>
    </w:p>
    <w:p w14:paraId="35D94E3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第三章“评标办法”前附表应列明全部评审因素和评审标准，并在本章（前附表及正文）标明投标人不满足其要求即导致其投标被否决的全部条款。</w:t>
      </w:r>
    </w:p>
    <w:p w14:paraId="0D76C403">
      <w:pPr>
        <w:keepNext w:val="0"/>
        <w:keepLines w:val="0"/>
        <w:pageBreakBefore w:val="0"/>
        <w:widowControl/>
        <w:numPr>
          <w:ilvl w:val="0"/>
          <w:numId w:val="8"/>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《示范文本》第四章“合同条款及格式”采用了《建设项目工程总承包合同（示范文本）》（</w:t>
      </w:r>
      <w:r>
        <w:rPr>
          <w:rFonts w:hint="default" w:ascii="Times New Roman" w:hAnsi="Times New Roman" w:eastAsia="宋体" w:cs="Times New Roman"/>
          <w:color w:val="auto"/>
          <w:kern w:val="0"/>
          <w:sz w:val="24"/>
          <w:szCs w:val="24"/>
          <w:highlight w:val="none"/>
          <w:lang w:val="en-US" w:eastAsia="zh-CN" w:bidi="ar"/>
        </w:rPr>
        <w:t>GF-2020-0216</w:t>
      </w:r>
      <w:r>
        <w:rPr>
          <w:rFonts w:hint="eastAsia" w:ascii="宋体" w:hAnsi="宋体" w:eastAsia="宋体" w:cs="宋体"/>
          <w:color w:val="auto"/>
          <w:kern w:val="0"/>
          <w:sz w:val="24"/>
          <w:szCs w:val="24"/>
          <w:highlight w:val="none"/>
          <w:lang w:val="en-US" w:eastAsia="zh-CN" w:bidi="ar"/>
        </w:rPr>
        <w:t>）中的合同条款，其“通用合同条件”、“专</w:t>
      </w:r>
    </w:p>
    <w:p w14:paraId="3DE63F50">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用合同条件”和“合同协议书”（除以空格标示的由招标人填空的内容和选择性内容外），均应不加修改地直接引用。填空内容由招标人根据国家和地方有关法律法规的规定以及招标项目具体情况确定。</w:t>
      </w:r>
    </w:p>
    <w:p w14:paraId="3DE8CD6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七、《示范文本》第五章“发包人要求”由招标人根据行业标准设计施工总承包招标文件（如有）、招标项目具体特点和实际需要编制，并与“投标人须知”、“通用合同条件”、“专用合同条件”相衔接。</w:t>
      </w:r>
    </w:p>
    <w:p w14:paraId="63CADBD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 xml:space="preserve">八、《示范文本》为 </w:t>
      </w:r>
      <w:r>
        <w:rPr>
          <w:rFonts w:hint="default" w:ascii="Times New Roman" w:hAnsi="Times New Roman" w:eastAsia="宋体" w:cs="Times New Roman"/>
          <w:color w:val="auto"/>
          <w:kern w:val="0"/>
          <w:sz w:val="24"/>
          <w:szCs w:val="24"/>
          <w:highlight w:val="none"/>
          <w:lang w:val="en-US" w:eastAsia="zh-CN" w:bidi="ar"/>
        </w:rPr>
        <w:t xml:space="preserve">2024 </w:t>
      </w:r>
      <w:r>
        <w:rPr>
          <w:rFonts w:hint="eastAsia" w:ascii="宋体" w:hAnsi="宋体" w:eastAsia="宋体" w:cs="宋体"/>
          <w:color w:val="auto"/>
          <w:kern w:val="0"/>
          <w:sz w:val="24"/>
          <w:szCs w:val="24"/>
          <w:highlight w:val="none"/>
          <w:lang w:val="en-US" w:eastAsia="zh-CN" w:bidi="ar"/>
        </w:rPr>
        <w:t>年版，将根据实际执行过程中出现的问题及时进行修改。各使用单位或个人对《示范文本》的修改意见和建议，可向编制工作小组反映。</w:t>
      </w:r>
    </w:p>
    <w:p w14:paraId="71AE803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联系电话：</w:t>
      </w:r>
      <w:r>
        <w:rPr>
          <w:rFonts w:hint="default" w:ascii="Times New Roman" w:hAnsi="Times New Roman" w:eastAsia="宋体" w:cs="Times New Roman"/>
          <w:color w:val="auto"/>
          <w:kern w:val="0"/>
          <w:sz w:val="24"/>
          <w:szCs w:val="24"/>
          <w:highlight w:val="none"/>
          <w:lang w:val="en-US" w:eastAsia="zh-CN" w:bidi="ar"/>
        </w:rPr>
        <w:t>024-23447623 024-6778177</w:t>
      </w:r>
    </w:p>
    <w:p w14:paraId="596B423B">
      <w:pPr>
        <w:pStyle w:val="12"/>
        <w:ind w:firstLine="400"/>
        <w:rPr>
          <w:color w:val="auto"/>
          <w:sz w:val="20"/>
          <w:szCs w:val="20"/>
          <w:highlight w:val="none"/>
        </w:rPr>
      </w:pPr>
    </w:p>
    <w:p w14:paraId="0A9E4592">
      <w:pPr>
        <w:spacing w:line="360" w:lineRule="auto"/>
        <w:ind w:left="-2" w:leftChars="-1" w:right="98" w:firstLine="1"/>
        <w:rPr>
          <w:rFonts w:ascii="Arial" w:hAnsi="Arial" w:cs="Arial"/>
          <w:color w:val="auto"/>
          <w:sz w:val="36"/>
          <w:highlight w:val="none"/>
        </w:rPr>
      </w:pPr>
    </w:p>
    <w:p w14:paraId="7E46191C">
      <w:pPr>
        <w:spacing w:line="400" w:lineRule="exact"/>
        <w:rPr>
          <w:color w:val="auto"/>
          <w:highlight w:val="none"/>
        </w:rPr>
      </w:pPr>
    </w:p>
    <w:p w14:paraId="102B5B16">
      <w:pPr>
        <w:pStyle w:val="78"/>
        <w:rPr>
          <w:color w:val="auto"/>
          <w:highlight w:val="none"/>
        </w:rPr>
      </w:pPr>
    </w:p>
    <w:p w14:paraId="4D6EE600">
      <w:pPr>
        <w:pStyle w:val="78"/>
        <w:rPr>
          <w:color w:val="auto"/>
          <w:highlight w:val="none"/>
        </w:rPr>
      </w:pPr>
    </w:p>
    <w:p w14:paraId="174383D0">
      <w:pPr>
        <w:pStyle w:val="78"/>
        <w:rPr>
          <w:color w:val="auto"/>
          <w:highlight w:val="none"/>
        </w:rPr>
      </w:pPr>
    </w:p>
    <w:p w14:paraId="7FC078E2">
      <w:pPr>
        <w:pStyle w:val="78"/>
        <w:rPr>
          <w:color w:val="auto"/>
          <w:highlight w:val="none"/>
        </w:rPr>
      </w:pPr>
    </w:p>
    <w:p w14:paraId="00520CB8">
      <w:pPr>
        <w:pStyle w:val="78"/>
        <w:rPr>
          <w:color w:val="auto"/>
          <w:highlight w:val="none"/>
        </w:rPr>
      </w:pPr>
    </w:p>
    <w:p w14:paraId="0523198E">
      <w:pPr>
        <w:pStyle w:val="78"/>
        <w:rPr>
          <w:color w:val="auto"/>
          <w:highlight w:val="none"/>
        </w:rPr>
      </w:pPr>
    </w:p>
    <w:p w14:paraId="1277A4DC">
      <w:pPr>
        <w:pStyle w:val="78"/>
        <w:rPr>
          <w:color w:val="auto"/>
          <w:highlight w:val="none"/>
        </w:rPr>
      </w:pPr>
    </w:p>
    <w:p w14:paraId="0F8DF724">
      <w:pPr>
        <w:pStyle w:val="78"/>
        <w:rPr>
          <w:color w:val="auto"/>
          <w:highlight w:val="none"/>
        </w:rPr>
      </w:pPr>
    </w:p>
    <w:p w14:paraId="0D1D808D">
      <w:pPr>
        <w:pStyle w:val="78"/>
        <w:rPr>
          <w:color w:val="auto"/>
          <w:highlight w:val="none"/>
        </w:rPr>
      </w:pPr>
    </w:p>
    <w:p w14:paraId="15AA447A">
      <w:pPr>
        <w:pStyle w:val="78"/>
        <w:rPr>
          <w:color w:val="auto"/>
          <w:highlight w:val="none"/>
        </w:rPr>
      </w:pPr>
    </w:p>
    <w:p w14:paraId="7721868F">
      <w:pPr>
        <w:pStyle w:val="78"/>
        <w:rPr>
          <w:color w:val="auto"/>
          <w:highlight w:val="none"/>
        </w:rPr>
      </w:pPr>
    </w:p>
    <w:p w14:paraId="566C3492">
      <w:pPr>
        <w:pStyle w:val="78"/>
        <w:rPr>
          <w:color w:val="auto"/>
          <w:highlight w:val="none"/>
        </w:rPr>
      </w:pPr>
    </w:p>
    <w:p w14:paraId="31193128">
      <w:pPr>
        <w:pStyle w:val="78"/>
        <w:rPr>
          <w:color w:val="auto"/>
          <w:highlight w:val="none"/>
        </w:rPr>
      </w:pPr>
    </w:p>
    <w:p w14:paraId="40A47274">
      <w:pPr>
        <w:pStyle w:val="78"/>
        <w:rPr>
          <w:color w:val="auto"/>
          <w:highlight w:val="none"/>
        </w:rPr>
      </w:pPr>
    </w:p>
    <w:p w14:paraId="46887224">
      <w:pPr>
        <w:pStyle w:val="78"/>
        <w:rPr>
          <w:color w:val="auto"/>
          <w:highlight w:val="none"/>
        </w:rPr>
      </w:pPr>
    </w:p>
    <w:p w14:paraId="6F104B82">
      <w:pPr>
        <w:pStyle w:val="78"/>
        <w:rPr>
          <w:color w:val="auto"/>
          <w:highlight w:val="none"/>
        </w:rPr>
      </w:pPr>
    </w:p>
    <w:p w14:paraId="2EEF1445">
      <w:pPr>
        <w:pStyle w:val="78"/>
        <w:rPr>
          <w:color w:val="auto"/>
          <w:highlight w:val="none"/>
        </w:rPr>
      </w:pPr>
    </w:p>
    <w:p w14:paraId="729D0583">
      <w:pPr>
        <w:pStyle w:val="78"/>
        <w:rPr>
          <w:color w:val="auto"/>
          <w:highlight w:val="none"/>
        </w:rPr>
      </w:pPr>
    </w:p>
    <w:p w14:paraId="008FCF30">
      <w:pPr>
        <w:pStyle w:val="78"/>
        <w:rPr>
          <w:color w:val="auto"/>
          <w:highlight w:val="none"/>
        </w:rPr>
      </w:pPr>
    </w:p>
    <w:p w14:paraId="4D469347">
      <w:pPr>
        <w:pStyle w:val="78"/>
        <w:rPr>
          <w:color w:val="auto"/>
          <w:highlight w:val="none"/>
        </w:rPr>
      </w:pPr>
    </w:p>
    <w:p w14:paraId="7C337D1F">
      <w:pPr>
        <w:pStyle w:val="78"/>
        <w:rPr>
          <w:color w:val="auto"/>
          <w:highlight w:val="none"/>
        </w:rPr>
      </w:pPr>
    </w:p>
    <w:p w14:paraId="5B1B1FF6">
      <w:pPr>
        <w:pStyle w:val="78"/>
        <w:rPr>
          <w:color w:val="auto"/>
          <w:highlight w:val="none"/>
        </w:rPr>
      </w:pPr>
    </w:p>
    <w:p w14:paraId="13E3445B">
      <w:pPr>
        <w:pStyle w:val="78"/>
        <w:rPr>
          <w:color w:val="auto"/>
          <w:highlight w:val="none"/>
        </w:rPr>
      </w:pPr>
    </w:p>
    <w:p w14:paraId="32E43199">
      <w:pPr>
        <w:pStyle w:val="78"/>
        <w:rPr>
          <w:color w:val="auto"/>
          <w:highlight w:val="none"/>
        </w:rPr>
      </w:pPr>
    </w:p>
    <w:p w14:paraId="0F9DB655">
      <w:pPr>
        <w:pStyle w:val="78"/>
        <w:rPr>
          <w:color w:val="auto"/>
          <w:highlight w:val="none"/>
        </w:rPr>
      </w:pPr>
    </w:p>
    <w:p w14:paraId="21AD7195">
      <w:pPr>
        <w:pStyle w:val="78"/>
        <w:rPr>
          <w:color w:val="auto"/>
          <w:highlight w:val="none"/>
        </w:rPr>
      </w:pPr>
    </w:p>
    <w:p w14:paraId="005BA0D1">
      <w:pPr>
        <w:pStyle w:val="78"/>
        <w:rPr>
          <w:color w:val="auto"/>
          <w:highlight w:val="none"/>
        </w:rPr>
      </w:pPr>
    </w:p>
    <w:p w14:paraId="3A852DF5">
      <w:pPr>
        <w:pStyle w:val="78"/>
        <w:rPr>
          <w:color w:val="auto"/>
          <w:highlight w:val="none"/>
        </w:rPr>
      </w:pPr>
    </w:p>
    <w:p w14:paraId="2B1516F5">
      <w:pPr>
        <w:pStyle w:val="78"/>
        <w:rPr>
          <w:color w:val="auto"/>
          <w:highlight w:val="none"/>
        </w:rPr>
      </w:pPr>
    </w:p>
    <w:p w14:paraId="3B7BFC71">
      <w:pPr>
        <w:tabs>
          <w:tab w:val="left" w:pos="5137"/>
        </w:tabs>
        <w:spacing w:before="101" w:line="226" w:lineRule="auto"/>
        <w:jc w:val="center"/>
        <w:rPr>
          <w:rFonts w:ascii="宋体" w:hAnsi="宋体" w:cs="宋体"/>
          <w:color w:val="auto"/>
          <w:sz w:val="31"/>
          <w:szCs w:val="31"/>
          <w:highlight w:val="none"/>
        </w:rPr>
      </w:pPr>
      <w:r>
        <w:rPr>
          <w:rFonts w:hint="eastAsia" w:eastAsia="黑体"/>
          <w:color w:val="auto"/>
          <w:sz w:val="28"/>
          <w:highlight w:val="none"/>
          <w:u w:val="single"/>
          <w:lang w:eastAsia="zh-CN"/>
        </w:rPr>
        <w:t>2025年营口市鲅鱼圈区集中供热二三网维修改造工程</w:t>
      </w:r>
      <w:r>
        <w:rPr>
          <w:rFonts w:hint="eastAsia" w:eastAsia="黑体"/>
          <w:color w:val="auto"/>
          <w:sz w:val="28"/>
          <w:highlight w:val="none"/>
          <w:u w:val="single"/>
          <w:lang w:val="en-US" w:eastAsia="zh-CN"/>
        </w:rPr>
        <w:t>EPC工程</w:t>
      </w:r>
      <w:r>
        <w:rPr>
          <w:rFonts w:hint="eastAsia" w:eastAsia="黑体"/>
          <w:color w:val="auto"/>
          <w:sz w:val="28"/>
          <w:highlight w:val="none"/>
          <w:u w:val="single"/>
        </w:rPr>
        <w:t>总承包</w:t>
      </w:r>
      <w:r>
        <w:rPr>
          <w:rFonts w:hint="eastAsia" w:eastAsia="黑体"/>
          <w:color w:val="auto"/>
          <w:sz w:val="28"/>
          <w:highlight w:val="none"/>
        </w:rPr>
        <w:t>（</w:t>
      </w:r>
      <w:r>
        <w:rPr>
          <w:rFonts w:ascii="宋体" w:hAnsi="宋体" w:cs="宋体"/>
          <w:b/>
          <w:bCs/>
          <w:color w:val="auto"/>
          <w:spacing w:val="6"/>
          <w:sz w:val="31"/>
          <w:szCs w:val="31"/>
          <w:highlight w:val="none"/>
        </w:rPr>
        <w:t>标段名称</w:t>
      </w:r>
      <w:r>
        <w:rPr>
          <w:rFonts w:hint="eastAsia" w:eastAsia="黑体"/>
          <w:color w:val="auto"/>
          <w:sz w:val="28"/>
          <w:highlight w:val="none"/>
        </w:rPr>
        <w:t>）</w:t>
      </w:r>
    </w:p>
    <w:p w14:paraId="7E26BC2A">
      <w:pPr>
        <w:jc w:val="center"/>
        <w:rPr>
          <w:rFonts w:eastAsia="黑体"/>
          <w:color w:val="auto"/>
          <w:sz w:val="28"/>
          <w:highlight w:val="none"/>
        </w:rPr>
      </w:pPr>
    </w:p>
    <w:p w14:paraId="3E649137">
      <w:pPr>
        <w:jc w:val="center"/>
        <w:rPr>
          <w:rFonts w:ascii="黑体" w:eastAsia="黑体"/>
          <w:color w:val="auto"/>
          <w:sz w:val="44"/>
          <w:szCs w:val="44"/>
          <w:highlight w:val="none"/>
        </w:rPr>
      </w:pPr>
      <w:r>
        <w:rPr>
          <w:rFonts w:hint="eastAsia" w:ascii="黑体" w:eastAsia="黑体"/>
          <w:color w:val="auto"/>
          <w:sz w:val="44"/>
          <w:szCs w:val="44"/>
          <w:highlight w:val="none"/>
        </w:rPr>
        <w:t>招</w:t>
      </w:r>
      <w:r>
        <w:rPr>
          <w:rFonts w:hint="eastAsia" w:ascii="黑体" w:eastAsia="黑体"/>
          <w:color w:val="auto"/>
          <w:sz w:val="44"/>
          <w:szCs w:val="44"/>
          <w:highlight w:val="none"/>
          <w:lang w:val="en-US" w:eastAsia="zh-CN"/>
        </w:rPr>
        <w:t xml:space="preserve"> </w:t>
      </w:r>
      <w:r>
        <w:rPr>
          <w:rFonts w:hint="eastAsia" w:ascii="黑体" w:eastAsia="黑体"/>
          <w:color w:val="auto"/>
          <w:sz w:val="44"/>
          <w:szCs w:val="44"/>
          <w:highlight w:val="none"/>
        </w:rPr>
        <w:t>标</w:t>
      </w:r>
      <w:r>
        <w:rPr>
          <w:rFonts w:hint="eastAsia" w:ascii="黑体" w:eastAsia="黑体"/>
          <w:color w:val="auto"/>
          <w:sz w:val="44"/>
          <w:szCs w:val="44"/>
          <w:highlight w:val="none"/>
          <w:lang w:val="en-US" w:eastAsia="zh-CN"/>
        </w:rPr>
        <w:t xml:space="preserve"> </w:t>
      </w:r>
      <w:r>
        <w:rPr>
          <w:rFonts w:hint="eastAsia" w:ascii="黑体" w:eastAsia="黑体"/>
          <w:color w:val="auto"/>
          <w:sz w:val="44"/>
          <w:szCs w:val="44"/>
          <w:highlight w:val="none"/>
        </w:rPr>
        <w:t>文</w:t>
      </w:r>
      <w:r>
        <w:rPr>
          <w:rFonts w:hint="eastAsia" w:ascii="黑体" w:eastAsia="黑体"/>
          <w:color w:val="auto"/>
          <w:sz w:val="44"/>
          <w:szCs w:val="44"/>
          <w:highlight w:val="none"/>
          <w:lang w:val="en-US" w:eastAsia="zh-CN"/>
        </w:rPr>
        <w:t xml:space="preserve"> </w:t>
      </w:r>
      <w:r>
        <w:rPr>
          <w:rFonts w:hint="eastAsia" w:ascii="黑体" w:eastAsia="黑体"/>
          <w:color w:val="auto"/>
          <w:sz w:val="44"/>
          <w:szCs w:val="44"/>
          <w:highlight w:val="none"/>
        </w:rPr>
        <w:t>件</w:t>
      </w:r>
    </w:p>
    <w:p w14:paraId="336E4F8F">
      <w:pPr>
        <w:spacing w:line="400" w:lineRule="exact"/>
        <w:rPr>
          <w:color w:val="auto"/>
          <w:highlight w:val="none"/>
        </w:rPr>
      </w:pPr>
    </w:p>
    <w:p w14:paraId="4DE7672C">
      <w:pPr>
        <w:spacing w:line="400" w:lineRule="exact"/>
        <w:rPr>
          <w:color w:val="auto"/>
          <w:highlight w:val="none"/>
        </w:rPr>
      </w:pPr>
    </w:p>
    <w:p w14:paraId="3E9C189A">
      <w:pPr>
        <w:spacing w:before="91" w:line="219" w:lineRule="auto"/>
        <w:ind w:left="2096"/>
        <w:rPr>
          <w:rFonts w:ascii="黑体" w:hAnsi="黑体" w:eastAsia="黑体" w:cs="黑体"/>
          <w:color w:val="auto"/>
          <w:sz w:val="28"/>
          <w:szCs w:val="28"/>
          <w:highlight w:val="none"/>
        </w:rPr>
      </w:pPr>
      <w:r>
        <w:rPr>
          <w:rFonts w:ascii="黑体" w:hAnsi="黑体" w:eastAsia="黑体" w:cs="黑体"/>
          <w:color w:val="auto"/>
          <w:spacing w:val="-4"/>
          <w:sz w:val="28"/>
          <w:szCs w:val="28"/>
          <w:highlight w:val="none"/>
        </w:rPr>
        <w:t>（</w:t>
      </w:r>
      <w:r>
        <w:rPr>
          <w:rFonts w:hint="eastAsia" w:ascii="黑体" w:hAnsi="黑体" w:eastAsia="黑体" w:cs="黑体"/>
          <w:color w:val="auto"/>
          <w:spacing w:val="-4"/>
          <w:sz w:val="28"/>
          <w:szCs w:val="28"/>
          <w:highlight w:val="none"/>
          <w:lang w:val="en-US" w:eastAsia="zh-CN"/>
        </w:rPr>
        <w:t>标段</w:t>
      </w:r>
      <w:r>
        <w:rPr>
          <w:rFonts w:ascii="黑体" w:hAnsi="黑体" w:eastAsia="黑体" w:cs="黑体"/>
          <w:color w:val="auto"/>
          <w:spacing w:val="-4"/>
          <w:sz w:val="28"/>
          <w:szCs w:val="28"/>
          <w:highlight w:val="none"/>
        </w:rPr>
        <w:t>唯一标识码</w:t>
      </w:r>
      <w:r>
        <w:rPr>
          <w:rFonts w:ascii="黑体" w:hAnsi="黑体" w:eastAsia="黑体" w:cs="黑体"/>
          <w:color w:val="auto"/>
          <w:sz w:val="28"/>
          <w:szCs w:val="28"/>
          <w:highlight w:val="none"/>
          <w:u w:val="single"/>
        </w:rPr>
        <w:t xml:space="preserve">：          </w:t>
      </w:r>
      <w:r>
        <w:rPr>
          <w:rFonts w:ascii="黑体" w:hAnsi="黑体" w:eastAsia="黑体" w:cs="黑体"/>
          <w:color w:val="auto"/>
          <w:sz w:val="28"/>
          <w:szCs w:val="28"/>
          <w:highlight w:val="none"/>
        </w:rPr>
        <w:t>）</w:t>
      </w:r>
    </w:p>
    <w:p w14:paraId="7A81D350">
      <w:pPr>
        <w:spacing w:before="91" w:line="219" w:lineRule="auto"/>
        <w:ind w:left="2096"/>
        <w:rPr>
          <w:rFonts w:ascii="黑体" w:hAnsi="黑体" w:eastAsia="黑体" w:cs="黑体"/>
          <w:color w:val="auto"/>
          <w:sz w:val="28"/>
          <w:szCs w:val="28"/>
          <w:highlight w:val="none"/>
        </w:rPr>
      </w:pPr>
      <w:r>
        <w:rPr>
          <w:rFonts w:ascii="黑体" w:hAnsi="黑体" w:eastAsia="黑体" w:cs="黑体"/>
          <w:color w:val="auto"/>
          <w:spacing w:val="-4"/>
          <w:sz w:val="28"/>
          <w:szCs w:val="28"/>
          <w:highlight w:val="none"/>
        </w:rPr>
        <w:t>（</w:t>
      </w:r>
      <w:r>
        <w:rPr>
          <w:rFonts w:hint="eastAsia" w:ascii="黑体" w:hAnsi="黑体" w:eastAsia="黑体" w:cs="黑体"/>
          <w:color w:val="auto"/>
          <w:spacing w:val="-4"/>
          <w:sz w:val="28"/>
          <w:szCs w:val="28"/>
          <w:highlight w:val="none"/>
          <w:lang w:val="en-US" w:eastAsia="zh-CN"/>
        </w:rPr>
        <w:t>标段编号</w:t>
      </w:r>
      <w:r>
        <w:rPr>
          <w:rFonts w:ascii="黑体" w:hAnsi="黑体" w:eastAsia="黑体" w:cs="黑体"/>
          <w:color w:val="auto"/>
          <w:sz w:val="28"/>
          <w:szCs w:val="28"/>
          <w:highlight w:val="none"/>
          <w:u w:val="single"/>
        </w:rPr>
        <w:t xml:space="preserve">：          </w:t>
      </w:r>
      <w:r>
        <w:rPr>
          <w:rFonts w:ascii="黑体" w:hAnsi="黑体" w:eastAsia="黑体" w:cs="黑体"/>
          <w:color w:val="auto"/>
          <w:sz w:val="28"/>
          <w:szCs w:val="28"/>
          <w:highlight w:val="none"/>
        </w:rPr>
        <w:t>）</w:t>
      </w:r>
    </w:p>
    <w:p w14:paraId="5DD71AE8">
      <w:pPr>
        <w:rPr>
          <w:color w:val="auto"/>
          <w:sz w:val="28"/>
          <w:szCs w:val="28"/>
          <w:highlight w:val="none"/>
        </w:rPr>
      </w:pPr>
    </w:p>
    <w:p w14:paraId="0F48AEEB">
      <w:pPr>
        <w:spacing w:line="400" w:lineRule="exact"/>
        <w:rPr>
          <w:color w:val="auto"/>
          <w:highlight w:val="none"/>
        </w:rPr>
      </w:pPr>
    </w:p>
    <w:p w14:paraId="0B916793">
      <w:pPr>
        <w:spacing w:line="400" w:lineRule="exact"/>
        <w:rPr>
          <w:color w:val="auto"/>
          <w:highlight w:val="none"/>
        </w:rPr>
      </w:pPr>
    </w:p>
    <w:p w14:paraId="12EA6B8D">
      <w:pPr>
        <w:spacing w:line="400" w:lineRule="exact"/>
        <w:rPr>
          <w:color w:val="auto"/>
          <w:highlight w:val="none"/>
        </w:rPr>
      </w:pPr>
    </w:p>
    <w:p w14:paraId="6997E6EC">
      <w:pPr>
        <w:spacing w:line="400" w:lineRule="exact"/>
        <w:rPr>
          <w:color w:val="auto"/>
          <w:highlight w:val="none"/>
        </w:rPr>
      </w:pPr>
    </w:p>
    <w:p w14:paraId="03044C9C">
      <w:pPr>
        <w:spacing w:line="400" w:lineRule="exact"/>
        <w:rPr>
          <w:color w:val="auto"/>
          <w:highlight w:val="none"/>
        </w:rPr>
      </w:pPr>
    </w:p>
    <w:p w14:paraId="63B49A1E">
      <w:pPr>
        <w:spacing w:line="400" w:lineRule="exact"/>
        <w:rPr>
          <w:color w:val="auto"/>
          <w:highlight w:val="none"/>
        </w:rPr>
      </w:pPr>
    </w:p>
    <w:p w14:paraId="1EF9910E">
      <w:pPr>
        <w:spacing w:line="400" w:lineRule="exact"/>
        <w:rPr>
          <w:color w:val="auto"/>
          <w:highlight w:val="none"/>
        </w:rPr>
      </w:pPr>
    </w:p>
    <w:p w14:paraId="1DFF07A6">
      <w:pPr>
        <w:spacing w:line="400" w:lineRule="exact"/>
        <w:rPr>
          <w:color w:val="auto"/>
          <w:highlight w:val="none"/>
        </w:rPr>
      </w:pPr>
    </w:p>
    <w:p w14:paraId="37341190">
      <w:pPr>
        <w:spacing w:line="400" w:lineRule="exact"/>
        <w:jc w:val="center"/>
        <w:rPr>
          <w:rFonts w:hint="eastAsia" w:ascii="黑体" w:hAnsi="黑体" w:eastAsia="黑体" w:cs="黑体"/>
          <w:color w:val="auto"/>
          <w:spacing w:val="-1"/>
          <w:sz w:val="28"/>
          <w:szCs w:val="28"/>
          <w:highlight w:val="none"/>
          <w:lang w:eastAsia="zh-CN"/>
        </w:rPr>
      </w:pPr>
      <w:r>
        <w:rPr>
          <w:rFonts w:ascii="黑体" w:hAnsi="黑体" w:eastAsia="黑体" w:cs="黑体"/>
          <w:color w:val="auto"/>
          <w:spacing w:val="-1"/>
          <w:sz w:val="28"/>
          <w:szCs w:val="28"/>
          <w:highlight w:val="none"/>
        </w:rPr>
        <w:t>招标人</w:t>
      </w:r>
      <w:r>
        <w:rPr>
          <w:rFonts w:ascii="黑体" w:hAnsi="黑体" w:eastAsia="黑体" w:cs="黑体"/>
          <w:color w:val="auto"/>
          <w:spacing w:val="-12"/>
          <w:sz w:val="28"/>
          <w:szCs w:val="28"/>
          <w:highlight w:val="none"/>
        </w:rPr>
        <w:t>：</w:t>
      </w:r>
      <w:r>
        <w:rPr>
          <w:rFonts w:hint="eastAsia" w:ascii="黑体" w:hAnsi="黑体" w:eastAsia="黑体" w:cs="黑体"/>
          <w:color w:val="auto"/>
          <w:spacing w:val="-1"/>
          <w:sz w:val="28"/>
          <w:szCs w:val="28"/>
          <w:highlight w:val="none"/>
          <w:u w:val="single"/>
          <w:lang w:val="en-US" w:eastAsia="zh-CN"/>
        </w:rPr>
        <w:t>营口市鲅鱼圈区住房和城乡建设局</w:t>
      </w:r>
      <w:r>
        <w:rPr>
          <w:rFonts w:hint="eastAsia" w:ascii="黑体" w:hAnsi="黑体" w:eastAsia="黑体" w:cs="黑体"/>
          <w:color w:val="auto"/>
          <w:spacing w:val="-1"/>
          <w:sz w:val="28"/>
          <w:szCs w:val="28"/>
          <w:highlight w:val="none"/>
          <w:lang w:val="en-US" w:eastAsia="zh-CN"/>
        </w:rPr>
        <w:t>（盖章）</w:t>
      </w:r>
    </w:p>
    <w:p w14:paraId="52621E9C">
      <w:pPr>
        <w:spacing w:line="400" w:lineRule="exact"/>
        <w:jc w:val="center"/>
        <w:rPr>
          <w:color w:val="auto"/>
          <w:highlight w:val="none"/>
        </w:rPr>
      </w:pPr>
      <w:r>
        <w:rPr>
          <w:rFonts w:ascii="黑体" w:hAnsi="黑体" w:eastAsia="黑体" w:cs="黑体"/>
          <w:color w:val="auto"/>
          <w:spacing w:val="-1"/>
          <w:sz w:val="28"/>
          <w:szCs w:val="28"/>
          <w:highlight w:val="none"/>
        </w:rPr>
        <w:t>招标代理机构</w:t>
      </w:r>
      <w:r>
        <w:rPr>
          <w:rFonts w:ascii="黑体" w:hAnsi="黑体" w:eastAsia="黑体" w:cs="黑体"/>
          <w:color w:val="auto"/>
          <w:spacing w:val="-12"/>
          <w:sz w:val="28"/>
          <w:szCs w:val="28"/>
          <w:highlight w:val="none"/>
        </w:rPr>
        <w:t>：</w:t>
      </w:r>
      <w:r>
        <w:rPr>
          <w:rFonts w:hint="eastAsia" w:ascii="黑体" w:eastAsia="黑体"/>
          <w:color w:val="auto"/>
          <w:sz w:val="28"/>
          <w:szCs w:val="28"/>
          <w:highlight w:val="none"/>
          <w:u w:val="single"/>
          <w:lang w:eastAsia="zh-CN"/>
        </w:rPr>
        <w:t>辽宁方唯建设管理有限公司</w:t>
      </w:r>
      <w:r>
        <w:rPr>
          <w:rFonts w:ascii="黑体" w:hAnsi="黑体" w:eastAsia="黑体" w:cs="黑体"/>
          <w:color w:val="auto"/>
          <w:spacing w:val="-12"/>
          <w:sz w:val="28"/>
          <w:szCs w:val="28"/>
          <w:highlight w:val="none"/>
        </w:rPr>
        <w:t>（</w:t>
      </w:r>
      <w:r>
        <w:rPr>
          <w:rFonts w:ascii="黑体" w:hAnsi="黑体" w:eastAsia="黑体" w:cs="黑体"/>
          <w:color w:val="auto"/>
          <w:spacing w:val="-1"/>
          <w:sz w:val="28"/>
          <w:szCs w:val="28"/>
          <w:highlight w:val="none"/>
        </w:rPr>
        <w:t>盖章）</w:t>
      </w:r>
    </w:p>
    <w:p w14:paraId="6CA52148">
      <w:pPr>
        <w:spacing w:before="91" w:line="221" w:lineRule="auto"/>
        <w:ind w:firstLine="992" w:firstLineChars="400"/>
        <w:rPr>
          <w:rFonts w:ascii="黑体" w:hAnsi="黑体" w:eastAsia="黑体" w:cs="黑体"/>
          <w:color w:val="auto"/>
          <w:sz w:val="28"/>
          <w:szCs w:val="28"/>
          <w:highlight w:val="none"/>
        </w:rPr>
      </w:pPr>
      <w:r>
        <w:rPr>
          <w:rFonts w:ascii="黑体" w:hAnsi="黑体" w:eastAsia="黑体" w:cs="黑体"/>
          <w:color w:val="auto"/>
          <w:spacing w:val="-16"/>
          <w:sz w:val="28"/>
          <w:szCs w:val="28"/>
          <w:highlight w:val="none"/>
        </w:rPr>
        <w:t>日</w:t>
      </w:r>
      <w:r>
        <w:rPr>
          <w:rFonts w:hint="eastAsia" w:ascii="黑体" w:hAnsi="黑体" w:eastAsia="黑体" w:cs="黑体"/>
          <w:color w:val="auto"/>
          <w:spacing w:val="-16"/>
          <w:sz w:val="28"/>
          <w:szCs w:val="28"/>
          <w:highlight w:val="none"/>
          <w:lang w:val="en-US" w:eastAsia="zh-CN"/>
        </w:rPr>
        <w:t xml:space="preserve">     </w:t>
      </w:r>
      <w:r>
        <w:rPr>
          <w:rFonts w:ascii="黑体" w:hAnsi="黑体" w:eastAsia="黑体" w:cs="黑体"/>
          <w:color w:val="auto"/>
          <w:spacing w:val="-16"/>
          <w:sz w:val="28"/>
          <w:szCs w:val="28"/>
          <w:highlight w:val="none"/>
        </w:rPr>
        <w:t>期：</w:t>
      </w:r>
      <w:r>
        <w:rPr>
          <w:rFonts w:hint="eastAsia" w:ascii="黑体" w:hAnsi="黑体" w:eastAsia="黑体" w:cs="黑体"/>
          <w:color w:val="auto"/>
          <w:spacing w:val="23"/>
          <w:sz w:val="28"/>
          <w:szCs w:val="28"/>
          <w:highlight w:val="none"/>
          <w:u w:val="single"/>
        </w:rPr>
        <w:t>2025</w:t>
      </w:r>
      <w:r>
        <w:rPr>
          <w:rFonts w:ascii="黑体" w:hAnsi="黑体" w:eastAsia="黑体" w:cs="黑体"/>
          <w:color w:val="auto"/>
          <w:spacing w:val="-16"/>
          <w:sz w:val="28"/>
          <w:szCs w:val="28"/>
          <w:highlight w:val="none"/>
        </w:rPr>
        <w:t>年</w:t>
      </w:r>
      <w:r>
        <w:rPr>
          <w:rFonts w:hint="eastAsia" w:ascii="黑体" w:hAnsi="黑体" w:eastAsia="黑体" w:cs="黑体"/>
          <w:color w:val="auto"/>
          <w:sz w:val="28"/>
          <w:szCs w:val="28"/>
          <w:highlight w:val="none"/>
          <w:u w:val="single"/>
          <w:lang w:val="en-US" w:eastAsia="zh-CN"/>
        </w:rPr>
        <w:t>10</w:t>
      </w:r>
      <w:r>
        <w:rPr>
          <w:rFonts w:ascii="黑体" w:hAnsi="黑体" w:eastAsia="黑体" w:cs="黑体"/>
          <w:color w:val="auto"/>
          <w:spacing w:val="-16"/>
          <w:sz w:val="28"/>
          <w:szCs w:val="28"/>
          <w:highlight w:val="none"/>
        </w:rPr>
        <w:t>月</w:t>
      </w:r>
      <w:r>
        <w:rPr>
          <w:rFonts w:hint="eastAsia" w:ascii="黑体" w:hAnsi="黑体" w:eastAsia="黑体" w:cs="黑体"/>
          <w:color w:val="auto"/>
          <w:spacing w:val="-16"/>
          <w:sz w:val="28"/>
          <w:szCs w:val="28"/>
          <w:highlight w:val="none"/>
          <w:u w:val="single"/>
          <w:lang w:val="en-US" w:eastAsia="zh-CN"/>
        </w:rPr>
        <w:t>14</w:t>
      </w:r>
      <w:r>
        <w:rPr>
          <w:rFonts w:ascii="黑体" w:hAnsi="黑体" w:eastAsia="黑体" w:cs="黑体"/>
          <w:color w:val="auto"/>
          <w:spacing w:val="-16"/>
          <w:sz w:val="28"/>
          <w:szCs w:val="28"/>
          <w:highlight w:val="none"/>
        </w:rPr>
        <w:t>日</w:t>
      </w:r>
    </w:p>
    <w:p w14:paraId="03D310E9">
      <w:pPr>
        <w:spacing w:line="400" w:lineRule="exact"/>
        <w:rPr>
          <w:color w:val="auto"/>
          <w:highlight w:val="none"/>
        </w:rPr>
      </w:pPr>
    </w:p>
    <w:p w14:paraId="6D4F5BB3">
      <w:pPr>
        <w:spacing w:line="400" w:lineRule="exact"/>
        <w:rPr>
          <w:color w:val="auto"/>
          <w:highlight w:val="none"/>
        </w:rPr>
      </w:pPr>
    </w:p>
    <w:p w14:paraId="280D0309">
      <w:pPr>
        <w:spacing w:line="400" w:lineRule="exact"/>
        <w:rPr>
          <w:color w:val="auto"/>
          <w:highlight w:val="none"/>
        </w:rPr>
        <w:sectPr>
          <w:pgSz w:w="11906" w:h="16838"/>
          <w:pgMar w:top="1440" w:right="1800" w:bottom="1440" w:left="1800" w:header="851" w:footer="992" w:gutter="0"/>
          <w:cols w:space="720" w:num="1"/>
          <w:docGrid w:type="lines" w:linePitch="312" w:charSpace="0"/>
        </w:sectPr>
      </w:pPr>
      <w:bookmarkStart w:id="0" w:name="_Toc152042286"/>
      <w:bookmarkStart w:id="1" w:name="_Toc144974478"/>
    </w:p>
    <w:bookmarkEnd w:id="0"/>
    <w:bookmarkEnd w:id="1"/>
    <w:sdt>
      <w:sdtPr>
        <w:rPr>
          <w:rFonts w:ascii="宋体" w:hAnsi="宋体" w:eastAsia="宋体" w:cs="Times New Roman"/>
          <w:color w:val="auto"/>
          <w:kern w:val="2"/>
          <w:sz w:val="21"/>
          <w:szCs w:val="24"/>
          <w:highlight w:val="none"/>
          <w:lang w:val="en-US" w:eastAsia="zh-CN" w:bidi="ar-SA"/>
        </w:rPr>
        <w:id w:val="147456170"/>
        <w15:color w:val="DBDBDB"/>
        <w:docPartObj>
          <w:docPartGallery w:val="Table of Contents"/>
          <w:docPartUnique/>
        </w:docPartObj>
      </w:sdtPr>
      <w:sdtEndPr>
        <w:rPr>
          <w:rFonts w:ascii="Times New Roman" w:hAnsi="Times New Roman" w:eastAsia="宋体" w:cs="Times New Roman"/>
          <w:caps/>
          <w:color w:val="auto"/>
          <w:kern w:val="2"/>
          <w:sz w:val="21"/>
          <w:szCs w:val="24"/>
          <w:highlight w:val="none"/>
          <w:lang w:val="en-US" w:eastAsia="zh-CN" w:bidi="ar-SA"/>
        </w:rPr>
      </w:sdtEndPr>
      <w:sdtContent>
        <w:p w14:paraId="53EDC543">
          <w:pPr>
            <w:spacing w:before="0" w:beforeLines="0" w:after="0" w:afterLines="0" w:line="240" w:lineRule="auto"/>
            <w:ind w:left="0" w:leftChars="0" w:right="0" w:rightChars="0" w:firstLine="0" w:firstLineChars="0"/>
            <w:jc w:val="center"/>
            <w:rPr>
              <w:rFonts w:hint="default"/>
              <w:color w:val="auto"/>
              <w:highlight w:val="none"/>
              <w:lang w:val="en-US"/>
            </w:rPr>
          </w:pPr>
          <w:r>
            <w:rPr>
              <w:rFonts w:hint="eastAsia" w:ascii="宋体" w:hAnsi="宋体" w:cs="Times New Roman"/>
              <w:color w:val="auto"/>
              <w:kern w:val="2"/>
              <w:sz w:val="21"/>
              <w:szCs w:val="24"/>
              <w:highlight w:val="none"/>
              <w:lang w:val="en-US" w:eastAsia="zh-CN" w:bidi="ar-SA"/>
            </w:rPr>
            <w:t>目录</w:t>
          </w:r>
        </w:p>
        <w:p w14:paraId="796A1E25">
          <w:pPr>
            <w:pStyle w:val="28"/>
            <w:tabs>
              <w:tab w:val="right" w:leader="dot" w:pos="8337"/>
            </w:tabs>
            <w:rPr>
              <w:color w:val="auto"/>
              <w:highlight w:val="none"/>
            </w:rPr>
          </w:pPr>
          <w:r>
            <w:rPr>
              <w:rFonts w:ascii="Times New Roman" w:hAnsi="Times New Roman" w:eastAsia="宋体" w:cs="Times New Roman"/>
              <w:caps/>
              <w:color w:val="auto"/>
              <w:kern w:val="2"/>
              <w:sz w:val="21"/>
              <w:szCs w:val="24"/>
              <w:highlight w:val="none"/>
              <w:lang w:val="en-US" w:eastAsia="zh-CN" w:bidi="ar-SA"/>
            </w:rPr>
            <w:fldChar w:fldCharType="begin"/>
          </w:r>
          <w:r>
            <w:rPr>
              <w:rFonts w:ascii="Times New Roman" w:hAnsi="Times New Roman" w:eastAsia="宋体" w:cs="Times New Roman"/>
              <w:caps/>
              <w:color w:val="auto"/>
              <w:kern w:val="2"/>
              <w:sz w:val="21"/>
              <w:szCs w:val="24"/>
              <w:highlight w:val="none"/>
              <w:lang w:val="en-US" w:eastAsia="zh-CN" w:bidi="ar-SA"/>
            </w:rPr>
            <w:instrText xml:space="preserve">TOC \o "1-2" \h \u </w:instrText>
          </w:r>
          <w:r>
            <w:rPr>
              <w:rFonts w:ascii="Times New Roman" w:hAnsi="Times New Roman" w:eastAsia="宋体" w:cs="Times New Roman"/>
              <w:caps/>
              <w:color w:val="auto"/>
              <w:kern w:val="2"/>
              <w:sz w:val="21"/>
              <w:szCs w:val="24"/>
              <w:highlight w:val="none"/>
              <w:lang w:val="en-US" w:eastAsia="zh-CN" w:bidi="ar-SA"/>
            </w:rPr>
            <w:fldChar w:fldCharType="separate"/>
          </w: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_Toc18968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color w:val="auto"/>
              <w:highlight w:val="none"/>
            </w:rPr>
            <w:t>第一卷</w:t>
          </w:r>
          <w:r>
            <w:rPr>
              <w:color w:val="auto"/>
              <w:highlight w:val="none"/>
            </w:rPr>
            <w:tab/>
          </w:r>
          <w:r>
            <w:rPr>
              <w:color w:val="auto"/>
              <w:highlight w:val="none"/>
            </w:rPr>
            <w:fldChar w:fldCharType="begin"/>
          </w:r>
          <w:r>
            <w:rPr>
              <w:color w:val="auto"/>
              <w:highlight w:val="none"/>
            </w:rPr>
            <w:instrText xml:space="preserve"> PAGEREF _Toc18968 \h </w:instrText>
          </w:r>
          <w:r>
            <w:rPr>
              <w:color w:val="auto"/>
              <w:highlight w:val="none"/>
            </w:rPr>
            <w:fldChar w:fldCharType="separate"/>
          </w:r>
          <w:r>
            <w:rPr>
              <w:color w:val="auto"/>
              <w:highlight w:val="none"/>
            </w:rPr>
            <w:t>1</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0E2B6F00">
          <w:pPr>
            <w:pStyle w:val="28"/>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_Toc8248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ascii="宋体" w:hAnsi="宋体"/>
              <w:color w:val="auto"/>
              <w:kern w:val="44"/>
              <w:szCs w:val="44"/>
              <w:highlight w:val="none"/>
            </w:rPr>
            <w:t>第一章招标公告</w:t>
          </w:r>
          <w:r>
            <w:rPr>
              <w:color w:val="auto"/>
              <w:highlight w:val="none"/>
            </w:rPr>
            <w:tab/>
          </w:r>
          <w:r>
            <w:rPr>
              <w:color w:val="auto"/>
              <w:highlight w:val="none"/>
            </w:rPr>
            <w:fldChar w:fldCharType="begin"/>
          </w:r>
          <w:r>
            <w:rPr>
              <w:color w:val="auto"/>
              <w:highlight w:val="none"/>
            </w:rPr>
            <w:instrText xml:space="preserve"> PAGEREF _Toc8248 \h </w:instrText>
          </w:r>
          <w:r>
            <w:rPr>
              <w:color w:val="auto"/>
              <w:highlight w:val="none"/>
            </w:rPr>
            <w:fldChar w:fldCharType="separate"/>
          </w:r>
          <w:r>
            <w:rPr>
              <w:color w:val="auto"/>
              <w:highlight w:val="none"/>
            </w:rPr>
            <w:t>2</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63D62440">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_Toc15695 </w:instrText>
          </w:r>
          <w:r>
            <w:rPr>
              <w:rFonts w:ascii="Times New Roman" w:hAnsi="Times New Roman" w:eastAsia="宋体" w:cs="Times New Roman"/>
              <w:caps/>
              <w:color w:val="auto"/>
              <w:kern w:val="2"/>
              <w:szCs w:val="24"/>
              <w:highlight w:val="none"/>
              <w:lang w:val="en-US" w:eastAsia="zh-CN" w:bidi="ar-SA"/>
            </w:rPr>
            <w:fldChar w:fldCharType="separate"/>
          </w:r>
          <w:r>
            <w:rPr>
              <w:rFonts w:eastAsia="Times New Roman"/>
              <w:color w:val="auto"/>
              <w:spacing w:val="-5"/>
              <w:highlight w:val="none"/>
            </w:rPr>
            <w:t>1</w:t>
          </w:r>
          <w:r>
            <w:rPr>
              <w:rFonts w:hint="eastAsia"/>
              <w:color w:val="auto"/>
              <w:spacing w:val="-2"/>
              <w:highlight w:val="none"/>
              <w:lang w:val="en-US" w:eastAsia="zh-CN"/>
            </w:rPr>
            <w:t>.</w:t>
          </w:r>
          <w:r>
            <w:rPr>
              <w:rFonts w:ascii="黑体" w:hAnsi="黑体" w:eastAsia="黑体" w:cs="黑体"/>
              <w:color w:val="auto"/>
              <w:spacing w:val="-5"/>
              <w:highlight w:val="none"/>
            </w:rPr>
            <w:t>招标条件</w:t>
          </w:r>
          <w:r>
            <w:rPr>
              <w:color w:val="auto"/>
              <w:highlight w:val="none"/>
            </w:rPr>
            <w:tab/>
          </w:r>
          <w:r>
            <w:rPr>
              <w:color w:val="auto"/>
              <w:highlight w:val="none"/>
            </w:rPr>
            <w:fldChar w:fldCharType="begin"/>
          </w:r>
          <w:r>
            <w:rPr>
              <w:color w:val="auto"/>
              <w:highlight w:val="none"/>
            </w:rPr>
            <w:instrText xml:space="preserve"> PAGEREF _Toc15695 \h </w:instrText>
          </w:r>
          <w:r>
            <w:rPr>
              <w:color w:val="auto"/>
              <w:highlight w:val="none"/>
            </w:rPr>
            <w:fldChar w:fldCharType="separate"/>
          </w:r>
          <w:r>
            <w:rPr>
              <w:color w:val="auto"/>
              <w:highlight w:val="none"/>
            </w:rPr>
            <w:t>2</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2021B3FC">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_Toc18456 </w:instrText>
          </w:r>
          <w:r>
            <w:rPr>
              <w:rFonts w:ascii="Times New Roman" w:hAnsi="Times New Roman" w:eastAsia="宋体" w:cs="Times New Roman"/>
              <w:caps/>
              <w:color w:val="auto"/>
              <w:kern w:val="2"/>
              <w:szCs w:val="24"/>
              <w:highlight w:val="none"/>
              <w:lang w:val="en-US" w:eastAsia="zh-CN" w:bidi="ar-SA"/>
            </w:rPr>
            <w:fldChar w:fldCharType="separate"/>
          </w:r>
          <w:r>
            <w:rPr>
              <w:rFonts w:eastAsia="Times New Roman"/>
              <w:color w:val="auto"/>
              <w:spacing w:val="-1"/>
              <w:highlight w:val="none"/>
            </w:rPr>
            <w:t>2</w:t>
          </w:r>
          <w:r>
            <w:rPr>
              <w:rFonts w:hint="eastAsia"/>
              <w:color w:val="auto"/>
              <w:spacing w:val="-2"/>
              <w:highlight w:val="none"/>
              <w:lang w:val="en-US" w:eastAsia="zh-CN"/>
            </w:rPr>
            <w:t>.</w:t>
          </w:r>
          <w:r>
            <w:rPr>
              <w:rFonts w:ascii="黑体" w:hAnsi="黑体" w:eastAsia="黑体" w:cs="黑体"/>
              <w:color w:val="auto"/>
              <w:spacing w:val="-5"/>
              <w:highlight w:val="none"/>
            </w:rPr>
            <w:t>项目概况与招标范围</w:t>
          </w:r>
          <w:r>
            <w:rPr>
              <w:color w:val="auto"/>
              <w:highlight w:val="none"/>
            </w:rPr>
            <w:tab/>
          </w:r>
          <w:r>
            <w:rPr>
              <w:color w:val="auto"/>
              <w:highlight w:val="none"/>
            </w:rPr>
            <w:fldChar w:fldCharType="begin"/>
          </w:r>
          <w:r>
            <w:rPr>
              <w:color w:val="auto"/>
              <w:highlight w:val="none"/>
            </w:rPr>
            <w:instrText xml:space="preserve"> PAGEREF _Toc18456 \h </w:instrText>
          </w:r>
          <w:r>
            <w:rPr>
              <w:color w:val="auto"/>
              <w:highlight w:val="none"/>
            </w:rPr>
            <w:fldChar w:fldCharType="separate"/>
          </w:r>
          <w:r>
            <w:rPr>
              <w:color w:val="auto"/>
              <w:highlight w:val="none"/>
            </w:rPr>
            <w:t>2</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463CA437">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_Toc61 </w:instrText>
          </w:r>
          <w:r>
            <w:rPr>
              <w:rFonts w:ascii="Times New Roman" w:hAnsi="Times New Roman" w:eastAsia="宋体" w:cs="Times New Roman"/>
              <w:caps/>
              <w:color w:val="auto"/>
              <w:kern w:val="2"/>
              <w:szCs w:val="24"/>
              <w:highlight w:val="none"/>
              <w:lang w:val="en-US" w:eastAsia="zh-CN" w:bidi="ar-SA"/>
            </w:rPr>
            <w:fldChar w:fldCharType="separate"/>
          </w:r>
          <w:r>
            <w:rPr>
              <w:rFonts w:eastAsia="Times New Roman"/>
              <w:color w:val="auto"/>
              <w:spacing w:val="-2"/>
              <w:highlight w:val="none"/>
            </w:rPr>
            <w:t>3</w:t>
          </w:r>
          <w:r>
            <w:rPr>
              <w:rFonts w:hint="eastAsia"/>
              <w:color w:val="auto"/>
              <w:spacing w:val="-2"/>
              <w:highlight w:val="none"/>
              <w:lang w:val="en-US" w:eastAsia="zh-CN"/>
            </w:rPr>
            <w:t>.</w:t>
          </w:r>
          <w:r>
            <w:rPr>
              <w:rFonts w:ascii="黑体" w:hAnsi="黑体" w:eastAsia="黑体" w:cs="黑体"/>
              <w:color w:val="auto"/>
              <w:spacing w:val="-2"/>
              <w:highlight w:val="none"/>
            </w:rPr>
            <w:t>投标人资格要求</w:t>
          </w:r>
          <w:r>
            <w:rPr>
              <w:color w:val="auto"/>
              <w:highlight w:val="none"/>
            </w:rPr>
            <w:tab/>
          </w:r>
          <w:r>
            <w:rPr>
              <w:color w:val="auto"/>
              <w:highlight w:val="none"/>
            </w:rPr>
            <w:fldChar w:fldCharType="begin"/>
          </w:r>
          <w:r>
            <w:rPr>
              <w:color w:val="auto"/>
              <w:highlight w:val="none"/>
            </w:rPr>
            <w:instrText xml:space="preserve"> PAGEREF _Toc61 \h </w:instrText>
          </w:r>
          <w:r>
            <w:rPr>
              <w:color w:val="auto"/>
              <w:highlight w:val="none"/>
            </w:rPr>
            <w:fldChar w:fldCharType="separate"/>
          </w:r>
          <w:r>
            <w:rPr>
              <w:color w:val="auto"/>
              <w:highlight w:val="none"/>
            </w:rPr>
            <w:t>3</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3C6D6DBC">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_Toc2386 </w:instrText>
          </w:r>
          <w:r>
            <w:rPr>
              <w:rFonts w:ascii="Times New Roman" w:hAnsi="Times New Roman" w:eastAsia="宋体" w:cs="Times New Roman"/>
              <w:caps/>
              <w:color w:val="auto"/>
              <w:kern w:val="2"/>
              <w:szCs w:val="24"/>
              <w:highlight w:val="none"/>
              <w:lang w:val="en-US" w:eastAsia="zh-CN" w:bidi="ar-SA"/>
            </w:rPr>
            <w:fldChar w:fldCharType="separate"/>
          </w:r>
          <w:r>
            <w:rPr>
              <w:rFonts w:eastAsia="Times New Roman"/>
              <w:color w:val="auto"/>
              <w:spacing w:val="-1"/>
              <w:highlight w:val="none"/>
            </w:rPr>
            <w:t>4</w:t>
          </w:r>
          <w:r>
            <w:rPr>
              <w:rFonts w:hint="eastAsia"/>
              <w:color w:val="auto"/>
              <w:spacing w:val="-1"/>
              <w:highlight w:val="none"/>
              <w:lang w:val="en-US" w:eastAsia="zh-CN"/>
            </w:rPr>
            <w:t>.</w:t>
          </w:r>
          <w:r>
            <w:rPr>
              <w:rFonts w:ascii="黑体" w:hAnsi="黑体" w:eastAsia="黑体" w:cs="黑体"/>
              <w:color w:val="auto"/>
              <w:spacing w:val="-1"/>
              <w:highlight w:val="none"/>
            </w:rPr>
            <w:t>招标文件的获取</w:t>
          </w:r>
          <w:r>
            <w:rPr>
              <w:color w:val="auto"/>
              <w:highlight w:val="none"/>
            </w:rPr>
            <w:tab/>
          </w:r>
          <w:r>
            <w:rPr>
              <w:color w:val="auto"/>
              <w:highlight w:val="none"/>
            </w:rPr>
            <w:fldChar w:fldCharType="begin"/>
          </w:r>
          <w:r>
            <w:rPr>
              <w:color w:val="auto"/>
              <w:highlight w:val="none"/>
            </w:rPr>
            <w:instrText xml:space="preserve"> PAGEREF _Toc2386 \h </w:instrText>
          </w:r>
          <w:r>
            <w:rPr>
              <w:color w:val="auto"/>
              <w:highlight w:val="none"/>
            </w:rPr>
            <w:fldChar w:fldCharType="separate"/>
          </w:r>
          <w:r>
            <w:rPr>
              <w:color w:val="auto"/>
              <w:highlight w:val="none"/>
            </w:rPr>
            <w:t>3</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5CFC26BC">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_Toc10239 </w:instrText>
          </w:r>
          <w:r>
            <w:rPr>
              <w:rFonts w:ascii="Times New Roman" w:hAnsi="Times New Roman" w:eastAsia="宋体" w:cs="Times New Roman"/>
              <w:caps/>
              <w:color w:val="auto"/>
              <w:kern w:val="2"/>
              <w:szCs w:val="24"/>
              <w:highlight w:val="none"/>
              <w:lang w:val="en-US" w:eastAsia="zh-CN" w:bidi="ar-SA"/>
            </w:rPr>
            <w:fldChar w:fldCharType="separate"/>
          </w:r>
          <w:r>
            <w:rPr>
              <w:rFonts w:eastAsia="Times New Roman"/>
              <w:color w:val="auto"/>
              <w:spacing w:val="-2"/>
              <w:highlight w:val="none"/>
            </w:rPr>
            <w:t>5</w:t>
          </w:r>
          <w:r>
            <w:rPr>
              <w:rFonts w:hint="eastAsia"/>
              <w:color w:val="auto"/>
              <w:spacing w:val="-2"/>
              <w:highlight w:val="none"/>
              <w:lang w:val="en-US" w:eastAsia="zh-CN"/>
            </w:rPr>
            <w:t>.</w:t>
          </w:r>
          <w:r>
            <w:rPr>
              <w:rFonts w:ascii="黑体" w:hAnsi="黑体" w:eastAsia="黑体" w:cs="黑体"/>
              <w:color w:val="auto"/>
              <w:spacing w:val="-2"/>
              <w:highlight w:val="none"/>
            </w:rPr>
            <w:t>投标文件的递交</w:t>
          </w:r>
          <w:r>
            <w:rPr>
              <w:color w:val="auto"/>
              <w:highlight w:val="none"/>
            </w:rPr>
            <w:tab/>
          </w:r>
          <w:r>
            <w:rPr>
              <w:color w:val="auto"/>
              <w:highlight w:val="none"/>
            </w:rPr>
            <w:fldChar w:fldCharType="begin"/>
          </w:r>
          <w:r>
            <w:rPr>
              <w:color w:val="auto"/>
              <w:highlight w:val="none"/>
            </w:rPr>
            <w:instrText xml:space="preserve"> PAGEREF _Toc10239 \h </w:instrText>
          </w:r>
          <w:r>
            <w:rPr>
              <w:color w:val="auto"/>
              <w:highlight w:val="none"/>
            </w:rPr>
            <w:fldChar w:fldCharType="separate"/>
          </w:r>
          <w:r>
            <w:rPr>
              <w:color w:val="auto"/>
              <w:highlight w:val="none"/>
            </w:rPr>
            <w:t>4</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2697F84B">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_Toc17647 </w:instrText>
          </w:r>
          <w:r>
            <w:rPr>
              <w:rFonts w:ascii="Times New Roman" w:hAnsi="Times New Roman" w:eastAsia="宋体" w:cs="Times New Roman"/>
              <w:caps/>
              <w:color w:val="auto"/>
              <w:kern w:val="2"/>
              <w:szCs w:val="24"/>
              <w:highlight w:val="none"/>
              <w:lang w:val="en-US" w:eastAsia="zh-CN" w:bidi="ar-SA"/>
            </w:rPr>
            <w:fldChar w:fldCharType="separate"/>
          </w:r>
          <w:r>
            <w:rPr>
              <w:rFonts w:eastAsia="Times New Roman"/>
              <w:color w:val="auto"/>
              <w:spacing w:val="-2"/>
              <w:highlight w:val="none"/>
            </w:rPr>
            <w:t>6</w:t>
          </w:r>
          <w:r>
            <w:rPr>
              <w:rFonts w:hint="eastAsia"/>
              <w:color w:val="auto"/>
              <w:spacing w:val="-2"/>
              <w:highlight w:val="none"/>
              <w:lang w:val="en-US" w:eastAsia="zh-CN"/>
            </w:rPr>
            <w:t>.</w:t>
          </w:r>
          <w:r>
            <w:rPr>
              <w:rFonts w:ascii="黑体" w:hAnsi="黑体" w:eastAsia="黑体" w:cs="黑体"/>
              <w:color w:val="auto"/>
              <w:spacing w:val="-2"/>
              <w:highlight w:val="none"/>
            </w:rPr>
            <w:t>投标相关事宜</w:t>
          </w:r>
          <w:r>
            <w:rPr>
              <w:color w:val="auto"/>
              <w:highlight w:val="none"/>
            </w:rPr>
            <w:tab/>
          </w:r>
          <w:r>
            <w:rPr>
              <w:color w:val="auto"/>
              <w:highlight w:val="none"/>
            </w:rPr>
            <w:fldChar w:fldCharType="begin"/>
          </w:r>
          <w:r>
            <w:rPr>
              <w:color w:val="auto"/>
              <w:highlight w:val="none"/>
            </w:rPr>
            <w:instrText xml:space="preserve"> PAGEREF _Toc17647 \h </w:instrText>
          </w:r>
          <w:r>
            <w:rPr>
              <w:color w:val="auto"/>
              <w:highlight w:val="none"/>
            </w:rPr>
            <w:fldChar w:fldCharType="separate"/>
          </w:r>
          <w:r>
            <w:rPr>
              <w:color w:val="auto"/>
              <w:highlight w:val="none"/>
            </w:rPr>
            <w:t>4</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33E9FFD1">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_Toc18025 </w:instrText>
          </w:r>
          <w:r>
            <w:rPr>
              <w:rFonts w:ascii="Times New Roman" w:hAnsi="Times New Roman" w:eastAsia="宋体" w:cs="Times New Roman"/>
              <w:caps/>
              <w:color w:val="auto"/>
              <w:kern w:val="2"/>
              <w:szCs w:val="24"/>
              <w:highlight w:val="none"/>
              <w:lang w:val="en-US" w:eastAsia="zh-CN" w:bidi="ar-SA"/>
            </w:rPr>
            <w:fldChar w:fldCharType="separate"/>
          </w:r>
          <w:r>
            <w:rPr>
              <w:rFonts w:eastAsia="Times New Roman"/>
              <w:color w:val="auto"/>
              <w:spacing w:val="-2"/>
              <w:highlight w:val="none"/>
            </w:rPr>
            <w:t>7</w:t>
          </w:r>
          <w:r>
            <w:rPr>
              <w:rFonts w:hint="eastAsia"/>
              <w:color w:val="auto"/>
              <w:spacing w:val="-2"/>
              <w:highlight w:val="none"/>
              <w:lang w:val="en-US" w:eastAsia="zh-CN"/>
            </w:rPr>
            <w:t>.</w:t>
          </w:r>
          <w:r>
            <w:rPr>
              <w:rFonts w:ascii="黑体" w:hAnsi="黑体" w:eastAsia="黑体" w:cs="黑体"/>
              <w:color w:val="auto"/>
              <w:spacing w:val="-2"/>
              <w:highlight w:val="none"/>
            </w:rPr>
            <w:t>评标办法</w:t>
          </w:r>
          <w:r>
            <w:rPr>
              <w:color w:val="auto"/>
              <w:highlight w:val="none"/>
            </w:rPr>
            <w:tab/>
          </w:r>
          <w:r>
            <w:rPr>
              <w:color w:val="auto"/>
              <w:highlight w:val="none"/>
            </w:rPr>
            <w:fldChar w:fldCharType="begin"/>
          </w:r>
          <w:r>
            <w:rPr>
              <w:color w:val="auto"/>
              <w:highlight w:val="none"/>
            </w:rPr>
            <w:instrText xml:space="preserve"> PAGEREF _Toc18025 \h </w:instrText>
          </w:r>
          <w:r>
            <w:rPr>
              <w:color w:val="auto"/>
              <w:highlight w:val="none"/>
            </w:rPr>
            <w:fldChar w:fldCharType="separate"/>
          </w:r>
          <w:r>
            <w:rPr>
              <w:color w:val="auto"/>
              <w:highlight w:val="none"/>
            </w:rPr>
            <w:t>4</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6B7C3BF2">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_Toc12172 </w:instrText>
          </w:r>
          <w:r>
            <w:rPr>
              <w:rFonts w:ascii="Times New Roman" w:hAnsi="Times New Roman" w:eastAsia="宋体" w:cs="Times New Roman"/>
              <w:caps/>
              <w:color w:val="auto"/>
              <w:kern w:val="2"/>
              <w:szCs w:val="24"/>
              <w:highlight w:val="none"/>
              <w:lang w:val="en-US" w:eastAsia="zh-CN" w:bidi="ar-SA"/>
            </w:rPr>
            <w:fldChar w:fldCharType="separate"/>
          </w:r>
          <w:r>
            <w:rPr>
              <w:rFonts w:eastAsia="Times New Roman"/>
              <w:color w:val="auto"/>
              <w:spacing w:val="-2"/>
              <w:highlight w:val="none"/>
            </w:rPr>
            <w:t>8</w:t>
          </w:r>
          <w:r>
            <w:rPr>
              <w:rFonts w:hint="eastAsia"/>
              <w:color w:val="auto"/>
              <w:spacing w:val="-2"/>
              <w:highlight w:val="none"/>
              <w:lang w:val="en-US" w:eastAsia="zh-CN"/>
            </w:rPr>
            <w:t>.</w:t>
          </w:r>
          <w:r>
            <w:rPr>
              <w:rFonts w:ascii="黑体" w:hAnsi="黑体" w:eastAsia="黑体" w:cs="黑体"/>
              <w:color w:val="auto"/>
              <w:spacing w:val="-2"/>
              <w:highlight w:val="none"/>
            </w:rPr>
            <w:t>发布公告的媒介</w:t>
          </w:r>
          <w:r>
            <w:rPr>
              <w:color w:val="auto"/>
              <w:highlight w:val="none"/>
            </w:rPr>
            <w:tab/>
          </w:r>
          <w:r>
            <w:rPr>
              <w:color w:val="auto"/>
              <w:highlight w:val="none"/>
            </w:rPr>
            <w:fldChar w:fldCharType="begin"/>
          </w:r>
          <w:r>
            <w:rPr>
              <w:color w:val="auto"/>
              <w:highlight w:val="none"/>
            </w:rPr>
            <w:instrText xml:space="preserve"> PAGEREF _Toc12172 \h </w:instrText>
          </w:r>
          <w:r>
            <w:rPr>
              <w:color w:val="auto"/>
              <w:highlight w:val="none"/>
            </w:rPr>
            <w:fldChar w:fldCharType="separate"/>
          </w:r>
          <w:r>
            <w:rPr>
              <w:color w:val="auto"/>
              <w:highlight w:val="none"/>
            </w:rPr>
            <w:t>4</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2FC31810">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_Toc2084 </w:instrText>
          </w:r>
          <w:r>
            <w:rPr>
              <w:rFonts w:ascii="Times New Roman" w:hAnsi="Times New Roman" w:eastAsia="宋体" w:cs="Times New Roman"/>
              <w:caps/>
              <w:color w:val="auto"/>
              <w:kern w:val="2"/>
              <w:szCs w:val="24"/>
              <w:highlight w:val="none"/>
              <w:lang w:val="en-US" w:eastAsia="zh-CN" w:bidi="ar-SA"/>
            </w:rPr>
            <w:fldChar w:fldCharType="separate"/>
          </w:r>
          <w:r>
            <w:rPr>
              <w:rFonts w:eastAsia="Times New Roman"/>
              <w:color w:val="auto"/>
              <w:spacing w:val="-2"/>
              <w:highlight w:val="none"/>
            </w:rPr>
            <w:t>9</w:t>
          </w:r>
          <w:r>
            <w:rPr>
              <w:rFonts w:hint="eastAsia"/>
              <w:color w:val="auto"/>
              <w:spacing w:val="-2"/>
              <w:highlight w:val="none"/>
              <w:lang w:val="en-US" w:eastAsia="zh-CN"/>
            </w:rPr>
            <w:t>.</w:t>
          </w:r>
          <w:r>
            <w:rPr>
              <w:rFonts w:ascii="黑体" w:hAnsi="黑体" w:eastAsia="黑体" w:cs="黑体"/>
              <w:color w:val="auto"/>
              <w:spacing w:val="-2"/>
              <w:highlight w:val="none"/>
            </w:rPr>
            <w:t>监督信息</w:t>
          </w:r>
          <w:r>
            <w:rPr>
              <w:color w:val="auto"/>
              <w:highlight w:val="none"/>
            </w:rPr>
            <w:tab/>
          </w:r>
          <w:r>
            <w:rPr>
              <w:color w:val="auto"/>
              <w:highlight w:val="none"/>
            </w:rPr>
            <w:fldChar w:fldCharType="begin"/>
          </w:r>
          <w:r>
            <w:rPr>
              <w:color w:val="auto"/>
              <w:highlight w:val="none"/>
            </w:rPr>
            <w:instrText xml:space="preserve"> PAGEREF _Toc2084 \h </w:instrText>
          </w:r>
          <w:r>
            <w:rPr>
              <w:color w:val="auto"/>
              <w:highlight w:val="none"/>
            </w:rPr>
            <w:fldChar w:fldCharType="separate"/>
          </w:r>
          <w:r>
            <w:rPr>
              <w:color w:val="auto"/>
              <w:highlight w:val="none"/>
            </w:rPr>
            <w:t>4</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57F28F13">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_Toc27719 </w:instrText>
          </w:r>
          <w:r>
            <w:rPr>
              <w:rFonts w:ascii="Times New Roman" w:hAnsi="Times New Roman" w:eastAsia="宋体" w:cs="Times New Roman"/>
              <w:caps/>
              <w:color w:val="auto"/>
              <w:kern w:val="2"/>
              <w:szCs w:val="24"/>
              <w:highlight w:val="none"/>
              <w:lang w:val="en-US" w:eastAsia="zh-CN" w:bidi="ar-SA"/>
            </w:rPr>
            <w:fldChar w:fldCharType="separate"/>
          </w:r>
          <w:r>
            <w:rPr>
              <w:rFonts w:eastAsia="Times New Roman"/>
              <w:color w:val="auto"/>
              <w:spacing w:val="-4"/>
              <w:highlight w:val="none"/>
            </w:rPr>
            <w:t>10</w:t>
          </w:r>
          <w:r>
            <w:rPr>
              <w:rFonts w:hint="eastAsia"/>
              <w:color w:val="auto"/>
              <w:spacing w:val="-4"/>
              <w:highlight w:val="none"/>
              <w:lang w:val="en-US" w:eastAsia="zh-CN"/>
            </w:rPr>
            <w:t>.</w:t>
          </w:r>
          <w:r>
            <w:rPr>
              <w:rFonts w:ascii="黑体" w:hAnsi="黑体" w:eastAsia="黑体" w:cs="黑体"/>
              <w:color w:val="auto"/>
              <w:spacing w:val="-4"/>
              <w:highlight w:val="none"/>
            </w:rPr>
            <w:t>联系方式</w:t>
          </w:r>
          <w:r>
            <w:rPr>
              <w:color w:val="auto"/>
              <w:highlight w:val="none"/>
            </w:rPr>
            <w:tab/>
          </w:r>
          <w:r>
            <w:rPr>
              <w:color w:val="auto"/>
              <w:highlight w:val="none"/>
            </w:rPr>
            <w:fldChar w:fldCharType="begin"/>
          </w:r>
          <w:r>
            <w:rPr>
              <w:color w:val="auto"/>
              <w:highlight w:val="none"/>
            </w:rPr>
            <w:instrText xml:space="preserve"> PAGEREF _Toc27719 \h </w:instrText>
          </w:r>
          <w:r>
            <w:rPr>
              <w:color w:val="auto"/>
              <w:highlight w:val="none"/>
            </w:rPr>
            <w:fldChar w:fldCharType="separate"/>
          </w:r>
          <w:r>
            <w:rPr>
              <w:color w:val="auto"/>
              <w:highlight w:val="none"/>
            </w:rPr>
            <w:t>4</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61910FAA">
          <w:pPr>
            <w:pStyle w:val="28"/>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_Toc14414 </w:instrText>
          </w:r>
          <w:r>
            <w:rPr>
              <w:rFonts w:ascii="Times New Roman" w:hAnsi="Times New Roman" w:eastAsia="宋体" w:cs="Times New Roman"/>
              <w:caps/>
              <w:color w:val="auto"/>
              <w:kern w:val="2"/>
              <w:szCs w:val="24"/>
              <w:highlight w:val="none"/>
              <w:lang w:val="en-US" w:eastAsia="zh-CN" w:bidi="ar-SA"/>
            </w:rPr>
            <w:fldChar w:fldCharType="separate"/>
          </w:r>
          <w:r>
            <w:rPr>
              <w:rFonts w:ascii="黑体" w:hAnsi="黑体" w:eastAsia="黑体" w:cs="黑体"/>
              <w:bCs/>
              <w:color w:val="auto"/>
              <w:spacing w:val="6"/>
              <w:szCs w:val="31"/>
              <w:highlight w:val="none"/>
            </w:rPr>
            <w:t>第二章投标人须知</w:t>
          </w:r>
          <w:r>
            <w:rPr>
              <w:color w:val="auto"/>
              <w:highlight w:val="none"/>
            </w:rPr>
            <w:tab/>
          </w:r>
          <w:r>
            <w:rPr>
              <w:color w:val="auto"/>
              <w:highlight w:val="none"/>
            </w:rPr>
            <w:fldChar w:fldCharType="begin"/>
          </w:r>
          <w:r>
            <w:rPr>
              <w:color w:val="auto"/>
              <w:highlight w:val="none"/>
            </w:rPr>
            <w:instrText xml:space="preserve"> PAGEREF _Toc14414 \h </w:instrText>
          </w:r>
          <w:r>
            <w:rPr>
              <w:color w:val="auto"/>
              <w:highlight w:val="none"/>
            </w:rPr>
            <w:fldChar w:fldCharType="separate"/>
          </w:r>
          <w:r>
            <w:rPr>
              <w:color w:val="auto"/>
              <w:highlight w:val="none"/>
            </w:rPr>
            <w:t>6</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5ED6CA1A">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_Toc25689 </w:instrText>
          </w:r>
          <w:r>
            <w:rPr>
              <w:rFonts w:ascii="Times New Roman" w:hAnsi="Times New Roman" w:eastAsia="宋体" w:cs="Times New Roman"/>
              <w:caps/>
              <w:color w:val="auto"/>
              <w:kern w:val="2"/>
              <w:szCs w:val="24"/>
              <w:highlight w:val="none"/>
              <w:lang w:val="en-US" w:eastAsia="zh-CN" w:bidi="ar-SA"/>
            </w:rPr>
            <w:fldChar w:fldCharType="separate"/>
          </w:r>
          <w:r>
            <w:rPr>
              <w:rFonts w:ascii="黑体" w:hAnsi="黑体" w:eastAsia="黑体" w:cs="黑体"/>
              <w:color w:val="auto"/>
              <w:spacing w:val="-1"/>
              <w:szCs w:val="28"/>
              <w:highlight w:val="none"/>
            </w:rPr>
            <w:t>投标人须知前附表</w:t>
          </w:r>
          <w:r>
            <w:rPr>
              <w:color w:val="auto"/>
              <w:highlight w:val="none"/>
            </w:rPr>
            <w:tab/>
          </w:r>
          <w:r>
            <w:rPr>
              <w:color w:val="auto"/>
              <w:highlight w:val="none"/>
            </w:rPr>
            <w:fldChar w:fldCharType="begin"/>
          </w:r>
          <w:r>
            <w:rPr>
              <w:color w:val="auto"/>
              <w:highlight w:val="none"/>
            </w:rPr>
            <w:instrText xml:space="preserve"> PAGEREF _Toc25689 \h </w:instrText>
          </w:r>
          <w:r>
            <w:rPr>
              <w:color w:val="auto"/>
              <w:highlight w:val="none"/>
            </w:rPr>
            <w:fldChar w:fldCharType="separate"/>
          </w:r>
          <w:r>
            <w:rPr>
              <w:color w:val="auto"/>
              <w:highlight w:val="none"/>
            </w:rPr>
            <w:t>6</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011940F0">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_Toc900 </w:instrText>
          </w:r>
          <w:r>
            <w:rPr>
              <w:rFonts w:ascii="Times New Roman" w:hAnsi="Times New Roman" w:eastAsia="宋体" w:cs="Times New Roman"/>
              <w:caps/>
              <w:color w:val="auto"/>
              <w:kern w:val="2"/>
              <w:szCs w:val="24"/>
              <w:highlight w:val="none"/>
              <w:lang w:val="en-US" w:eastAsia="zh-CN" w:bidi="ar-SA"/>
            </w:rPr>
            <w:fldChar w:fldCharType="separate"/>
          </w:r>
          <w:r>
            <w:rPr>
              <w:rFonts w:ascii="黑体" w:hAnsi="黑体" w:eastAsia="黑体" w:cs="黑体"/>
              <w:color w:val="auto"/>
              <w:spacing w:val="-1"/>
              <w:szCs w:val="28"/>
              <w:highlight w:val="none"/>
            </w:rPr>
            <w:t>投标人须知正文部分</w:t>
          </w:r>
          <w:r>
            <w:rPr>
              <w:color w:val="auto"/>
              <w:highlight w:val="none"/>
            </w:rPr>
            <w:tab/>
          </w:r>
          <w:r>
            <w:rPr>
              <w:color w:val="auto"/>
              <w:highlight w:val="none"/>
            </w:rPr>
            <w:fldChar w:fldCharType="begin"/>
          </w:r>
          <w:r>
            <w:rPr>
              <w:color w:val="auto"/>
              <w:highlight w:val="none"/>
            </w:rPr>
            <w:instrText xml:space="preserve"> PAGEREF _Toc900 \h </w:instrText>
          </w:r>
          <w:r>
            <w:rPr>
              <w:color w:val="auto"/>
              <w:highlight w:val="none"/>
            </w:rPr>
            <w:fldChar w:fldCharType="separate"/>
          </w:r>
          <w:r>
            <w:rPr>
              <w:color w:val="auto"/>
              <w:highlight w:val="none"/>
            </w:rPr>
            <w:t>22</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36727669">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_Toc269 </w:instrText>
          </w:r>
          <w:r>
            <w:rPr>
              <w:rFonts w:ascii="Times New Roman" w:hAnsi="Times New Roman" w:eastAsia="宋体" w:cs="Times New Roman"/>
              <w:caps/>
              <w:color w:val="auto"/>
              <w:kern w:val="2"/>
              <w:szCs w:val="24"/>
              <w:highlight w:val="none"/>
              <w:lang w:val="en-US" w:eastAsia="zh-CN" w:bidi="ar-SA"/>
            </w:rPr>
            <w:fldChar w:fldCharType="separate"/>
          </w:r>
          <w:r>
            <w:rPr>
              <w:rFonts w:eastAsia="Times New Roman"/>
              <w:color w:val="auto"/>
              <w:spacing w:val="-8"/>
              <w:szCs w:val="28"/>
              <w:highlight w:val="none"/>
            </w:rPr>
            <w:t>1</w:t>
          </w:r>
          <w:r>
            <w:rPr>
              <w:rFonts w:hint="eastAsia"/>
              <w:color w:val="auto"/>
              <w:spacing w:val="-8"/>
              <w:szCs w:val="28"/>
              <w:highlight w:val="none"/>
              <w:lang w:val="en-US" w:eastAsia="zh-CN"/>
            </w:rPr>
            <w:t>.</w:t>
          </w:r>
          <w:r>
            <w:rPr>
              <w:rFonts w:ascii="黑体" w:hAnsi="黑体" w:eastAsia="黑体" w:cs="黑体"/>
              <w:color w:val="auto"/>
              <w:spacing w:val="-8"/>
              <w:szCs w:val="28"/>
              <w:highlight w:val="none"/>
            </w:rPr>
            <w:t>总则</w:t>
          </w:r>
          <w:r>
            <w:rPr>
              <w:color w:val="auto"/>
              <w:highlight w:val="none"/>
            </w:rPr>
            <w:tab/>
          </w:r>
          <w:r>
            <w:rPr>
              <w:color w:val="auto"/>
              <w:highlight w:val="none"/>
            </w:rPr>
            <w:fldChar w:fldCharType="begin"/>
          </w:r>
          <w:r>
            <w:rPr>
              <w:color w:val="auto"/>
              <w:highlight w:val="none"/>
            </w:rPr>
            <w:instrText xml:space="preserve"> PAGEREF _Toc269 \h </w:instrText>
          </w:r>
          <w:r>
            <w:rPr>
              <w:color w:val="auto"/>
              <w:highlight w:val="none"/>
            </w:rPr>
            <w:fldChar w:fldCharType="separate"/>
          </w:r>
          <w:r>
            <w:rPr>
              <w:color w:val="auto"/>
              <w:highlight w:val="none"/>
            </w:rPr>
            <w:t>22</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1AE66985">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_Toc26755 </w:instrText>
          </w:r>
          <w:r>
            <w:rPr>
              <w:rFonts w:ascii="Times New Roman" w:hAnsi="Times New Roman" w:eastAsia="宋体" w:cs="Times New Roman"/>
              <w:caps/>
              <w:color w:val="auto"/>
              <w:kern w:val="2"/>
              <w:szCs w:val="24"/>
              <w:highlight w:val="none"/>
              <w:lang w:val="en-US" w:eastAsia="zh-CN" w:bidi="ar-SA"/>
            </w:rPr>
            <w:fldChar w:fldCharType="separate"/>
          </w:r>
          <w:r>
            <w:rPr>
              <w:rFonts w:eastAsia="Times New Roman"/>
              <w:color w:val="auto"/>
              <w:spacing w:val="-1"/>
              <w:szCs w:val="28"/>
              <w:highlight w:val="none"/>
            </w:rPr>
            <w:t>2.</w:t>
          </w:r>
          <w:r>
            <w:rPr>
              <w:rFonts w:ascii="黑体" w:hAnsi="黑体" w:eastAsia="黑体" w:cs="黑体"/>
              <w:color w:val="auto"/>
              <w:spacing w:val="-1"/>
              <w:szCs w:val="28"/>
              <w:highlight w:val="none"/>
            </w:rPr>
            <w:t>招标文件</w:t>
          </w:r>
          <w:r>
            <w:rPr>
              <w:color w:val="auto"/>
              <w:highlight w:val="none"/>
            </w:rPr>
            <w:tab/>
          </w:r>
          <w:r>
            <w:rPr>
              <w:color w:val="auto"/>
              <w:highlight w:val="none"/>
            </w:rPr>
            <w:fldChar w:fldCharType="begin"/>
          </w:r>
          <w:r>
            <w:rPr>
              <w:color w:val="auto"/>
              <w:highlight w:val="none"/>
            </w:rPr>
            <w:instrText xml:space="preserve"> PAGEREF _Toc26755 \h </w:instrText>
          </w:r>
          <w:r>
            <w:rPr>
              <w:color w:val="auto"/>
              <w:highlight w:val="none"/>
            </w:rPr>
            <w:fldChar w:fldCharType="separate"/>
          </w:r>
          <w:r>
            <w:rPr>
              <w:color w:val="auto"/>
              <w:highlight w:val="none"/>
            </w:rPr>
            <w:t>25</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6358FF8B">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_Toc21182 </w:instrText>
          </w:r>
          <w:r>
            <w:rPr>
              <w:rFonts w:ascii="Times New Roman" w:hAnsi="Times New Roman" w:eastAsia="宋体" w:cs="Times New Roman"/>
              <w:caps/>
              <w:color w:val="auto"/>
              <w:kern w:val="2"/>
              <w:szCs w:val="24"/>
              <w:highlight w:val="none"/>
              <w:lang w:val="en-US" w:eastAsia="zh-CN" w:bidi="ar-SA"/>
            </w:rPr>
            <w:fldChar w:fldCharType="separate"/>
          </w:r>
          <w:r>
            <w:rPr>
              <w:rFonts w:eastAsia="Times New Roman"/>
              <w:color w:val="auto"/>
              <w:spacing w:val="-1"/>
              <w:szCs w:val="28"/>
              <w:highlight w:val="none"/>
            </w:rPr>
            <w:t>3.</w:t>
          </w:r>
          <w:r>
            <w:rPr>
              <w:rFonts w:ascii="黑体" w:hAnsi="黑体" w:eastAsia="黑体" w:cs="黑体"/>
              <w:color w:val="auto"/>
              <w:spacing w:val="-1"/>
              <w:szCs w:val="28"/>
              <w:highlight w:val="none"/>
            </w:rPr>
            <w:t>投标文件</w:t>
          </w:r>
          <w:r>
            <w:rPr>
              <w:color w:val="auto"/>
              <w:highlight w:val="none"/>
            </w:rPr>
            <w:tab/>
          </w:r>
          <w:r>
            <w:rPr>
              <w:color w:val="auto"/>
              <w:highlight w:val="none"/>
            </w:rPr>
            <w:fldChar w:fldCharType="begin"/>
          </w:r>
          <w:r>
            <w:rPr>
              <w:color w:val="auto"/>
              <w:highlight w:val="none"/>
            </w:rPr>
            <w:instrText xml:space="preserve"> PAGEREF _Toc21182 \h </w:instrText>
          </w:r>
          <w:r>
            <w:rPr>
              <w:color w:val="auto"/>
              <w:highlight w:val="none"/>
            </w:rPr>
            <w:fldChar w:fldCharType="separate"/>
          </w:r>
          <w:r>
            <w:rPr>
              <w:color w:val="auto"/>
              <w:highlight w:val="none"/>
            </w:rPr>
            <w:t>26</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4BC3393B">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_Toc25527 </w:instrText>
          </w:r>
          <w:r>
            <w:rPr>
              <w:rFonts w:ascii="Times New Roman" w:hAnsi="Times New Roman" w:eastAsia="宋体" w:cs="Times New Roman"/>
              <w:caps/>
              <w:color w:val="auto"/>
              <w:kern w:val="2"/>
              <w:szCs w:val="24"/>
              <w:highlight w:val="none"/>
              <w:lang w:val="en-US" w:eastAsia="zh-CN" w:bidi="ar-SA"/>
            </w:rPr>
            <w:fldChar w:fldCharType="separate"/>
          </w:r>
          <w:r>
            <w:rPr>
              <w:rFonts w:eastAsia="Times New Roman"/>
              <w:color w:val="auto"/>
              <w:spacing w:val="-2"/>
              <w:szCs w:val="28"/>
              <w:highlight w:val="none"/>
            </w:rPr>
            <w:t>4</w:t>
          </w:r>
          <w:r>
            <w:rPr>
              <w:rFonts w:hint="eastAsia"/>
              <w:color w:val="auto"/>
              <w:spacing w:val="-2"/>
              <w:szCs w:val="28"/>
              <w:highlight w:val="none"/>
              <w:lang w:val="en-US" w:eastAsia="zh-CN"/>
            </w:rPr>
            <w:t>.</w:t>
          </w:r>
          <w:r>
            <w:rPr>
              <w:rFonts w:ascii="黑体" w:hAnsi="黑体" w:eastAsia="黑体" w:cs="黑体"/>
              <w:color w:val="auto"/>
              <w:spacing w:val="-2"/>
              <w:szCs w:val="28"/>
              <w:highlight w:val="none"/>
            </w:rPr>
            <w:t>投标</w:t>
          </w:r>
          <w:r>
            <w:rPr>
              <w:color w:val="auto"/>
              <w:highlight w:val="none"/>
            </w:rPr>
            <w:tab/>
          </w:r>
          <w:r>
            <w:rPr>
              <w:color w:val="auto"/>
              <w:highlight w:val="none"/>
            </w:rPr>
            <w:fldChar w:fldCharType="begin"/>
          </w:r>
          <w:r>
            <w:rPr>
              <w:color w:val="auto"/>
              <w:highlight w:val="none"/>
            </w:rPr>
            <w:instrText xml:space="preserve"> PAGEREF _Toc25527 \h </w:instrText>
          </w:r>
          <w:r>
            <w:rPr>
              <w:color w:val="auto"/>
              <w:highlight w:val="none"/>
            </w:rPr>
            <w:fldChar w:fldCharType="separate"/>
          </w:r>
          <w:r>
            <w:rPr>
              <w:color w:val="auto"/>
              <w:highlight w:val="none"/>
            </w:rPr>
            <w:t>29</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092B2295">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_Toc22201 </w:instrText>
          </w:r>
          <w:r>
            <w:rPr>
              <w:rFonts w:ascii="Times New Roman" w:hAnsi="Times New Roman" w:eastAsia="宋体" w:cs="Times New Roman"/>
              <w:caps/>
              <w:color w:val="auto"/>
              <w:kern w:val="2"/>
              <w:szCs w:val="24"/>
              <w:highlight w:val="none"/>
              <w:lang w:val="en-US" w:eastAsia="zh-CN" w:bidi="ar-SA"/>
            </w:rPr>
            <w:fldChar w:fldCharType="separate"/>
          </w:r>
          <w:r>
            <w:rPr>
              <w:rFonts w:eastAsia="Times New Roman"/>
              <w:color w:val="auto"/>
              <w:spacing w:val="-5"/>
              <w:szCs w:val="28"/>
              <w:highlight w:val="none"/>
            </w:rPr>
            <w:t>5</w:t>
          </w:r>
          <w:r>
            <w:rPr>
              <w:rFonts w:hint="eastAsia"/>
              <w:color w:val="auto"/>
              <w:spacing w:val="-5"/>
              <w:szCs w:val="28"/>
              <w:highlight w:val="none"/>
              <w:lang w:val="en-US" w:eastAsia="zh-CN"/>
            </w:rPr>
            <w:t>.</w:t>
          </w:r>
          <w:r>
            <w:rPr>
              <w:rFonts w:ascii="黑体" w:hAnsi="黑体" w:eastAsia="黑体" w:cs="黑体"/>
              <w:color w:val="auto"/>
              <w:spacing w:val="-5"/>
              <w:szCs w:val="28"/>
              <w:highlight w:val="none"/>
            </w:rPr>
            <w:t>开标</w:t>
          </w:r>
          <w:r>
            <w:rPr>
              <w:color w:val="auto"/>
              <w:highlight w:val="none"/>
            </w:rPr>
            <w:tab/>
          </w:r>
          <w:r>
            <w:rPr>
              <w:color w:val="auto"/>
              <w:highlight w:val="none"/>
            </w:rPr>
            <w:fldChar w:fldCharType="begin"/>
          </w:r>
          <w:r>
            <w:rPr>
              <w:color w:val="auto"/>
              <w:highlight w:val="none"/>
            </w:rPr>
            <w:instrText xml:space="preserve"> PAGEREF _Toc22201 \h </w:instrText>
          </w:r>
          <w:r>
            <w:rPr>
              <w:color w:val="auto"/>
              <w:highlight w:val="none"/>
            </w:rPr>
            <w:fldChar w:fldCharType="separate"/>
          </w:r>
          <w:r>
            <w:rPr>
              <w:color w:val="auto"/>
              <w:highlight w:val="none"/>
            </w:rPr>
            <w:t>29</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5F6BF46D">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_Toc23388 </w:instrText>
          </w:r>
          <w:r>
            <w:rPr>
              <w:rFonts w:ascii="Times New Roman" w:hAnsi="Times New Roman" w:eastAsia="宋体" w:cs="Times New Roman"/>
              <w:caps/>
              <w:color w:val="auto"/>
              <w:kern w:val="2"/>
              <w:szCs w:val="24"/>
              <w:highlight w:val="none"/>
              <w:lang w:val="en-US" w:eastAsia="zh-CN" w:bidi="ar-SA"/>
            </w:rPr>
            <w:fldChar w:fldCharType="separate"/>
          </w:r>
          <w:r>
            <w:rPr>
              <w:rFonts w:eastAsia="Times New Roman"/>
              <w:color w:val="auto"/>
              <w:spacing w:val="-4"/>
              <w:szCs w:val="28"/>
              <w:highlight w:val="none"/>
            </w:rPr>
            <w:t>6</w:t>
          </w:r>
          <w:r>
            <w:rPr>
              <w:rFonts w:hint="eastAsia"/>
              <w:color w:val="auto"/>
              <w:spacing w:val="-4"/>
              <w:szCs w:val="28"/>
              <w:highlight w:val="none"/>
              <w:lang w:val="en-US" w:eastAsia="zh-CN"/>
            </w:rPr>
            <w:t>.</w:t>
          </w:r>
          <w:r>
            <w:rPr>
              <w:rFonts w:ascii="黑体" w:hAnsi="黑体" w:eastAsia="黑体" w:cs="黑体"/>
              <w:color w:val="auto"/>
              <w:spacing w:val="-4"/>
              <w:szCs w:val="28"/>
              <w:highlight w:val="none"/>
            </w:rPr>
            <w:t>评标</w:t>
          </w:r>
          <w:r>
            <w:rPr>
              <w:color w:val="auto"/>
              <w:highlight w:val="none"/>
            </w:rPr>
            <w:tab/>
          </w:r>
          <w:r>
            <w:rPr>
              <w:color w:val="auto"/>
              <w:highlight w:val="none"/>
            </w:rPr>
            <w:fldChar w:fldCharType="begin"/>
          </w:r>
          <w:r>
            <w:rPr>
              <w:color w:val="auto"/>
              <w:highlight w:val="none"/>
            </w:rPr>
            <w:instrText xml:space="preserve"> PAGEREF _Toc23388 \h </w:instrText>
          </w:r>
          <w:r>
            <w:rPr>
              <w:color w:val="auto"/>
              <w:highlight w:val="none"/>
            </w:rPr>
            <w:fldChar w:fldCharType="separate"/>
          </w:r>
          <w:r>
            <w:rPr>
              <w:color w:val="auto"/>
              <w:highlight w:val="none"/>
            </w:rPr>
            <w:t>31</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77397307">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_Toc1579 </w:instrText>
          </w:r>
          <w:r>
            <w:rPr>
              <w:rFonts w:ascii="Times New Roman" w:hAnsi="Times New Roman" w:eastAsia="宋体" w:cs="Times New Roman"/>
              <w:caps/>
              <w:color w:val="auto"/>
              <w:kern w:val="2"/>
              <w:szCs w:val="24"/>
              <w:highlight w:val="none"/>
              <w:lang w:val="en-US" w:eastAsia="zh-CN" w:bidi="ar-SA"/>
            </w:rPr>
            <w:fldChar w:fldCharType="separate"/>
          </w:r>
          <w:r>
            <w:rPr>
              <w:rFonts w:eastAsia="Times New Roman"/>
              <w:color w:val="auto"/>
              <w:spacing w:val="-1"/>
              <w:szCs w:val="28"/>
              <w:highlight w:val="none"/>
            </w:rPr>
            <w:t>7.</w:t>
          </w:r>
          <w:r>
            <w:rPr>
              <w:rFonts w:ascii="黑体" w:hAnsi="黑体" w:eastAsia="黑体" w:cs="黑体"/>
              <w:color w:val="auto"/>
              <w:spacing w:val="-1"/>
              <w:szCs w:val="28"/>
              <w:highlight w:val="none"/>
            </w:rPr>
            <w:t>合同授予</w:t>
          </w:r>
          <w:r>
            <w:rPr>
              <w:color w:val="auto"/>
              <w:highlight w:val="none"/>
            </w:rPr>
            <w:tab/>
          </w:r>
          <w:r>
            <w:rPr>
              <w:color w:val="auto"/>
              <w:highlight w:val="none"/>
            </w:rPr>
            <w:fldChar w:fldCharType="begin"/>
          </w:r>
          <w:r>
            <w:rPr>
              <w:color w:val="auto"/>
              <w:highlight w:val="none"/>
            </w:rPr>
            <w:instrText xml:space="preserve"> PAGEREF _Toc1579 \h </w:instrText>
          </w:r>
          <w:r>
            <w:rPr>
              <w:color w:val="auto"/>
              <w:highlight w:val="none"/>
            </w:rPr>
            <w:fldChar w:fldCharType="separate"/>
          </w:r>
          <w:r>
            <w:rPr>
              <w:color w:val="auto"/>
              <w:highlight w:val="none"/>
            </w:rPr>
            <w:t>32</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52CCB9A3">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_Toc16942 </w:instrText>
          </w:r>
          <w:r>
            <w:rPr>
              <w:rFonts w:ascii="Times New Roman" w:hAnsi="Times New Roman" w:eastAsia="宋体" w:cs="Times New Roman"/>
              <w:caps/>
              <w:color w:val="auto"/>
              <w:kern w:val="2"/>
              <w:szCs w:val="24"/>
              <w:highlight w:val="none"/>
              <w:lang w:val="en-US" w:eastAsia="zh-CN" w:bidi="ar-SA"/>
            </w:rPr>
            <w:fldChar w:fldCharType="separate"/>
          </w:r>
          <w:r>
            <w:rPr>
              <w:rFonts w:eastAsia="Times New Roman"/>
              <w:color w:val="auto"/>
              <w:spacing w:val="-1"/>
              <w:szCs w:val="28"/>
              <w:highlight w:val="none"/>
            </w:rPr>
            <w:t>8.</w:t>
          </w:r>
          <w:r>
            <w:rPr>
              <w:rFonts w:ascii="黑体" w:hAnsi="黑体" w:eastAsia="黑体" w:cs="黑体"/>
              <w:color w:val="auto"/>
              <w:spacing w:val="-1"/>
              <w:szCs w:val="28"/>
              <w:highlight w:val="none"/>
            </w:rPr>
            <w:t>重新招标、不再招标和终止招标</w:t>
          </w:r>
          <w:r>
            <w:rPr>
              <w:color w:val="auto"/>
              <w:highlight w:val="none"/>
            </w:rPr>
            <w:tab/>
          </w:r>
          <w:r>
            <w:rPr>
              <w:color w:val="auto"/>
              <w:highlight w:val="none"/>
            </w:rPr>
            <w:fldChar w:fldCharType="begin"/>
          </w:r>
          <w:r>
            <w:rPr>
              <w:color w:val="auto"/>
              <w:highlight w:val="none"/>
            </w:rPr>
            <w:instrText xml:space="preserve"> PAGEREF _Toc16942 \h </w:instrText>
          </w:r>
          <w:r>
            <w:rPr>
              <w:color w:val="auto"/>
              <w:highlight w:val="none"/>
            </w:rPr>
            <w:fldChar w:fldCharType="separate"/>
          </w:r>
          <w:r>
            <w:rPr>
              <w:color w:val="auto"/>
              <w:highlight w:val="none"/>
            </w:rPr>
            <w:t>33</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196F6FE1">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_Toc7015 </w:instrText>
          </w:r>
          <w:r>
            <w:rPr>
              <w:rFonts w:ascii="Times New Roman" w:hAnsi="Times New Roman" w:eastAsia="宋体" w:cs="Times New Roman"/>
              <w:caps/>
              <w:color w:val="auto"/>
              <w:kern w:val="2"/>
              <w:szCs w:val="24"/>
              <w:highlight w:val="none"/>
              <w:lang w:val="en-US" w:eastAsia="zh-CN" w:bidi="ar-SA"/>
            </w:rPr>
            <w:fldChar w:fldCharType="separate"/>
          </w:r>
          <w:r>
            <w:rPr>
              <w:rFonts w:eastAsia="Times New Roman"/>
              <w:color w:val="auto"/>
              <w:spacing w:val="-4"/>
              <w:szCs w:val="28"/>
              <w:highlight w:val="none"/>
            </w:rPr>
            <w:t>9</w:t>
          </w:r>
          <w:r>
            <w:rPr>
              <w:rFonts w:hint="eastAsia"/>
              <w:color w:val="auto"/>
              <w:spacing w:val="-4"/>
              <w:szCs w:val="28"/>
              <w:highlight w:val="none"/>
              <w:lang w:val="en-US" w:eastAsia="zh-CN"/>
            </w:rPr>
            <w:t>.</w:t>
          </w:r>
          <w:r>
            <w:rPr>
              <w:rFonts w:ascii="黑体" w:hAnsi="黑体" w:eastAsia="黑体" w:cs="黑体"/>
              <w:color w:val="auto"/>
              <w:spacing w:val="-4"/>
              <w:szCs w:val="28"/>
              <w:highlight w:val="none"/>
            </w:rPr>
            <w:t>纪律和监督</w:t>
          </w:r>
          <w:r>
            <w:rPr>
              <w:color w:val="auto"/>
              <w:highlight w:val="none"/>
            </w:rPr>
            <w:tab/>
          </w:r>
          <w:r>
            <w:rPr>
              <w:color w:val="auto"/>
              <w:highlight w:val="none"/>
            </w:rPr>
            <w:fldChar w:fldCharType="begin"/>
          </w:r>
          <w:r>
            <w:rPr>
              <w:color w:val="auto"/>
              <w:highlight w:val="none"/>
            </w:rPr>
            <w:instrText xml:space="preserve"> PAGEREF _Toc7015 \h </w:instrText>
          </w:r>
          <w:r>
            <w:rPr>
              <w:color w:val="auto"/>
              <w:highlight w:val="none"/>
            </w:rPr>
            <w:fldChar w:fldCharType="separate"/>
          </w:r>
          <w:r>
            <w:rPr>
              <w:color w:val="auto"/>
              <w:highlight w:val="none"/>
            </w:rPr>
            <w:t>33</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202981F3">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_Toc25616 </w:instrText>
          </w:r>
          <w:r>
            <w:rPr>
              <w:rFonts w:ascii="Times New Roman" w:hAnsi="Times New Roman" w:eastAsia="宋体" w:cs="Times New Roman"/>
              <w:caps/>
              <w:color w:val="auto"/>
              <w:kern w:val="2"/>
              <w:szCs w:val="24"/>
              <w:highlight w:val="none"/>
              <w:lang w:val="en-US" w:eastAsia="zh-CN" w:bidi="ar-SA"/>
            </w:rPr>
            <w:fldChar w:fldCharType="separate"/>
          </w:r>
          <w:r>
            <w:rPr>
              <w:rFonts w:eastAsia="Times New Roman"/>
              <w:color w:val="auto"/>
              <w:spacing w:val="-3"/>
              <w:szCs w:val="28"/>
              <w:highlight w:val="none"/>
            </w:rPr>
            <w:t>10.</w:t>
          </w:r>
          <w:r>
            <w:rPr>
              <w:rFonts w:ascii="黑体" w:hAnsi="黑体" w:eastAsia="黑体" w:cs="黑体"/>
              <w:color w:val="auto"/>
              <w:spacing w:val="-3"/>
              <w:szCs w:val="28"/>
              <w:highlight w:val="none"/>
            </w:rPr>
            <w:t>需要补充的其他内容</w:t>
          </w:r>
          <w:r>
            <w:rPr>
              <w:color w:val="auto"/>
              <w:highlight w:val="none"/>
            </w:rPr>
            <w:tab/>
          </w:r>
          <w:r>
            <w:rPr>
              <w:color w:val="auto"/>
              <w:highlight w:val="none"/>
            </w:rPr>
            <w:fldChar w:fldCharType="begin"/>
          </w:r>
          <w:r>
            <w:rPr>
              <w:color w:val="auto"/>
              <w:highlight w:val="none"/>
            </w:rPr>
            <w:instrText xml:space="preserve"> PAGEREF _Toc25616 \h </w:instrText>
          </w:r>
          <w:r>
            <w:rPr>
              <w:color w:val="auto"/>
              <w:highlight w:val="none"/>
            </w:rPr>
            <w:fldChar w:fldCharType="separate"/>
          </w:r>
          <w:r>
            <w:rPr>
              <w:color w:val="auto"/>
              <w:highlight w:val="none"/>
            </w:rPr>
            <w:t>34</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21CF13EE">
          <w:pPr>
            <w:pStyle w:val="33"/>
            <w:tabs>
              <w:tab w:val="right" w:leader="dot" w:pos="8337"/>
            </w:tabs>
            <w:ind w:left="0" w:leftChars="0" w:firstLine="0" w:firstLineChars="0"/>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_Toc17159 </w:instrText>
          </w:r>
          <w:r>
            <w:rPr>
              <w:rFonts w:ascii="Times New Roman" w:hAnsi="Times New Roman" w:eastAsia="宋体" w:cs="Times New Roman"/>
              <w:caps/>
              <w:color w:val="auto"/>
              <w:kern w:val="2"/>
              <w:szCs w:val="24"/>
              <w:highlight w:val="none"/>
              <w:lang w:val="en-US" w:eastAsia="zh-CN" w:bidi="ar-SA"/>
            </w:rPr>
            <w:fldChar w:fldCharType="separate"/>
          </w:r>
          <w:r>
            <w:rPr>
              <w:rFonts w:ascii="黑体" w:hAnsi="黑体" w:eastAsia="黑体" w:cs="黑体"/>
              <w:bCs/>
              <w:color w:val="auto"/>
              <w:spacing w:val="6"/>
              <w:szCs w:val="31"/>
              <w:highlight w:val="none"/>
            </w:rPr>
            <w:t>第三章评标办法</w:t>
          </w:r>
          <w:r>
            <w:rPr>
              <w:color w:val="auto"/>
              <w:highlight w:val="none"/>
            </w:rPr>
            <w:tab/>
          </w:r>
          <w:r>
            <w:rPr>
              <w:color w:val="auto"/>
              <w:highlight w:val="none"/>
            </w:rPr>
            <w:fldChar w:fldCharType="begin"/>
          </w:r>
          <w:r>
            <w:rPr>
              <w:color w:val="auto"/>
              <w:highlight w:val="none"/>
            </w:rPr>
            <w:instrText xml:space="preserve"> PAGEREF _Toc17159 \h </w:instrText>
          </w:r>
          <w:r>
            <w:rPr>
              <w:color w:val="auto"/>
              <w:highlight w:val="none"/>
            </w:rPr>
            <w:fldChar w:fldCharType="separate"/>
          </w:r>
          <w:r>
            <w:rPr>
              <w:color w:val="auto"/>
              <w:highlight w:val="none"/>
            </w:rPr>
            <w:t>47</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5F500042">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_Toc6526 </w:instrText>
          </w:r>
          <w:r>
            <w:rPr>
              <w:rFonts w:ascii="Times New Roman" w:hAnsi="Times New Roman" w:eastAsia="宋体" w:cs="Times New Roman"/>
              <w:caps/>
              <w:color w:val="auto"/>
              <w:kern w:val="2"/>
              <w:szCs w:val="24"/>
              <w:highlight w:val="none"/>
              <w:lang w:val="en-US" w:eastAsia="zh-CN" w:bidi="ar-SA"/>
            </w:rPr>
            <w:fldChar w:fldCharType="separate"/>
          </w:r>
          <w:r>
            <w:rPr>
              <w:rFonts w:ascii="黑体" w:hAnsi="黑体" w:eastAsia="黑体" w:cs="黑体"/>
              <w:bCs/>
              <w:color w:val="auto"/>
              <w:spacing w:val="4"/>
              <w:szCs w:val="31"/>
              <w:highlight w:val="none"/>
            </w:rPr>
            <w:t>评标办法前附表（综合评估法）</w:t>
          </w:r>
          <w:r>
            <w:rPr>
              <w:color w:val="auto"/>
              <w:highlight w:val="none"/>
            </w:rPr>
            <w:tab/>
          </w:r>
          <w:r>
            <w:rPr>
              <w:color w:val="auto"/>
              <w:highlight w:val="none"/>
            </w:rPr>
            <w:fldChar w:fldCharType="begin"/>
          </w:r>
          <w:r>
            <w:rPr>
              <w:color w:val="auto"/>
              <w:highlight w:val="none"/>
            </w:rPr>
            <w:instrText xml:space="preserve"> PAGEREF _Toc6526 \h </w:instrText>
          </w:r>
          <w:r>
            <w:rPr>
              <w:color w:val="auto"/>
              <w:highlight w:val="none"/>
            </w:rPr>
            <w:fldChar w:fldCharType="separate"/>
          </w:r>
          <w:r>
            <w:rPr>
              <w:color w:val="auto"/>
              <w:highlight w:val="none"/>
            </w:rPr>
            <w:t>47</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1AC1EF28">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_Toc8569 </w:instrText>
          </w:r>
          <w:r>
            <w:rPr>
              <w:rFonts w:ascii="Times New Roman" w:hAnsi="Times New Roman" w:eastAsia="宋体" w:cs="Times New Roman"/>
              <w:caps/>
              <w:color w:val="auto"/>
              <w:kern w:val="2"/>
              <w:szCs w:val="24"/>
              <w:highlight w:val="none"/>
              <w:lang w:val="en-US" w:eastAsia="zh-CN" w:bidi="ar-SA"/>
            </w:rPr>
            <w:fldChar w:fldCharType="separate"/>
          </w:r>
          <w:r>
            <w:rPr>
              <w:rFonts w:eastAsia="Times New Roman"/>
              <w:color w:val="auto"/>
              <w:spacing w:val="-5"/>
              <w:szCs w:val="28"/>
              <w:highlight w:val="none"/>
            </w:rPr>
            <w:t>1.</w:t>
          </w:r>
          <w:r>
            <w:rPr>
              <w:rFonts w:ascii="黑体" w:hAnsi="黑体" w:eastAsia="黑体" w:cs="黑体"/>
              <w:color w:val="auto"/>
              <w:spacing w:val="-5"/>
              <w:szCs w:val="28"/>
              <w:highlight w:val="none"/>
            </w:rPr>
            <w:t>评标方法</w:t>
          </w:r>
          <w:r>
            <w:rPr>
              <w:color w:val="auto"/>
              <w:highlight w:val="none"/>
            </w:rPr>
            <w:tab/>
          </w:r>
          <w:r>
            <w:rPr>
              <w:color w:val="auto"/>
              <w:highlight w:val="none"/>
            </w:rPr>
            <w:fldChar w:fldCharType="begin"/>
          </w:r>
          <w:r>
            <w:rPr>
              <w:color w:val="auto"/>
              <w:highlight w:val="none"/>
            </w:rPr>
            <w:instrText xml:space="preserve"> PAGEREF _Toc8569 \h </w:instrText>
          </w:r>
          <w:r>
            <w:rPr>
              <w:color w:val="auto"/>
              <w:highlight w:val="none"/>
            </w:rPr>
            <w:fldChar w:fldCharType="separate"/>
          </w:r>
          <w:r>
            <w:rPr>
              <w:color w:val="auto"/>
              <w:highlight w:val="none"/>
            </w:rPr>
            <w:t>55</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4E035776">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_Toc30488 </w:instrText>
          </w:r>
          <w:r>
            <w:rPr>
              <w:rFonts w:ascii="Times New Roman" w:hAnsi="Times New Roman" w:eastAsia="宋体" w:cs="Times New Roman"/>
              <w:caps/>
              <w:color w:val="auto"/>
              <w:kern w:val="2"/>
              <w:szCs w:val="24"/>
              <w:highlight w:val="none"/>
              <w:lang w:val="en-US" w:eastAsia="zh-CN" w:bidi="ar-SA"/>
            </w:rPr>
            <w:fldChar w:fldCharType="separate"/>
          </w:r>
          <w:r>
            <w:rPr>
              <w:rFonts w:eastAsia="Times New Roman"/>
              <w:color w:val="auto"/>
              <w:spacing w:val="-1"/>
              <w:szCs w:val="28"/>
              <w:highlight w:val="none"/>
            </w:rPr>
            <w:t>2.</w:t>
          </w:r>
          <w:r>
            <w:rPr>
              <w:rFonts w:ascii="黑体" w:hAnsi="黑体" w:eastAsia="黑体" w:cs="黑体"/>
              <w:color w:val="auto"/>
              <w:spacing w:val="-1"/>
              <w:szCs w:val="28"/>
              <w:highlight w:val="none"/>
            </w:rPr>
            <w:t>评审标准</w:t>
          </w:r>
          <w:r>
            <w:rPr>
              <w:color w:val="auto"/>
              <w:highlight w:val="none"/>
            </w:rPr>
            <w:tab/>
          </w:r>
          <w:r>
            <w:rPr>
              <w:color w:val="auto"/>
              <w:highlight w:val="none"/>
            </w:rPr>
            <w:fldChar w:fldCharType="begin"/>
          </w:r>
          <w:r>
            <w:rPr>
              <w:color w:val="auto"/>
              <w:highlight w:val="none"/>
            </w:rPr>
            <w:instrText xml:space="preserve"> PAGEREF _Toc30488 \h </w:instrText>
          </w:r>
          <w:r>
            <w:rPr>
              <w:color w:val="auto"/>
              <w:highlight w:val="none"/>
            </w:rPr>
            <w:fldChar w:fldCharType="separate"/>
          </w:r>
          <w:r>
            <w:rPr>
              <w:color w:val="auto"/>
              <w:highlight w:val="none"/>
            </w:rPr>
            <w:t>55</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3CDB2D8F">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_Toc15996 </w:instrText>
          </w:r>
          <w:r>
            <w:rPr>
              <w:rFonts w:ascii="Times New Roman" w:hAnsi="Times New Roman" w:eastAsia="宋体" w:cs="Times New Roman"/>
              <w:caps/>
              <w:color w:val="auto"/>
              <w:kern w:val="2"/>
              <w:szCs w:val="24"/>
              <w:highlight w:val="none"/>
              <w:lang w:val="en-US" w:eastAsia="zh-CN" w:bidi="ar-SA"/>
            </w:rPr>
            <w:fldChar w:fldCharType="separate"/>
          </w:r>
          <w:r>
            <w:rPr>
              <w:rFonts w:eastAsia="Times New Roman"/>
              <w:color w:val="auto"/>
              <w:spacing w:val="-2"/>
              <w:szCs w:val="28"/>
              <w:highlight w:val="none"/>
            </w:rPr>
            <w:t>3.</w:t>
          </w:r>
          <w:r>
            <w:rPr>
              <w:rFonts w:ascii="黑体" w:hAnsi="黑体" w:eastAsia="黑体" w:cs="黑体"/>
              <w:color w:val="auto"/>
              <w:spacing w:val="-2"/>
              <w:szCs w:val="28"/>
              <w:highlight w:val="none"/>
            </w:rPr>
            <w:t>评标程序</w:t>
          </w:r>
          <w:r>
            <w:rPr>
              <w:color w:val="auto"/>
              <w:highlight w:val="none"/>
            </w:rPr>
            <w:tab/>
          </w:r>
          <w:r>
            <w:rPr>
              <w:color w:val="auto"/>
              <w:highlight w:val="none"/>
            </w:rPr>
            <w:fldChar w:fldCharType="begin"/>
          </w:r>
          <w:r>
            <w:rPr>
              <w:color w:val="auto"/>
              <w:highlight w:val="none"/>
            </w:rPr>
            <w:instrText xml:space="preserve"> PAGEREF _Toc15996 \h </w:instrText>
          </w:r>
          <w:r>
            <w:rPr>
              <w:color w:val="auto"/>
              <w:highlight w:val="none"/>
            </w:rPr>
            <w:fldChar w:fldCharType="separate"/>
          </w:r>
          <w:r>
            <w:rPr>
              <w:color w:val="auto"/>
              <w:highlight w:val="none"/>
            </w:rPr>
            <w:t>55</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4D3C7E5B">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_Toc7355 </w:instrText>
          </w:r>
          <w:r>
            <w:rPr>
              <w:rFonts w:ascii="Times New Roman" w:hAnsi="Times New Roman" w:eastAsia="宋体" w:cs="Times New Roman"/>
              <w:caps/>
              <w:color w:val="auto"/>
              <w:kern w:val="2"/>
              <w:szCs w:val="24"/>
              <w:highlight w:val="none"/>
              <w:lang w:val="en-US" w:eastAsia="zh-CN" w:bidi="ar-SA"/>
            </w:rPr>
            <w:fldChar w:fldCharType="separate"/>
          </w:r>
          <w:r>
            <w:rPr>
              <w:rFonts w:ascii="宋体" w:hAnsi="宋体" w:cs="宋体"/>
              <w:bCs/>
              <w:color w:val="auto"/>
              <w:spacing w:val="-6"/>
              <w:highlight w:val="none"/>
            </w:rPr>
            <w:t>附件</w:t>
          </w:r>
          <w:r>
            <w:rPr>
              <w:rFonts w:hint="eastAsia" w:ascii="宋体" w:hAnsi="宋体" w:cs="宋体"/>
              <w:bCs/>
              <w:color w:val="auto"/>
              <w:spacing w:val="-6"/>
              <w:highlight w:val="none"/>
              <w:lang w:val="en-US" w:eastAsia="zh-CN"/>
            </w:rPr>
            <w:t>B</w:t>
          </w:r>
          <w:r>
            <w:rPr>
              <w:rFonts w:ascii="宋体" w:hAnsi="宋体" w:cs="宋体"/>
              <w:bCs/>
              <w:color w:val="auto"/>
              <w:spacing w:val="-6"/>
              <w:highlight w:val="none"/>
            </w:rPr>
            <w:t>：否决投标的条件</w:t>
          </w:r>
          <w:r>
            <w:rPr>
              <w:color w:val="auto"/>
              <w:highlight w:val="none"/>
            </w:rPr>
            <w:tab/>
          </w:r>
          <w:r>
            <w:rPr>
              <w:color w:val="auto"/>
              <w:highlight w:val="none"/>
            </w:rPr>
            <w:fldChar w:fldCharType="begin"/>
          </w:r>
          <w:r>
            <w:rPr>
              <w:color w:val="auto"/>
              <w:highlight w:val="none"/>
            </w:rPr>
            <w:instrText xml:space="preserve"> PAGEREF _Toc7355 \h </w:instrText>
          </w:r>
          <w:r>
            <w:rPr>
              <w:color w:val="auto"/>
              <w:highlight w:val="none"/>
            </w:rPr>
            <w:fldChar w:fldCharType="separate"/>
          </w:r>
          <w:r>
            <w:rPr>
              <w:color w:val="auto"/>
              <w:highlight w:val="none"/>
            </w:rPr>
            <w:t>64</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0F6CE3BF">
          <w:pPr>
            <w:pStyle w:val="28"/>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_Toc32043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color w:val="auto"/>
              <w:highlight w:val="none"/>
            </w:rPr>
            <w:t>第四章合同条款及格式</w:t>
          </w:r>
          <w:r>
            <w:rPr>
              <w:color w:val="auto"/>
              <w:highlight w:val="none"/>
            </w:rPr>
            <w:tab/>
          </w:r>
          <w:r>
            <w:rPr>
              <w:color w:val="auto"/>
              <w:highlight w:val="none"/>
            </w:rPr>
            <w:fldChar w:fldCharType="begin"/>
          </w:r>
          <w:r>
            <w:rPr>
              <w:color w:val="auto"/>
              <w:highlight w:val="none"/>
            </w:rPr>
            <w:instrText xml:space="preserve"> PAGEREF _Toc32043 \h </w:instrText>
          </w:r>
          <w:r>
            <w:rPr>
              <w:color w:val="auto"/>
              <w:highlight w:val="none"/>
            </w:rPr>
            <w:fldChar w:fldCharType="separate"/>
          </w:r>
          <w:r>
            <w:rPr>
              <w:color w:val="auto"/>
              <w:highlight w:val="none"/>
            </w:rPr>
            <w:t>91</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6574C042">
          <w:pPr>
            <w:pStyle w:val="28"/>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_Toc24833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color w:val="auto"/>
              <w:highlight w:val="none"/>
            </w:rPr>
            <w:t>第一部分 合同协议书</w:t>
          </w:r>
          <w:r>
            <w:rPr>
              <w:color w:val="auto"/>
              <w:highlight w:val="none"/>
            </w:rPr>
            <w:tab/>
          </w:r>
          <w:r>
            <w:rPr>
              <w:color w:val="auto"/>
              <w:highlight w:val="none"/>
            </w:rPr>
            <w:fldChar w:fldCharType="begin"/>
          </w:r>
          <w:r>
            <w:rPr>
              <w:color w:val="auto"/>
              <w:highlight w:val="none"/>
            </w:rPr>
            <w:instrText xml:space="preserve"> PAGEREF _Toc24833 \h </w:instrText>
          </w:r>
          <w:r>
            <w:rPr>
              <w:color w:val="auto"/>
              <w:highlight w:val="none"/>
            </w:rPr>
            <w:fldChar w:fldCharType="separate"/>
          </w:r>
          <w:r>
            <w:rPr>
              <w:color w:val="auto"/>
              <w:highlight w:val="none"/>
            </w:rPr>
            <w:t>93</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0FDB8325">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_Toc509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bCs w:val="0"/>
              <w:color w:val="auto"/>
              <w:szCs w:val="21"/>
              <w:highlight w:val="none"/>
            </w:rPr>
            <w:t>一、工程概况</w:t>
          </w:r>
          <w:r>
            <w:rPr>
              <w:color w:val="auto"/>
              <w:highlight w:val="none"/>
            </w:rPr>
            <w:tab/>
          </w:r>
          <w:r>
            <w:rPr>
              <w:color w:val="auto"/>
              <w:highlight w:val="none"/>
            </w:rPr>
            <w:fldChar w:fldCharType="begin"/>
          </w:r>
          <w:r>
            <w:rPr>
              <w:color w:val="auto"/>
              <w:highlight w:val="none"/>
            </w:rPr>
            <w:instrText xml:space="preserve"> PAGEREF _Toc509 \h </w:instrText>
          </w:r>
          <w:r>
            <w:rPr>
              <w:color w:val="auto"/>
              <w:highlight w:val="none"/>
            </w:rPr>
            <w:fldChar w:fldCharType="separate"/>
          </w:r>
          <w:r>
            <w:rPr>
              <w:color w:val="auto"/>
              <w:highlight w:val="none"/>
            </w:rPr>
            <w:t>93</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72746A9B">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_Toc26047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bCs w:val="0"/>
              <w:color w:val="auto"/>
              <w:szCs w:val="21"/>
              <w:highlight w:val="none"/>
            </w:rPr>
            <w:t>二、合同工期</w:t>
          </w:r>
          <w:r>
            <w:rPr>
              <w:color w:val="auto"/>
              <w:highlight w:val="none"/>
            </w:rPr>
            <w:tab/>
          </w:r>
          <w:r>
            <w:rPr>
              <w:color w:val="auto"/>
              <w:highlight w:val="none"/>
            </w:rPr>
            <w:fldChar w:fldCharType="begin"/>
          </w:r>
          <w:r>
            <w:rPr>
              <w:color w:val="auto"/>
              <w:highlight w:val="none"/>
            </w:rPr>
            <w:instrText xml:space="preserve"> PAGEREF _Toc26047 \h </w:instrText>
          </w:r>
          <w:r>
            <w:rPr>
              <w:color w:val="auto"/>
              <w:highlight w:val="none"/>
            </w:rPr>
            <w:fldChar w:fldCharType="separate"/>
          </w:r>
          <w:r>
            <w:rPr>
              <w:color w:val="auto"/>
              <w:highlight w:val="none"/>
            </w:rPr>
            <w:t>93</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3F3EC278">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_Toc8641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bCs w:val="0"/>
              <w:color w:val="auto"/>
              <w:szCs w:val="21"/>
              <w:highlight w:val="none"/>
            </w:rPr>
            <w:t>三、质量标准</w:t>
          </w:r>
          <w:r>
            <w:rPr>
              <w:color w:val="auto"/>
              <w:highlight w:val="none"/>
            </w:rPr>
            <w:tab/>
          </w:r>
          <w:r>
            <w:rPr>
              <w:color w:val="auto"/>
              <w:highlight w:val="none"/>
            </w:rPr>
            <w:fldChar w:fldCharType="begin"/>
          </w:r>
          <w:r>
            <w:rPr>
              <w:color w:val="auto"/>
              <w:highlight w:val="none"/>
            </w:rPr>
            <w:instrText xml:space="preserve"> PAGEREF _Toc8641 \h </w:instrText>
          </w:r>
          <w:r>
            <w:rPr>
              <w:color w:val="auto"/>
              <w:highlight w:val="none"/>
            </w:rPr>
            <w:fldChar w:fldCharType="separate"/>
          </w:r>
          <w:r>
            <w:rPr>
              <w:color w:val="auto"/>
              <w:highlight w:val="none"/>
            </w:rPr>
            <w:t>93</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3490C9BF">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_Toc17813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bCs w:val="0"/>
              <w:color w:val="auto"/>
              <w:szCs w:val="21"/>
              <w:highlight w:val="none"/>
            </w:rPr>
            <w:t>四、签约合同价与合同价格形式</w:t>
          </w:r>
          <w:r>
            <w:rPr>
              <w:color w:val="auto"/>
              <w:highlight w:val="none"/>
            </w:rPr>
            <w:tab/>
          </w:r>
          <w:r>
            <w:rPr>
              <w:color w:val="auto"/>
              <w:highlight w:val="none"/>
            </w:rPr>
            <w:fldChar w:fldCharType="begin"/>
          </w:r>
          <w:r>
            <w:rPr>
              <w:color w:val="auto"/>
              <w:highlight w:val="none"/>
            </w:rPr>
            <w:instrText xml:space="preserve"> PAGEREF _Toc17813 \h </w:instrText>
          </w:r>
          <w:r>
            <w:rPr>
              <w:color w:val="auto"/>
              <w:highlight w:val="none"/>
            </w:rPr>
            <w:fldChar w:fldCharType="separate"/>
          </w:r>
          <w:r>
            <w:rPr>
              <w:color w:val="auto"/>
              <w:highlight w:val="none"/>
            </w:rPr>
            <w:t>93</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7178471D">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_Toc27007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bCs w:val="0"/>
              <w:color w:val="auto"/>
              <w:szCs w:val="21"/>
              <w:highlight w:val="none"/>
            </w:rPr>
            <w:t>五、工程总承包项目经理</w:t>
          </w:r>
          <w:r>
            <w:rPr>
              <w:color w:val="auto"/>
              <w:highlight w:val="none"/>
            </w:rPr>
            <w:tab/>
          </w:r>
          <w:r>
            <w:rPr>
              <w:color w:val="auto"/>
              <w:highlight w:val="none"/>
            </w:rPr>
            <w:fldChar w:fldCharType="begin"/>
          </w:r>
          <w:r>
            <w:rPr>
              <w:color w:val="auto"/>
              <w:highlight w:val="none"/>
            </w:rPr>
            <w:instrText xml:space="preserve"> PAGEREF _Toc27007 \h </w:instrText>
          </w:r>
          <w:r>
            <w:rPr>
              <w:color w:val="auto"/>
              <w:highlight w:val="none"/>
            </w:rPr>
            <w:fldChar w:fldCharType="separate"/>
          </w:r>
          <w:r>
            <w:rPr>
              <w:color w:val="auto"/>
              <w:highlight w:val="none"/>
            </w:rPr>
            <w:t>94</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3DD63191">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_Toc19137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bCs w:val="0"/>
              <w:color w:val="auto"/>
              <w:szCs w:val="21"/>
              <w:highlight w:val="none"/>
            </w:rPr>
            <w:t>六、合同文件构成</w:t>
          </w:r>
          <w:r>
            <w:rPr>
              <w:color w:val="auto"/>
              <w:highlight w:val="none"/>
            </w:rPr>
            <w:tab/>
          </w:r>
          <w:r>
            <w:rPr>
              <w:color w:val="auto"/>
              <w:highlight w:val="none"/>
            </w:rPr>
            <w:fldChar w:fldCharType="begin"/>
          </w:r>
          <w:r>
            <w:rPr>
              <w:color w:val="auto"/>
              <w:highlight w:val="none"/>
            </w:rPr>
            <w:instrText xml:space="preserve"> PAGEREF _Toc19137 \h </w:instrText>
          </w:r>
          <w:r>
            <w:rPr>
              <w:color w:val="auto"/>
              <w:highlight w:val="none"/>
            </w:rPr>
            <w:fldChar w:fldCharType="separate"/>
          </w:r>
          <w:r>
            <w:rPr>
              <w:color w:val="auto"/>
              <w:highlight w:val="none"/>
            </w:rPr>
            <w:t>94</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5C5B0476">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_Toc3688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bCs w:val="0"/>
              <w:color w:val="auto"/>
              <w:szCs w:val="21"/>
              <w:highlight w:val="none"/>
            </w:rPr>
            <w:t>七、承诺</w:t>
          </w:r>
          <w:r>
            <w:rPr>
              <w:color w:val="auto"/>
              <w:highlight w:val="none"/>
            </w:rPr>
            <w:tab/>
          </w:r>
          <w:r>
            <w:rPr>
              <w:color w:val="auto"/>
              <w:highlight w:val="none"/>
            </w:rPr>
            <w:fldChar w:fldCharType="begin"/>
          </w:r>
          <w:r>
            <w:rPr>
              <w:color w:val="auto"/>
              <w:highlight w:val="none"/>
            </w:rPr>
            <w:instrText xml:space="preserve"> PAGEREF _Toc3688 \h </w:instrText>
          </w:r>
          <w:r>
            <w:rPr>
              <w:color w:val="auto"/>
              <w:highlight w:val="none"/>
            </w:rPr>
            <w:fldChar w:fldCharType="separate"/>
          </w:r>
          <w:r>
            <w:rPr>
              <w:color w:val="auto"/>
              <w:highlight w:val="none"/>
            </w:rPr>
            <w:t>94</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6D1BF26A">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_Toc25052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bCs w:val="0"/>
              <w:color w:val="auto"/>
              <w:szCs w:val="21"/>
              <w:highlight w:val="none"/>
            </w:rPr>
            <w:t>八、订立时间</w:t>
          </w:r>
          <w:r>
            <w:rPr>
              <w:color w:val="auto"/>
              <w:highlight w:val="none"/>
            </w:rPr>
            <w:tab/>
          </w:r>
          <w:r>
            <w:rPr>
              <w:color w:val="auto"/>
              <w:highlight w:val="none"/>
            </w:rPr>
            <w:fldChar w:fldCharType="begin"/>
          </w:r>
          <w:r>
            <w:rPr>
              <w:color w:val="auto"/>
              <w:highlight w:val="none"/>
            </w:rPr>
            <w:instrText xml:space="preserve"> PAGEREF _Toc25052 \h </w:instrText>
          </w:r>
          <w:r>
            <w:rPr>
              <w:color w:val="auto"/>
              <w:highlight w:val="none"/>
            </w:rPr>
            <w:fldChar w:fldCharType="separate"/>
          </w:r>
          <w:r>
            <w:rPr>
              <w:color w:val="auto"/>
              <w:highlight w:val="none"/>
            </w:rPr>
            <w:t>95</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55B0DDDF">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_Toc20025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bCs w:val="0"/>
              <w:color w:val="auto"/>
              <w:szCs w:val="21"/>
              <w:highlight w:val="none"/>
            </w:rPr>
            <w:t>九、订立地点</w:t>
          </w:r>
          <w:r>
            <w:rPr>
              <w:color w:val="auto"/>
              <w:highlight w:val="none"/>
            </w:rPr>
            <w:tab/>
          </w:r>
          <w:r>
            <w:rPr>
              <w:color w:val="auto"/>
              <w:highlight w:val="none"/>
            </w:rPr>
            <w:fldChar w:fldCharType="begin"/>
          </w:r>
          <w:r>
            <w:rPr>
              <w:color w:val="auto"/>
              <w:highlight w:val="none"/>
            </w:rPr>
            <w:instrText xml:space="preserve"> PAGEREF _Toc20025 \h </w:instrText>
          </w:r>
          <w:r>
            <w:rPr>
              <w:color w:val="auto"/>
              <w:highlight w:val="none"/>
            </w:rPr>
            <w:fldChar w:fldCharType="separate"/>
          </w:r>
          <w:r>
            <w:rPr>
              <w:color w:val="auto"/>
              <w:highlight w:val="none"/>
            </w:rPr>
            <w:t>95</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2AC6E484">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_Toc20263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bCs w:val="0"/>
              <w:color w:val="auto"/>
              <w:szCs w:val="21"/>
              <w:highlight w:val="none"/>
            </w:rPr>
            <w:t>十、合同生效</w:t>
          </w:r>
          <w:r>
            <w:rPr>
              <w:color w:val="auto"/>
              <w:highlight w:val="none"/>
            </w:rPr>
            <w:tab/>
          </w:r>
          <w:r>
            <w:rPr>
              <w:color w:val="auto"/>
              <w:highlight w:val="none"/>
            </w:rPr>
            <w:fldChar w:fldCharType="begin"/>
          </w:r>
          <w:r>
            <w:rPr>
              <w:color w:val="auto"/>
              <w:highlight w:val="none"/>
            </w:rPr>
            <w:instrText xml:space="preserve"> PAGEREF _Toc20263 \h </w:instrText>
          </w:r>
          <w:r>
            <w:rPr>
              <w:color w:val="auto"/>
              <w:highlight w:val="none"/>
            </w:rPr>
            <w:fldChar w:fldCharType="separate"/>
          </w:r>
          <w:r>
            <w:rPr>
              <w:color w:val="auto"/>
              <w:highlight w:val="none"/>
            </w:rPr>
            <w:t>95</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05A5A7AE">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_Toc19388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bCs w:val="0"/>
              <w:color w:val="auto"/>
              <w:szCs w:val="21"/>
              <w:highlight w:val="none"/>
            </w:rPr>
            <w:t>十一、合同份数</w:t>
          </w:r>
          <w:r>
            <w:rPr>
              <w:color w:val="auto"/>
              <w:highlight w:val="none"/>
            </w:rPr>
            <w:tab/>
          </w:r>
          <w:r>
            <w:rPr>
              <w:color w:val="auto"/>
              <w:highlight w:val="none"/>
            </w:rPr>
            <w:fldChar w:fldCharType="begin"/>
          </w:r>
          <w:r>
            <w:rPr>
              <w:color w:val="auto"/>
              <w:highlight w:val="none"/>
            </w:rPr>
            <w:instrText xml:space="preserve"> PAGEREF _Toc19388 \h </w:instrText>
          </w:r>
          <w:r>
            <w:rPr>
              <w:color w:val="auto"/>
              <w:highlight w:val="none"/>
            </w:rPr>
            <w:fldChar w:fldCharType="separate"/>
          </w:r>
          <w:r>
            <w:rPr>
              <w:color w:val="auto"/>
              <w:highlight w:val="none"/>
            </w:rPr>
            <w:t>95</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5144257F">
          <w:pPr>
            <w:pStyle w:val="28"/>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_Toc9104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color w:val="auto"/>
              <w:highlight w:val="none"/>
            </w:rPr>
            <w:t>第二部分</w:t>
          </w:r>
          <w:r>
            <w:rPr>
              <w:rFonts w:hint="eastAsia"/>
              <w:color w:val="auto"/>
              <w:highlight w:val="none"/>
              <w:lang w:val="en-US" w:eastAsia="zh-CN"/>
            </w:rPr>
            <w:t xml:space="preserve"> </w:t>
          </w:r>
          <w:r>
            <w:rPr>
              <w:rFonts w:hint="eastAsia"/>
              <w:color w:val="auto"/>
              <w:highlight w:val="none"/>
            </w:rPr>
            <w:t>通用合同条件</w:t>
          </w:r>
          <w:r>
            <w:rPr>
              <w:color w:val="auto"/>
              <w:highlight w:val="none"/>
            </w:rPr>
            <w:tab/>
          </w:r>
          <w:r>
            <w:rPr>
              <w:color w:val="auto"/>
              <w:highlight w:val="none"/>
            </w:rPr>
            <w:fldChar w:fldCharType="begin"/>
          </w:r>
          <w:r>
            <w:rPr>
              <w:color w:val="auto"/>
              <w:highlight w:val="none"/>
            </w:rPr>
            <w:instrText xml:space="preserve"> PAGEREF _Toc9104 \h </w:instrText>
          </w:r>
          <w:r>
            <w:rPr>
              <w:color w:val="auto"/>
              <w:highlight w:val="none"/>
            </w:rPr>
            <w:fldChar w:fldCharType="separate"/>
          </w:r>
          <w:r>
            <w:rPr>
              <w:color w:val="auto"/>
              <w:highlight w:val="none"/>
            </w:rPr>
            <w:t>96</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0F37D6AD">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_Toc4173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ascii="宋体" w:hAnsi="宋体" w:eastAsia="宋体"/>
              <w:bCs w:val="0"/>
              <w:color w:val="auto"/>
              <w:szCs w:val="21"/>
              <w:highlight w:val="none"/>
            </w:rPr>
            <w:t xml:space="preserve">第1条 </w:t>
          </w:r>
          <w:r>
            <w:rPr>
              <w:rFonts w:ascii="宋体" w:hAnsi="宋体" w:eastAsia="宋体"/>
              <w:bCs w:val="0"/>
              <w:color w:val="auto"/>
              <w:szCs w:val="21"/>
              <w:highlight w:val="none"/>
            </w:rPr>
            <w:t>一般</w:t>
          </w:r>
          <w:r>
            <w:rPr>
              <w:rFonts w:hint="eastAsia" w:ascii="宋体" w:hAnsi="宋体" w:eastAsia="宋体"/>
              <w:bCs w:val="0"/>
              <w:color w:val="auto"/>
              <w:szCs w:val="21"/>
              <w:highlight w:val="none"/>
            </w:rPr>
            <w:t>约</w:t>
          </w:r>
          <w:r>
            <w:rPr>
              <w:rFonts w:ascii="宋体" w:hAnsi="宋体" w:eastAsia="宋体"/>
              <w:bCs w:val="0"/>
              <w:color w:val="auto"/>
              <w:szCs w:val="21"/>
              <w:highlight w:val="none"/>
            </w:rPr>
            <w:t>定</w:t>
          </w:r>
          <w:r>
            <w:rPr>
              <w:color w:val="auto"/>
              <w:highlight w:val="none"/>
            </w:rPr>
            <w:tab/>
          </w:r>
          <w:r>
            <w:rPr>
              <w:color w:val="auto"/>
              <w:highlight w:val="none"/>
            </w:rPr>
            <w:fldChar w:fldCharType="begin"/>
          </w:r>
          <w:r>
            <w:rPr>
              <w:color w:val="auto"/>
              <w:highlight w:val="none"/>
            </w:rPr>
            <w:instrText xml:space="preserve"> PAGEREF _Toc4173 \h </w:instrText>
          </w:r>
          <w:r>
            <w:rPr>
              <w:color w:val="auto"/>
              <w:highlight w:val="none"/>
            </w:rPr>
            <w:fldChar w:fldCharType="separate"/>
          </w:r>
          <w:r>
            <w:rPr>
              <w:color w:val="auto"/>
              <w:highlight w:val="none"/>
            </w:rPr>
            <w:t>96</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71459589">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_Toc5787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ascii="宋体" w:hAnsi="宋体" w:eastAsia="宋体"/>
              <w:bCs w:val="0"/>
              <w:color w:val="auto"/>
              <w:szCs w:val="21"/>
              <w:highlight w:val="none"/>
            </w:rPr>
            <w:t>第2条 发包人</w:t>
          </w:r>
          <w:r>
            <w:rPr>
              <w:color w:val="auto"/>
              <w:highlight w:val="none"/>
            </w:rPr>
            <w:tab/>
          </w:r>
          <w:r>
            <w:rPr>
              <w:color w:val="auto"/>
              <w:highlight w:val="none"/>
            </w:rPr>
            <w:fldChar w:fldCharType="begin"/>
          </w:r>
          <w:r>
            <w:rPr>
              <w:color w:val="auto"/>
              <w:highlight w:val="none"/>
            </w:rPr>
            <w:instrText xml:space="preserve"> PAGEREF _Toc5787 \h </w:instrText>
          </w:r>
          <w:r>
            <w:rPr>
              <w:color w:val="auto"/>
              <w:highlight w:val="none"/>
            </w:rPr>
            <w:fldChar w:fldCharType="separate"/>
          </w:r>
          <w:r>
            <w:rPr>
              <w:color w:val="auto"/>
              <w:highlight w:val="none"/>
            </w:rPr>
            <w:t>104</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46622252">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_Toc25229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ascii="宋体" w:hAnsi="宋体" w:eastAsia="宋体"/>
              <w:bCs w:val="0"/>
              <w:color w:val="auto"/>
              <w:szCs w:val="21"/>
              <w:highlight w:val="none"/>
            </w:rPr>
            <w:t>第3条 发包人的管理</w:t>
          </w:r>
          <w:r>
            <w:rPr>
              <w:color w:val="auto"/>
              <w:highlight w:val="none"/>
            </w:rPr>
            <w:tab/>
          </w:r>
          <w:r>
            <w:rPr>
              <w:color w:val="auto"/>
              <w:highlight w:val="none"/>
            </w:rPr>
            <w:fldChar w:fldCharType="begin"/>
          </w:r>
          <w:r>
            <w:rPr>
              <w:color w:val="auto"/>
              <w:highlight w:val="none"/>
            </w:rPr>
            <w:instrText xml:space="preserve"> PAGEREF _Toc25229 \h </w:instrText>
          </w:r>
          <w:r>
            <w:rPr>
              <w:color w:val="auto"/>
              <w:highlight w:val="none"/>
            </w:rPr>
            <w:fldChar w:fldCharType="separate"/>
          </w:r>
          <w:r>
            <w:rPr>
              <w:color w:val="auto"/>
              <w:highlight w:val="none"/>
            </w:rPr>
            <w:t>106</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519CE1FC">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_Toc21713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ascii="宋体" w:hAnsi="宋体" w:eastAsia="宋体"/>
              <w:bCs w:val="0"/>
              <w:color w:val="auto"/>
              <w:szCs w:val="21"/>
              <w:highlight w:val="none"/>
            </w:rPr>
            <w:t>第4条 承包人</w:t>
          </w:r>
          <w:r>
            <w:rPr>
              <w:color w:val="auto"/>
              <w:highlight w:val="none"/>
            </w:rPr>
            <w:tab/>
          </w:r>
          <w:r>
            <w:rPr>
              <w:color w:val="auto"/>
              <w:highlight w:val="none"/>
            </w:rPr>
            <w:fldChar w:fldCharType="begin"/>
          </w:r>
          <w:r>
            <w:rPr>
              <w:color w:val="auto"/>
              <w:highlight w:val="none"/>
            </w:rPr>
            <w:instrText xml:space="preserve"> PAGEREF _Toc21713 \h </w:instrText>
          </w:r>
          <w:r>
            <w:rPr>
              <w:color w:val="auto"/>
              <w:highlight w:val="none"/>
            </w:rPr>
            <w:fldChar w:fldCharType="separate"/>
          </w:r>
          <w:r>
            <w:rPr>
              <w:color w:val="auto"/>
              <w:highlight w:val="none"/>
            </w:rPr>
            <w:t>108</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77438B36">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_Toc25514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ascii="宋体" w:hAnsi="宋体" w:eastAsia="宋体"/>
              <w:bCs w:val="0"/>
              <w:color w:val="auto"/>
              <w:szCs w:val="21"/>
              <w:highlight w:val="none"/>
            </w:rPr>
            <w:t>第5条 设计</w:t>
          </w:r>
          <w:r>
            <w:rPr>
              <w:color w:val="auto"/>
              <w:highlight w:val="none"/>
            </w:rPr>
            <w:tab/>
          </w:r>
          <w:r>
            <w:rPr>
              <w:color w:val="auto"/>
              <w:highlight w:val="none"/>
            </w:rPr>
            <w:fldChar w:fldCharType="begin"/>
          </w:r>
          <w:r>
            <w:rPr>
              <w:color w:val="auto"/>
              <w:highlight w:val="none"/>
            </w:rPr>
            <w:instrText xml:space="preserve"> PAGEREF _Toc25514 \h </w:instrText>
          </w:r>
          <w:r>
            <w:rPr>
              <w:color w:val="auto"/>
              <w:highlight w:val="none"/>
            </w:rPr>
            <w:fldChar w:fldCharType="separate"/>
          </w:r>
          <w:r>
            <w:rPr>
              <w:color w:val="auto"/>
              <w:highlight w:val="none"/>
            </w:rPr>
            <w:t>114</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70A56356">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_Toc3681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ascii="宋体" w:hAnsi="宋体" w:eastAsia="宋体"/>
              <w:bCs w:val="0"/>
              <w:color w:val="auto"/>
              <w:szCs w:val="21"/>
              <w:highlight w:val="none"/>
            </w:rPr>
            <w:t>第6条 材料、工程设备</w:t>
          </w:r>
          <w:r>
            <w:rPr>
              <w:color w:val="auto"/>
              <w:highlight w:val="none"/>
            </w:rPr>
            <w:tab/>
          </w:r>
          <w:r>
            <w:rPr>
              <w:color w:val="auto"/>
              <w:highlight w:val="none"/>
            </w:rPr>
            <w:fldChar w:fldCharType="begin"/>
          </w:r>
          <w:r>
            <w:rPr>
              <w:color w:val="auto"/>
              <w:highlight w:val="none"/>
            </w:rPr>
            <w:instrText xml:space="preserve"> PAGEREF _Toc3681 \h </w:instrText>
          </w:r>
          <w:r>
            <w:rPr>
              <w:color w:val="auto"/>
              <w:highlight w:val="none"/>
            </w:rPr>
            <w:fldChar w:fldCharType="separate"/>
          </w:r>
          <w:r>
            <w:rPr>
              <w:color w:val="auto"/>
              <w:highlight w:val="none"/>
            </w:rPr>
            <w:t>116</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38D2DD19">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_Toc12259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ascii="宋体" w:hAnsi="宋体" w:eastAsia="宋体"/>
              <w:bCs w:val="0"/>
              <w:color w:val="auto"/>
              <w:szCs w:val="21"/>
              <w:highlight w:val="none"/>
            </w:rPr>
            <w:t>第7条 施工</w:t>
          </w:r>
          <w:r>
            <w:rPr>
              <w:color w:val="auto"/>
              <w:highlight w:val="none"/>
            </w:rPr>
            <w:tab/>
          </w:r>
          <w:r>
            <w:rPr>
              <w:color w:val="auto"/>
              <w:highlight w:val="none"/>
            </w:rPr>
            <w:fldChar w:fldCharType="begin"/>
          </w:r>
          <w:r>
            <w:rPr>
              <w:color w:val="auto"/>
              <w:highlight w:val="none"/>
            </w:rPr>
            <w:instrText xml:space="preserve"> PAGEREF _Toc12259 \h </w:instrText>
          </w:r>
          <w:r>
            <w:rPr>
              <w:color w:val="auto"/>
              <w:highlight w:val="none"/>
            </w:rPr>
            <w:fldChar w:fldCharType="separate"/>
          </w:r>
          <w:r>
            <w:rPr>
              <w:color w:val="auto"/>
              <w:highlight w:val="none"/>
            </w:rPr>
            <w:t>121</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356F651D">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_Toc12314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ascii="宋体" w:hAnsi="宋体" w:eastAsia="宋体"/>
              <w:bCs w:val="0"/>
              <w:color w:val="auto"/>
              <w:szCs w:val="21"/>
              <w:highlight w:val="none"/>
            </w:rPr>
            <w:t>第8条 工期和进度</w:t>
          </w:r>
          <w:r>
            <w:rPr>
              <w:color w:val="auto"/>
              <w:highlight w:val="none"/>
            </w:rPr>
            <w:tab/>
          </w:r>
          <w:r>
            <w:rPr>
              <w:color w:val="auto"/>
              <w:highlight w:val="none"/>
            </w:rPr>
            <w:fldChar w:fldCharType="begin"/>
          </w:r>
          <w:r>
            <w:rPr>
              <w:color w:val="auto"/>
              <w:highlight w:val="none"/>
            </w:rPr>
            <w:instrText xml:space="preserve"> PAGEREF _Toc12314 \h </w:instrText>
          </w:r>
          <w:r>
            <w:rPr>
              <w:color w:val="auto"/>
              <w:highlight w:val="none"/>
            </w:rPr>
            <w:fldChar w:fldCharType="separate"/>
          </w:r>
          <w:r>
            <w:rPr>
              <w:color w:val="auto"/>
              <w:highlight w:val="none"/>
            </w:rPr>
            <w:t>128</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6F0B4CB8">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_Toc25649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ascii="宋体" w:hAnsi="宋体" w:eastAsia="宋体"/>
              <w:bCs w:val="0"/>
              <w:color w:val="auto"/>
              <w:szCs w:val="21"/>
              <w:highlight w:val="none"/>
            </w:rPr>
            <w:t>第9条 竣工试验</w:t>
          </w:r>
          <w:r>
            <w:rPr>
              <w:color w:val="auto"/>
              <w:highlight w:val="none"/>
            </w:rPr>
            <w:tab/>
          </w:r>
          <w:r>
            <w:rPr>
              <w:color w:val="auto"/>
              <w:highlight w:val="none"/>
            </w:rPr>
            <w:fldChar w:fldCharType="begin"/>
          </w:r>
          <w:r>
            <w:rPr>
              <w:color w:val="auto"/>
              <w:highlight w:val="none"/>
            </w:rPr>
            <w:instrText xml:space="preserve"> PAGEREF _Toc25649 \h </w:instrText>
          </w:r>
          <w:r>
            <w:rPr>
              <w:color w:val="auto"/>
              <w:highlight w:val="none"/>
            </w:rPr>
            <w:fldChar w:fldCharType="separate"/>
          </w:r>
          <w:r>
            <w:rPr>
              <w:color w:val="auto"/>
              <w:highlight w:val="none"/>
            </w:rPr>
            <w:t>132</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16A38757">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_Toc16616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ascii="宋体" w:hAnsi="宋体" w:eastAsia="宋体"/>
              <w:bCs w:val="0"/>
              <w:color w:val="auto"/>
              <w:szCs w:val="21"/>
              <w:highlight w:val="none"/>
            </w:rPr>
            <w:t>第1</w:t>
          </w:r>
          <w:r>
            <w:rPr>
              <w:rFonts w:ascii="宋体" w:hAnsi="宋体" w:eastAsia="宋体"/>
              <w:bCs w:val="0"/>
              <w:color w:val="auto"/>
              <w:szCs w:val="21"/>
              <w:highlight w:val="none"/>
            </w:rPr>
            <w:t>0</w:t>
          </w:r>
          <w:r>
            <w:rPr>
              <w:rFonts w:hint="eastAsia" w:ascii="宋体" w:hAnsi="宋体" w:eastAsia="宋体"/>
              <w:bCs w:val="0"/>
              <w:color w:val="auto"/>
              <w:szCs w:val="21"/>
              <w:highlight w:val="none"/>
            </w:rPr>
            <w:t>条 验收和工程接收</w:t>
          </w:r>
          <w:r>
            <w:rPr>
              <w:color w:val="auto"/>
              <w:highlight w:val="none"/>
            </w:rPr>
            <w:tab/>
          </w:r>
          <w:r>
            <w:rPr>
              <w:color w:val="auto"/>
              <w:highlight w:val="none"/>
            </w:rPr>
            <w:fldChar w:fldCharType="begin"/>
          </w:r>
          <w:r>
            <w:rPr>
              <w:color w:val="auto"/>
              <w:highlight w:val="none"/>
            </w:rPr>
            <w:instrText xml:space="preserve"> PAGEREF _Toc16616 \h </w:instrText>
          </w:r>
          <w:r>
            <w:rPr>
              <w:color w:val="auto"/>
              <w:highlight w:val="none"/>
            </w:rPr>
            <w:fldChar w:fldCharType="separate"/>
          </w:r>
          <w:r>
            <w:rPr>
              <w:color w:val="auto"/>
              <w:highlight w:val="none"/>
            </w:rPr>
            <w:t>134</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4356B2CB">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_Toc14911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ascii="宋体" w:hAnsi="宋体" w:eastAsia="宋体"/>
              <w:bCs w:val="0"/>
              <w:color w:val="auto"/>
              <w:szCs w:val="21"/>
              <w:highlight w:val="none"/>
            </w:rPr>
            <w:t>第1</w:t>
          </w:r>
          <w:r>
            <w:rPr>
              <w:rFonts w:ascii="宋体" w:hAnsi="宋体" w:eastAsia="宋体"/>
              <w:bCs w:val="0"/>
              <w:color w:val="auto"/>
              <w:szCs w:val="21"/>
              <w:highlight w:val="none"/>
            </w:rPr>
            <w:t>1</w:t>
          </w:r>
          <w:r>
            <w:rPr>
              <w:rFonts w:hint="eastAsia" w:ascii="宋体" w:hAnsi="宋体" w:eastAsia="宋体"/>
              <w:bCs w:val="0"/>
              <w:color w:val="auto"/>
              <w:szCs w:val="21"/>
              <w:highlight w:val="none"/>
            </w:rPr>
            <w:t>条 缺陷责任与保修</w:t>
          </w:r>
          <w:r>
            <w:rPr>
              <w:color w:val="auto"/>
              <w:highlight w:val="none"/>
            </w:rPr>
            <w:tab/>
          </w:r>
          <w:r>
            <w:rPr>
              <w:color w:val="auto"/>
              <w:highlight w:val="none"/>
            </w:rPr>
            <w:fldChar w:fldCharType="begin"/>
          </w:r>
          <w:r>
            <w:rPr>
              <w:color w:val="auto"/>
              <w:highlight w:val="none"/>
            </w:rPr>
            <w:instrText xml:space="preserve"> PAGEREF _Toc14911 \h </w:instrText>
          </w:r>
          <w:r>
            <w:rPr>
              <w:color w:val="auto"/>
              <w:highlight w:val="none"/>
            </w:rPr>
            <w:fldChar w:fldCharType="separate"/>
          </w:r>
          <w:r>
            <w:rPr>
              <w:color w:val="auto"/>
              <w:highlight w:val="none"/>
            </w:rPr>
            <w:t>137</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6ECB818D">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_Toc28788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ascii="宋体" w:hAnsi="宋体" w:eastAsia="宋体"/>
              <w:bCs w:val="0"/>
              <w:color w:val="auto"/>
              <w:szCs w:val="21"/>
              <w:highlight w:val="none"/>
            </w:rPr>
            <w:t>第1</w:t>
          </w:r>
          <w:r>
            <w:rPr>
              <w:rFonts w:ascii="宋体" w:hAnsi="宋体" w:eastAsia="宋体"/>
              <w:bCs w:val="0"/>
              <w:color w:val="auto"/>
              <w:szCs w:val="21"/>
              <w:highlight w:val="none"/>
            </w:rPr>
            <w:t>2</w:t>
          </w:r>
          <w:r>
            <w:rPr>
              <w:rFonts w:hint="eastAsia" w:ascii="宋体" w:hAnsi="宋体" w:eastAsia="宋体"/>
              <w:bCs w:val="0"/>
              <w:color w:val="auto"/>
              <w:szCs w:val="21"/>
              <w:highlight w:val="none"/>
            </w:rPr>
            <w:t>条 竣工后试验</w:t>
          </w:r>
          <w:r>
            <w:rPr>
              <w:color w:val="auto"/>
              <w:highlight w:val="none"/>
            </w:rPr>
            <w:tab/>
          </w:r>
          <w:r>
            <w:rPr>
              <w:color w:val="auto"/>
              <w:highlight w:val="none"/>
            </w:rPr>
            <w:fldChar w:fldCharType="begin"/>
          </w:r>
          <w:r>
            <w:rPr>
              <w:color w:val="auto"/>
              <w:highlight w:val="none"/>
            </w:rPr>
            <w:instrText xml:space="preserve"> PAGEREF _Toc28788 \h </w:instrText>
          </w:r>
          <w:r>
            <w:rPr>
              <w:color w:val="auto"/>
              <w:highlight w:val="none"/>
            </w:rPr>
            <w:fldChar w:fldCharType="separate"/>
          </w:r>
          <w:r>
            <w:rPr>
              <w:color w:val="auto"/>
              <w:highlight w:val="none"/>
            </w:rPr>
            <w:t>139</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1DA54885">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_Toc13591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ascii="宋体" w:hAnsi="宋体" w:eastAsia="宋体"/>
              <w:bCs w:val="0"/>
              <w:color w:val="auto"/>
              <w:szCs w:val="21"/>
              <w:highlight w:val="none"/>
            </w:rPr>
            <w:t>第1</w:t>
          </w:r>
          <w:r>
            <w:rPr>
              <w:rFonts w:ascii="宋体" w:hAnsi="宋体" w:eastAsia="宋体"/>
              <w:bCs w:val="0"/>
              <w:color w:val="auto"/>
              <w:szCs w:val="21"/>
              <w:highlight w:val="none"/>
            </w:rPr>
            <w:t>3</w:t>
          </w:r>
          <w:r>
            <w:rPr>
              <w:rFonts w:hint="eastAsia" w:ascii="宋体" w:hAnsi="宋体" w:eastAsia="宋体"/>
              <w:bCs w:val="0"/>
              <w:color w:val="auto"/>
              <w:szCs w:val="21"/>
              <w:highlight w:val="none"/>
            </w:rPr>
            <w:t>条 变更与调整</w:t>
          </w:r>
          <w:r>
            <w:rPr>
              <w:color w:val="auto"/>
              <w:highlight w:val="none"/>
            </w:rPr>
            <w:tab/>
          </w:r>
          <w:r>
            <w:rPr>
              <w:color w:val="auto"/>
              <w:highlight w:val="none"/>
            </w:rPr>
            <w:fldChar w:fldCharType="begin"/>
          </w:r>
          <w:r>
            <w:rPr>
              <w:color w:val="auto"/>
              <w:highlight w:val="none"/>
            </w:rPr>
            <w:instrText xml:space="preserve"> PAGEREF _Toc13591 \h </w:instrText>
          </w:r>
          <w:r>
            <w:rPr>
              <w:color w:val="auto"/>
              <w:highlight w:val="none"/>
            </w:rPr>
            <w:fldChar w:fldCharType="separate"/>
          </w:r>
          <w:r>
            <w:rPr>
              <w:color w:val="auto"/>
              <w:highlight w:val="none"/>
            </w:rPr>
            <w:t>140</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3894DD3B">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_Toc1951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ascii="宋体" w:hAnsi="宋体" w:eastAsia="宋体"/>
              <w:bCs w:val="0"/>
              <w:color w:val="auto"/>
              <w:szCs w:val="21"/>
              <w:highlight w:val="none"/>
            </w:rPr>
            <w:t>第1</w:t>
          </w:r>
          <w:r>
            <w:rPr>
              <w:rFonts w:ascii="宋体" w:hAnsi="宋体" w:eastAsia="宋体"/>
              <w:bCs w:val="0"/>
              <w:color w:val="auto"/>
              <w:szCs w:val="21"/>
              <w:highlight w:val="none"/>
            </w:rPr>
            <w:t>4</w:t>
          </w:r>
          <w:r>
            <w:rPr>
              <w:rFonts w:hint="eastAsia" w:ascii="宋体" w:hAnsi="宋体" w:eastAsia="宋体"/>
              <w:bCs w:val="0"/>
              <w:color w:val="auto"/>
              <w:szCs w:val="21"/>
              <w:highlight w:val="none"/>
            </w:rPr>
            <w:t>条 合同价格与支付</w:t>
          </w:r>
          <w:r>
            <w:rPr>
              <w:color w:val="auto"/>
              <w:highlight w:val="none"/>
            </w:rPr>
            <w:tab/>
          </w:r>
          <w:r>
            <w:rPr>
              <w:color w:val="auto"/>
              <w:highlight w:val="none"/>
            </w:rPr>
            <w:fldChar w:fldCharType="begin"/>
          </w:r>
          <w:r>
            <w:rPr>
              <w:color w:val="auto"/>
              <w:highlight w:val="none"/>
            </w:rPr>
            <w:instrText xml:space="preserve"> PAGEREF _Toc1951 \h </w:instrText>
          </w:r>
          <w:r>
            <w:rPr>
              <w:color w:val="auto"/>
              <w:highlight w:val="none"/>
            </w:rPr>
            <w:fldChar w:fldCharType="separate"/>
          </w:r>
          <w:r>
            <w:rPr>
              <w:color w:val="auto"/>
              <w:highlight w:val="none"/>
            </w:rPr>
            <w:t>145</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5C385275">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_Toc27684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ascii="宋体" w:hAnsi="宋体" w:eastAsia="宋体"/>
              <w:bCs w:val="0"/>
              <w:color w:val="auto"/>
              <w:szCs w:val="21"/>
              <w:highlight w:val="none"/>
            </w:rPr>
            <w:t>第1</w:t>
          </w:r>
          <w:r>
            <w:rPr>
              <w:rFonts w:ascii="宋体" w:hAnsi="宋体" w:eastAsia="宋体"/>
              <w:bCs w:val="0"/>
              <w:color w:val="auto"/>
              <w:szCs w:val="21"/>
              <w:highlight w:val="none"/>
            </w:rPr>
            <w:t>5</w:t>
          </w:r>
          <w:r>
            <w:rPr>
              <w:rFonts w:hint="eastAsia" w:ascii="宋体" w:hAnsi="宋体" w:eastAsia="宋体"/>
              <w:bCs w:val="0"/>
              <w:color w:val="auto"/>
              <w:szCs w:val="21"/>
              <w:highlight w:val="none"/>
            </w:rPr>
            <w:t>条 违约</w:t>
          </w:r>
          <w:r>
            <w:rPr>
              <w:color w:val="auto"/>
              <w:highlight w:val="none"/>
            </w:rPr>
            <w:tab/>
          </w:r>
          <w:r>
            <w:rPr>
              <w:color w:val="auto"/>
              <w:highlight w:val="none"/>
            </w:rPr>
            <w:fldChar w:fldCharType="begin"/>
          </w:r>
          <w:r>
            <w:rPr>
              <w:color w:val="auto"/>
              <w:highlight w:val="none"/>
            </w:rPr>
            <w:instrText xml:space="preserve"> PAGEREF _Toc27684 \h </w:instrText>
          </w:r>
          <w:r>
            <w:rPr>
              <w:color w:val="auto"/>
              <w:highlight w:val="none"/>
            </w:rPr>
            <w:fldChar w:fldCharType="separate"/>
          </w:r>
          <w:r>
            <w:rPr>
              <w:color w:val="auto"/>
              <w:highlight w:val="none"/>
            </w:rPr>
            <w:t>151</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0A281469">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_Toc12777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ascii="宋体" w:hAnsi="宋体" w:eastAsia="宋体"/>
              <w:bCs w:val="0"/>
              <w:color w:val="auto"/>
              <w:szCs w:val="21"/>
              <w:highlight w:val="none"/>
            </w:rPr>
            <w:t>第1</w:t>
          </w:r>
          <w:r>
            <w:rPr>
              <w:rFonts w:ascii="宋体" w:hAnsi="宋体" w:eastAsia="宋体"/>
              <w:bCs w:val="0"/>
              <w:color w:val="auto"/>
              <w:szCs w:val="21"/>
              <w:highlight w:val="none"/>
            </w:rPr>
            <w:t>6</w:t>
          </w:r>
          <w:r>
            <w:rPr>
              <w:rFonts w:hint="eastAsia" w:ascii="宋体" w:hAnsi="宋体" w:eastAsia="宋体"/>
              <w:bCs w:val="0"/>
              <w:color w:val="auto"/>
              <w:szCs w:val="21"/>
              <w:highlight w:val="none"/>
            </w:rPr>
            <w:t>条 合同解除</w:t>
          </w:r>
          <w:r>
            <w:rPr>
              <w:color w:val="auto"/>
              <w:highlight w:val="none"/>
            </w:rPr>
            <w:tab/>
          </w:r>
          <w:r>
            <w:rPr>
              <w:color w:val="auto"/>
              <w:highlight w:val="none"/>
            </w:rPr>
            <w:fldChar w:fldCharType="begin"/>
          </w:r>
          <w:r>
            <w:rPr>
              <w:color w:val="auto"/>
              <w:highlight w:val="none"/>
            </w:rPr>
            <w:instrText xml:space="preserve"> PAGEREF _Toc12777 \h </w:instrText>
          </w:r>
          <w:r>
            <w:rPr>
              <w:color w:val="auto"/>
              <w:highlight w:val="none"/>
            </w:rPr>
            <w:fldChar w:fldCharType="separate"/>
          </w:r>
          <w:r>
            <w:rPr>
              <w:color w:val="auto"/>
              <w:highlight w:val="none"/>
            </w:rPr>
            <w:t>152</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35E0CB07">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_Toc12170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ascii="宋体" w:hAnsi="宋体" w:eastAsia="宋体"/>
              <w:bCs w:val="0"/>
              <w:color w:val="auto"/>
              <w:szCs w:val="21"/>
              <w:highlight w:val="none"/>
            </w:rPr>
            <w:t>第1</w:t>
          </w:r>
          <w:r>
            <w:rPr>
              <w:rFonts w:ascii="宋体" w:hAnsi="宋体" w:eastAsia="宋体"/>
              <w:bCs w:val="0"/>
              <w:color w:val="auto"/>
              <w:szCs w:val="21"/>
              <w:highlight w:val="none"/>
            </w:rPr>
            <w:t>7</w:t>
          </w:r>
          <w:r>
            <w:rPr>
              <w:rFonts w:hint="eastAsia" w:ascii="宋体" w:hAnsi="宋体" w:eastAsia="宋体"/>
              <w:bCs w:val="0"/>
              <w:color w:val="auto"/>
              <w:szCs w:val="21"/>
              <w:highlight w:val="none"/>
            </w:rPr>
            <w:t>条 不可抗力</w:t>
          </w:r>
          <w:r>
            <w:rPr>
              <w:color w:val="auto"/>
              <w:highlight w:val="none"/>
            </w:rPr>
            <w:tab/>
          </w:r>
          <w:r>
            <w:rPr>
              <w:color w:val="auto"/>
              <w:highlight w:val="none"/>
            </w:rPr>
            <w:fldChar w:fldCharType="begin"/>
          </w:r>
          <w:r>
            <w:rPr>
              <w:color w:val="auto"/>
              <w:highlight w:val="none"/>
            </w:rPr>
            <w:instrText xml:space="preserve"> PAGEREF _Toc12170 \h </w:instrText>
          </w:r>
          <w:r>
            <w:rPr>
              <w:color w:val="auto"/>
              <w:highlight w:val="none"/>
            </w:rPr>
            <w:fldChar w:fldCharType="separate"/>
          </w:r>
          <w:r>
            <w:rPr>
              <w:color w:val="auto"/>
              <w:highlight w:val="none"/>
            </w:rPr>
            <w:t>156</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2242B1EC">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_Toc3849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ascii="宋体" w:hAnsi="宋体" w:eastAsia="宋体"/>
              <w:bCs w:val="0"/>
              <w:color w:val="auto"/>
              <w:szCs w:val="21"/>
              <w:highlight w:val="none"/>
            </w:rPr>
            <w:t>第1</w:t>
          </w:r>
          <w:r>
            <w:rPr>
              <w:rFonts w:ascii="宋体" w:hAnsi="宋体" w:eastAsia="宋体"/>
              <w:bCs w:val="0"/>
              <w:color w:val="auto"/>
              <w:szCs w:val="21"/>
              <w:highlight w:val="none"/>
            </w:rPr>
            <w:t>8</w:t>
          </w:r>
          <w:r>
            <w:rPr>
              <w:rFonts w:hint="eastAsia" w:ascii="宋体" w:hAnsi="宋体" w:eastAsia="宋体"/>
              <w:bCs w:val="0"/>
              <w:color w:val="auto"/>
              <w:szCs w:val="21"/>
              <w:highlight w:val="none"/>
            </w:rPr>
            <w:t>条 保险</w:t>
          </w:r>
          <w:r>
            <w:rPr>
              <w:color w:val="auto"/>
              <w:highlight w:val="none"/>
            </w:rPr>
            <w:tab/>
          </w:r>
          <w:r>
            <w:rPr>
              <w:color w:val="auto"/>
              <w:highlight w:val="none"/>
            </w:rPr>
            <w:fldChar w:fldCharType="begin"/>
          </w:r>
          <w:r>
            <w:rPr>
              <w:color w:val="auto"/>
              <w:highlight w:val="none"/>
            </w:rPr>
            <w:instrText xml:space="preserve"> PAGEREF _Toc3849 \h </w:instrText>
          </w:r>
          <w:r>
            <w:rPr>
              <w:color w:val="auto"/>
              <w:highlight w:val="none"/>
            </w:rPr>
            <w:fldChar w:fldCharType="separate"/>
          </w:r>
          <w:r>
            <w:rPr>
              <w:color w:val="auto"/>
              <w:highlight w:val="none"/>
            </w:rPr>
            <w:t>157</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2BB7B9A4">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_Toc22486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ascii="宋体" w:hAnsi="宋体" w:eastAsia="宋体"/>
              <w:bCs w:val="0"/>
              <w:color w:val="auto"/>
              <w:szCs w:val="21"/>
              <w:highlight w:val="none"/>
            </w:rPr>
            <w:t>第1</w:t>
          </w:r>
          <w:r>
            <w:rPr>
              <w:rFonts w:ascii="宋体" w:hAnsi="宋体" w:eastAsia="宋体"/>
              <w:bCs w:val="0"/>
              <w:color w:val="auto"/>
              <w:szCs w:val="21"/>
              <w:highlight w:val="none"/>
            </w:rPr>
            <w:t>9</w:t>
          </w:r>
          <w:r>
            <w:rPr>
              <w:rFonts w:hint="eastAsia" w:ascii="宋体" w:hAnsi="宋体" w:eastAsia="宋体"/>
              <w:bCs w:val="0"/>
              <w:color w:val="auto"/>
              <w:szCs w:val="21"/>
              <w:highlight w:val="none"/>
            </w:rPr>
            <w:t>条 索赔</w:t>
          </w:r>
          <w:r>
            <w:rPr>
              <w:color w:val="auto"/>
              <w:highlight w:val="none"/>
            </w:rPr>
            <w:tab/>
          </w:r>
          <w:r>
            <w:rPr>
              <w:color w:val="auto"/>
              <w:highlight w:val="none"/>
            </w:rPr>
            <w:fldChar w:fldCharType="begin"/>
          </w:r>
          <w:r>
            <w:rPr>
              <w:color w:val="auto"/>
              <w:highlight w:val="none"/>
            </w:rPr>
            <w:instrText xml:space="preserve"> PAGEREF _Toc22486 \h </w:instrText>
          </w:r>
          <w:r>
            <w:rPr>
              <w:color w:val="auto"/>
              <w:highlight w:val="none"/>
            </w:rPr>
            <w:fldChar w:fldCharType="separate"/>
          </w:r>
          <w:r>
            <w:rPr>
              <w:color w:val="auto"/>
              <w:highlight w:val="none"/>
            </w:rPr>
            <w:t>159</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29D1BB81">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_Toc13884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ascii="宋体" w:hAnsi="宋体" w:eastAsia="宋体"/>
              <w:bCs w:val="0"/>
              <w:color w:val="auto"/>
              <w:szCs w:val="21"/>
              <w:highlight w:val="none"/>
            </w:rPr>
            <w:t>第2</w:t>
          </w:r>
          <w:r>
            <w:rPr>
              <w:rFonts w:ascii="宋体" w:hAnsi="宋体" w:eastAsia="宋体"/>
              <w:bCs w:val="0"/>
              <w:color w:val="auto"/>
              <w:szCs w:val="21"/>
              <w:highlight w:val="none"/>
            </w:rPr>
            <w:t>0</w:t>
          </w:r>
          <w:r>
            <w:rPr>
              <w:rFonts w:hint="eastAsia" w:ascii="宋体" w:hAnsi="宋体" w:eastAsia="宋体"/>
              <w:bCs w:val="0"/>
              <w:color w:val="auto"/>
              <w:szCs w:val="21"/>
              <w:highlight w:val="none"/>
            </w:rPr>
            <w:t>条 争议解决</w:t>
          </w:r>
          <w:r>
            <w:rPr>
              <w:color w:val="auto"/>
              <w:highlight w:val="none"/>
            </w:rPr>
            <w:tab/>
          </w:r>
          <w:r>
            <w:rPr>
              <w:color w:val="auto"/>
              <w:highlight w:val="none"/>
            </w:rPr>
            <w:fldChar w:fldCharType="begin"/>
          </w:r>
          <w:r>
            <w:rPr>
              <w:color w:val="auto"/>
              <w:highlight w:val="none"/>
            </w:rPr>
            <w:instrText xml:space="preserve"> PAGEREF _Toc13884 \h </w:instrText>
          </w:r>
          <w:r>
            <w:rPr>
              <w:color w:val="auto"/>
              <w:highlight w:val="none"/>
            </w:rPr>
            <w:fldChar w:fldCharType="separate"/>
          </w:r>
          <w:r>
            <w:rPr>
              <w:color w:val="auto"/>
              <w:highlight w:val="none"/>
            </w:rPr>
            <w:t>160</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16208502">
          <w:pPr>
            <w:pStyle w:val="28"/>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_Toc25751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color w:val="auto"/>
              <w:highlight w:val="none"/>
              <w:lang w:eastAsia="zh-CN"/>
            </w:rPr>
            <w:t>第三部分</w:t>
          </w:r>
          <w:r>
            <w:rPr>
              <w:rFonts w:hint="eastAsia"/>
              <w:color w:val="auto"/>
              <w:highlight w:val="none"/>
              <w:lang w:val="en-US" w:eastAsia="zh-CN"/>
            </w:rPr>
            <w:t xml:space="preserve"> </w:t>
          </w:r>
          <w:r>
            <w:rPr>
              <w:rFonts w:hint="eastAsia"/>
              <w:color w:val="auto"/>
              <w:highlight w:val="none"/>
            </w:rPr>
            <w:t>专用合同条件</w:t>
          </w:r>
          <w:r>
            <w:rPr>
              <w:color w:val="auto"/>
              <w:highlight w:val="none"/>
            </w:rPr>
            <w:tab/>
          </w:r>
          <w:r>
            <w:rPr>
              <w:color w:val="auto"/>
              <w:highlight w:val="none"/>
            </w:rPr>
            <w:fldChar w:fldCharType="begin"/>
          </w:r>
          <w:r>
            <w:rPr>
              <w:color w:val="auto"/>
              <w:highlight w:val="none"/>
            </w:rPr>
            <w:instrText xml:space="preserve"> PAGEREF _Toc25751 \h </w:instrText>
          </w:r>
          <w:r>
            <w:rPr>
              <w:color w:val="auto"/>
              <w:highlight w:val="none"/>
            </w:rPr>
            <w:fldChar w:fldCharType="separate"/>
          </w:r>
          <w:r>
            <w:rPr>
              <w:color w:val="auto"/>
              <w:highlight w:val="none"/>
            </w:rPr>
            <w:t>162</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0CAC6CE3">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_Toc24852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cs="宋体"/>
              <w:bCs/>
              <w:color w:val="auto"/>
              <w:szCs w:val="21"/>
              <w:highlight w:val="none"/>
            </w:rPr>
            <w:t>第1条 一般约定</w:t>
          </w:r>
          <w:r>
            <w:rPr>
              <w:color w:val="auto"/>
              <w:highlight w:val="none"/>
            </w:rPr>
            <w:tab/>
          </w:r>
          <w:r>
            <w:rPr>
              <w:color w:val="auto"/>
              <w:highlight w:val="none"/>
            </w:rPr>
            <w:fldChar w:fldCharType="begin"/>
          </w:r>
          <w:r>
            <w:rPr>
              <w:color w:val="auto"/>
              <w:highlight w:val="none"/>
            </w:rPr>
            <w:instrText xml:space="preserve"> PAGEREF _Toc24852 \h </w:instrText>
          </w:r>
          <w:r>
            <w:rPr>
              <w:color w:val="auto"/>
              <w:highlight w:val="none"/>
            </w:rPr>
            <w:fldChar w:fldCharType="separate"/>
          </w:r>
          <w:r>
            <w:rPr>
              <w:color w:val="auto"/>
              <w:highlight w:val="none"/>
            </w:rPr>
            <w:t>162</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3DD0CF29">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_Toc26722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cs="宋体"/>
              <w:bCs/>
              <w:color w:val="auto"/>
              <w:szCs w:val="21"/>
              <w:highlight w:val="none"/>
            </w:rPr>
            <w:t>第2条 发包人</w:t>
          </w:r>
          <w:r>
            <w:rPr>
              <w:color w:val="auto"/>
              <w:highlight w:val="none"/>
            </w:rPr>
            <w:tab/>
          </w:r>
          <w:r>
            <w:rPr>
              <w:color w:val="auto"/>
              <w:highlight w:val="none"/>
            </w:rPr>
            <w:fldChar w:fldCharType="begin"/>
          </w:r>
          <w:r>
            <w:rPr>
              <w:color w:val="auto"/>
              <w:highlight w:val="none"/>
            </w:rPr>
            <w:instrText xml:space="preserve"> PAGEREF _Toc26722 \h </w:instrText>
          </w:r>
          <w:r>
            <w:rPr>
              <w:color w:val="auto"/>
              <w:highlight w:val="none"/>
            </w:rPr>
            <w:fldChar w:fldCharType="separate"/>
          </w:r>
          <w:r>
            <w:rPr>
              <w:color w:val="auto"/>
              <w:highlight w:val="none"/>
            </w:rPr>
            <w:t>163</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403BE685">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_Toc25047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cs="宋体"/>
              <w:bCs/>
              <w:color w:val="auto"/>
              <w:szCs w:val="21"/>
              <w:highlight w:val="none"/>
            </w:rPr>
            <w:t>第3条 发包人的管理</w:t>
          </w:r>
          <w:r>
            <w:rPr>
              <w:color w:val="auto"/>
              <w:highlight w:val="none"/>
            </w:rPr>
            <w:tab/>
          </w:r>
          <w:r>
            <w:rPr>
              <w:color w:val="auto"/>
              <w:highlight w:val="none"/>
            </w:rPr>
            <w:fldChar w:fldCharType="begin"/>
          </w:r>
          <w:r>
            <w:rPr>
              <w:color w:val="auto"/>
              <w:highlight w:val="none"/>
            </w:rPr>
            <w:instrText xml:space="preserve"> PAGEREF _Toc25047 \h </w:instrText>
          </w:r>
          <w:r>
            <w:rPr>
              <w:color w:val="auto"/>
              <w:highlight w:val="none"/>
            </w:rPr>
            <w:fldChar w:fldCharType="separate"/>
          </w:r>
          <w:r>
            <w:rPr>
              <w:color w:val="auto"/>
              <w:highlight w:val="none"/>
            </w:rPr>
            <w:t>164</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78C57477">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_Toc30283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cs="宋体"/>
              <w:bCs/>
              <w:color w:val="auto"/>
              <w:szCs w:val="21"/>
              <w:highlight w:val="none"/>
            </w:rPr>
            <w:t>第4条 承包人</w:t>
          </w:r>
          <w:r>
            <w:rPr>
              <w:color w:val="auto"/>
              <w:highlight w:val="none"/>
            </w:rPr>
            <w:tab/>
          </w:r>
          <w:r>
            <w:rPr>
              <w:color w:val="auto"/>
              <w:highlight w:val="none"/>
            </w:rPr>
            <w:fldChar w:fldCharType="begin"/>
          </w:r>
          <w:r>
            <w:rPr>
              <w:color w:val="auto"/>
              <w:highlight w:val="none"/>
            </w:rPr>
            <w:instrText xml:space="preserve"> PAGEREF _Toc30283 \h </w:instrText>
          </w:r>
          <w:r>
            <w:rPr>
              <w:color w:val="auto"/>
              <w:highlight w:val="none"/>
            </w:rPr>
            <w:fldChar w:fldCharType="separate"/>
          </w:r>
          <w:r>
            <w:rPr>
              <w:color w:val="auto"/>
              <w:highlight w:val="none"/>
            </w:rPr>
            <w:t>165</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29E4BAE2">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_Toc27047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cs="宋体"/>
              <w:bCs/>
              <w:color w:val="auto"/>
              <w:szCs w:val="21"/>
              <w:highlight w:val="none"/>
            </w:rPr>
            <w:t>第5条 设计</w:t>
          </w:r>
          <w:r>
            <w:rPr>
              <w:color w:val="auto"/>
              <w:highlight w:val="none"/>
            </w:rPr>
            <w:tab/>
          </w:r>
          <w:r>
            <w:rPr>
              <w:color w:val="auto"/>
              <w:highlight w:val="none"/>
            </w:rPr>
            <w:fldChar w:fldCharType="begin"/>
          </w:r>
          <w:r>
            <w:rPr>
              <w:color w:val="auto"/>
              <w:highlight w:val="none"/>
            </w:rPr>
            <w:instrText xml:space="preserve"> PAGEREF _Toc27047 \h </w:instrText>
          </w:r>
          <w:r>
            <w:rPr>
              <w:color w:val="auto"/>
              <w:highlight w:val="none"/>
            </w:rPr>
            <w:fldChar w:fldCharType="separate"/>
          </w:r>
          <w:r>
            <w:rPr>
              <w:color w:val="auto"/>
              <w:highlight w:val="none"/>
            </w:rPr>
            <w:t>169</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5F828CE4">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_Toc9182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cs="宋体"/>
              <w:bCs/>
              <w:color w:val="auto"/>
              <w:szCs w:val="21"/>
              <w:highlight w:val="none"/>
            </w:rPr>
            <w:t>第6条 材料、工程设备</w:t>
          </w:r>
          <w:r>
            <w:rPr>
              <w:color w:val="auto"/>
              <w:highlight w:val="none"/>
            </w:rPr>
            <w:tab/>
          </w:r>
          <w:r>
            <w:rPr>
              <w:color w:val="auto"/>
              <w:highlight w:val="none"/>
            </w:rPr>
            <w:fldChar w:fldCharType="begin"/>
          </w:r>
          <w:r>
            <w:rPr>
              <w:color w:val="auto"/>
              <w:highlight w:val="none"/>
            </w:rPr>
            <w:instrText xml:space="preserve"> PAGEREF _Toc9182 \h </w:instrText>
          </w:r>
          <w:r>
            <w:rPr>
              <w:color w:val="auto"/>
              <w:highlight w:val="none"/>
            </w:rPr>
            <w:fldChar w:fldCharType="separate"/>
          </w:r>
          <w:r>
            <w:rPr>
              <w:color w:val="auto"/>
              <w:highlight w:val="none"/>
            </w:rPr>
            <w:t>169</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2EA87740">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_Toc1285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cs="宋体"/>
              <w:color w:val="auto"/>
              <w:szCs w:val="21"/>
              <w:highlight w:val="none"/>
            </w:rPr>
            <w:t>第7条 施工</w:t>
          </w:r>
          <w:r>
            <w:rPr>
              <w:color w:val="auto"/>
              <w:highlight w:val="none"/>
            </w:rPr>
            <w:tab/>
          </w:r>
          <w:r>
            <w:rPr>
              <w:color w:val="auto"/>
              <w:highlight w:val="none"/>
            </w:rPr>
            <w:fldChar w:fldCharType="begin"/>
          </w:r>
          <w:r>
            <w:rPr>
              <w:color w:val="auto"/>
              <w:highlight w:val="none"/>
            </w:rPr>
            <w:instrText xml:space="preserve"> PAGEREF _Toc1285 \h </w:instrText>
          </w:r>
          <w:r>
            <w:rPr>
              <w:color w:val="auto"/>
              <w:highlight w:val="none"/>
            </w:rPr>
            <w:fldChar w:fldCharType="separate"/>
          </w:r>
          <w:r>
            <w:rPr>
              <w:color w:val="auto"/>
              <w:highlight w:val="none"/>
            </w:rPr>
            <w:t>170</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67974C48">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_Toc3096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cs="宋体"/>
              <w:bCs/>
              <w:color w:val="auto"/>
              <w:szCs w:val="21"/>
              <w:highlight w:val="none"/>
            </w:rPr>
            <w:t>第8条 工期和进度</w:t>
          </w:r>
          <w:r>
            <w:rPr>
              <w:color w:val="auto"/>
              <w:highlight w:val="none"/>
            </w:rPr>
            <w:tab/>
          </w:r>
          <w:r>
            <w:rPr>
              <w:color w:val="auto"/>
              <w:highlight w:val="none"/>
            </w:rPr>
            <w:fldChar w:fldCharType="begin"/>
          </w:r>
          <w:r>
            <w:rPr>
              <w:color w:val="auto"/>
              <w:highlight w:val="none"/>
            </w:rPr>
            <w:instrText xml:space="preserve"> PAGEREF _Toc3096 \h </w:instrText>
          </w:r>
          <w:r>
            <w:rPr>
              <w:color w:val="auto"/>
              <w:highlight w:val="none"/>
            </w:rPr>
            <w:fldChar w:fldCharType="separate"/>
          </w:r>
          <w:r>
            <w:rPr>
              <w:color w:val="auto"/>
              <w:highlight w:val="none"/>
            </w:rPr>
            <w:t>172</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027957B4">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_Toc10618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cs="宋体"/>
              <w:bCs/>
              <w:color w:val="auto"/>
              <w:szCs w:val="21"/>
              <w:highlight w:val="none"/>
            </w:rPr>
            <w:t>第9条 竣工试验</w:t>
          </w:r>
          <w:r>
            <w:rPr>
              <w:color w:val="auto"/>
              <w:highlight w:val="none"/>
            </w:rPr>
            <w:tab/>
          </w:r>
          <w:r>
            <w:rPr>
              <w:color w:val="auto"/>
              <w:highlight w:val="none"/>
            </w:rPr>
            <w:fldChar w:fldCharType="begin"/>
          </w:r>
          <w:r>
            <w:rPr>
              <w:color w:val="auto"/>
              <w:highlight w:val="none"/>
            </w:rPr>
            <w:instrText xml:space="preserve"> PAGEREF _Toc10618 \h </w:instrText>
          </w:r>
          <w:r>
            <w:rPr>
              <w:color w:val="auto"/>
              <w:highlight w:val="none"/>
            </w:rPr>
            <w:fldChar w:fldCharType="separate"/>
          </w:r>
          <w:r>
            <w:rPr>
              <w:color w:val="auto"/>
              <w:highlight w:val="none"/>
            </w:rPr>
            <w:t>173</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64E66099">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_Toc25330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cs="宋体"/>
              <w:bCs/>
              <w:color w:val="auto"/>
              <w:szCs w:val="21"/>
              <w:highlight w:val="none"/>
            </w:rPr>
            <w:t>第10条 验收和工程接收</w:t>
          </w:r>
          <w:r>
            <w:rPr>
              <w:color w:val="auto"/>
              <w:highlight w:val="none"/>
            </w:rPr>
            <w:tab/>
          </w:r>
          <w:r>
            <w:rPr>
              <w:color w:val="auto"/>
              <w:highlight w:val="none"/>
            </w:rPr>
            <w:fldChar w:fldCharType="begin"/>
          </w:r>
          <w:r>
            <w:rPr>
              <w:color w:val="auto"/>
              <w:highlight w:val="none"/>
            </w:rPr>
            <w:instrText xml:space="preserve"> PAGEREF _Toc25330 \h </w:instrText>
          </w:r>
          <w:r>
            <w:rPr>
              <w:color w:val="auto"/>
              <w:highlight w:val="none"/>
            </w:rPr>
            <w:fldChar w:fldCharType="separate"/>
          </w:r>
          <w:r>
            <w:rPr>
              <w:color w:val="auto"/>
              <w:highlight w:val="none"/>
            </w:rPr>
            <w:t>173</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7F1412D3">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_Toc17761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cs="宋体"/>
              <w:bCs/>
              <w:color w:val="auto"/>
              <w:szCs w:val="21"/>
              <w:highlight w:val="none"/>
            </w:rPr>
            <w:t>第11条 缺陷责任与保修</w:t>
          </w:r>
          <w:r>
            <w:rPr>
              <w:color w:val="auto"/>
              <w:highlight w:val="none"/>
            </w:rPr>
            <w:tab/>
          </w:r>
          <w:r>
            <w:rPr>
              <w:color w:val="auto"/>
              <w:highlight w:val="none"/>
            </w:rPr>
            <w:fldChar w:fldCharType="begin"/>
          </w:r>
          <w:r>
            <w:rPr>
              <w:color w:val="auto"/>
              <w:highlight w:val="none"/>
            </w:rPr>
            <w:instrText xml:space="preserve"> PAGEREF _Toc17761 \h </w:instrText>
          </w:r>
          <w:r>
            <w:rPr>
              <w:color w:val="auto"/>
              <w:highlight w:val="none"/>
            </w:rPr>
            <w:fldChar w:fldCharType="separate"/>
          </w:r>
          <w:r>
            <w:rPr>
              <w:color w:val="auto"/>
              <w:highlight w:val="none"/>
            </w:rPr>
            <w:t>174</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75C0FC51">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_Toc26235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cs="宋体"/>
              <w:bCs/>
              <w:color w:val="auto"/>
              <w:szCs w:val="21"/>
              <w:highlight w:val="none"/>
            </w:rPr>
            <w:t>第12条 竣工后试验</w:t>
          </w:r>
          <w:r>
            <w:rPr>
              <w:color w:val="auto"/>
              <w:highlight w:val="none"/>
            </w:rPr>
            <w:tab/>
          </w:r>
          <w:r>
            <w:rPr>
              <w:color w:val="auto"/>
              <w:highlight w:val="none"/>
            </w:rPr>
            <w:fldChar w:fldCharType="begin"/>
          </w:r>
          <w:r>
            <w:rPr>
              <w:color w:val="auto"/>
              <w:highlight w:val="none"/>
            </w:rPr>
            <w:instrText xml:space="preserve"> PAGEREF _Toc26235 \h </w:instrText>
          </w:r>
          <w:r>
            <w:rPr>
              <w:color w:val="auto"/>
              <w:highlight w:val="none"/>
            </w:rPr>
            <w:fldChar w:fldCharType="separate"/>
          </w:r>
          <w:r>
            <w:rPr>
              <w:color w:val="auto"/>
              <w:highlight w:val="none"/>
            </w:rPr>
            <w:t>175</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26F6D2ED">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_Toc2858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cs="宋体"/>
              <w:bCs/>
              <w:color w:val="auto"/>
              <w:szCs w:val="21"/>
              <w:highlight w:val="none"/>
            </w:rPr>
            <w:t>第13条 变更与调整</w:t>
          </w:r>
          <w:r>
            <w:rPr>
              <w:color w:val="auto"/>
              <w:highlight w:val="none"/>
            </w:rPr>
            <w:tab/>
          </w:r>
          <w:r>
            <w:rPr>
              <w:color w:val="auto"/>
              <w:highlight w:val="none"/>
            </w:rPr>
            <w:fldChar w:fldCharType="begin"/>
          </w:r>
          <w:r>
            <w:rPr>
              <w:color w:val="auto"/>
              <w:highlight w:val="none"/>
            </w:rPr>
            <w:instrText xml:space="preserve"> PAGEREF _Toc2858 \h </w:instrText>
          </w:r>
          <w:r>
            <w:rPr>
              <w:color w:val="auto"/>
              <w:highlight w:val="none"/>
            </w:rPr>
            <w:fldChar w:fldCharType="separate"/>
          </w:r>
          <w:r>
            <w:rPr>
              <w:color w:val="auto"/>
              <w:highlight w:val="none"/>
            </w:rPr>
            <w:t>175</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773C975F">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_Toc8600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cs="宋体"/>
              <w:bCs/>
              <w:color w:val="auto"/>
              <w:szCs w:val="21"/>
              <w:highlight w:val="none"/>
            </w:rPr>
            <w:t>第14条 合同价格与支付</w:t>
          </w:r>
          <w:r>
            <w:rPr>
              <w:color w:val="auto"/>
              <w:highlight w:val="none"/>
            </w:rPr>
            <w:tab/>
          </w:r>
          <w:r>
            <w:rPr>
              <w:color w:val="auto"/>
              <w:highlight w:val="none"/>
            </w:rPr>
            <w:fldChar w:fldCharType="begin"/>
          </w:r>
          <w:r>
            <w:rPr>
              <w:color w:val="auto"/>
              <w:highlight w:val="none"/>
            </w:rPr>
            <w:instrText xml:space="preserve"> PAGEREF _Toc8600 \h </w:instrText>
          </w:r>
          <w:r>
            <w:rPr>
              <w:color w:val="auto"/>
              <w:highlight w:val="none"/>
            </w:rPr>
            <w:fldChar w:fldCharType="separate"/>
          </w:r>
          <w:r>
            <w:rPr>
              <w:color w:val="auto"/>
              <w:highlight w:val="none"/>
            </w:rPr>
            <w:t>176</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01846038">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_Toc15247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cs="宋体"/>
              <w:bCs/>
              <w:color w:val="auto"/>
              <w:szCs w:val="21"/>
              <w:highlight w:val="none"/>
            </w:rPr>
            <w:t>第15条 违约</w:t>
          </w:r>
          <w:r>
            <w:rPr>
              <w:color w:val="auto"/>
              <w:highlight w:val="none"/>
            </w:rPr>
            <w:tab/>
          </w:r>
          <w:r>
            <w:rPr>
              <w:color w:val="auto"/>
              <w:highlight w:val="none"/>
            </w:rPr>
            <w:fldChar w:fldCharType="begin"/>
          </w:r>
          <w:r>
            <w:rPr>
              <w:color w:val="auto"/>
              <w:highlight w:val="none"/>
            </w:rPr>
            <w:instrText xml:space="preserve"> PAGEREF _Toc15247 \h </w:instrText>
          </w:r>
          <w:r>
            <w:rPr>
              <w:color w:val="auto"/>
              <w:highlight w:val="none"/>
            </w:rPr>
            <w:fldChar w:fldCharType="separate"/>
          </w:r>
          <w:r>
            <w:rPr>
              <w:color w:val="auto"/>
              <w:highlight w:val="none"/>
            </w:rPr>
            <w:t>178</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693AA454">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_Toc21980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cs="宋体"/>
              <w:bCs/>
              <w:color w:val="auto"/>
              <w:szCs w:val="21"/>
              <w:highlight w:val="none"/>
            </w:rPr>
            <w:t>第16条 合同解除</w:t>
          </w:r>
          <w:r>
            <w:rPr>
              <w:color w:val="auto"/>
              <w:highlight w:val="none"/>
            </w:rPr>
            <w:tab/>
          </w:r>
          <w:r>
            <w:rPr>
              <w:color w:val="auto"/>
              <w:highlight w:val="none"/>
            </w:rPr>
            <w:fldChar w:fldCharType="begin"/>
          </w:r>
          <w:r>
            <w:rPr>
              <w:color w:val="auto"/>
              <w:highlight w:val="none"/>
            </w:rPr>
            <w:instrText xml:space="preserve"> PAGEREF _Toc21980 \h </w:instrText>
          </w:r>
          <w:r>
            <w:rPr>
              <w:color w:val="auto"/>
              <w:highlight w:val="none"/>
            </w:rPr>
            <w:fldChar w:fldCharType="separate"/>
          </w:r>
          <w:r>
            <w:rPr>
              <w:color w:val="auto"/>
              <w:highlight w:val="none"/>
            </w:rPr>
            <w:t>179</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2664C2F5">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_Toc3725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cs="宋体"/>
              <w:bCs/>
              <w:color w:val="auto"/>
              <w:szCs w:val="21"/>
              <w:highlight w:val="none"/>
            </w:rPr>
            <w:t>第17条 不可抗力</w:t>
          </w:r>
          <w:r>
            <w:rPr>
              <w:color w:val="auto"/>
              <w:highlight w:val="none"/>
            </w:rPr>
            <w:tab/>
          </w:r>
          <w:r>
            <w:rPr>
              <w:color w:val="auto"/>
              <w:highlight w:val="none"/>
            </w:rPr>
            <w:fldChar w:fldCharType="begin"/>
          </w:r>
          <w:r>
            <w:rPr>
              <w:color w:val="auto"/>
              <w:highlight w:val="none"/>
            </w:rPr>
            <w:instrText xml:space="preserve"> PAGEREF _Toc3725 \h </w:instrText>
          </w:r>
          <w:r>
            <w:rPr>
              <w:color w:val="auto"/>
              <w:highlight w:val="none"/>
            </w:rPr>
            <w:fldChar w:fldCharType="separate"/>
          </w:r>
          <w:r>
            <w:rPr>
              <w:color w:val="auto"/>
              <w:highlight w:val="none"/>
            </w:rPr>
            <w:t>179</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7BBE25E6">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_Toc19743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cs="宋体"/>
              <w:bCs/>
              <w:color w:val="auto"/>
              <w:szCs w:val="21"/>
              <w:highlight w:val="none"/>
            </w:rPr>
            <w:t>第18条保险</w:t>
          </w:r>
          <w:r>
            <w:rPr>
              <w:color w:val="auto"/>
              <w:highlight w:val="none"/>
            </w:rPr>
            <w:tab/>
          </w:r>
          <w:r>
            <w:rPr>
              <w:color w:val="auto"/>
              <w:highlight w:val="none"/>
            </w:rPr>
            <w:fldChar w:fldCharType="begin"/>
          </w:r>
          <w:r>
            <w:rPr>
              <w:color w:val="auto"/>
              <w:highlight w:val="none"/>
            </w:rPr>
            <w:instrText xml:space="preserve"> PAGEREF _Toc19743 \h </w:instrText>
          </w:r>
          <w:r>
            <w:rPr>
              <w:color w:val="auto"/>
              <w:highlight w:val="none"/>
            </w:rPr>
            <w:fldChar w:fldCharType="separate"/>
          </w:r>
          <w:r>
            <w:rPr>
              <w:color w:val="auto"/>
              <w:highlight w:val="none"/>
            </w:rPr>
            <w:t>179</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19649360">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_Toc6441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cs="宋体"/>
              <w:bCs/>
              <w:color w:val="auto"/>
              <w:szCs w:val="21"/>
              <w:highlight w:val="none"/>
            </w:rPr>
            <w:t>第20条 争议解决</w:t>
          </w:r>
          <w:r>
            <w:rPr>
              <w:color w:val="auto"/>
              <w:highlight w:val="none"/>
            </w:rPr>
            <w:tab/>
          </w:r>
          <w:r>
            <w:rPr>
              <w:color w:val="auto"/>
              <w:highlight w:val="none"/>
            </w:rPr>
            <w:fldChar w:fldCharType="begin"/>
          </w:r>
          <w:r>
            <w:rPr>
              <w:color w:val="auto"/>
              <w:highlight w:val="none"/>
            </w:rPr>
            <w:instrText xml:space="preserve"> PAGEREF _Toc6441 \h </w:instrText>
          </w:r>
          <w:r>
            <w:rPr>
              <w:color w:val="auto"/>
              <w:highlight w:val="none"/>
            </w:rPr>
            <w:fldChar w:fldCharType="separate"/>
          </w:r>
          <w:r>
            <w:rPr>
              <w:color w:val="auto"/>
              <w:highlight w:val="none"/>
            </w:rPr>
            <w:t>180</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46FE0F9D">
          <w:pPr>
            <w:pStyle w:val="28"/>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_Toc6326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bCs w:val="0"/>
              <w:color w:val="auto"/>
              <w:szCs w:val="21"/>
              <w:highlight w:val="none"/>
            </w:rPr>
            <w:t>专用合同条件附件</w:t>
          </w:r>
          <w:r>
            <w:rPr>
              <w:color w:val="auto"/>
              <w:highlight w:val="none"/>
            </w:rPr>
            <w:tab/>
          </w:r>
          <w:r>
            <w:rPr>
              <w:color w:val="auto"/>
              <w:highlight w:val="none"/>
            </w:rPr>
            <w:fldChar w:fldCharType="begin"/>
          </w:r>
          <w:r>
            <w:rPr>
              <w:color w:val="auto"/>
              <w:highlight w:val="none"/>
            </w:rPr>
            <w:instrText xml:space="preserve"> PAGEREF _Toc6326 \h </w:instrText>
          </w:r>
          <w:r>
            <w:rPr>
              <w:color w:val="auto"/>
              <w:highlight w:val="none"/>
            </w:rPr>
            <w:fldChar w:fldCharType="separate"/>
          </w:r>
          <w:r>
            <w:rPr>
              <w:color w:val="auto"/>
              <w:highlight w:val="none"/>
            </w:rPr>
            <w:t>182</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7EBA050B">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_Toc15939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ascii="宋体" w:hAnsi="宋体" w:eastAsia="宋体"/>
              <w:color w:val="auto"/>
              <w:szCs w:val="21"/>
              <w:highlight w:val="none"/>
            </w:rPr>
            <w:t>附件1《发包人要求》</w:t>
          </w:r>
          <w:r>
            <w:rPr>
              <w:color w:val="auto"/>
              <w:highlight w:val="none"/>
            </w:rPr>
            <w:tab/>
          </w:r>
          <w:r>
            <w:rPr>
              <w:color w:val="auto"/>
              <w:highlight w:val="none"/>
            </w:rPr>
            <w:fldChar w:fldCharType="begin"/>
          </w:r>
          <w:r>
            <w:rPr>
              <w:color w:val="auto"/>
              <w:highlight w:val="none"/>
            </w:rPr>
            <w:instrText xml:space="preserve"> PAGEREF _Toc15939 \h </w:instrText>
          </w:r>
          <w:r>
            <w:rPr>
              <w:color w:val="auto"/>
              <w:highlight w:val="none"/>
            </w:rPr>
            <w:fldChar w:fldCharType="separate"/>
          </w:r>
          <w:r>
            <w:rPr>
              <w:color w:val="auto"/>
              <w:highlight w:val="none"/>
            </w:rPr>
            <w:t>183</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31EC1EEB">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_Toc13174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ascii="宋体" w:hAnsi="宋体" w:eastAsia="宋体"/>
              <w:color w:val="auto"/>
              <w:szCs w:val="21"/>
              <w:highlight w:val="none"/>
            </w:rPr>
            <w:t>附件2</w:t>
          </w:r>
          <w:r>
            <w:rPr>
              <w:rFonts w:ascii="宋体" w:hAnsi="宋体" w:eastAsia="宋体"/>
              <w:color w:val="auto"/>
              <w:szCs w:val="21"/>
              <w:highlight w:val="none"/>
            </w:rPr>
            <w:t xml:space="preserve"> 发包人供应材料设备一览表</w:t>
          </w:r>
          <w:r>
            <w:rPr>
              <w:color w:val="auto"/>
              <w:highlight w:val="none"/>
            </w:rPr>
            <w:tab/>
          </w:r>
          <w:r>
            <w:rPr>
              <w:color w:val="auto"/>
              <w:highlight w:val="none"/>
            </w:rPr>
            <w:fldChar w:fldCharType="begin"/>
          </w:r>
          <w:r>
            <w:rPr>
              <w:color w:val="auto"/>
              <w:highlight w:val="none"/>
            </w:rPr>
            <w:instrText xml:space="preserve"> PAGEREF _Toc13174 \h </w:instrText>
          </w:r>
          <w:r>
            <w:rPr>
              <w:color w:val="auto"/>
              <w:highlight w:val="none"/>
            </w:rPr>
            <w:fldChar w:fldCharType="separate"/>
          </w:r>
          <w:r>
            <w:rPr>
              <w:color w:val="auto"/>
              <w:highlight w:val="none"/>
            </w:rPr>
            <w:t>186</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5487D264">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_Toc27388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ascii="宋体" w:hAnsi="宋体" w:eastAsia="宋体"/>
              <w:color w:val="auto"/>
              <w:szCs w:val="21"/>
              <w:highlight w:val="none"/>
            </w:rPr>
            <w:t>附件</w:t>
          </w:r>
          <w:r>
            <w:rPr>
              <w:rFonts w:ascii="宋体" w:hAnsi="宋体" w:eastAsia="宋体"/>
              <w:color w:val="auto"/>
              <w:szCs w:val="21"/>
              <w:highlight w:val="none"/>
            </w:rPr>
            <w:t>3 工程质量保修书</w:t>
          </w:r>
          <w:r>
            <w:rPr>
              <w:color w:val="auto"/>
              <w:highlight w:val="none"/>
            </w:rPr>
            <w:tab/>
          </w:r>
          <w:r>
            <w:rPr>
              <w:color w:val="auto"/>
              <w:highlight w:val="none"/>
            </w:rPr>
            <w:fldChar w:fldCharType="begin"/>
          </w:r>
          <w:r>
            <w:rPr>
              <w:color w:val="auto"/>
              <w:highlight w:val="none"/>
            </w:rPr>
            <w:instrText xml:space="preserve"> PAGEREF _Toc27388 \h </w:instrText>
          </w:r>
          <w:r>
            <w:rPr>
              <w:color w:val="auto"/>
              <w:highlight w:val="none"/>
            </w:rPr>
            <w:fldChar w:fldCharType="separate"/>
          </w:r>
          <w:r>
            <w:rPr>
              <w:color w:val="auto"/>
              <w:highlight w:val="none"/>
            </w:rPr>
            <w:t>187</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22411E39">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_Toc25847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ascii="宋体" w:hAnsi="宋体" w:eastAsia="宋体"/>
              <w:color w:val="auto"/>
              <w:szCs w:val="21"/>
              <w:highlight w:val="none"/>
            </w:rPr>
            <w:t>附件4</w:t>
          </w:r>
          <w:r>
            <w:rPr>
              <w:rFonts w:ascii="宋体" w:hAnsi="宋体" w:eastAsia="宋体"/>
              <w:color w:val="auto"/>
              <w:szCs w:val="21"/>
              <w:highlight w:val="none"/>
            </w:rPr>
            <w:t xml:space="preserve"> 主要建设工程文件目录</w:t>
          </w:r>
          <w:r>
            <w:rPr>
              <w:color w:val="auto"/>
              <w:highlight w:val="none"/>
            </w:rPr>
            <w:tab/>
          </w:r>
          <w:r>
            <w:rPr>
              <w:color w:val="auto"/>
              <w:highlight w:val="none"/>
            </w:rPr>
            <w:fldChar w:fldCharType="begin"/>
          </w:r>
          <w:r>
            <w:rPr>
              <w:color w:val="auto"/>
              <w:highlight w:val="none"/>
            </w:rPr>
            <w:instrText xml:space="preserve"> PAGEREF _Toc25847 \h </w:instrText>
          </w:r>
          <w:r>
            <w:rPr>
              <w:color w:val="auto"/>
              <w:highlight w:val="none"/>
            </w:rPr>
            <w:fldChar w:fldCharType="separate"/>
          </w:r>
          <w:r>
            <w:rPr>
              <w:color w:val="auto"/>
              <w:highlight w:val="none"/>
            </w:rPr>
            <w:t>189</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69E61E58">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_Toc9101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ascii="宋体" w:hAnsi="宋体" w:eastAsia="宋体"/>
              <w:color w:val="auto"/>
              <w:szCs w:val="21"/>
              <w:highlight w:val="none"/>
            </w:rPr>
            <w:t>附件</w:t>
          </w:r>
          <w:r>
            <w:rPr>
              <w:rFonts w:ascii="宋体" w:hAnsi="宋体" w:eastAsia="宋体"/>
              <w:color w:val="auto"/>
              <w:szCs w:val="21"/>
              <w:highlight w:val="none"/>
            </w:rPr>
            <w:t>5 承包人主要管理人员表</w:t>
          </w:r>
          <w:r>
            <w:rPr>
              <w:color w:val="auto"/>
              <w:highlight w:val="none"/>
            </w:rPr>
            <w:tab/>
          </w:r>
          <w:r>
            <w:rPr>
              <w:color w:val="auto"/>
              <w:highlight w:val="none"/>
            </w:rPr>
            <w:fldChar w:fldCharType="begin"/>
          </w:r>
          <w:r>
            <w:rPr>
              <w:color w:val="auto"/>
              <w:highlight w:val="none"/>
            </w:rPr>
            <w:instrText xml:space="preserve"> PAGEREF _Toc9101 \h </w:instrText>
          </w:r>
          <w:r>
            <w:rPr>
              <w:color w:val="auto"/>
              <w:highlight w:val="none"/>
            </w:rPr>
            <w:fldChar w:fldCharType="separate"/>
          </w:r>
          <w:r>
            <w:rPr>
              <w:color w:val="auto"/>
              <w:highlight w:val="none"/>
            </w:rPr>
            <w:t>190</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5DDF3AEE">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_Toc30631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ascii="宋体" w:hAnsi="宋体" w:eastAsia="宋体"/>
              <w:color w:val="auto"/>
              <w:szCs w:val="21"/>
              <w:highlight w:val="none"/>
            </w:rPr>
            <w:t>附件6价格指数权重表</w:t>
          </w:r>
          <w:r>
            <w:rPr>
              <w:color w:val="auto"/>
              <w:highlight w:val="none"/>
            </w:rPr>
            <w:tab/>
          </w:r>
          <w:r>
            <w:rPr>
              <w:color w:val="auto"/>
              <w:highlight w:val="none"/>
            </w:rPr>
            <w:fldChar w:fldCharType="begin"/>
          </w:r>
          <w:r>
            <w:rPr>
              <w:color w:val="auto"/>
              <w:highlight w:val="none"/>
            </w:rPr>
            <w:instrText xml:space="preserve"> PAGEREF _Toc30631 \h </w:instrText>
          </w:r>
          <w:r>
            <w:rPr>
              <w:color w:val="auto"/>
              <w:highlight w:val="none"/>
            </w:rPr>
            <w:fldChar w:fldCharType="separate"/>
          </w:r>
          <w:r>
            <w:rPr>
              <w:color w:val="auto"/>
              <w:highlight w:val="none"/>
            </w:rPr>
            <w:t>191</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45DCD37C">
          <w:pPr>
            <w:pStyle w:val="28"/>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_Toc19317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color w:val="auto"/>
              <w:highlight w:val="none"/>
            </w:rPr>
            <w:t>第二卷</w:t>
          </w:r>
          <w:r>
            <w:rPr>
              <w:color w:val="auto"/>
              <w:highlight w:val="none"/>
            </w:rPr>
            <w:tab/>
          </w:r>
          <w:r>
            <w:rPr>
              <w:color w:val="auto"/>
              <w:highlight w:val="none"/>
            </w:rPr>
            <w:fldChar w:fldCharType="begin"/>
          </w:r>
          <w:r>
            <w:rPr>
              <w:color w:val="auto"/>
              <w:highlight w:val="none"/>
            </w:rPr>
            <w:instrText xml:space="preserve"> PAGEREF _Toc19317 \h </w:instrText>
          </w:r>
          <w:r>
            <w:rPr>
              <w:color w:val="auto"/>
              <w:highlight w:val="none"/>
            </w:rPr>
            <w:fldChar w:fldCharType="separate"/>
          </w:r>
          <w:r>
            <w:rPr>
              <w:color w:val="auto"/>
              <w:highlight w:val="none"/>
            </w:rPr>
            <w:t>192</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12273F36">
          <w:pPr>
            <w:pStyle w:val="28"/>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_Toc8362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color w:val="auto"/>
              <w:highlight w:val="none"/>
            </w:rPr>
            <w:t>第五章发包人要求</w:t>
          </w:r>
          <w:r>
            <w:rPr>
              <w:color w:val="auto"/>
              <w:highlight w:val="none"/>
            </w:rPr>
            <w:tab/>
          </w:r>
          <w:r>
            <w:rPr>
              <w:color w:val="auto"/>
              <w:highlight w:val="none"/>
            </w:rPr>
            <w:fldChar w:fldCharType="begin"/>
          </w:r>
          <w:r>
            <w:rPr>
              <w:color w:val="auto"/>
              <w:highlight w:val="none"/>
            </w:rPr>
            <w:instrText xml:space="preserve"> PAGEREF _Toc8362 \h </w:instrText>
          </w:r>
          <w:r>
            <w:rPr>
              <w:color w:val="auto"/>
              <w:highlight w:val="none"/>
            </w:rPr>
            <w:fldChar w:fldCharType="separate"/>
          </w:r>
          <w:r>
            <w:rPr>
              <w:color w:val="auto"/>
              <w:highlight w:val="none"/>
            </w:rPr>
            <w:t>193</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6F292D28">
          <w:pPr>
            <w:pStyle w:val="28"/>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_Toc11362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color w:val="auto"/>
              <w:highlight w:val="none"/>
            </w:rPr>
            <w:t>第六章发包人提供的资料</w:t>
          </w:r>
          <w:r>
            <w:rPr>
              <w:color w:val="auto"/>
              <w:highlight w:val="none"/>
            </w:rPr>
            <w:tab/>
          </w:r>
          <w:r>
            <w:rPr>
              <w:color w:val="auto"/>
              <w:highlight w:val="none"/>
            </w:rPr>
            <w:fldChar w:fldCharType="begin"/>
          </w:r>
          <w:r>
            <w:rPr>
              <w:color w:val="auto"/>
              <w:highlight w:val="none"/>
            </w:rPr>
            <w:instrText xml:space="preserve"> PAGEREF _Toc11362 \h </w:instrText>
          </w:r>
          <w:r>
            <w:rPr>
              <w:color w:val="auto"/>
              <w:highlight w:val="none"/>
            </w:rPr>
            <w:fldChar w:fldCharType="separate"/>
          </w:r>
          <w:r>
            <w:rPr>
              <w:color w:val="auto"/>
              <w:highlight w:val="none"/>
            </w:rPr>
            <w:t>197</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4722BA0A">
          <w:pPr>
            <w:pStyle w:val="28"/>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_Toc12194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color w:val="auto"/>
              <w:highlight w:val="none"/>
            </w:rPr>
            <w:t>第三卷</w:t>
          </w:r>
          <w:r>
            <w:rPr>
              <w:color w:val="auto"/>
              <w:highlight w:val="none"/>
            </w:rPr>
            <w:tab/>
          </w:r>
          <w:r>
            <w:rPr>
              <w:color w:val="auto"/>
              <w:highlight w:val="none"/>
            </w:rPr>
            <w:fldChar w:fldCharType="begin"/>
          </w:r>
          <w:r>
            <w:rPr>
              <w:color w:val="auto"/>
              <w:highlight w:val="none"/>
            </w:rPr>
            <w:instrText xml:space="preserve"> PAGEREF _Toc12194 \h </w:instrText>
          </w:r>
          <w:r>
            <w:rPr>
              <w:color w:val="auto"/>
              <w:highlight w:val="none"/>
            </w:rPr>
            <w:fldChar w:fldCharType="separate"/>
          </w:r>
          <w:r>
            <w:rPr>
              <w:color w:val="auto"/>
              <w:highlight w:val="none"/>
            </w:rPr>
            <w:t>201</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180A967F">
          <w:pPr>
            <w:pStyle w:val="28"/>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_Toc6486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color w:val="auto"/>
              <w:highlight w:val="none"/>
            </w:rPr>
            <w:t>第七章投标文件格式</w:t>
          </w:r>
          <w:r>
            <w:rPr>
              <w:color w:val="auto"/>
              <w:highlight w:val="none"/>
            </w:rPr>
            <w:tab/>
          </w:r>
          <w:r>
            <w:rPr>
              <w:color w:val="auto"/>
              <w:highlight w:val="none"/>
            </w:rPr>
            <w:fldChar w:fldCharType="begin"/>
          </w:r>
          <w:r>
            <w:rPr>
              <w:color w:val="auto"/>
              <w:highlight w:val="none"/>
            </w:rPr>
            <w:instrText xml:space="preserve"> PAGEREF _Toc6486 \h </w:instrText>
          </w:r>
          <w:r>
            <w:rPr>
              <w:color w:val="auto"/>
              <w:highlight w:val="none"/>
            </w:rPr>
            <w:fldChar w:fldCharType="separate"/>
          </w:r>
          <w:r>
            <w:rPr>
              <w:color w:val="auto"/>
              <w:highlight w:val="none"/>
            </w:rPr>
            <w:t>202</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17F8D983">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_Toc14272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color w:val="auto"/>
              <w:highlight w:val="none"/>
            </w:rPr>
            <w:t>一、投标函及投标函附录</w:t>
          </w:r>
          <w:r>
            <w:rPr>
              <w:rFonts w:hint="eastAsia"/>
              <w:color w:val="auto"/>
              <w:highlight w:val="none"/>
              <w:lang w:eastAsia="zh-CN"/>
            </w:rPr>
            <w:t>等</w:t>
          </w:r>
          <w:r>
            <w:rPr>
              <w:color w:val="auto"/>
              <w:highlight w:val="none"/>
            </w:rPr>
            <w:tab/>
          </w:r>
          <w:r>
            <w:rPr>
              <w:color w:val="auto"/>
              <w:highlight w:val="none"/>
            </w:rPr>
            <w:fldChar w:fldCharType="begin"/>
          </w:r>
          <w:r>
            <w:rPr>
              <w:color w:val="auto"/>
              <w:highlight w:val="none"/>
            </w:rPr>
            <w:instrText xml:space="preserve"> PAGEREF _Toc14272 \h </w:instrText>
          </w:r>
          <w:r>
            <w:rPr>
              <w:color w:val="auto"/>
              <w:highlight w:val="none"/>
            </w:rPr>
            <w:fldChar w:fldCharType="separate"/>
          </w:r>
          <w:r>
            <w:rPr>
              <w:color w:val="auto"/>
              <w:highlight w:val="none"/>
            </w:rPr>
            <w:t>205</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5AF405AB">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_Toc3900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color w:val="auto"/>
              <w:highlight w:val="none"/>
            </w:rPr>
            <w:t>二、法定代表人身份证明</w:t>
          </w:r>
          <w:r>
            <w:rPr>
              <w:color w:val="auto"/>
              <w:highlight w:val="none"/>
            </w:rPr>
            <w:tab/>
          </w:r>
          <w:r>
            <w:rPr>
              <w:color w:val="auto"/>
              <w:highlight w:val="none"/>
            </w:rPr>
            <w:fldChar w:fldCharType="begin"/>
          </w:r>
          <w:r>
            <w:rPr>
              <w:color w:val="auto"/>
              <w:highlight w:val="none"/>
            </w:rPr>
            <w:instrText xml:space="preserve"> PAGEREF _Toc3900 \h </w:instrText>
          </w:r>
          <w:r>
            <w:rPr>
              <w:color w:val="auto"/>
              <w:highlight w:val="none"/>
            </w:rPr>
            <w:fldChar w:fldCharType="separate"/>
          </w:r>
          <w:r>
            <w:rPr>
              <w:color w:val="auto"/>
              <w:highlight w:val="none"/>
            </w:rPr>
            <w:t>210</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0D4D1712">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_Toc1709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color w:val="auto"/>
              <w:highlight w:val="none"/>
            </w:rPr>
            <w:t>二、授权委托书</w:t>
          </w:r>
          <w:r>
            <w:rPr>
              <w:color w:val="auto"/>
              <w:highlight w:val="none"/>
            </w:rPr>
            <w:tab/>
          </w:r>
          <w:r>
            <w:rPr>
              <w:color w:val="auto"/>
              <w:highlight w:val="none"/>
            </w:rPr>
            <w:fldChar w:fldCharType="begin"/>
          </w:r>
          <w:r>
            <w:rPr>
              <w:color w:val="auto"/>
              <w:highlight w:val="none"/>
            </w:rPr>
            <w:instrText xml:space="preserve"> PAGEREF _Toc1709 \h </w:instrText>
          </w:r>
          <w:r>
            <w:rPr>
              <w:color w:val="auto"/>
              <w:highlight w:val="none"/>
            </w:rPr>
            <w:fldChar w:fldCharType="separate"/>
          </w:r>
          <w:r>
            <w:rPr>
              <w:color w:val="auto"/>
              <w:highlight w:val="none"/>
            </w:rPr>
            <w:t>211</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0E0028F6">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_Toc28058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color w:val="auto"/>
              <w:highlight w:val="none"/>
            </w:rPr>
            <w:t>三、投标保证金</w:t>
          </w:r>
          <w:r>
            <w:rPr>
              <w:color w:val="auto"/>
              <w:highlight w:val="none"/>
            </w:rPr>
            <w:tab/>
          </w:r>
          <w:r>
            <w:rPr>
              <w:color w:val="auto"/>
              <w:highlight w:val="none"/>
            </w:rPr>
            <w:fldChar w:fldCharType="begin"/>
          </w:r>
          <w:r>
            <w:rPr>
              <w:color w:val="auto"/>
              <w:highlight w:val="none"/>
            </w:rPr>
            <w:instrText xml:space="preserve"> PAGEREF _Toc28058 \h </w:instrText>
          </w:r>
          <w:r>
            <w:rPr>
              <w:color w:val="auto"/>
              <w:highlight w:val="none"/>
            </w:rPr>
            <w:fldChar w:fldCharType="separate"/>
          </w:r>
          <w:r>
            <w:rPr>
              <w:color w:val="auto"/>
              <w:highlight w:val="none"/>
            </w:rPr>
            <w:t>212</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6825320F">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_Toc15425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color w:val="auto"/>
              <w:highlight w:val="none"/>
            </w:rPr>
            <w:t>四、联合体协议书</w:t>
          </w:r>
          <w:r>
            <w:rPr>
              <w:color w:val="auto"/>
              <w:highlight w:val="none"/>
            </w:rPr>
            <w:tab/>
          </w:r>
          <w:r>
            <w:rPr>
              <w:color w:val="auto"/>
              <w:highlight w:val="none"/>
            </w:rPr>
            <w:fldChar w:fldCharType="begin"/>
          </w:r>
          <w:r>
            <w:rPr>
              <w:color w:val="auto"/>
              <w:highlight w:val="none"/>
            </w:rPr>
            <w:instrText xml:space="preserve"> PAGEREF _Toc15425 \h </w:instrText>
          </w:r>
          <w:r>
            <w:rPr>
              <w:color w:val="auto"/>
              <w:highlight w:val="none"/>
            </w:rPr>
            <w:fldChar w:fldCharType="separate"/>
          </w:r>
          <w:r>
            <w:rPr>
              <w:color w:val="auto"/>
              <w:highlight w:val="none"/>
            </w:rPr>
            <w:t>213</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77F6B8FE">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_Toc17527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color w:val="auto"/>
              <w:highlight w:val="none"/>
            </w:rPr>
            <w:t>五、</w:t>
          </w:r>
          <w:r>
            <w:rPr>
              <w:rFonts w:hint="eastAsia"/>
              <w:color w:val="auto"/>
              <w:highlight w:val="none"/>
              <w:lang w:val="en-US" w:eastAsia="zh-CN"/>
            </w:rPr>
            <w:t>价格清单</w:t>
          </w:r>
          <w:r>
            <w:rPr>
              <w:color w:val="auto"/>
              <w:highlight w:val="none"/>
            </w:rPr>
            <w:tab/>
          </w:r>
          <w:r>
            <w:rPr>
              <w:color w:val="auto"/>
              <w:highlight w:val="none"/>
            </w:rPr>
            <w:fldChar w:fldCharType="begin"/>
          </w:r>
          <w:r>
            <w:rPr>
              <w:color w:val="auto"/>
              <w:highlight w:val="none"/>
            </w:rPr>
            <w:instrText xml:space="preserve"> PAGEREF _Toc17527 \h </w:instrText>
          </w:r>
          <w:r>
            <w:rPr>
              <w:color w:val="auto"/>
              <w:highlight w:val="none"/>
            </w:rPr>
            <w:fldChar w:fldCharType="separate"/>
          </w:r>
          <w:r>
            <w:rPr>
              <w:color w:val="auto"/>
              <w:highlight w:val="none"/>
            </w:rPr>
            <w:t>215</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4B19A041">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_Toc5127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color w:val="auto"/>
              <w:highlight w:val="none"/>
              <w:lang w:eastAsia="zh-CN"/>
            </w:rPr>
            <w:t>六、</w:t>
          </w:r>
          <w:r>
            <w:rPr>
              <w:rFonts w:hint="eastAsia"/>
              <w:color w:val="auto"/>
              <w:highlight w:val="none"/>
            </w:rPr>
            <w:t>承包人建议书</w:t>
          </w:r>
          <w:r>
            <w:rPr>
              <w:color w:val="auto"/>
              <w:highlight w:val="none"/>
            </w:rPr>
            <w:tab/>
          </w:r>
          <w:r>
            <w:rPr>
              <w:color w:val="auto"/>
              <w:highlight w:val="none"/>
            </w:rPr>
            <w:fldChar w:fldCharType="begin"/>
          </w:r>
          <w:r>
            <w:rPr>
              <w:color w:val="auto"/>
              <w:highlight w:val="none"/>
            </w:rPr>
            <w:instrText xml:space="preserve"> PAGEREF _Toc5127 \h </w:instrText>
          </w:r>
          <w:r>
            <w:rPr>
              <w:color w:val="auto"/>
              <w:highlight w:val="none"/>
            </w:rPr>
            <w:fldChar w:fldCharType="separate"/>
          </w:r>
          <w:r>
            <w:rPr>
              <w:color w:val="auto"/>
              <w:highlight w:val="none"/>
            </w:rPr>
            <w:t>225</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066931C5">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_Toc24236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color w:val="auto"/>
              <w:highlight w:val="none"/>
              <w:lang w:eastAsia="zh-CN"/>
            </w:rPr>
            <w:t>七</w:t>
          </w:r>
          <w:r>
            <w:rPr>
              <w:rFonts w:hint="eastAsia"/>
              <w:color w:val="auto"/>
              <w:highlight w:val="none"/>
            </w:rPr>
            <w:t>、承包人实施</w:t>
          </w:r>
          <w:r>
            <w:rPr>
              <w:rFonts w:hint="eastAsia"/>
              <w:color w:val="auto"/>
              <w:highlight w:val="none"/>
              <w:lang w:eastAsia="zh-CN"/>
            </w:rPr>
            <w:t>方案</w:t>
          </w:r>
          <w:r>
            <w:rPr>
              <w:color w:val="auto"/>
              <w:highlight w:val="none"/>
            </w:rPr>
            <w:tab/>
          </w:r>
          <w:r>
            <w:rPr>
              <w:color w:val="auto"/>
              <w:highlight w:val="none"/>
            </w:rPr>
            <w:fldChar w:fldCharType="begin"/>
          </w:r>
          <w:r>
            <w:rPr>
              <w:color w:val="auto"/>
              <w:highlight w:val="none"/>
            </w:rPr>
            <w:instrText xml:space="preserve"> PAGEREF _Toc24236 \h </w:instrText>
          </w:r>
          <w:r>
            <w:rPr>
              <w:color w:val="auto"/>
              <w:highlight w:val="none"/>
            </w:rPr>
            <w:fldChar w:fldCharType="separate"/>
          </w:r>
          <w:r>
            <w:rPr>
              <w:color w:val="auto"/>
              <w:highlight w:val="none"/>
            </w:rPr>
            <w:t>226</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63AC4CF4">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_Toc15598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color w:val="auto"/>
              <w:szCs w:val="27"/>
              <w:highlight w:val="none"/>
              <w:lang w:eastAsia="zh-CN"/>
            </w:rPr>
            <w:t>八</w:t>
          </w:r>
          <w:r>
            <w:rPr>
              <w:rFonts w:hint="eastAsia"/>
              <w:color w:val="auto"/>
              <w:szCs w:val="27"/>
              <w:highlight w:val="none"/>
            </w:rPr>
            <w:t>、</w:t>
          </w:r>
          <w:r>
            <w:rPr>
              <w:rFonts w:hint="eastAsia"/>
              <w:color w:val="auto"/>
              <w:highlight w:val="none"/>
            </w:rPr>
            <w:t>资格审查资料</w:t>
          </w:r>
          <w:r>
            <w:rPr>
              <w:color w:val="auto"/>
              <w:highlight w:val="none"/>
            </w:rPr>
            <w:tab/>
          </w:r>
          <w:r>
            <w:rPr>
              <w:color w:val="auto"/>
              <w:highlight w:val="none"/>
            </w:rPr>
            <w:fldChar w:fldCharType="begin"/>
          </w:r>
          <w:r>
            <w:rPr>
              <w:color w:val="auto"/>
              <w:highlight w:val="none"/>
            </w:rPr>
            <w:instrText xml:space="preserve"> PAGEREF _Toc15598 \h </w:instrText>
          </w:r>
          <w:r>
            <w:rPr>
              <w:color w:val="auto"/>
              <w:highlight w:val="none"/>
            </w:rPr>
            <w:fldChar w:fldCharType="separate"/>
          </w:r>
          <w:r>
            <w:rPr>
              <w:color w:val="auto"/>
              <w:highlight w:val="none"/>
            </w:rPr>
            <w:t>227</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38A68258">
          <w:pPr>
            <w:pStyle w:val="33"/>
            <w:tabs>
              <w:tab w:val="right" w:leader="dot" w:pos="8337"/>
            </w:tabs>
            <w:rPr>
              <w:color w:val="auto"/>
              <w:highlight w:val="none"/>
            </w:rPr>
          </w:pPr>
          <w:r>
            <w:rPr>
              <w:rFonts w:ascii="Times New Roman" w:hAnsi="Times New Roman" w:eastAsia="宋体" w:cs="Times New Roman"/>
              <w:caps/>
              <w:color w:val="auto"/>
              <w:kern w:val="2"/>
              <w:szCs w:val="24"/>
              <w:highlight w:val="none"/>
              <w:lang w:val="en-US" w:eastAsia="zh-CN" w:bidi="ar-SA"/>
            </w:rPr>
            <w:fldChar w:fldCharType="begin"/>
          </w:r>
          <w:r>
            <w:rPr>
              <w:rFonts w:ascii="Times New Roman" w:hAnsi="Times New Roman" w:eastAsia="宋体" w:cs="Times New Roman"/>
              <w:caps/>
              <w:color w:val="auto"/>
              <w:kern w:val="2"/>
              <w:szCs w:val="24"/>
              <w:highlight w:val="none"/>
              <w:lang w:val="en-US" w:eastAsia="zh-CN" w:bidi="ar-SA"/>
            </w:rPr>
            <w:instrText xml:space="preserve"> HYPERLINK \l _Toc26884 </w:instrText>
          </w:r>
          <w:r>
            <w:rPr>
              <w:rFonts w:ascii="Times New Roman" w:hAnsi="Times New Roman" w:eastAsia="宋体" w:cs="Times New Roman"/>
              <w:caps/>
              <w:color w:val="auto"/>
              <w:kern w:val="2"/>
              <w:szCs w:val="24"/>
              <w:highlight w:val="none"/>
              <w:lang w:val="en-US" w:eastAsia="zh-CN" w:bidi="ar-SA"/>
            </w:rPr>
            <w:fldChar w:fldCharType="separate"/>
          </w:r>
          <w:r>
            <w:rPr>
              <w:rFonts w:hint="eastAsia" w:eastAsia="黑体"/>
              <w:color w:val="auto"/>
              <w:szCs w:val="23"/>
              <w:highlight w:val="none"/>
              <w:lang w:eastAsia="zh-CN"/>
            </w:rPr>
            <w:t>九、其他材料</w:t>
          </w:r>
          <w:r>
            <w:rPr>
              <w:color w:val="auto"/>
              <w:highlight w:val="none"/>
            </w:rPr>
            <w:tab/>
          </w:r>
          <w:r>
            <w:rPr>
              <w:color w:val="auto"/>
              <w:highlight w:val="none"/>
            </w:rPr>
            <w:fldChar w:fldCharType="begin"/>
          </w:r>
          <w:r>
            <w:rPr>
              <w:color w:val="auto"/>
              <w:highlight w:val="none"/>
            </w:rPr>
            <w:instrText xml:space="preserve"> PAGEREF _Toc26884 \h </w:instrText>
          </w:r>
          <w:r>
            <w:rPr>
              <w:color w:val="auto"/>
              <w:highlight w:val="none"/>
            </w:rPr>
            <w:fldChar w:fldCharType="separate"/>
          </w:r>
          <w:r>
            <w:rPr>
              <w:color w:val="auto"/>
              <w:highlight w:val="none"/>
            </w:rPr>
            <w:t>246</w:t>
          </w:r>
          <w:r>
            <w:rPr>
              <w:color w:val="auto"/>
              <w:highlight w:val="none"/>
            </w:rPr>
            <w:fldChar w:fldCharType="end"/>
          </w:r>
          <w:r>
            <w:rPr>
              <w:rFonts w:ascii="Times New Roman" w:hAnsi="Times New Roman" w:eastAsia="宋体" w:cs="Times New Roman"/>
              <w:caps/>
              <w:color w:val="auto"/>
              <w:kern w:val="2"/>
              <w:szCs w:val="24"/>
              <w:highlight w:val="none"/>
              <w:lang w:val="en-US" w:eastAsia="zh-CN" w:bidi="ar-SA"/>
            </w:rPr>
            <w:fldChar w:fldCharType="end"/>
          </w:r>
        </w:p>
        <w:p w14:paraId="2971A770">
          <w:pPr>
            <w:jc w:val="center"/>
            <w:outlineLvl w:val="9"/>
            <w:rPr>
              <w:rFonts w:ascii="Times New Roman" w:hAnsi="Times New Roman" w:eastAsia="宋体" w:cs="Times New Roman"/>
              <w:caps/>
              <w:color w:val="auto"/>
              <w:kern w:val="2"/>
              <w:sz w:val="21"/>
              <w:szCs w:val="24"/>
              <w:highlight w:val="none"/>
              <w:lang w:val="en-US" w:eastAsia="zh-CN" w:bidi="ar-SA"/>
            </w:rPr>
          </w:pPr>
          <w:r>
            <w:rPr>
              <w:rFonts w:ascii="Times New Roman" w:hAnsi="Times New Roman" w:eastAsia="宋体" w:cs="Times New Roman"/>
              <w:caps/>
              <w:color w:val="auto"/>
              <w:kern w:val="2"/>
              <w:szCs w:val="24"/>
              <w:highlight w:val="none"/>
              <w:lang w:val="en-US" w:eastAsia="zh-CN" w:bidi="ar-SA"/>
            </w:rPr>
            <w:fldChar w:fldCharType="end"/>
          </w:r>
        </w:p>
      </w:sdtContent>
    </w:sdt>
    <w:p w14:paraId="1FE7632C">
      <w:pPr>
        <w:jc w:val="center"/>
        <w:outlineLvl w:val="9"/>
        <w:rPr>
          <w:rFonts w:ascii="Times New Roman" w:hAnsi="Times New Roman" w:eastAsia="宋体" w:cs="Times New Roman"/>
          <w:caps/>
          <w:color w:val="auto"/>
          <w:kern w:val="2"/>
          <w:sz w:val="21"/>
          <w:szCs w:val="24"/>
          <w:highlight w:val="none"/>
          <w:lang w:val="en-US" w:eastAsia="zh-CN" w:bidi="ar-SA"/>
        </w:rPr>
      </w:pPr>
    </w:p>
    <w:p w14:paraId="27BCB7D9">
      <w:pPr>
        <w:pStyle w:val="2"/>
        <w:jc w:val="center"/>
        <w:rPr>
          <w:caps/>
          <w:color w:val="auto"/>
          <w:highlight w:val="none"/>
        </w:rPr>
        <w:sectPr>
          <w:footerReference r:id="rId3" w:type="default"/>
          <w:pgSz w:w="11907" w:h="16839"/>
          <w:pgMar w:top="1431" w:right="1785" w:bottom="1154" w:left="1785" w:header="0" w:footer="951" w:gutter="0"/>
          <w:pgNumType w:fmt="decimal" w:start="1"/>
          <w:cols w:space="720" w:num="1"/>
        </w:sectPr>
      </w:pPr>
      <w:bookmarkStart w:id="1906" w:name="_GoBack"/>
      <w:bookmarkEnd w:id="1906"/>
    </w:p>
    <w:p w14:paraId="05C252BA">
      <w:pPr>
        <w:rPr>
          <w:color w:val="auto"/>
          <w:highlight w:val="none"/>
        </w:rPr>
      </w:pPr>
    </w:p>
    <w:p w14:paraId="122064C7">
      <w:pPr>
        <w:jc w:val="center"/>
        <w:outlineLvl w:val="9"/>
        <w:rPr>
          <w:caps/>
          <w:color w:val="auto"/>
          <w:highlight w:val="none"/>
        </w:rPr>
      </w:pPr>
    </w:p>
    <w:p w14:paraId="3BB3957B">
      <w:pPr>
        <w:pStyle w:val="2"/>
        <w:jc w:val="center"/>
        <w:rPr>
          <w:color w:val="auto"/>
          <w:highlight w:val="none"/>
        </w:rPr>
      </w:pPr>
      <w:bookmarkStart w:id="2" w:name="_Toc18968"/>
      <w:bookmarkStart w:id="3" w:name="_Toc12268"/>
      <w:r>
        <w:rPr>
          <w:rFonts w:hint="eastAsia"/>
          <w:color w:val="auto"/>
          <w:highlight w:val="none"/>
        </w:rPr>
        <w:t>第一卷</w:t>
      </w:r>
      <w:bookmarkEnd w:id="2"/>
      <w:bookmarkEnd w:id="3"/>
    </w:p>
    <w:p w14:paraId="6396EC18">
      <w:pPr>
        <w:widowControl/>
        <w:spacing w:line="440" w:lineRule="exact"/>
        <w:ind w:left="1050" w:leftChars="300" w:hanging="420" w:hangingChars="200"/>
        <w:jc w:val="center"/>
        <w:outlineLvl w:val="0"/>
        <w:rPr>
          <w:rFonts w:ascii="宋体" w:hAnsi="宋体"/>
          <w:b/>
          <w:color w:val="auto"/>
          <w:kern w:val="44"/>
          <w:sz w:val="44"/>
          <w:szCs w:val="44"/>
          <w:highlight w:val="none"/>
        </w:rPr>
      </w:pPr>
      <w:r>
        <w:rPr>
          <w:color w:val="auto"/>
          <w:highlight w:val="none"/>
        </w:rPr>
        <w:br w:type="page"/>
      </w:r>
      <w:bookmarkStart w:id="4" w:name="_Toc523914011"/>
      <w:bookmarkStart w:id="5" w:name="_Toc15740"/>
      <w:bookmarkStart w:id="6" w:name="_Toc8248"/>
      <w:r>
        <w:rPr>
          <w:rFonts w:hint="eastAsia" w:ascii="宋体" w:hAnsi="宋体"/>
          <w:b/>
          <w:color w:val="auto"/>
          <w:kern w:val="44"/>
          <w:sz w:val="44"/>
          <w:szCs w:val="44"/>
          <w:highlight w:val="none"/>
        </w:rPr>
        <w:t>第一章</w:t>
      </w:r>
      <w:bookmarkEnd w:id="4"/>
      <w:r>
        <w:rPr>
          <w:rFonts w:hint="eastAsia" w:ascii="宋体" w:hAnsi="宋体"/>
          <w:b/>
          <w:color w:val="auto"/>
          <w:kern w:val="44"/>
          <w:sz w:val="44"/>
          <w:szCs w:val="44"/>
          <w:highlight w:val="none"/>
        </w:rPr>
        <w:t>招标公告</w:t>
      </w:r>
      <w:bookmarkEnd w:id="5"/>
      <w:bookmarkEnd w:id="6"/>
    </w:p>
    <w:p w14:paraId="1AD6E798">
      <w:pPr>
        <w:widowControl/>
        <w:spacing w:line="440" w:lineRule="exact"/>
        <w:ind w:left="1513" w:leftChars="300" w:hanging="883" w:hangingChars="200"/>
        <w:jc w:val="center"/>
        <w:outlineLvl w:val="9"/>
        <w:rPr>
          <w:rFonts w:ascii="宋体" w:hAnsi="宋体"/>
          <w:b/>
          <w:color w:val="auto"/>
          <w:kern w:val="44"/>
          <w:sz w:val="44"/>
          <w:szCs w:val="44"/>
          <w:highlight w:val="none"/>
        </w:rPr>
      </w:pPr>
    </w:p>
    <w:p w14:paraId="1DA6392E">
      <w:pPr>
        <w:keepNext w:val="0"/>
        <w:keepLines w:val="0"/>
        <w:pageBreakBefore w:val="0"/>
        <w:kinsoku/>
        <w:wordWrap/>
        <w:overflowPunct/>
        <w:topLinePunct w:val="0"/>
        <w:autoSpaceDE/>
        <w:autoSpaceDN/>
        <w:bidi w:val="0"/>
        <w:adjustRightInd/>
        <w:snapToGrid/>
        <w:spacing w:before="140" w:line="360" w:lineRule="auto"/>
        <w:textAlignment w:val="auto"/>
        <w:rPr>
          <w:rFonts w:hint="default" w:ascii="宋体" w:hAnsi="宋体" w:eastAsia="宋体" w:cs="宋体"/>
          <w:b/>
          <w:bCs/>
          <w:color w:val="auto"/>
          <w:spacing w:val="-1"/>
          <w:szCs w:val="21"/>
          <w:highlight w:val="none"/>
          <w:lang w:val="en-US" w:eastAsia="zh-CN"/>
        </w:rPr>
      </w:pPr>
      <w:bookmarkStart w:id="7" w:name="_Toc16310"/>
      <w:r>
        <w:rPr>
          <w:rFonts w:hint="eastAsia" w:ascii="宋体" w:hAnsi="宋体" w:cs="宋体"/>
          <w:color w:val="auto"/>
          <w:spacing w:val="-1"/>
          <w:szCs w:val="21"/>
          <w:highlight w:val="none"/>
          <w:u w:val="single"/>
          <w:lang w:eastAsia="zh-CN"/>
        </w:rPr>
        <w:t>2025年营口市鲅鱼圈区集中供热二三网维修改造工程</w:t>
      </w:r>
      <w:r>
        <w:rPr>
          <w:rFonts w:hint="eastAsia" w:ascii="宋体" w:hAnsi="宋体" w:cs="宋体"/>
          <w:color w:val="auto"/>
          <w:spacing w:val="-1"/>
          <w:szCs w:val="21"/>
          <w:highlight w:val="none"/>
          <w:u w:val="single"/>
          <w:lang w:val="en-US" w:eastAsia="zh-CN"/>
        </w:rPr>
        <w:t>EPC工程</w:t>
      </w:r>
      <w:r>
        <w:rPr>
          <w:rFonts w:hint="eastAsia" w:ascii="宋体" w:hAnsi="宋体" w:cs="宋体"/>
          <w:color w:val="auto"/>
          <w:spacing w:val="-1"/>
          <w:szCs w:val="21"/>
          <w:highlight w:val="none"/>
          <w:u w:val="single"/>
        </w:rPr>
        <w:t>总承包</w:t>
      </w:r>
      <w:r>
        <w:rPr>
          <w:rFonts w:hint="eastAsia" w:ascii="宋体" w:hAnsi="宋体" w:cs="宋体"/>
          <w:color w:val="auto"/>
          <w:spacing w:val="-1"/>
          <w:szCs w:val="21"/>
          <w:highlight w:val="none"/>
        </w:rPr>
        <w:t>（</w:t>
      </w:r>
      <w:r>
        <w:rPr>
          <w:rFonts w:ascii="宋体" w:hAnsi="宋体" w:cs="宋体"/>
          <w:color w:val="auto"/>
          <w:spacing w:val="-1"/>
          <w:szCs w:val="21"/>
          <w:highlight w:val="none"/>
        </w:rPr>
        <w:t>标段名称</w:t>
      </w:r>
      <w:r>
        <w:rPr>
          <w:rFonts w:hint="eastAsia" w:ascii="宋体" w:hAnsi="宋体" w:cs="宋体"/>
          <w:color w:val="auto"/>
          <w:spacing w:val="-1"/>
          <w:szCs w:val="21"/>
          <w:highlight w:val="none"/>
        </w:rPr>
        <w:t>）</w:t>
      </w:r>
      <w:r>
        <w:rPr>
          <w:rFonts w:hint="eastAsia" w:ascii="宋体" w:hAnsi="宋体" w:cs="宋体"/>
          <w:b/>
          <w:bCs/>
          <w:color w:val="auto"/>
          <w:spacing w:val="-1"/>
          <w:szCs w:val="21"/>
          <w:highlight w:val="none"/>
          <w:lang w:val="en-US" w:eastAsia="zh-CN"/>
        </w:rPr>
        <w:t>招标公告</w:t>
      </w:r>
    </w:p>
    <w:p w14:paraId="065857DA">
      <w:pPr>
        <w:keepNext w:val="0"/>
        <w:keepLines w:val="0"/>
        <w:pageBreakBefore w:val="0"/>
        <w:kinsoku/>
        <w:wordWrap/>
        <w:overflowPunct/>
        <w:topLinePunct w:val="0"/>
        <w:autoSpaceDE/>
        <w:autoSpaceDN/>
        <w:bidi w:val="0"/>
        <w:adjustRightInd/>
        <w:snapToGrid/>
        <w:spacing w:before="78" w:line="360" w:lineRule="auto"/>
        <w:ind w:left="40"/>
        <w:jc w:val="center"/>
        <w:textAlignment w:val="auto"/>
        <w:outlineLvl w:val="9"/>
        <w:rPr>
          <w:rFonts w:eastAsia="Times New Roman"/>
          <w:color w:val="auto"/>
          <w:spacing w:val="-5"/>
          <w:sz w:val="24"/>
          <w:highlight w:val="none"/>
        </w:rPr>
      </w:pPr>
      <w:r>
        <w:rPr>
          <w:rFonts w:hint="eastAsia"/>
          <w:color w:val="auto"/>
          <w:spacing w:val="-5"/>
          <w:sz w:val="24"/>
          <w:highlight w:val="none"/>
          <w:lang w:val="en-US" w:eastAsia="zh-CN"/>
        </w:rPr>
        <w:t>标段</w:t>
      </w:r>
      <w:r>
        <w:rPr>
          <w:rFonts w:eastAsia="Times New Roman"/>
          <w:color w:val="auto"/>
          <w:spacing w:val="-5"/>
          <w:sz w:val="24"/>
          <w:highlight w:val="none"/>
        </w:rPr>
        <w:t>唯一标识码：</w:t>
      </w:r>
      <w:r>
        <w:rPr>
          <w:rFonts w:hint="eastAsia"/>
          <w:color w:val="auto"/>
          <w:spacing w:val="-5"/>
          <w:sz w:val="24"/>
          <w:highlight w:val="none"/>
          <w:u w:val="single"/>
          <w:lang w:eastAsia="zh-CN"/>
        </w:rPr>
        <w:t>（</w:t>
      </w:r>
      <w:r>
        <w:rPr>
          <w:rFonts w:eastAsia="Times New Roman"/>
          <w:color w:val="auto"/>
          <w:spacing w:val="-5"/>
          <w:sz w:val="24"/>
          <w:highlight w:val="none"/>
          <w:u w:val="single"/>
        </w:rPr>
        <w:t xml:space="preserve">          ）</w:t>
      </w:r>
    </w:p>
    <w:p w14:paraId="2EFE6ED1">
      <w:pPr>
        <w:keepNext w:val="0"/>
        <w:keepLines w:val="0"/>
        <w:pageBreakBefore w:val="0"/>
        <w:kinsoku/>
        <w:wordWrap/>
        <w:overflowPunct/>
        <w:topLinePunct w:val="0"/>
        <w:autoSpaceDE/>
        <w:autoSpaceDN/>
        <w:bidi w:val="0"/>
        <w:adjustRightInd/>
        <w:snapToGrid/>
        <w:spacing w:before="78" w:line="360" w:lineRule="auto"/>
        <w:ind w:left="40"/>
        <w:textAlignment w:val="auto"/>
        <w:outlineLvl w:val="1"/>
        <w:rPr>
          <w:rFonts w:ascii="黑体" w:hAnsi="黑体" w:eastAsia="黑体" w:cs="黑体"/>
          <w:color w:val="auto"/>
          <w:sz w:val="24"/>
          <w:highlight w:val="none"/>
        </w:rPr>
      </w:pPr>
      <w:bookmarkStart w:id="8" w:name="_Toc15695"/>
      <w:r>
        <w:rPr>
          <w:rFonts w:eastAsia="Times New Roman"/>
          <w:color w:val="auto"/>
          <w:spacing w:val="-5"/>
          <w:sz w:val="24"/>
          <w:highlight w:val="none"/>
        </w:rPr>
        <w:t>1</w:t>
      </w:r>
      <w:r>
        <w:rPr>
          <w:rFonts w:hint="eastAsia"/>
          <w:color w:val="auto"/>
          <w:spacing w:val="-2"/>
          <w:sz w:val="24"/>
          <w:highlight w:val="none"/>
          <w:lang w:val="en-US" w:eastAsia="zh-CN"/>
        </w:rPr>
        <w:t>.</w:t>
      </w:r>
      <w:r>
        <w:rPr>
          <w:rFonts w:ascii="黑体" w:hAnsi="黑体" w:eastAsia="黑体" w:cs="黑体"/>
          <w:color w:val="auto"/>
          <w:spacing w:val="-5"/>
          <w:sz w:val="24"/>
          <w:highlight w:val="none"/>
        </w:rPr>
        <w:t>招标条件</w:t>
      </w:r>
      <w:bookmarkEnd w:id="7"/>
      <w:bookmarkEnd w:id="8"/>
    </w:p>
    <w:p w14:paraId="5B35C464">
      <w:pPr>
        <w:keepNext w:val="0"/>
        <w:keepLines w:val="0"/>
        <w:pageBreakBefore w:val="0"/>
        <w:widowControl/>
        <w:suppressLineNumbers w:val="0"/>
        <w:kinsoku/>
        <w:wordWrap/>
        <w:overflowPunct/>
        <w:topLinePunct w:val="0"/>
        <w:autoSpaceDE/>
        <w:autoSpaceDN/>
        <w:bidi w:val="0"/>
        <w:adjustRightInd/>
        <w:snapToGrid/>
        <w:spacing w:line="360" w:lineRule="auto"/>
        <w:ind w:firstLine="432" w:firstLineChars="200"/>
        <w:jc w:val="left"/>
        <w:textAlignment w:val="auto"/>
        <w:rPr>
          <w:rFonts w:ascii="宋体" w:hAnsi="宋体" w:cs="宋体"/>
          <w:color w:val="auto"/>
          <w:szCs w:val="21"/>
          <w:highlight w:val="none"/>
        </w:rPr>
      </w:pPr>
      <w:r>
        <w:rPr>
          <w:rFonts w:ascii="宋体" w:hAnsi="宋体" w:cs="宋体"/>
          <w:color w:val="auto"/>
          <w:spacing w:val="3"/>
          <w:szCs w:val="21"/>
          <w:highlight w:val="none"/>
        </w:rPr>
        <w:t>本招标项目</w:t>
      </w:r>
      <w:r>
        <w:rPr>
          <w:rFonts w:hint="eastAsia" w:ascii="宋体" w:hAnsi="宋体"/>
          <w:color w:val="auto"/>
          <w:szCs w:val="21"/>
          <w:highlight w:val="none"/>
          <w:u w:val="single"/>
          <w:lang w:eastAsia="zh-CN"/>
        </w:rPr>
        <w:t>2025年营口市鲅鱼圈区集中供热二三网维修改造工程</w:t>
      </w:r>
      <w:r>
        <w:rPr>
          <w:rFonts w:hint="eastAsia" w:ascii="宋体" w:hAnsi="宋体" w:cs="宋体"/>
          <w:color w:val="auto"/>
          <w:spacing w:val="3"/>
          <w:szCs w:val="21"/>
          <w:highlight w:val="none"/>
          <w:lang w:eastAsia="zh-CN"/>
        </w:rPr>
        <w:t>（</w:t>
      </w:r>
      <w:r>
        <w:rPr>
          <w:rFonts w:hint="eastAsia" w:ascii="宋体" w:hAnsi="宋体" w:cs="宋体"/>
          <w:color w:val="auto"/>
          <w:spacing w:val="3"/>
          <w:szCs w:val="21"/>
          <w:highlight w:val="none"/>
          <w:lang w:val="en-US" w:eastAsia="zh-CN"/>
        </w:rPr>
        <w:t>项目名称</w:t>
      </w:r>
      <w:r>
        <w:rPr>
          <w:rFonts w:hint="eastAsia" w:ascii="宋体" w:hAnsi="宋体" w:cs="宋体"/>
          <w:color w:val="auto"/>
          <w:spacing w:val="3"/>
          <w:szCs w:val="21"/>
          <w:highlight w:val="none"/>
          <w:lang w:eastAsia="zh-CN"/>
        </w:rPr>
        <w:t>）</w:t>
      </w:r>
      <w:r>
        <w:rPr>
          <w:rFonts w:ascii="宋体" w:hAnsi="宋体" w:cs="宋体"/>
          <w:color w:val="auto"/>
          <w:spacing w:val="3"/>
          <w:szCs w:val="21"/>
          <w:highlight w:val="none"/>
        </w:rPr>
        <w:t>已由</w:t>
      </w:r>
      <w:r>
        <w:rPr>
          <w:rFonts w:hint="eastAsia" w:ascii="宋体" w:hAnsi="宋体" w:cs="宋体"/>
          <w:color w:val="auto"/>
          <w:spacing w:val="3"/>
          <w:szCs w:val="21"/>
          <w:highlight w:val="none"/>
          <w:u w:val="single"/>
          <w:lang w:eastAsia="zh-CN"/>
        </w:rPr>
        <w:t>营口市</w:t>
      </w:r>
      <w:r>
        <w:rPr>
          <w:rFonts w:hint="eastAsia" w:ascii="宋体" w:hAnsi="宋体" w:cs="宋体"/>
          <w:color w:val="auto"/>
          <w:spacing w:val="3"/>
          <w:szCs w:val="21"/>
          <w:highlight w:val="none"/>
          <w:u w:val="single"/>
          <w:lang w:val="en-US" w:eastAsia="zh-CN"/>
        </w:rPr>
        <w:t>鲅鱼圈区发展和改革局</w:t>
      </w:r>
      <w:r>
        <w:rPr>
          <w:rFonts w:hint="eastAsia" w:ascii="宋体" w:hAnsi="宋体" w:cs="宋体"/>
          <w:color w:val="auto"/>
          <w:spacing w:val="-1"/>
          <w:szCs w:val="21"/>
          <w:highlight w:val="none"/>
          <w:lang w:val="en-US" w:eastAsia="zh-CN"/>
        </w:rPr>
        <w:t>（项目审批、核准或备案机关名称）</w:t>
      </w:r>
      <w:r>
        <w:rPr>
          <w:rFonts w:hint="eastAsia" w:ascii="宋体" w:hAnsi="宋体" w:cs="宋体"/>
          <w:color w:val="auto"/>
          <w:spacing w:val="3"/>
          <w:szCs w:val="21"/>
          <w:highlight w:val="none"/>
          <w:lang w:val="en-US" w:eastAsia="zh-CN"/>
        </w:rPr>
        <w:t>以</w:t>
      </w:r>
      <w:r>
        <w:rPr>
          <w:rFonts w:hint="eastAsia" w:ascii="宋体" w:hAnsi="宋体" w:cs="宋体"/>
          <w:color w:val="auto"/>
          <w:spacing w:val="1"/>
          <w:szCs w:val="21"/>
          <w:highlight w:val="none"/>
          <w:u w:val="single"/>
          <w:lang w:val="en-US" w:eastAsia="zh-CN"/>
        </w:rPr>
        <w:t>营鲅发改投资[2025]4号、营鲅发改投资[2025]5号</w:t>
      </w:r>
      <w:r>
        <w:rPr>
          <w:rFonts w:hint="eastAsia" w:ascii="宋体" w:hAnsi="宋体" w:cs="宋体"/>
          <w:color w:val="auto"/>
          <w:spacing w:val="-1"/>
          <w:szCs w:val="21"/>
          <w:highlight w:val="none"/>
          <w:lang w:val="en-US" w:eastAsia="zh-CN"/>
        </w:rPr>
        <w:t>（批文名称及编号）</w:t>
      </w:r>
      <w:r>
        <w:rPr>
          <w:rFonts w:ascii="宋体" w:hAnsi="宋体" w:cs="宋体"/>
          <w:color w:val="auto"/>
          <w:spacing w:val="1"/>
          <w:szCs w:val="21"/>
          <w:highlight w:val="none"/>
        </w:rPr>
        <w:t>批准建设，项目业主为</w:t>
      </w:r>
      <w:r>
        <w:rPr>
          <w:rFonts w:hint="eastAsia" w:ascii="宋体" w:hAnsi="宋体" w:cs="宋体"/>
          <w:color w:val="auto"/>
          <w:szCs w:val="21"/>
          <w:highlight w:val="none"/>
          <w:u w:val="single"/>
          <w:lang w:eastAsia="zh-CN"/>
        </w:rPr>
        <w:t>营口市鲅鱼圈区住房和城乡建设局</w:t>
      </w:r>
      <w:r>
        <w:rPr>
          <w:rFonts w:ascii="宋体" w:hAnsi="宋体" w:cs="宋体"/>
          <w:color w:val="auto"/>
          <w:spacing w:val="1"/>
          <w:szCs w:val="21"/>
          <w:highlight w:val="none"/>
        </w:rPr>
        <w:t>，</w:t>
      </w:r>
      <w:r>
        <w:rPr>
          <w:rFonts w:ascii="宋体" w:hAnsi="宋体" w:cs="宋体"/>
          <w:color w:val="auto"/>
          <w:spacing w:val="12"/>
          <w:szCs w:val="21"/>
          <w:highlight w:val="none"/>
        </w:rPr>
        <w:t>建设资金来自</w:t>
      </w:r>
      <w:r>
        <w:rPr>
          <w:rFonts w:hint="eastAsia" w:ascii="宋体" w:hAnsi="宋体" w:cs="宋体"/>
          <w:color w:val="auto"/>
          <w:spacing w:val="12"/>
          <w:szCs w:val="21"/>
          <w:highlight w:val="none"/>
          <w:u w:val="single"/>
          <w:lang w:val="en-US" w:eastAsia="zh-CN"/>
        </w:rPr>
        <w:t>其他资金；区（县）预算资金</w:t>
      </w:r>
      <w:r>
        <w:rPr>
          <w:rFonts w:hint="eastAsia" w:ascii="宋体" w:hAnsi="宋体" w:eastAsia="宋体" w:cs="宋体"/>
          <w:color w:val="auto"/>
          <w:kern w:val="0"/>
          <w:sz w:val="21"/>
          <w:szCs w:val="21"/>
          <w:highlight w:val="none"/>
          <w:lang w:val="en-US" w:eastAsia="zh-CN" w:bidi="ar"/>
        </w:rPr>
        <w:t>（资金来源）</w:t>
      </w:r>
      <w:r>
        <w:rPr>
          <w:rFonts w:ascii="宋体" w:hAnsi="宋体" w:cs="宋体"/>
          <w:color w:val="auto"/>
          <w:spacing w:val="-48"/>
          <w:szCs w:val="21"/>
          <w:highlight w:val="none"/>
        </w:rPr>
        <w:t>，</w:t>
      </w:r>
      <w:r>
        <w:rPr>
          <w:rFonts w:ascii="宋体" w:hAnsi="宋体" w:cs="宋体"/>
          <w:color w:val="auto"/>
          <w:spacing w:val="12"/>
          <w:szCs w:val="21"/>
          <w:highlight w:val="none"/>
        </w:rPr>
        <w:t>项目出资比例</w:t>
      </w:r>
      <w:r>
        <w:rPr>
          <w:rFonts w:ascii="宋体" w:hAnsi="宋体" w:eastAsia="宋体" w:cs="宋体"/>
          <w:color w:val="auto"/>
          <w:spacing w:val="12"/>
          <w:szCs w:val="21"/>
          <w:highlight w:val="none"/>
        </w:rPr>
        <w:t>为</w:t>
      </w:r>
      <w:r>
        <w:rPr>
          <w:rFonts w:hint="eastAsia" w:ascii="宋体" w:hAnsi="宋体" w:cs="宋体"/>
          <w:color w:val="auto"/>
          <w:spacing w:val="12"/>
          <w:szCs w:val="21"/>
          <w:highlight w:val="none"/>
          <w:u w:val="single"/>
          <w:lang w:val="en-US" w:eastAsia="zh-CN"/>
        </w:rPr>
        <w:t>70%为超长期特别国债、30%为区财政资金</w:t>
      </w:r>
      <w:r>
        <w:rPr>
          <w:rFonts w:ascii="宋体" w:hAnsi="宋体" w:cs="宋体"/>
          <w:color w:val="auto"/>
          <w:spacing w:val="12"/>
          <w:szCs w:val="21"/>
          <w:highlight w:val="none"/>
        </w:rPr>
        <w:t>，招标人</w:t>
      </w:r>
      <w:r>
        <w:rPr>
          <w:rFonts w:ascii="宋体" w:hAnsi="宋体" w:cs="宋体"/>
          <w:color w:val="auto"/>
          <w:spacing w:val="3"/>
          <w:szCs w:val="21"/>
          <w:highlight w:val="none"/>
        </w:rPr>
        <w:t>为</w:t>
      </w:r>
      <w:r>
        <w:rPr>
          <w:rFonts w:hint="eastAsia" w:ascii="宋体" w:hAnsi="宋体" w:cs="宋体"/>
          <w:color w:val="auto"/>
          <w:szCs w:val="21"/>
          <w:highlight w:val="none"/>
          <w:u w:val="single"/>
          <w:lang w:eastAsia="zh-CN"/>
        </w:rPr>
        <w:t>营口市鲅鱼圈区住房和城乡建设局</w:t>
      </w:r>
      <w:r>
        <w:rPr>
          <w:rFonts w:ascii="宋体" w:hAnsi="宋体" w:cs="宋体"/>
          <w:color w:val="auto"/>
          <w:spacing w:val="3"/>
          <w:szCs w:val="21"/>
          <w:highlight w:val="none"/>
        </w:rPr>
        <w:t>，招标代理机构为</w:t>
      </w:r>
      <w:r>
        <w:rPr>
          <w:rFonts w:hint="eastAsia" w:ascii="宋体" w:hAnsi="宋体" w:cs="宋体"/>
          <w:color w:val="auto"/>
          <w:szCs w:val="21"/>
          <w:highlight w:val="none"/>
          <w:u w:val="single"/>
          <w:lang w:eastAsia="zh-CN"/>
        </w:rPr>
        <w:t>辽宁方唯建设管理有限公司</w:t>
      </w:r>
      <w:r>
        <w:rPr>
          <w:rFonts w:ascii="宋体" w:hAnsi="宋体" w:cs="宋体"/>
          <w:color w:val="auto"/>
          <w:spacing w:val="-1"/>
          <w:szCs w:val="21"/>
          <w:highlight w:val="none"/>
        </w:rPr>
        <w:t>。项目已具备招标条件，现对该项目进行</w:t>
      </w:r>
      <w:r>
        <w:rPr>
          <w:rFonts w:ascii="宋体" w:hAnsi="宋体" w:cs="宋体"/>
          <w:color w:val="auto"/>
          <w:spacing w:val="-1"/>
          <w:szCs w:val="21"/>
          <w:highlight w:val="none"/>
          <w:u w:val="single"/>
        </w:rPr>
        <w:t>公开</w:t>
      </w:r>
      <w:r>
        <w:rPr>
          <w:rFonts w:ascii="宋体" w:hAnsi="宋体" w:cs="宋体"/>
          <w:color w:val="auto"/>
          <w:spacing w:val="-1"/>
          <w:szCs w:val="21"/>
          <w:highlight w:val="none"/>
        </w:rPr>
        <w:t>招标。</w:t>
      </w:r>
    </w:p>
    <w:p w14:paraId="07A94FF9">
      <w:pPr>
        <w:keepNext w:val="0"/>
        <w:keepLines w:val="0"/>
        <w:pageBreakBefore w:val="0"/>
        <w:kinsoku/>
        <w:wordWrap/>
        <w:overflowPunct/>
        <w:topLinePunct w:val="0"/>
        <w:autoSpaceDE/>
        <w:autoSpaceDN/>
        <w:bidi w:val="0"/>
        <w:adjustRightInd/>
        <w:snapToGrid/>
        <w:spacing w:before="1" w:line="360" w:lineRule="auto"/>
        <w:ind w:left="17"/>
        <w:textAlignment w:val="auto"/>
        <w:outlineLvl w:val="1"/>
        <w:rPr>
          <w:rFonts w:ascii="黑体" w:hAnsi="黑体" w:eastAsia="黑体" w:cs="黑体"/>
          <w:color w:val="auto"/>
          <w:sz w:val="24"/>
          <w:highlight w:val="none"/>
        </w:rPr>
      </w:pPr>
      <w:bookmarkStart w:id="9" w:name="bookmark5"/>
      <w:bookmarkEnd w:id="9"/>
      <w:bookmarkStart w:id="10" w:name="_Toc18456"/>
      <w:bookmarkStart w:id="11" w:name="_Toc7930"/>
      <w:r>
        <w:rPr>
          <w:rFonts w:eastAsia="Times New Roman"/>
          <w:color w:val="auto"/>
          <w:spacing w:val="-1"/>
          <w:sz w:val="24"/>
          <w:highlight w:val="none"/>
        </w:rPr>
        <w:t>2</w:t>
      </w:r>
      <w:r>
        <w:rPr>
          <w:rFonts w:hint="eastAsia"/>
          <w:color w:val="auto"/>
          <w:spacing w:val="-2"/>
          <w:sz w:val="24"/>
          <w:highlight w:val="none"/>
          <w:lang w:val="en-US" w:eastAsia="zh-CN"/>
        </w:rPr>
        <w:t>.</w:t>
      </w:r>
      <w:r>
        <w:rPr>
          <w:rFonts w:ascii="黑体" w:hAnsi="黑体" w:eastAsia="黑体" w:cs="黑体"/>
          <w:color w:val="auto"/>
          <w:spacing w:val="-5"/>
          <w:sz w:val="24"/>
          <w:highlight w:val="none"/>
        </w:rPr>
        <w:t>项目概况与招标范围</w:t>
      </w:r>
      <w:bookmarkEnd w:id="10"/>
      <w:bookmarkEnd w:id="11"/>
    </w:p>
    <w:p w14:paraId="38F3B284">
      <w:pPr>
        <w:keepNext w:val="0"/>
        <w:keepLines w:val="0"/>
        <w:pageBreakBefore w:val="0"/>
        <w:kinsoku/>
        <w:wordWrap/>
        <w:overflowPunct/>
        <w:topLinePunct w:val="0"/>
        <w:autoSpaceDE/>
        <w:autoSpaceDN/>
        <w:bidi w:val="0"/>
        <w:adjustRightInd/>
        <w:snapToGrid/>
        <w:spacing w:before="144" w:line="360" w:lineRule="auto"/>
        <w:ind w:left="436"/>
        <w:textAlignment w:val="auto"/>
        <w:rPr>
          <w:rFonts w:ascii="宋体" w:hAnsi="宋体" w:cs="宋体"/>
          <w:color w:val="auto"/>
          <w:szCs w:val="21"/>
          <w:highlight w:val="none"/>
        </w:rPr>
      </w:pPr>
      <w:r>
        <w:rPr>
          <w:rFonts w:eastAsia="Times New Roman"/>
          <w:color w:val="auto"/>
          <w:spacing w:val="-2"/>
          <w:szCs w:val="21"/>
          <w:highlight w:val="none"/>
        </w:rPr>
        <w:t>2.1</w:t>
      </w:r>
      <w:r>
        <w:rPr>
          <w:rFonts w:ascii="宋体" w:hAnsi="宋体" w:cs="宋体"/>
          <w:color w:val="auto"/>
          <w:spacing w:val="-2"/>
          <w:szCs w:val="21"/>
          <w:highlight w:val="none"/>
        </w:rPr>
        <w:t>项目概况</w:t>
      </w:r>
    </w:p>
    <w:p w14:paraId="447E633B">
      <w:pPr>
        <w:keepNext w:val="0"/>
        <w:keepLines w:val="0"/>
        <w:pageBreakBefore w:val="0"/>
        <w:widowControl w:val="0"/>
        <w:kinsoku/>
        <w:wordWrap/>
        <w:overflowPunct/>
        <w:topLinePunct w:val="0"/>
        <w:autoSpaceDE/>
        <w:autoSpaceDN/>
        <w:bidi w:val="0"/>
        <w:adjustRightInd/>
        <w:snapToGrid/>
        <w:spacing w:line="360" w:lineRule="auto"/>
        <w:ind w:left="0" w:firstLine="840" w:firstLineChars="400"/>
        <w:jc w:val="left"/>
        <w:textAlignment w:val="auto"/>
        <w:rPr>
          <w:rFonts w:ascii="宋体" w:hAnsi="宋体" w:cs="宋体"/>
          <w:color w:val="auto"/>
          <w:szCs w:val="21"/>
          <w:highlight w:val="none"/>
        </w:rPr>
      </w:pPr>
      <w:r>
        <w:rPr>
          <w:rFonts w:ascii="宋体" w:hAnsi="宋体" w:cs="宋体"/>
          <w:color w:val="auto"/>
          <w:szCs w:val="21"/>
          <w:highlight w:val="none"/>
        </w:rPr>
        <w:t>建设地点：</w:t>
      </w:r>
      <w:r>
        <w:rPr>
          <w:rFonts w:hint="eastAsia" w:ascii="Arial"/>
          <w:color w:val="auto"/>
          <w:highlight w:val="none"/>
          <w:u w:val="single"/>
          <w:lang w:val="en-US" w:eastAsia="zh-CN"/>
        </w:rPr>
        <w:t>营口市鲅鱼圈区</w:t>
      </w:r>
    </w:p>
    <w:p w14:paraId="27A828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840" w:firstLineChars="400"/>
        <w:textAlignment w:val="auto"/>
        <w:rPr>
          <w:rFonts w:hint="default" w:ascii="宋体" w:hAnsi="宋体" w:eastAsia="宋体" w:cs="宋体"/>
          <w:color w:val="auto"/>
          <w:szCs w:val="21"/>
          <w:highlight w:val="none"/>
          <w:u w:val="single"/>
          <w:lang w:val="en-US" w:eastAsia="zh-CN"/>
        </w:rPr>
      </w:pPr>
      <w:r>
        <w:rPr>
          <w:rFonts w:ascii="宋体" w:hAnsi="宋体" w:cs="宋体"/>
          <w:color w:val="auto"/>
          <w:szCs w:val="21"/>
          <w:highlight w:val="none"/>
        </w:rPr>
        <w:t>建设规模：</w:t>
      </w:r>
      <w:r>
        <w:rPr>
          <w:rStyle w:val="44"/>
          <w:rFonts w:hint="eastAsia" w:cs="宋体"/>
          <w:color w:val="auto"/>
          <w:szCs w:val="21"/>
          <w:highlight w:val="none"/>
          <w:u w:val="single"/>
          <w:lang w:val="en-US" w:eastAsia="zh-CN"/>
        </w:rPr>
        <w:t>包括拆除并改造二、三级网管道长度总计157102米，其中拆除并改造二级网管道长度为38656米，拆除并改造三级网管道长度为118446米、换热站工艺改造（涉及44座换热站）及华源区域电控系统升级改造（涉及7座换热站、新港调度系统和芦屯调度系统）。改造区域涉及昌辉区域、鸿通区域和华源区域三个供热区域114个小区的供热管网设施更新改造工程。</w:t>
      </w:r>
    </w:p>
    <w:p w14:paraId="26A18233">
      <w:pPr>
        <w:keepNext w:val="0"/>
        <w:keepLines w:val="0"/>
        <w:pageBreakBefore w:val="0"/>
        <w:kinsoku/>
        <w:wordWrap/>
        <w:overflowPunct/>
        <w:topLinePunct w:val="0"/>
        <w:autoSpaceDE/>
        <w:autoSpaceDN/>
        <w:bidi w:val="0"/>
        <w:adjustRightInd/>
        <w:snapToGrid/>
        <w:spacing w:before="170" w:line="360" w:lineRule="auto"/>
        <w:ind w:left="436"/>
        <w:textAlignment w:val="auto"/>
        <w:rPr>
          <w:rFonts w:ascii="宋体" w:hAnsi="宋体" w:cs="宋体"/>
          <w:color w:val="auto"/>
          <w:szCs w:val="21"/>
          <w:highlight w:val="none"/>
        </w:rPr>
      </w:pPr>
      <w:r>
        <w:rPr>
          <w:rFonts w:eastAsia="Times New Roman"/>
          <w:color w:val="auto"/>
          <w:spacing w:val="-1"/>
          <w:szCs w:val="21"/>
          <w:highlight w:val="none"/>
        </w:rPr>
        <w:t xml:space="preserve">2.2  </w:t>
      </w:r>
      <w:r>
        <w:rPr>
          <w:rFonts w:ascii="宋体" w:hAnsi="宋体" w:cs="宋体"/>
          <w:color w:val="auto"/>
          <w:spacing w:val="-1"/>
          <w:szCs w:val="21"/>
          <w:highlight w:val="none"/>
        </w:rPr>
        <w:t>招标范围</w:t>
      </w:r>
    </w:p>
    <w:p w14:paraId="3CA73EDF">
      <w:pPr>
        <w:keepNext w:val="0"/>
        <w:keepLines w:val="0"/>
        <w:pageBreakBefore w:val="0"/>
        <w:kinsoku/>
        <w:wordWrap/>
        <w:overflowPunct/>
        <w:topLinePunct w:val="0"/>
        <w:autoSpaceDE/>
        <w:autoSpaceDN/>
        <w:bidi w:val="0"/>
        <w:adjustRightInd/>
        <w:snapToGrid/>
        <w:spacing w:before="152" w:line="360" w:lineRule="auto"/>
        <w:ind w:left="861"/>
        <w:textAlignment w:val="auto"/>
        <w:rPr>
          <w:rFonts w:ascii="宋体" w:hAnsi="宋体" w:cs="宋体"/>
          <w:color w:val="auto"/>
          <w:szCs w:val="21"/>
          <w:highlight w:val="none"/>
        </w:rPr>
      </w:pPr>
      <w:r>
        <w:rPr>
          <w:rFonts w:ascii="宋体" w:hAnsi="宋体" w:cs="宋体"/>
          <w:color w:val="auto"/>
          <w:spacing w:val="-1"/>
          <w:szCs w:val="21"/>
          <w:highlight w:val="none"/>
        </w:rPr>
        <w:t>标段划分：</w:t>
      </w:r>
      <w:r>
        <w:rPr>
          <w:rFonts w:hint="eastAsia" w:ascii="宋体" w:hAnsi="宋体" w:cs="宋体"/>
          <w:color w:val="auto"/>
          <w:spacing w:val="-1"/>
          <w:szCs w:val="21"/>
          <w:highlight w:val="none"/>
          <w:u w:val="single"/>
        </w:rPr>
        <w:t>1</w:t>
      </w:r>
      <w:r>
        <w:rPr>
          <w:rFonts w:ascii="宋体" w:hAnsi="宋体" w:cs="宋体"/>
          <w:color w:val="auto"/>
          <w:spacing w:val="-1"/>
          <w:szCs w:val="21"/>
          <w:highlight w:val="none"/>
        </w:rPr>
        <w:t>标段；是否兼投</w:t>
      </w:r>
      <w:r>
        <w:rPr>
          <w:rFonts w:ascii="宋体" w:hAnsi="宋体" w:cs="宋体"/>
          <w:color w:val="auto"/>
          <w:spacing w:val="-6"/>
          <w:szCs w:val="21"/>
          <w:highlight w:val="none"/>
        </w:rPr>
        <w:t>：</w:t>
      </w:r>
      <w:r>
        <w:rPr>
          <w:rFonts w:hint="eastAsia" w:ascii="宋体" w:hAnsi="宋体" w:cs="宋体"/>
          <w:color w:val="auto"/>
          <w:spacing w:val="17"/>
          <w:szCs w:val="21"/>
          <w:highlight w:val="none"/>
          <w:u w:val="single"/>
          <w:lang w:val="en-US" w:eastAsia="zh-CN"/>
        </w:rPr>
        <w:t>否</w:t>
      </w:r>
      <w:r>
        <w:rPr>
          <w:rFonts w:ascii="宋体" w:hAnsi="宋体" w:cs="宋体"/>
          <w:color w:val="auto"/>
          <w:spacing w:val="-6"/>
          <w:szCs w:val="21"/>
          <w:highlight w:val="none"/>
        </w:rPr>
        <w:t>；</w:t>
      </w:r>
      <w:r>
        <w:rPr>
          <w:rFonts w:ascii="宋体" w:hAnsi="宋体" w:cs="宋体"/>
          <w:color w:val="auto"/>
          <w:spacing w:val="-1"/>
          <w:szCs w:val="21"/>
          <w:highlight w:val="none"/>
        </w:rPr>
        <w:t>是否兼中：</w:t>
      </w:r>
      <w:r>
        <w:rPr>
          <w:rFonts w:hint="eastAsia" w:ascii="宋体" w:hAnsi="宋体" w:cs="宋体"/>
          <w:color w:val="auto"/>
          <w:spacing w:val="-1"/>
          <w:szCs w:val="21"/>
          <w:highlight w:val="none"/>
          <w:u w:val="single"/>
          <w:lang w:val="en-US" w:eastAsia="zh-CN"/>
        </w:rPr>
        <w:t>否</w:t>
      </w:r>
      <w:r>
        <w:rPr>
          <w:rFonts w:ascii="宋体" w:hAnsi="宋体" w:cs="宋体"/>
          <w:color w:val="auto"/>
          <w:spacing w:val="-1"/>
          <w:szCs w:val="21"/>
          <w:highlight w:val="none"/>
        </w:rPr>
        <w:t>。</w:t>
      </w:r>
    </w:p>
    <w:p w14:paraId="7FA4EE94">
      <w:pPr>
        <w:keepNext w:val="0"/>
        <w:keepLines w:val="0"/>
        <w:pageBreakBefore w:val="0"/>
        <w:kinsoku/>
        <w:wordWrap/>
        <w:overflowPunct/>
        <w:topLinePunct w:val="0"/>
        <w:autoSpaceDE/>
        <w:autoSpaceDN/>
        <w:bidi w:val="0"/>
        <w:adjustRightInd/>
        <w:snapToGrid/>
        <w:spacing w:before="169" w:line="360" w:lineRule="auto"/>
        <w:ind w:left="860"/>
        <w:textAlignment w:val="auto"/>
        <w:rPr>
          <w:rFonts w:ascii="宋体" w:hAnsi="宋体" w:cs="宋体"/>
          <w:color w:val="auto"/>
          <w:szCs w:val="21"/>
          <w:highlight w:val="none"/>
        </w:rPr>
      </w:pPr>
      <w:r>
        <w:rPr>
          <w:rFonts w:ascii="宋体" w:hAnsi="宋体" w:cs="宋体"/>
          <w:color w:val="auto"/>
          <w:spacing w:val="-3"/>
          <w:szCs w:val="21"/>
          <w:highlight w:val="none"/>
        </w:rPr>
        <w:t>计划工期/服务/供货：</w:t>
      </w:r>
      <w:r>
        <w:rPr>
          <w:rFonts w:hint="eastAsia" w:ascii="宋体" w:hAnsi="宋体" w:cs="宋体"/>
          <w:color w:val="auto"/>
          <w:spacing w:val="-3"/>
          <w:szCs w:val="21"/>
          <w:highlight w:val="none"/>
          <w:u w:val="single"/>
          <w:lang w:val="en-US" w:eastAsia="zh-CN"/>
        </w:rPr>
        <w:t xml:space="preserve">     </w:t>
      </w:r>
      <w:r>
        <w:rPr>
          <w:rFonts w:ascii="宋体" w:hAnsi="宋体" w:cs="宋体"/>
          <w:color w:val="auto"/>
          <w:spacing w:val="-3"/>
          <w:szCs w:val="21"/>
          <w:highlight w:val="none"/>
        </w:rPr>
        <w:t>日历天</w:t>
      </w:r>
    </w:p>
    <w:p w14:paraId="36444880">
      <w:pPr>
        <w:keepNext w:val="0"/>
        <w:keepLines w:val="0"/>
        <w:pageBreakBefore w:val="0"/>
        <w:kinsoku/>
        <w:wordWrap/>
        <w:overflowPunct/>
        <w:topLinePunct w:val="0"/>
        <w:autoSpaceDE/>
        <w:autoSpaceDN/>
        <w:bidi w:val="0"/>
        <w:adjustRightInd/>
        <w:snapToGrid/>
        <w:spacing w:before="170" w:line="360" w:lineRule="auto"/>
        <w:ind w:left="22" w:right="159" w:firstLine="837"/>
        <w:textAlignment w:val="auto"/>
        <w:rPr>
          <w:rFonts w:ascii="宋体" w:hAnsi="宋体" w:cs="宋体"/>
          <w:color w:val="auto"/>
          <w:szCs w:val="21"/>
          <w:highlight w:val="none"/>
        </w:rPr>
      </w:pPr>
      <w:r>
        <w:rPr>
          <w:rFonts w:ascii="宋体" w:hAnsi="宋体" w:cs="宋体"/>
          <w:color w:val="auto"/>
          <w:spacing w:val="3"/>
          <w:szCs w:val="21"/>
          <w:highlight w:val="none"/>
        </w:rPr>
        <w:t>计划开工/服务开始/供货开始日期</w:t>
      </w:r>
      <w:r>
        <w:rPr>
          <w:rFonts w:hint="eastAsia" w:ascii="宋体" w:hAnsi="宋体" w:cs="宋体"/>
          <w:color w:val="auto"/>
          <w:spacing w:val="-3"/>
          <w:szCs w:val="21"/>
          <w:highlight w:val="none"/>
          <w:u w:val="single"/>
          <w:lang w:val="en-US" w:eastAsia="zh-CN"/>
        </w:rPr>
        <w:t xml:space="preserve">     </w:t>
      </w:r>
      <w:r>
        <w:rPr>
          <w:rFonts w:ascii="宋体" w:hAnsi="宋体" w:cs="宋体"/>
          <w:color w:val="auto"/>
          <w:spacing w:val="3"/>
          <w:szCs w:val="21"/>
          <w:highlight w:val="none"/>
        </w:rPr>
        <w:t>；计划竣工/</w:t>
      </w:r>
      <w:r>
        <w:rPr>
          <w:rFonts w:ascii="宋体" w:hAnsi="宋体" w:cs="宋体"/>
          <w:color w:val="auto"/>
          <w:spacing w:val="2"/>
          <w:szCs w:val="21"/>
          <w:highlight w:val="none"/>
        </w:rPr>
        <w:t>服务结束/供货结束日</w:t>
      </w:r>
      <w:r>
        <w:rPr>
          <w:rFonts w:ascii="宋体" w:hAnsi="宋体" w:cs="宋体"/>
          <w:color w:val="auto"/>
          <w:spacing w:val="-5"/>
          <w:szCs w:val="21"/>
          <w:highlight w:val="none"/>
        </w:rPr>
        <w:t>期</w:t>
      </w:r>
      <w:r>
        <w:rPr>
          <w:rFonts w:hint="eastAsia" w:ascii="宋体" w:hAnsi="宋体" w:cs="宋体"/>
          <w:color w:val="auto"/>
          <w:spacing w:val="-3"/>
          <w:szCs w:val="21"/>
          <w:highlight w:val="none"/>
          <w:u w:val="single"/>
          <w:lang w:val="en-US" w:eastAsia="zh-CN"/>
        </w:rPr>
        <w:t xml:space="preserve">     </w:t>
      </w:r>
      <w:r>
        <w:rPr>
          <w:rFonts w:ascii="宋体" w:hAnsi="宋体" w:cs="宋体"/>
          <w:color w:val="auto"/>
          <w:spacing w:val="-5"/>
          <w:szCs w:val="21"/>
          <w:highlight w:val="none"/>
        </w:rPr>
        <w:t>；</w:t>
      </w:r>
    </w:p>
    <w:p w14:paraId="37CE7349">
      <w:pPr>
        <w:keepNext w:val="0"/>
        <w:keepLines w:val="0"/>
        <w:pageBreakBefore w:val="0"/>
        <w:kinsoku/>
        <w:wordWrap/>
        <w:overflowPunct/>
        <w:topLinePunct w:val="0"/>
        <w:autoSpaceDE/>
        <w:autoSpaceDN/>
        <w:bidi w:val="0"/>
        <w:adjustRightInd/>
        <w:snapToGrid/>
        <w:spacing w:line="360" w:lineRule="auto"/>
        <w:ind w:left="861"/>
        <w:textAlignment w:val="auto"/>
        <w:rPr>
          <w:rFonts w:ascii="宋体" w:hAnsi="宋体" w:cs="宋体"/>
          <w:color w:val="auto"/>
          <w:szCs w:val="21"/>
          <w:highlight w:val="none"/>
        </w:rPr>
      </w:pPr>
      <w:r>
        <w:rPr>
          <w:rFonts w:ascii="宋体" w:hAnsi="宋体" w:cs="宋体"/>
          <w:color w:val="auto"/>
          <w:szCs w:val="21"/>
          <w:highlight w:val="none"/>
        </w:rPr>
        <w:t>标段名称：</w:t>
      </w:r>
      <w:r>
        <w:rPr>
          <w:rFonts w:hint="eastAsia" w:ascii="宋体" w:hAnsi="宋体" w:cs="宋体"/>
          <w:color w:val="auto"/>
          <w:szCs w:val="21"/>
          <w:highlight w:val="none"/>
          <w:u w:val="single"/>
          <w:lang w:eastAsia="zh-CN"/>
        </w:rPr>
        <w:t>2025年营口市鲅鱼圈区集中供热二三网维修改造工程</w:t>
      </w:r>
      <w:r>
        <w:rPr>
          <w:rFonts w:hint="eastAsia" w:ascii="宋体" w:hAnsi="宋体" w:cs="宋体"/>
          <w:color w:val="auto"/>
          <w:szCs w:val="21"/>
          <w:highlight w:val="none"/>
          <w:u w:val="single"/>
        </w:rPr>
        <w:t>EPC</w:t>
      </w:r>
      <w:r>
        <w:rPr>
          <w:rFonts w:hint="eastAsia" w:ascii="宋体" w:hAnsi="宋体" w:cs="宋体"/>
          <w:color w:val="auto"/>
          <w:szCs w:val="21"/>
          <w:highlight w:val="none"/>
          <w:u w:val="single"/>
          <w:lang w:val="en-US" w:eastAsia="zh-CN"/>
        </w:rPr>
        <w:t>工程</w:t>
      </w:r>
      <w:r>
        <w:rPr>
          <w:rFonts w:hint="eastAsia" w:ascii="宋体" w:hAnsi="宋体" w:cs="宋体"/>
          <w:color w:val="auto"/>
          <w:szCs w:val="21"/>
          <w:highlight w:val="none"/>
          <w:u w:val="single"/>
        </w:rPr>
        <w:t>总承包</w:t>
      </w:r>
      <w:r>
        <w:rPr>
          <w:rFonts w:ascii="宋体" w:hAnsi="宋体" w:cs="宋体"/>
          <w:color w:val="auto"/>
          <w:spacing w:val="-1"/>
          <w:szCs w:val="21"/>
          <w:highlight w:val="none"/>
        </w:rPr>
        <w:t>。</w:t>
      </w:r>
    </w:p>
    <w:p w14:paraId="56905EBE">
      <w:pPr>
        <w:keepNext w:val="0"/>
        <w:keepLines w:val="0"/>
        <w:pageBreakBefore w:val="0"/>
        <w:widowControl w:val="0"/>
        <w:kinsoku/>
        <w:wordWrap/>
        <w:overflowPunct/>
        <w:topLinePunct w:val="0"/>
        <w:autoSpaceDE/>
        <w:autoSpaceDN/>
        <w:bidi w:val="0"/>
        <w:adjustRightInd/>
        <w:snapToGrid/>
        <w:spacing w:line="360" w:lineRule="auto"/>
        <w:ind w:firstLine="840" w:firstLineChars="400"/>
        <w:textAlignment w:val="auto"/>
        <w:rPr>
          <w:rFonts w:hint="eastAsia" w:ascii="宋体" w:hAnsi="宋体" w:eastAsia="宋体" w:cs="宋体"/>
          <w:color w:val="auto"/>
          <w:szCs w:val="21"/>
          <w:highlight w:val="none"/>
          <w:lang w:val="en-US" w:eastAsia="zh-CN"/>
        </w:rPr>
      </w:pPr>
      <w:r>
        <w:rPr>
          <w:rFonts w:ascii="宋体" w:hAnsi="宋体" w:cs="宋体"/>
          <w:color w:val="auto"/>
          <w:szCs w:val="21"/>
          <w:highlight w:val="none"/>
        </w:rPr>
        <w:t>标段</w:t>
      </w:r>
      <w:r>
        <w:rPr>
          <w:rFonts w:hint="eastAsia" w:ascii="宋体" w:hAnsi="宋体" w:cs="宋体"/>
          <w:color w:val="auto"/>
          <w:szCs w:val="21"/>
          <w:highlight w:val="none"/>
          <w:lang w:val="en-US" w:eastAsia="zh-CN"/>
        </w:rPr>
        <w:t>编号</w:t>
      </w:r>
      <w:r>
        <w:rPr>
          <w:rFonts w:ascii="宋体" w:hAnsi="宋体" w:cs="宋体"/>
          <w:color w:val="auto"/>
          <w:szCs w:val="21"/>
          <w:highlight w:val="none"/>
        </w:rPr>
        <w:t>：</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 xml:space="preserve"> </w:t>
      </w:r>
    </w:p>
    <w:p w14:paraId="01FB00B4">
      <w:pPr>
        <w:keepNext w:val="0"/>
        <w:keepLines w:val="0"/>
        <w:pageBreakBefore w:val="0"/>
        <w:widowControl w:val="0"/>
        <w:kinsoku/>
        <w:wordWrap/>
        <w:overflowPunct/>
        <w:topLinePunct w:val="0"/>
        <w:autoSpaceDE/>
        <w:autoSpaceDN/>
        <w:bidi w:val="0"/>
        <w:adjustRightInd/>
        <w:snapToGrid/>
        <w:spacing w:line="360" w:lineRule="auto"/>
        <w:ind w:firstLine="840" w:firstLineChars="400"/>
        <w:textAlignment w:val="auto"/>
        <w:rPr>
          <w:rFonts w:ascii="宋体" w:hAnsi="宋体" w:cs="宋体"/>
          <w:color w:val="auto"/>
          <w:szCs w:val="21"/>
          <w:highlight w:val="none"/>
        </w:rPr>
      </w:pPr>
      <w:r>
        <w:rPr>
          <w:rFonts w:ascii="宋体" w:hAnsi="宋体" w:cs="宋体"/>
          <w:color w:val="auto"/>
          <w:szCs w:val="21"/>
          <w:highlight w:val="none"/>
        </w:rPr>
        <w:t>标段招标范围：</w:t>
      </w:r>
      <w:r>
        <w:rPr>
          <w:rStyle w:val="44"/>
          <w:rFonts w:hint="eastAsia" w:cs="宋体"/>
          <w:color w:val="auto"/>
          <w:szCs w:val="21"/>
          <w:highlight w:val="none"/>
          <w:u w:val="single"/>
          <w:lang w:val="en-US" w:eastAsia="zh-CN"/>
        </w:rPr>
        <w:t>包括拆除并改造二、三级网管道长度总计157102米，其中拆除并改造二级网管道长度为38656米，拆除并改造三级网管道长度为118446米、换热站工艺改造（涉及44座换热站）及华源区域电控系统升级改造（涉及7座换热站、新港调度系统和芦屯调度系统）。改造区域涉及昌辉区域、鸿通区域和华源区域三个供热区域114个小区的供热管网设施更新改造工程。</w:t>
      </w:r>
    </w:p>
    <w:p w14:paraId="75A56623">
      <w:pPr>
        <w:keepNext w:val="0"/>
        <w:keepLines w:val="0"/>
        <w:pageBreakBefore w:val="0"/>
        <w:kinsoku/>
        <w:wordWrap/>
        <w:overflowPunct/>
        <w:topLinePunct w:val="0"/>
        <w:autoSpaceDE/>
        <w:autoSpaceDN/>
        <w:bidi w:val="0"/>
        <w:adjustRightInd/>
        <w:snapToGrid/>
        <w:spacing w:before="169" w:line="360" w:lineRule="auto"/>
        <w:ind w:left="861"/>
        <w:textAlignment w:val="auto"/>
        <w:rPr>
          <w:rFonts w:ascii="宋体" w:hAnsi="宋体" w:cs="宋体"/>
          <w:color w:val="auto"/>
          <w:szCs w:val="21"/>
          <w:highlight w:val="none"/>
        </w:rPr>
      </w:pPr>
      <w:r>
        <w:rPr>
          <w:rFonts w:ascii="宋体" w:hAnsi="宋体" w:cs="宋体"/>
          <w:color w:val="auto"/>
          <w:spacing w:val="-2"/>
          <w:szCs w:val="21"/>
          <w:highlight w:val="none"/>
        </w:rPr>
        <w:t>标段类别</w:t>
      </w:r>
      <w:r>
        <w:rPr>
          <w:rFonts w:ascii="宋体" w:hAnsi="宋体" w:cs="宋体"/>
          <w:color w:val="auto"/>
          <w:spacing w:val="-10"/>
          <w:szCs w:val="21"/>
          <w:highlight w:val="none"/>
        </w:rPr>
        <w:t>：</w:t>
      </w:r>
      <w:r>
        <w:rPr>
          <w:rFonts w:hint="eastAsia" w:ascii="宋体" w:hAnsi="宋体" w:cs="宋体"/>
          <w:color w:val="auto"/>
          <w:szCs w:val="21"/>
          <w:highlight w:val="none"/>
          <w:u w:val="single"/>
        </w:rPr>
        <w:t>工程总承包（EPC）</w:t>
      </w:r>
      <w:r>
        <w:rPr>
          <w:rFonts w:ascii="宋体" w:hAnsi="宋体" w:cs="宋体"/>
          <w:color w:val="auto"/>
          <w:spacing w:val="-10"/>
          <w:szCs w:val="21"/>
          <w:highlight w:val="none"/>
        </w:rPr>
        <w:t>；</w:t>
      </w:r>
      <w:r>
        <w:rPr>
          <w:rFonts w:ascii="宋体" w:hAnsi="宋体" w:cs="宋体"/>
          <w:color w:val="auto"/>
          <w:spacing w:val="-2"/>
          <w:szCs w:val="21"/>
          <w:highlight w:val="none"/>
        </w:rPr>
        <w:t>标段合同估算价：</w:t>
      </w:r>
      <w:r>
        <w:rPr>
          <w:rFonts w:hint="eastAsia" w:ascii="宋体" w:hAnsi="宋体" w:cs="宋体"/>
          <w:color w:val="auto"/>
          <w:spacing w:val="-2"/>
          <w:szCs w:val="21"/>
          <w:highlight w:val="none"/>
          <w:u w:val="single"/>
          <w:lang w:val="en-US" w:eastAsia="zh-CN"/>
        </w:rPr>
        <w:t>6628.03</w:t>
      </w:r>
      <w:r>
        <w:rPr>
          <w:rFonts w:ascii="宋体" w:hAnsi="宋体" w:cs="宋体"/>
          <w:color w:val="auto"/>
          <w:spacing w:val="-2"/>
          <w:szCs w:val="21"/>
          <w:highlight w:val="none"/>
        </w:rPr>
        <w:t>万元。</w:t>
      </w:r>
    </w:p>
    <w:p w14:paraId="1DE36158">
      <w:pPr>
        <w:keepNext w:val="0"/>
        <w:keepLines w:val="0"/>
        <w:pageBreakBefore w:val="0"/>
        <w:kinsoku/>
        <w:wordWrap/>
        <w:overflowPunct/>
        <w:topLinePunct w:val="0"/>
        <w:autoSpaceDE/>
        <w:autoSpaceDN/>
        <w:bidi w:val="0"/>
        <w:adjustRightInd/>
        <w:snapToGrid/>
        <w:spacing w:before="170" w:line="360" w:lineRule="auto"/>
        <w:ind w:left="861"/>
        <w:textAlignment w:val="auto"/>
        <w:rPr>
          <w:rFonts w:ascii="宋体" w:hAnsi="宋体" w:cs="宋体"/>
          <w:color w:val="auto"/>
          <w:szCs w:val="21"/>
          <w:highlight w:val="none"/>
        </w:rPr>
      </w:pPr>
      <w:r>
        <w:rPr>
          <w:rFonts w:hint="eastAsia" w:ascii="宋体" w:hAnsi="宋体" w:cs="宋体"/>
          <w:color w:val="auto"/>
          <w:spacing w:val="-1"/>
          <w:szCs w:val="21"/>
          <w:highlight w:val="none"/>
          <w:lang w:val="en-US" w:eastAsia="zh-CN"/>
        </w:rPr>
        <w:t>投标</w:t>
      </w:r>
      <w:r>
        <w:rPr>
          <w:rFonts w:ascii="宋体" w:hAnsi="宋体" w:cs="宋体"/>
          <w:color w:val="auto"/>
          <w:spacing w:val="-1"/>
          <w:szCs w:val="21"/>
          <w:highlight w:val="none"/>
        </w:rPr>
        <w:t>保证金金额：</w:t>
      </w:r>
      <w:r>
        <w:rPr>
          <w:rFonts w:hint="eastAsia" w:ascii="宋体" w:hAnsi="宋体" w:cs="宋体"/>
          <w:color w:val="auto"/>
          <w:spacing w:val="-2"/>
          <w:szCs w:val="21"/>
          <w:highlight w:val="none"/>
          <w:u w:val="single"/>
          <w:lang w:val="en-US" w:eastAsia="zh-CN"/>
        </w:rPr>
        <w:t>66</w:t>
      </w:r>
      <w:r>
        <w:rPr>
          <w:rFonts w:ascii="宋体" w:hAnsi="宋体" w:cs="宋体"/>
          <w:color w:val="auto"/>
          <w:spacing w:val="-1"/>
          <w:szCs w:val="21"/>
          <w:highlight w:val="none"/>
        </w:rPr>
        <w:t>万元；缴纳方式：</w:t>
      </w:r>
      <w:r>
        <w:rPr>
          <w:rFonts w:hint="eastAsia" w:ascii="宋体" w:hAnsi="宋体" w:cs="宋体"/>
          <w:color w:val="auto"/>
          <w:spacing w:val="-1"/>
          <w:szCs w:val="21"/>
          <w:highlight w:val="none"/>
          <w:u w:val="single"/>
          <w:lang w:val="en-US" w:eastAsia="zh-CN"/>
        </w:rPr>
        <w:t>现金、保函（保险）</w:t>
      </w:r>
      <w:r>
        <w:rPr>
          <w:rFonts w:ascii="宋体" w:hAnsi="宋体" w:cs="宋体"/>
          <w:color w:val="auto"/>
          <w:spacing w:val="-1"/>
          <w:szCs w:val="21"/>
          <w:highlight w:val="none"/>
        </w:rPr>
        <w:t>。</w:t>
      </w:r>
    </w:p>
    <w:p w14:paraId="6F45495F">
      <w:pPr>
        <w:keepNext w:val="0"/>
        <w:keepLines w:val="0"/>
        <w:pageBreakBefore w:val="0"/>
        <w:kinsoku/>
        <w:wordWrap/>
        <w:overflowPunct/>
        <w:topLinePunct w:val="0"/>
        <w:autoSpaceDE/>
        <w:autoSpaceDN/>
        <w:bidi w:val="0"/>
        <w:adjustRightInd/>
        <w:snapToGrid/>
        <w:spacing w:before="170" w:line="360" w:lineRule="auto"/>
        <w:ind w:left="453"/>
        <w:textAlignment w:val="auto"/>
        <w:rPr>
          <w:rFonts w:ascii="宋体" w:hAnsi="宋体" w:cs="宋体"/>
          <w:color w:val="auto"/>
          <w:szCs w:val="21"/>
          <w:highlight w:val="none"/>
        </w:rPr>
      </w:pPr>
      <w:r>
        <w:rPr>
          <w:rFonts w:eastAsia="Times New Roman"/>
          <w:color w:val="auto"/>
          <w:szCs w:val="21"/>
          <w:highlight w:val="none"/>
        </w:rPr>
        <w:t>2.3</w:t>
      </w:r>
      <w:r>
        <w:rPr>
          <w:rFonts w:ascii="宋体" w:hAnsi="宋体" w:cs="宋体"/>
          <w:color w:val="auto"/>
          <w:szCs w:val="21"/>
          <w:highlight w:val="none"/>
        </w:rPr>
        <w:t>其他：</w:t>
      </w:r>
      <w:r>
        <w:rPr>
          <w:rFonts w:hint="eastAsia" w:ascii="宋体" w:hAnsi="宋体" w:cs="宋体"/>
          <w:color w:val="auto"/>
          <w:szCs w:val="21"/>
          <w:highlight w:val="none"/>
          <w:u w:val="single"/>
        </w:rPr>
        <w:t>/</w:t>
      </w:r>
      <w:r>
        <w:rPr>
          <w:rFonts w:ascii="宋体" w:hAnsi="宋体" w:cs="宋体"/>
          <w:color w:val="auto"/>
          <w:spacing w:val="-1"/>
          <w:szCs w:val="21"/>
          <w:highlight w:val="none"/>
        </w:rPr>
        <w:t>。</w:t>
      </w:r>
    </w:p>
    <w:p w14:paraId="5824A3E4">
      <w:pPr>
        <w:keepNext w:val="0"/>
        <w:keepLines w:val="0"/>
        <w:pageBreakBefore w:val="0"/>
        <w:kinsoku/>
        <w:wordWrap/>
        <w:overflowPunct/>
        <w:topLinePunct w:val="0"/>
        <w:autoSpaceDE/>
        <w:autoSpaceDN/>
        <w:bidi w:val="0"/>
        <w:adjustRightInd/>
        <w:snapToGrid/>
        <w:spacing w:before="127" w:line="360" w:lineRule="auto"/>
        <w:ind w:left="21"/>
        <w:textAlignment w:val="auto"/>
        <w:outlineLvl w:val="1"/>
        <w:rPr>
          <w:rFonts w:ascii="黑体" w:hAnsi="黑体" w:eastAsia="黑体" w:cs="黑体"/>
          <w:color w:val="auto"/>
          <w:sz w:val="24"/>
          <w:highlight w:val="none"/>
        </w:rPr>
      </w:pPr>
      <w:bookmarkStart w:id="12" w:name="bookmark6"/>
      <w:bookmarkEnd w:id="12"/>
      <w:bookmarkStart w:id="13" w:name="_Toc23367"/>
      <w:bookmarkStart w:id="14" w:name="_Toc61"/>
      <w:r>
        <w:rPr>
          <w:rFonts w:eastAsia="Times New Roman"/>
          <w:color w:val="auto"/>
          <w:spacing w:val="-2"/>
          <w:sz w:val="24"/>
          <w:highlight w:val="none"/>
        </w:rPr>
        <w:t>3</w:t>
      </w:r>
      <w:r>
        <w:rPr>
          <w:rFonts w:hint="eastAsia"/>
          <w:color w:val="auto"/>
          <w:spacing w:val="-2"/>
          <w:sz w:val="24"/>
          <w:highlight w:val="none"/>
          <w:lang w:val="en-US" w:eastAsia="zh-CN"/>
        </w:rPr>
        <w:t>.</w:t>
      </w:r>
      <w:r>
        <w:rPr>
          <w:rFonts w:ascii="黑体" w:hAnsi="黑体" w:eastAsia="黑体" w:cs="黑体"/>
          <w:color w:val="auto"/>
          <w:spacing w:val="-2"/>
          <w:sz w:val="24"/>
          <w:highlight w:val="none"/>
        </w:rPr>
        <w:t>投标人资格要求</w:t>
      </w:r>
      <w:bookmarkEnd w:id="13"/>
      <w:bookmarkEnd w:id="14"/>
    </w:p>
    <w:p w14:paraId="66F97B96">
      <w:pPr>
        <w:keepNext w:val="0"/>
        <w:keepLines w:val="0"/>
        <w:pageBreakBefore w:val="0"/>
        <w:kinsoku/>
        <w:wordWrap/>
        <w:overflowPunct/>
        <w:topLinePunct w:val="0"/>
        <w:autoSpaceDE/>
        <w:autoSpaceDN/>
        <w:bidi w:val="0"/>
        <w:adjustRightInd/>
        <w:snapToGrid/>
        <w:spacing w:before="141" w:line="360" w:lineRule="auto"/>
        <w:ind w:left="20" w:right="169" w:firstLine="437"/>
        <w:textAlignment w:val="auto"/>
        <w:rPr>
          <w:rFonts w:ascii="宋体" w:hAnsi="宋体" w:cs="宋体"/>
          <w:color w:val="auto"/>
          <w:szCs w:val="21"/>
          <w:highlight w:val="none"/>
          <w:u w:val="none"/>
        </w:rPr>
      </w:pPr>
      <w:r>
        <w:rPr>
          <w:rFonts w:eastAsia="Times New Roman"/>
          <w:color w:val="auto"/>
          <w:spacing w:val="-1"/>
          <w:szCs w:val="21"/>
          <w:highlight w:val="none"/>
        </w:rPr>
        <w:t xml:space="preserve">3.1 </w:t>
      </w:r>
      <w:r>
        <w:rPr>
          <w:rFonts w:ascii="宋体" w:hAnsi="宋体" w:cs="宋体"/>
          <w:color w:val="auto"/>
          <w:spacing w:val="-1"/>
          <w:szCs w:val="21"/>
          <w:highlight w:val="none"/>
        </w:rPr>
        <w:t>本次招标要求投标人须具备</w:t>
      </w:r>
      <w:r>
        <w:rPr>
          <w:rFonts w:hint="default" w:ascii="宋体" w:hAnsi="宋体" w:cs="宋体"/>
          <w:color w:val="auto"/>
          <w:spacing w:val="-1"/>
          <w:szCs w:val="21"/>
          <w:highlight w:val="none"/>
          <w:u w:val="single"/>
          <w:lang w:val="en-US" w:eastAsia="zh-CN"/>
        </w:rPr>
        <w:t>[</w:t>
      </w:r>
      <w:r>
        <w:rPr>
          <w:rFonts w:ascii="宋体" w:hAnsi="宋体" w:cs="宋体"/>
          <w:color w:val="auto"/>
          <w:spacing w:val="-1"/>
          <w:szCs w:val="21"/>
          <w:highlight w:val="none"/>
          <w:u w:val="single"/>
          <w:lang w:val="en-US" w:eastAsia="zh-CN"/>
        </w:rPr>
        <w:t>设计·综合类资质·工程设计综合资质]</w:t>
      </w:r>
      <w:r>
        <w:rPr>
          <w:rFonts w:hint="default" w:ascii="宋体" w:hAnsi="宋体" w:cs="宋体"/>
          <w:color w:val="auto"/>
          <w:spacing w:val="-1"/>
          <w:szCs w:val="21"/>
          <w:highlight w:val="none"/>
          <w:u w:val="single"/>
          <w:lang w:val="en-US" w:eastAsia="zh-CN"/>
        </w:rPr>
        <w:t>或者[设计·行业资质·市政行业</w:t>
      </w:r>
      <w:r>
        <w:rPr>
          <w:rFonts w:hint="eastAsia" w:ascii="宋体" w:hAnsi="宋体" w:cs="宋体"/>
          <w:color w:val="auto"/>
          <w:spacing w:val="-1"/>
          <w:szCs w:val="21"/>
          <w:highlight w:val="none"/>
          <w:u w:val="single"/>
          <w:lang w:val="en-US" w:eastAsia="zh-CN"/>
        </w:rPr>
        <w:t>·</w:t>
      </w:r>
      <w:r>
        <w:rPr>
          <w:rFonts w:hint="default" w:ascii="宋体" w:hAnsi="宋体" w:cs="宋体"/>
          <w:color w:val="auto"/>
          <w:spacing w:val="-1"/>
          <w:szCs w:val="21"/>
          <w:highlight w:val="none"/>
          <w:u w:val="single"/>
          <w:lang w:val="en-US" w:eastAsia="zh-CN"/>
        </w:rPr>
        <w:t>市政行业</w:t>
      </w:r>
      <w:r>
        <w:rPr>
          <w:rFonts w:hint="eastAsia" w:ascii="宋体" w:hAnsi="宋体" w:cs="宋体"/>
          <w:color w:val="auto"/>
          <w:spacing w:val="-1"/>
          <w:szCs w:val="21"/>
          <w:highlight w:val="none"/>
          <w:u w:val="single"/>
          <w:lang w:val="en-US" w:eastAsia="zh-CN"/>
        </w:rPr>
        <w:t>甲</w:t>
      </w:r>
      <w:r>
        <w:rPr>
          <w:rFonts w:hint="default" w:ascii="宋体" w:hAnsi="宋体" w:cs="宋体"/>
          <w:color w:val="auto"/>
          <w:spacing w:val="-1"/>
          <w:szCs w:val="21"/>
          <w:highlight w:val="none"/>
          <w:u w:val="single"/>
          <w:lang w:val="en-US" w:eastAsia="zh-CN"/>
        </w:rPr>
        <w:t>级]</w:t>
      </w:r>
      <w:r>
        <w:rPr>
          <w:rFonts w:ascii="宋体" w:hAnsi="宋体" w:cs="宋体"/>
          <w:color w:val="auto"/>
          <w:spacing w:val="-1"/>
          <w:szCs w:val="21"/>
          <w:highlight w:val="none"/>
          <w:u w:val="single"/>
          <w:lang w:val="en-US" w:eastAsia="zh-CN"/>
        </w:rPr>
        <w:t>(含)以</w:t>
      </w:r>
      <w:r>
        <w:rPr>
          <w:rFonts w:hint="default" w:ascii="宋体" w:hAnsi="宋体" w:cs="宋体"/>
          <w:color w:val="auto"/>
          <w:spacing w:val="-1"/>
          <w:szCs w:val="21"/>
          <w:highlight w:val="none"/>
          <w:u w:val="single"/>
          <w:lang w:val="en-US" w:eastAsia="zh-CN"/>
        </w:rPr>
        <w:t>上或者[设计·行业资质·市政行业(燃气工程、轨道交通工程除外)·市政行业(燃气工程、轨道交通工程除外)</w:t>
      </w:r>
      <w:r>
        <w:rPr>
          <w:rFonts w:hint="eastAsia" w:ascii="宋体" w:hAnsi="宋体" w:cs="宋体"/>
          <w:color w:val="auto"/>
          <w:spacing w:val="-1"/>
          <w:szCs w:val="21"/>
          <w:highlight w:val="none"/>
          <w:u w:val="single"/>
          <w:lang w:val="en-US" w:eastAsia="zh-CN"/>
        </w:rPr>
        <w:t>甲</w:t>
      </w:r>
      <w:r>
        <w:rPr>
          <w:rFonts w:hint="default" w:ascii="宋体" w:hAnsi="宋体" w:cs="宋体"/>
          <w:color w:val="auto"/>
          <w:spacing w:val="-1"/>
          <w:szCs w:val="21"/>
          <w:highlight w:val="none"/>
          <w:u w:val="single"/>
          <w:lang w:val="en-US" w:eastAsia="zh-CN"/>
        </w:rPr>
        <w:t>级]</w:t>
      </w:r>
      <w:r>
        <w:rPr>
          <w:rFonts w:ascii="宋体" w:hAnsi="宋体" w:cs="宋体"/>
          <w:color w:val="auto"/>
          <w:spacing w:val="-1"/>
          <w:szCs w:val="21"/>
          <w:highlight w:val="none"/>
          <w:u w:val="single"/>
          <w:lang w:val="en-US" w:eastAsia="zh-CN"/>
        </w:rPr>
        <w:t>(含)以</w:t>
      </w:r>
      <w:r>
        <w:rPr>
          <w:rFonts w:hint="default" w:ascii="宋体" w:hAnsi="宋体" w:cs="宋体"/>
          <w:color w:val="auto"/>
          <w:spacing w:val="-1"/>
          <w:szCs w:val="21"/>
          <w:highlight w:val="none"/>
          <w:u w:val="single"/>
          <w:lang w:val="en-US" w:eastAsia="zh-CN"/>
        </w:rPr>
        <w:t>上或者[设计·专业资质·市政行业(热力工程)·市政行业(热力工程)</w:t>
      </w:r>
      <w:r>
        <w:rPr>
          <w:rFonts w:hint="eastAsia" w:ascii="宋体" w:hAnsi="宋体" w:cs="宋体"/>
          <w:color w:val="auto"/>
          <w:spacing w:val="-1"/>
          <w:szCs w:val="21"/>
          <w:highlight w:val="none"/>
          <w:u w:val="single"/>
          <w:lang w:val="en-US" w:eastAsia="zh-CN"/>
        </w:rPr>
        <w:t>甲</w:t>
      </w:r>
      <w:r>
        <w:rPr>
          <w:rFonts w:hint="default" w:ascii="宋体" w:hAnsi="宋体" w:cs="宋体"/>
          <w:color w:val="auto"/>
          <w:spacing w:val="-1"/>
          <w:szCs w:val="21"/>
          <w:highlight w:val="none"/>
          <w:u w:val="single"/>
          <w:lang w:val="en-US" w:eastAsia="zh-CN"/>
        </w:rPr>
        <w:t>级]</w:t>
      </w:r>
      <w:r>
        <w:rPr>
          <w:rFonts w:ascii="宋体" w:hAnsi="宋体" w:cs="宋体"/>
          <w:color w:val="auto"/>
          <w:spacing w:val="-1"/>
          <w:szCs w:val="21"/>
          <w:highlight w:val="none"/>
          <w:u w:val="single"/>
          <w:lang w:val="en-US" w:eastAsia="zh-CN"/>
        </w:rPr>
        <w:t>(含)以</w:t>
      </w:r>
      <w:r>
        <w:rPr>
          <w:rFonts w:hint="default" w:ascii="宋体" w:hAnsi="宋体" w:cs="宋体"/>
          <w:color w:val="auto"/>
          <w:spacing w:val="-1"/>
          <w:szCs w:val="21"/>
          <w:highlight w:val="none"/>
          <w:u w:val="single"/>
          <w:lang w:val="en-US" w:eastAsia="zh-CN"/>
        </w:rPr>
        <w:t>上</w:t>
      </w:r>
      <w:r>
        <w:rPr>
          <w:rFonts w:hint="eastAsia" w:ascii="宋体" w:hAnsi="宋体" w:cs="宋体"/>
          <w:color w:val="auto"/>
          <w:spacing w:val="-1"/>
          <w:szCs w:val="21"/>
          <w:highlight w:val="none"/>
          <w:u w:val="single"/>
          <w:lang w:val="en-US" w:eastAsia="zh-CN"/>
        </w:rPr>
        <w:t>）</w:t>
      </w:r>
      <w:r>
        <w:rPr>
          <w:rFonts w:hint="default" w:ascii="宋体" w:hAnsi="宋体" w:cs="宋体"/>
          <w:color w:val="auto"/>
          <w:spacing w:val="-1"/>
          <w:szCs w:val="21"/>
          <w:highlight w:val="none"/>
          <w:u w:val="single"/>
          <w:lang w:val="en-US" w:eastAsia="zh-CN"/>
        </w:rPr>
        <w:t>并且[施工总承包·市政公用工程·市政公用工程</w:t>
      </w:r>
      <w:r>
        <w:rPr>
          <w:rFonts w:hint="eastAsia" w:ascii="宋体" w:hAnsi="宋体" w:cs="宋体"/>
          <w:color w:val="auto"/>
          <w:spacing w:val="-1"/>
          <w:szCs w:val="21"/>
          <w:highlight w:val="none"/>
          <w:u w:val="single"/>
          <w:lang w:val="en-US" w:eastAsia="zh-CN"/>
        </w:rPr>
        <w:t>一</w:t>
      </w:r>
      <w:r>
        <w:rPr>
          <w:rFonts w:hint="default" w:ascii="宋体" w:hAnsi="宋体" w:cs="宋体"/>
          <w:color w:val="auto"/>
          <w:spacing w:val="-1"/>
          <w:szCs w:val="21"/>
          <w:highlight w:val="none"/>
          <w:u w:val="single"/>
          <w:lang w:val="en-US" w:eastAsia="zh-CN"/>
        </w:rPr>
        <w:t>级](含)以上</w:t>
      </w:r>
      <w:r>
        <w:rPr>
          <w:rFonts w:ascii="宋体" w:hAnsi="宋体" w:cs="宋体"/>
          <w:color w:val="auto"/>
          <w:spacing w:val="-1"/>
          <w:szCs w:val="21"/>
          <w:highlight w:val="none"/>
        </w:rPr>
        <w:t>资质</w:t>
      </w:r>
      <w:r>
        <w:rPr>
          <w:rFonts w:ascii="宋体" w:hAnsi="宋体" w:cs="宋体"/>
          <w:color w:val="auto"/>
          <w:spacing w:val="-1"/>
          <w:szCs w:val="21"/>
          <w:highlight w:val="none"/>
          <w:u w:val="none"/>
        </w:rPr>
        <w:t>，并在人员、设备、资金等方面具有相应的设计、施工能力。</w:t>
      </w:r>
    </w:p>
    <w:p w14:paraId="69E54EC8">
      <w:pPr>
        <w:keepNext w:val="0"/>
        <w:keepLines w:val="0"/>
        <w:pageBreakBefore w:val="0"/>
        <w:kinsoku/>
        <w:wordWrap/>
        <w:overflowPunct/>
        <w:topLinePunct w:val="0"/>
        <w:autoSpaceDE/>
        <w:autoSpaceDN/>
        <w:bidi w:val="0"/>
        <w:adjustRightInd/>
        <w:snapToGrid/>
        <w:spacing w:before="21" w:line="360" w:lineRule="auto"/>
        <w:ind w:left="24" w:right="159" w:firstLine="435"/>
        <w:textAlignment w:val="auto"/>
        <w:rPr>
          <w:rFonts w:ascii="宋体" w:hAnsi="宋体" w:cs="宋体"/>
          <w:color w:val="auto"/>
          <w:spacing w:val="1"/>
          <w:szCs w:val="21"/>
          <w:highlight w:val="none"/>
        </w:rPr>
      </w:pPr>
      <w:r>
        <w:rPr>
          <w:rFonts w:ascii="宋体" w:hAnsi="宋体" w:cs="宋体"/>
          <w:color w:val="auto"/>
          <w:spacing w:val="2"/>
          <w:szCs w:val="21"/>
          <w:highlight w:val="none"/>
        </w:rPr>
        <w:t>投标人拟派项目经理须具备</w:t>
      </w:r>
      <w:r>
        <w:rPr>
          <w:rFonts w:hint="eastAsia" w:ascii="宋体" w:hAnsi="宋体" w:cs="宋体"/>
          <w:color w:val="auto"/>
          <w:spacing w:val="2"/>
          <w:szCs w:val="21"/>
          <w:highlight w:val="none"/>
          <w:u w:val="single"/>
          <w:lang w:val="en-US" w:eastAsia="zh-CN"/>
        </w:rPr>
        <w:t>[注册一级建造师·市政公用工程](含)以上</w:t>
      </w:r>
      <w:r>
        <w:rPr>
          <w:rFonts w:ascii="宋体" w:hAnsi="宋体" w:cs="宋体"/>
          <w:color w:val="auto"/>
          <w:spacing w:val="1"/>
          <w:szCs w:val="21"/>
          <w:highlight w:val="none"/>
        </w:rPr>
        <w:t>执业资格</w:t>
      </w:r>
      <w:r>
        <w:rPr>
          <w:rFonts w:ascii="宋体" w:hAnsi="宋体" w:cs="宋体"/>
          <w:color w:val="auto"/>
          <w:spacing w:val="-53"/>
          <w:w w:val="97"/>
          <w:szCs w:val="21"/>
          <w:highlight w:val="none"/>
        </w:rPr>
        <w:t>，</w:t>
      </w:r>
      <w:r>
        <w:rPr>
          <w:rFonts w:ascii="宋体" w:hAnsi="宋体" w:cs="宋体"/>
          <w:color w:val="auto"/>
          <w:spacing w:val="2"/>
          <w:szCs w:val="21"/>
          <w:highlight w:val="none"/>
        </w:rPr>
        <w:t>且未担任其他在施建设</w:t>
      </w:r>
      <w:r>
        <w:rPr>
          <w:rFonts w:ascii="宋体" w:hAnsi="宋体" w:cs="宋体"/>
          <w:color w:val="auto"/>
          <w:spacing w:val="1"/>
          <w:szCs w:val="21"/>
          <w:highlight w:val="none"/>
        </w:rPr>
        <w:t>工程项目的项目经理。</w:t>
      </w:r>
    </w:p>
    <w:p w14:paraId="59EE9692">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pacing w:val="1"/>
          <w:szCs w:val="21"/>
          <w:highlight w:val="none"/>
          <w:lang w:eastAsia="zh-CN"/>
        </w:rPr>
      </w:pPr>
      <w:r>
        <w:rPr>
          <w:rFonts w:hint="eastAsia" w:ascii="宋体" w:hAnsi="宋体" w:eastAsia="宋体" w:cs="宋体"/>
          <w:color w:val="auto"/>
          <w:kern w:val="0"/>
          <w:sz w:val="21"/>
          <w:szCs w:val="21"/>
          <w:highlight w:val="none"/>
          <w:lang w:val="en-US" w:eastAsia="zh-CN" w:bidi="ar"/>
        </w:rPr>
        <w:t>投标人拟派设计负责人须具备</w:t>
      </w:r>
      <w:r>
        <w:rPr>
          <w:rFonts w:hint="eastAsia" w:ascii="宋体" w:hAnsi="宋体" w:cs="宋体"/>
          <w:color w:val="auto"/>
          <w:spacing w:val="1"/>
          <w:szCs w:val="21"/>
          <w:highlight w:val="none"/>
          <w:u w:val="single"/>
          <w:lang w:val="en-US" w:eastAsia="zh-CN"/>
        </w:rPr>
        <w:t>与本工程相关专业的中级及以上工程师职称</w:t>
      </w:r>
      <w:r>
        <w:rPr>
          <w:rFonts w:hint="eastAsia" w:ascii="宋体" w:hAnsi="宋体" w:cs="宋体"/>
          <w:color w:val="auto"/>
          <w:spacing w:val="1"/>
          <w:szCs w:val="21"/>
          <w:highlight w:val="none"/>
          <w:u w:val="single"/>
          <w:lang w:eastAsia="zh-CN"/>
        </w:rPr>
        <w:t>。</w:t>
      </w:r>
    </w:p>
    <w:p w14:paraId="3E42F6B9">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投标人拟派施工负责人须具备</w:t>
      </w:r>
      <w:r>
        <w:rPr>
          <w:rFonts w:hint="eastAsia" w:ascii="宋体" w:hAnsi="宋体" w:cs="宋体"/>
          <w:color w:val="auto"/>
          <w:spacing w:val="2"/>
          <w:szCs w:val="21"/>
          <w:highlight w:val="none"/>
          <w:u w:val="single"/>
          <w:lang w:val="en-US" w:eastAsia="zh-CN"/>
        </w:rPr>
        <w:t>[注册一级建造师·市政公用工程](含)以上</w:t>
      </w:r>
      <w:r>
        <w:rPr>
          <w:rFonts w:hint="eastAsia" w:ascii="宋体" w:hAnsi="宋体" w:eastAsia="宋体" w:cs="宋体"/>
          <w:color w:val="auto"/>
          <w:kern w:val="0"/>
          <w:sz w:val="21"/>
          <w:szCs w:val="21"/>
          <w:highlight w:val="none"/>
          <w:lang w:val="en-US" w:eastAsia="zh-CN" w:bidi="ar"/>
        </w:rPr>
        <w:t>执业资格，未同时在两个或者两个以上工程项目担任工程施工项目负责人或工程总承包项目经理。</w:t>
      </w:r>
    </w:p>
    <w:p w14:paraId="40B306D0">
      <w:pPr>
        <w:keepNext w:val="0"/>
        <w:keepLines w:val="0"/>
        <w:pageBreakBefore w:val="0"/>
        <w:kinsoku/>
        <w:wordWrap/>
        <w:overflowPunct/>
        <w:topLinePunct w:val="0"/>
        <w:autoSpaceDE/>
        <w:autoSpaceDN/>
        <w:bidi w:val="0"/>
        <w:adjustRightInd/>
        <w:snapToGrid/>
        <w:spacing w:before="167" w:line="360" w:lineRule="auto"/>
        <w:ind w:left="440"/>
        <w:textAlignment w:val="auto"/>
        <w:rPr>
          <w:rFonts w:ascii="宋体" w:hAnsi="宋体" w:cs="宋体"/>
          <w:color w:val="auto"/>
          <w:szCs w:val="21"/>
          <w:highlight w:val="none"/>
        </w:rPr>
      </w:pPr>
      <w:r>
        <w:rPr>
          <w:rFonts w:eastAsia="Times New Roman"/>
          <w:color w:val="auto"/>
          <w:szCs w:val="21"/>
          <w:highlight w:val="none"/>
        </w:rPr>
        <w:t xml:space="preserve">3.2 </w:t>
      </w:r>
      <w:r>
        <w:rPr>
          <w:rFonts w:ascii="宋体" w:hAnsi="宋体" w:cs="宋体"/>
          <w:color w:val="auto"/>
          <w:szCs w:val="21"/>
          <w:highlight w:val="none"/>
        </w:rPr>
        <w:t>本次招标</w:t>
      </w:r>
      <w:r>
        <w:rPr>
          <w:rFonts w:hint="eastAsia" w:ascii="宋体" w:hAnsi="宋体" w:cs="宋体"/>
          <w:color w:val="auto"/>
          <w:szCs w:val="21"/>
          <w:highlight w:val="none"/>
          <w:u w:val="single"/>
        </w:rPr>
        <w:t>接受</w:t>
      </w:r>
      <w:r>
        <w:rPr>
          <w:rFonts w:ascii="宋体" w:hAnsi="宋体" w:cs="宋体"/>
          <w:color w:val="auto"/>
          <w:szCs w:val="21"/>
          <w:highlight w:val="none"/>
        </w:rPr>
        <w:t>（接受或不接受）联合体投标。联合体投标的，应</w:t>
      </w:r>
      <w:r>
        <w:rPr>
          <w:rFonts w:ascii="宋体" w:hAnsi="宋体" w:cs="宋体"/>
          <w:color w:val="auto"/>
          <w:spacing w:val="-1"/>
          <w:szCs w:val="21"/>
          <w:highlight w:val="none"/>
        </w:rPr>
        <w:t>满足下列</w:t>
      </w:r>
      <w:r>
        <w:rPr>
          <w:rFonts w:ascii="宋体" w:hAnsi="宋体" w:cs="宋体"/>
          <w:color w:val="auto"/>
          <w:szCs w:val="21"/>
          <w:highlight w:val="none"/>
        </w:rPr>
        <w:t>要求：</w:t>
      </w:r>
    </w:p>
    <w:p w14:paraId="727B12C2">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color w:val="auto"/>
          <w:szCs w:val="21"/>
          <w:highlight w:val="none"/>
          <w:u w:val="single"/>
        </w:rPr>
      </w:pPr>
      <w:r>
        <w:rPr>
          <w:rFonts w:ascii="宋体" w:hAnsi="宋体" w:cs="宋体"/>
          <w:color w:val="auto"/>
          <w:szCs w:val="21"/>
          <w:highlight w:val="none"/>
          <w:u w:val="single"/>
          <w:lang w:val="en-US" w:eastAsia="zh-CN"/>
        </w:rPr>
        <w:t>（1）投标时需提交联合体协议作为要件之一，联合体协议中要载明</w:t>
      </w:r>
      <w:r>
        <w:rPr>
          <w:rFonts w:hint="default" w:ascii="宋体" w:hAnsi="宋体" w:cs="宋体"/>
          <w:color w:val="auto"/>
          <w:szCs w:val="21"/>
          <w:highlight w:val="none"/>
          <w:u w:val="single"/>
          <w:lang w:val="en-US" w:eastAsia="zh-CN"/>
        </w:rPr>
        <w:t>联合体投标代表的牵头人，本项目联合体牵头人须为具有施工资质的单位，并声明联合体各方的权利和义务、相关工作范围；（2）联合体各方均需具有良好的商业信誉，没有处于被责令停业或破产状态，且资产未被重组、接管、冻结；（3）联合体最多允许2家单位；（4）联合体各方不得再以自己名义单独参与或参加其他联合体在本招标项目中的投标；（5）联合体成员应当具备承担招标项目所需的相应资格条件和能力；（6）尽管委任了联合体牵头人，但联合体各成员在投标、签约与履行合同过程中，仍负有连带的和各自的法律责任。联合体各成员的法定代表人或其授权的代理人都应在合同协议书上签署并加盖公章。</w:t>
      </w:r>
    </w:p>
    <w:p w14:paraId="40C415B0">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outlineLvl w:val="9"/>
        <w:rPr>
          <w:rFonts w:hint="default" w:ascii="宋体" w:hAnsi="宋体" w:cs="宋体"/>
          <w:color w:val="auto"/>
          <w:szCs w:val="21"/>
          <w:highlight w:val="none"/>
          <w:u w:val="single"/>
          <w:lang w:val="en-US" w:eastAsia="zh-CN"/>
        </w:rPr>
      </w:pPr>
      <w:r>
        <w:rPr>
          <w:rFonts w:eastAsia="Times New Roman"/>
          <w:color w:val="auto"/>
          <w:szCs w:val="21"/>
          <w:highlight w:val="none"/>
        </w:rPr>
        <w:t xml:space="preserve">3.3 </w:t>
      </w:r>
      <w:r>
        <w:rPr>
          <w:rFonts w:ascii="宋体" w:hAnsi="宋体" w:cs="宋体"/>
          <w:color w:val="auto"/>
          <w:szCs w:val="21"/>
          <w:highlight w:val="none"/>
        </w:rPr>
        <w:t>其他要求：</w:t>
      </w:r>
      <w:bookmarkStart w:id="15" w:name="bookmark7"/>
      <w:bookmarkEnd w:id="15"/>
      <w:bookmarkStart w:id="16" w:name="_Toc13381"/>
      <w:r>
        <w:rPr>
          <w:rFonts w:hint="eastAsia" w:ascii="宋体" w:hAnsi="宋体" w:cs="宋体"/>
          <w:color w:val="auto"/>
          <w:szCs w:val="21"/>
          <w:highlight w:val="none"/>
          <w:u w:val="single"/>
          <w:lang w:val="en-US" w:eastAsia="zh-CN"/>
        </w:rPr>
        <w:t>（1）投标人拟派项目经理须具备有效的安全生产考核合格证书（B证）。（2）</w:t>
      </w:r>
      <w:r>
        <w:rPr>
          <w:rFonts w:ascii="宋体" w:hAnsi="宋体" w:cs="宋体"/>
          <w:color w:val="auto"/>
          <w:szCs w:val="21"/>
          <w:highlight w:val="none"/>
          <w:u w:val="single"/>
          <w:lang w:val="en-US" w:eastAsia="zh-CN"/>
        </w:rPr>
        <w:t>投标人授权的委托代理人应具有与投标人单位签订的劳动合同</w:t>
      </w:r>
      <w:r>
        <w:rPr>
          <w:rFonts w:hint="default" w:ascii="宋体" w:hAnsi="宋体" w:cs="宋体"/>
          <w:color w:val="auto"/>
          <w:szCs w:val="21"/>
          <w:highlight w:val="none"/>
          <w:u w:val="single"/>
          <w:lang w:val="en-US" w:eastAsia="zh-CN"/>
        </w:rPr>
        <w:t>或社会养老保险关系证明。</w:t>
      </w:r>
      <w:r>
        <w:rPr>
          <w:rFonts w:hint="eastAsia" w:ascii="宋体" w:hAnsi="宋体" w:cs="宋体"/>
          <w:color w:val="auto"/>
          <w:szCs w:val="21"/>
          <w:highlight w:val="none"/>
          <w:u w:val="single"/>
          <w:lang w:val="en-US" w:eastAsia="zh-CN"/>
        </w:rPr>
        <w:t>（3）</w:t>
      </w:r>
      <w:r>
        <w:rPr>
          <w:rFonts w:hint="default" w:ascii="宋体" w:hAnsi="宋体" w:cs="宋体"/>
          <w:color w:val="auto"/>
          <w:szCs w:val="21"/>
          <w:highlight w:val="none"/>
          <w:u w:val="single"/>
          <w:lang w:val="en-US" w:eastAsia="zh-CN"/>
        </w:rPr>
        <w:t>具有有效的安全生产许可证（施工单位提供）。</w:t>
      </w:r>
    </w:p>
    <w:p w14:paraId="53D2125C">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outlineLvl w:val="9"/>
        <w:rPr>
          <w:rFonts w:hint="default" w:ascii="Times New Roman" w:hAnsi="Times New Roman" w:eastAsia="Times New Roman" w:cs="Times New Roman"/>
          <w:color w:val="auto"/>
          <w:szCs w:val="21"/>
          <w:highlight w:val="none"/>
          <w:lang w:val="en-US" w:eastAsia="zh-CN"/>
        </w:rPr>
      </w:pPr>
      <w:bookmarkStart w:id="17" w:name="_Toc32434"/>
      <w:r>
        <w:rPr>
          <w:rFonts w:hint="eastAsia" w:ascii="Times New Roman" w:hAnsi="Times New Roman" w:eastAsia="Times New Roman" w:cs="Times New Roman"/>
          <w:color w:val="auto"/>
          <w:szCs w:val="21"/>
          <w:highlight w:val="none"/>
          <w:lang w:val="en-US" w:eastAsia="zh-CN"/>
        </w:rPr>
        <w:t>3.4</w:t>
      </w:r>
      <w:r>
        <w:rPr>
          <w:rFonts w:hint="default" w:ascii="Times New Roman" w:hAnsi="Times New Roman" w:eastAsia="Times New Roman" w:cs="Times New Roman"/>
          <w:color w:val="auto"/>
          <w:szCs w:val="21"/>
          <w:highlight w:val="none"/>
          <w:lang w:val="en-US" w:eastAsia="zh-CN"/>
        </w:rPr>
        <w:t>允许互跨专业承接同等级业务：</w:t>
      </w:r>
      <w:bookmarkEnd w:id="17"/>
      <w:r>
        <w:rPr>
          <w:rFonts w:hint="eastAsia" w:ascii="Times New Roman" w:hAnsi="Times New Roman" w:eastAsia="Times New Roman" w:cs="Times New Roman"/>
          <w:color w:val="auto"/>
          <w:szCs w:val="21"/>
          <w:highlight w:val="none"/>
          <w:lang w:val="en-US" w:eastAsia="zh-CN"/>
        </w:rPr>
        <w:t>否</w:t>
      </w:r>
    </w:p>
    <w:p w14:paraId="38283DC4">
      <w:pPr>
        <w:keepNext w:val="0"/>
        <w:keepLines w:val="0"/>
        <w:pageBreakBefore w:val="0"/>
        <w:kinsoku/>
        <w:wordWrap/>
        <w:overflowPunct/>
        <w:topLinePunct w:val="0"/>
        <w:autoSpaceDE/>
        <w:autoSpaceDN/>
        <w:bidi w:val="0"/>
        <w:adjustRightInd/>
        <w:snapToGrid/>
        <w:spacing w:before="127" w:line="360" w:lineRule="auto"/>
        <w:ind w:left="15"/>
        <w:textAlignment w:val="auto"/>
        <w:outlineLvl w:val="1"/>
        <w:rPr>
          <w:rFonts w:ascii="黑体" w:hAnsi="黑体" w:eastAsia="黑体" w:cs="黑体"/>
          <w:color w:val="auto"/>
          <w:sz w:val="24"/>
          <w:highlight w:val="none"/>
        </w:rPr>
      </w:pPr>
      <w:bookmarkStart w:id="18" w:name="_Toc2386"/>
      <w:r>
        <w:rPr>
          <w:rFonts w:eastAsia="Times New Roman"/>
          <w:color w:val="auto"/>
          <w:spacing w:val="-1"/>
          <w:sz w:val="24"/>
          <w:highlight w:val="none"/>
        </w:rPr>
        <w:t>4</w:t>
      </w:r>
      <w:r>
        <w:rPr>
          <w:rFonts w:hint="eastAsia"/>
          <w:color w:val="auto"/>
          <w:spacing w:val="-1"/>
          <w:sz w:val="24"/>
          <w:highlight w:val="none"/>
          <w:lang w:val="en-US" w:eastAsia="zh-CN"/>
        </w:rPr>
        <w:t>.</w:t>
      </w:r>
      <w:r>
        <w:rPr>
          <w:rFonts w:ascii="黑体" w:hAnsi="黑体" w:eastAsia="黑体" w:cs="黑体"/>
          <w:color w:val="auto"/>
          <w:spacing w:val="-1"/>
          <w:sz w:val="24"/>
          <w:highlight w:val="none"/>
        </w:rPr>
        <w:t>招标文件的获取</w:t>
      </w:r>
      <w:bookmarkEnd w:id="16"/>
      <w:bookmarkEnd w:id="18"/>
    </w:p>
    <w:p w14:paraId="3173C20C">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hAnsi="宋体" w:cs="宋体"/>
          <w:color w:val="auto"/>
          <w:highlight w:val="none"/>
        </w:rPr>
      </w:pPr>
      <w:bookmarkStart w:id="19" w:name="bookmark8"/>
      <w:bookmarkEnd w:id="19"/>
      <w:r>
        <w:rPr>
          <w:rFonts w:hint="eastAsia" w:ascii="宋体" w:hAnsi="宋体" w:cs="宋体"/>
          <w:color w:val="auto"/>
          <w:highlight w:val="none"/>
        </w:rPr>
        <w:t>4.1凡有意参加投标者（若为联合体投标，指联合体所有成员），应当在主体信息库进行注册登记（具体参见主体信息库注册操作指南）。</w:t>
      </w:r>
    </w:p>
    <w:p w14:paraId="1962CF9D">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hAnsi="宋体" w:cs="宋体"/>
          <w:color w:val="auto"/>
          <w:highlight w:val="none"/>
        </w:rPr>
      </w:pPr>
      <w:r>
        <w:rPr>
          <w:rFonts w:hint="eastAsia" w:ascii="宋体" w:hAnsi="宋体" w:cs="宋体"/>
          <w:color w:val="auto"/>
          <w:highlight w:val="none"/>
        </w:rPr>
        <w:t>4.2 完成注册登记后，请于</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single"/>
        </w:rPr>
        <w:t>年</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single"/>
        </w:rPr>
        <w:t>月</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single"/>
        </w:rPr>
        <w:t>日</w:t>
      </w:r>
      <w:r>
        <w:rPr>
          <w:rFonts w:hint="eastAsia" w:ascii="宋体" w:hAnsi="宋体" w:cs="宋体"/>
          <w:color w:val="auto"/>
          <w:highlight w:val="none"/>
          <w:u w:val="single"/>
          <w:lang w:val="en-US" w:eastAsia="zh-CN"/>
        </w:rPr>
        <w:t>16</w:t>
      </w:r>
      <w:r>
        <w:rPr>
          <w:rFonts w:hint="eastAsia" w:ascii="宋体" w:hAnsi="宋体" w:cs="宋体"/>
          <w:color w:val="auto"/>
          <w:highlight w:val="none"/>
          <w:u w:val="single"/>
        </w:rPr>
        <w:t>时</w:t>
      </w:r>
      <w:r>
        <w:rPr>
          <w:rFonts w:hint="eastAsia" w:ascii="宋体" w:hAnsi="宋体" w:cs="宋体"/>
          <w:color w:val="auto"/>
          <w:highlight w:val="none"/>
          <w:u w:val="single"/>
          <w:lang w:val="en-US" w:eastAsia="zh-CN"/>
        </w:rPr>
        <w:t>30</w:t>
      </w:r>
      <w:r>
        <w:rPr>
          <w:rFonts w:hint="eastAsia" w:ascii="宋体" w:hAnsi="宋体" w:cs="宋体"/>
          <w:color w:val="auto"/>
          <w:highlight w:val="none"/>
          <w:u w:val="single"/>
        </w:rPr>
        <w:t>分</w:t>
      </w:r>
      <w:r>
        <w:rPr>
          <w:rFonts w:hint="eastAsia" w:ascii="宋体" w:hAnsi="宋体" w:cs="宋体"/>
          <w:color w:val="auto"/>
          <w:highlight w:val="none"/>
        </w:rPr>
        <w:t>至</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single"/>
        </w:rPr>
        <w:t>年</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single"/>
        </w:rPr>
        <w:t>月</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single"/>
        </w:rPr>
        <w:t>日</w:t>
      </w:r>
      <w:r>
        <w:rPr>
          <w:rFonts w:hint="eastAsia" w:ascii="宋体" w:hAnsi="宋体" w:cs="宋体"/>
          <w:color w:val="auto"/>
          <w:highlight w:val="none"/>
          <w:u w:val="single"/>
          <w:lang w:val="en-US" w:eastAsia="zh-CN"/>
        </w:rPr>
        <w:t>16</w:t>
      </w:r>
      <w:r>
        <w:rPr>
          <w:rFonts w:hint="eastAsia" w:ascii="宋体" w:hAnsi="宋体" w:cs="宋体"/>
          <w:color w:val="auto"/>
          <w:highlight w:val="none"/>
          <w:u w:val="single"/>
        </w:rPr>
        <w:t>时</w:t>
      </w:r>
      <w:r>
        <w:rPr>
          <w:rFonts w:hint="eastAsia" w:ascii="宋体" w:hAnsi="宋体" w:cs="宋体"/>
          <w:color w:val="auto"/>
          <w:highlight w:val="none"/>
          <w:u w:val="single"/>
          <w:lang w:val="en-US" w:eastAsia="zh-CN"/>
        </w:rPr>
        <w:t>30</w:t>
      </w:r>
      <w:r>
        <w:rPr>
          <w:rFonts w:hint="eastAsia" w:ascii="宋体" w:hAnsi="宋体" w:cs="宋体"/>
          <w:color w:val="auto"/>
          <w:highlight w:val="none"/>
          <w:u w:val="single"/>
        </w:rPr>
        <w:t>分</w:t>
      </w:r>
      <w:r>
        <w:rPr>
          <w:rFonts w:hint="eastAsia" w:ascii="宋体" w:hAnsi="宋体" w:cs="宋体"/>
          <w:color w:val="auto"/>
          <w:highlight w:val="none"/>
        </w:rPr>
        <w:t>止（北京时间、下同），通过</w:t>
      </w:r>
      <w:r>
        <w:rPr>
          <w:rFonts w:hint="eastAsia" w:ascii="宋体" w:hAnsi="宋体" w:cs="宋体"/>
          <w:color w:val="auto"/>
          <w:highlight w:val="none"/>
          <w:u w:val="single"/>
        </w:rPr>
        <w:t>辽宁工程咨询招投标交易平台（投标盲盒工具</w:t>
      </w:r>
      <w:r>
        <w:rPr>
          <w:color w:val="auto"/>
          <w:highlight w:val="none"/>
        </w:rPr>
        <w:fldChar w:fldCharType="begin"/>
      </w:r>
      <w:r>
        <w:rPr>
          <w:color w:val="auto"/>
          <w:highlight w:val="none"/>
        </w:rPr>
        <w:instrText xml:space="preserve"> HYPERLINK "https://nxbox.Inzb.com:8888/" \l "/login" </w:instrText>
      </w:r>
      <w:r>
        <w:rPr>
          <w:color w:val="auto"/>
          <w:highlight w:val="none"/>
        </w:rPr>
        <w:fldChar w:fldCharType="separate"/>
      </w:r>
      <w:r>
        <w:rPr>
          <w:rFonts w:hint="eastAsia" w:ascii="宋体" w:hAnsi="宋体" w:cs="宋体"/>
          <w:color w:val="auto"/>
          <w:highlight w:val="none"/>
          <w:u w:val="single"/>
        </w:rPr>
        <w:t>https://nxbox.Inzb.com:8888/#/login</w:t>
      </w:r>
      <w:r>
        <w:rPr>
          <w:rFonts w:hint="eastAsia" w:ascii="宋体" w:hAnsi="宋体" w:cs="宋体"/>
          <w:color w:val="auto"/>
          <w:highlight w:val="none"/>
          <w:u w:val="single"/>
        </w:rPr>
        <w:fldChar w:fldCharType="end"/>
      </w:r>
      <w:r>
        <w:rPr>
          <w:rFonts w:hint="eastAsia" w:ascii="宋体" w:hAnsi="宋体" w:cs="宋体"/>
          <w:color w:val="auto"/>
          <w:highlight w:val="none"/>
          <w:u w:val="single"/>
        </w:rPr>
        <w:t>）</w:t>
      </w:r>
      <w:r>
        <w:rPr>
          <w:rFonts w:hint="eastAsia" w:ascii="宋体" w:hAnsi="宋体" w:cs="宋体"/>
          <w:color w:val="auto"/>
          <w:highlight w:val="none"/>
        </w:rPr>
        <w:t>，在所投标段进行资格确认并下载招标文件。联合体投标的，由联合体牵头人下载招标文件。</w:t>
      </w:r>
    </w:p>
    <w:p w14:paraId="42B07DB2">
      <w:pPr>
        <w:keepNext w:val="0"/>
        <w:keepLines w:val="0"/>
        <w:pageBreakBefore w:val="0"/>
        <w:kinsoku/>
        <w:wordWrap/>
        <w:overflowPunct/>
        <w:topLinePunct w:val="0"/>
        <w:autoSpaceDE/>
        <w:autoSpaceDN/>
        <w:bidi w:val="0"/>
        <w:adjustRightInd/>
        <w:snapToGrid/>
        <w:spacing w:before="144" w:line="360" w:lineRule="auto"/>
        <w:ind w:left="23"/>
        <w:textAlignment w:val="auto"/>
        <w:outlineLvl w:val="1"/>
        <w:rPr>
          <w:rFonts w:ascii="黑体" w:hAnsi="黑体" w:eastAsia="黑体" w:cs="黑体"/>
          <w:color w:val="auto"/>
          <w:sz w:val="24"/>
          <w:highlight w:val="none"/>
        </w:rPr>
      </w:pPr>
      <w:bookmarkStart w:id="20" w:name="_Toc27406"/>
      <w:bookmarkStart w:id="21" w:name="_Toc10239"/>
      <w:r>
        <w:rPr>
          <w:rFonts w:eastAsia="Times New Roman"/>
          <w:color w:val="auto"/>
          <w:spacing w:val="-2"/>
          <w:sz w:val="24"/>
          <w:highlight w:val="none"/>
        </w:rPr>
        <w:t>5</w:t>
      </w:r>
      <w:r>
        <w:rPr>
          <w:rFonts w:hint="eastAsia"/>
          <w:color w:val="auto"/>
          <w:spacing w:val="-2"/>
          <w:sz w:val="24"/>
          <w:highlight w:val="none"/>
          <w:lang w:val="en-US" w:eastAsia="zh-CN"/>
        </w:rPr>
        <w:t>.</w:t>
      </w:r>
      <w:r>
        <w:rPr>
          <w:rFonts w:ascii="黑体" w:hAnsi="黑体" w:eastAsia="黑体" w:cs="黑体"/>
          <w:color w:val="auto"/>
          <w:spacing w:val="-2"/>
          <w:sz w:val="24"/>
          <w:highlight w:val="none"/>
        </w:rPr>
        <w:t>投标文件的递交</w:t>
      </w:r>
      <w:bookmarkEnd w:id="20"/>
      <w:bookmarkEnd w:id="21"/>
    </w:p>
    <w:p w14:paraId="6D41A7B6">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hAnsi="宋体" w:cs="宋体"/>
          <w:color w:val="auto"/>
          <w:highlight w:val="none"/>
        </w:rPr>
      </w:pPr>
      <w:bookmarkStart w:id="22" w:name="bookmark9"/>
      <w:bookmarkEnd w:id="22"/>
      <w:r>
        <w:rPr>
          <w:rFonts w:hint="eastAsia" w:ascii="宋体" w:hAnsi="宋体" w:cs="宋体"/>
          <w:color w:val="auto"/>
          <w:highlight w:val="none"/>
        </w:rPr>
        <w:t>5.1 投标文件递交截止时间为：</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single"/>
        </w:rPr>
        <w:t>年</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single"/>
        </w:rPr>
        <w:t>月</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single"/>
        </w:rPr>
        <w:t>日09:30</w:t>
      </w:r>
      <w:r>
        <w:rPr>
          <w:rFonts w:hint="eastAsia" w:ascii="宋体" w:hAnsi="宋体" w:cs="宋体"/>
          <w:color w:val="auto"/>
          <w:highlight w:val="none"/>
        </w:rPr>
        <w:t>。</w:t>
      </w:r>
    </w:p>
    <w:p w14:paraId="3AE9A051">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hAnsi="宋体" w:cs="宋体"/>
          <w:color w:val="auto"/>
          <w:highlight w:val="none"/>
        </w:rPr>
      </w:pPr>
      <w:r>
        <w:rPr>
          <w:rFonts w:hint="eastAsia" w:ascii="宋体" w:hAnsi="宋体" w:cs="宋体"/>
          <w:color w:val="auto"/>
          <w:highlight w:val="none"/>
        </w:rPr>
        <w:t>5.2 投标人应当在投标截止时间前，通过</w:t>
      </w:r>
      <w:r>
        <w:rPr>
          <w:rFonts w:hint="eastAsia" w:ascii="宋体" w:hAnsi="宋体" w:cs="宋体"/>
          <w:color w:val="auto"/>
          <w:highlight w:val="none"/>
          <w:u w:val="single"/>
        </w:rPr>
        <w:t>辽宁工程咨询招投标交易平台（投标盲盒工具</w:t>
      </w:r>
      <w:r>
        <w:rPr>
          <w:color w:val="auto"/>
          <w:highlight w:val="none"/>
          <w:u w:val="single"/>
        </w:rPr>
        <w:fldChar w:fldCharType="begin"/>
      </w:r>
      <w:r>
        <w:rPr>
          <w:color w:val="auto"/>
          <w:highlight w:val="none"/>
          <w:u w:val="single"/>
        </w:rPr>
        <w:instrText xml:space="preserve"> HYPERLINK "https://dts.Inzb.com:8888/zjt-bid/。5.4" </w:instrText>
      </w:r>
      <w:r>
        <w:rPr>
          <w:color w:val="auto"/>
          <w:highlight w:val="none"/>
          <w:u w:val="single"/>
        </w:rPr>
        <w:fldChar w:fldCharType="separate"/>
      </w:r>
      <w:r>
        <w:rPr>
          <w:rFonts w:hint="eastAsia" w:ascii="宋体" w:hAnsi="宋体" w:cs="宋体"/>
          <w:color w:val="auto"/>
          <w:highlight w:val="none"/>
          <w:u w:val="single"/>
        </w:rPr>
        <w:t>https://nxbox.Inzb.com:8888/#/1</w:t>
      </w:r>
      <w:r>
        <w:rPr>
          <w:rFonts w:hint="eastAsia" w:ascii="宋体" w:hAnsi="宋体" w:cs="宋体"/>
          <w:color w:val="auto"/>
          <w:highlight w:val="none"/>
          <w:u w:val="single"/>
        </w:rPr>
        <w:fldChar w:fldCharType="end"/>
      </w:r>
      <w:r>
        <w:rPr>
          <w:color w:val="auto"/>
          <w:highlight w:val="none"/>
          <w:u w:val="single"/>
        </w:rPr>
        <w:fldChar w:fldCharType="begin"/>
      </w:r>
      <w:r>
        <w:rPr>
          <w:color w:val="auto"/>
          <w:highlight w:val="none"/>
          <w:u w:val="single"/>
        </w:rPr>
        <w:instrText xml:space="preserve"> HYPERLINK "https://dts.Inzb.com:8888/zjt-bid/。5.4" </w:instrText>
      </w:r>
      <w:r>
        <w:rPr>
          <w:color w:val="auto"/>
          <w:highlight w:val="none"/>
          <w:u w:val="single"/>
        </w:rPr>
        <w:fldChar w:fldCharType="separate"/>
      </w:r>
      <w:r>
        <w:rPr>
          <w:rFonts w:hint="eastAsia" w:ascii="宋体" w:hAnsi="宋体" w:cs="宋体"/>
          <w:color w:val="auto"/>
          <w:highlight w:val="none"/>
          <w:u w:val="single"/>
        </w:rPr>
        <w:t>ogin</w:t>
      </w:r>
      <w:r>
        <w:rPr>
          <w:rFonts w:hint="eastAsia" w:ascii="宋体" w:hAnsi="宋体" w:cs="宋体"/>
          <w:color w:val="auto"/>
          <w:highlight w:val="none"/>
          <w:u w:val="single"/>
        </w:rPr>
        <w:fldChar w:fldCharType="end"/>
      </w:r>
      <w:r>
        <w:rPr>
          <w:rFonts w:hint="eastAsia" w:ascii="宋体" w:hAnsi="宋体" w:cs="宋体"/>
          <w:color w:val="auto"/>
          <w:highlight w:val="none"/>
          <w:u w:val="single"/>
        </w:rPr>
        <w:t>）</w:t>
      </w:r>
      <w:r>
        <w:rPr>
          <w:rFonts w:hint="eastAsia" w:ascii="宋体" w:hAnsi="宋体" w:cs="宋体"/>
          <w:color w:val="auto"/>
          <w:highlight w:val="none"/>
        </w:rPr>
        <w:t>，选择所投标段将加密的电子投标文件上传。投标人完成投标文件上传后，电子交易系统向投标人发出电子签收凭证，递交时间以电子签收凭证载明的时间为准。逾期未完成上传或未加密的电子投标文件，招标人（电子交易系统）将拒收其投标文件。</w:t>
      </w:r>
    </w:p>
    <w:p w14:paraId="312A0F7A">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hAnsi="宋体" w:cs="宋体"/>
          <w:color w:val="auto"/>
          <w:highlight w:val="none"/>
        </w:rPr>
      </w:pPr>
      <w:r>
        <w:rPr>
          <w:rFonts w:hint="eastAsia" w:ascii="宋体" w:hAnsi="宋体" w:cs="宋体"/>
          <w:color w:val="auto"/>
          <w:highlight w:val="none"/>
        </w:rPr>
        <w:t>5.3开标地点：</w:t>
      </w:r>
      <w:r>
        <w:rPr>
          <w:rFonts w:ascii="Arial" w:hAnsi="Arial" w:cs="Arial"/>
          <w:color w:val="auto"/>
          <w:highlight w:val="none"/>
          <w:u w:val="single"/>
        </w:rPr>
        <w:t>辽宁省工程建设项目数字化开评标系统</w:t>
      </w:r>
      <w:r>
        <w:rPr>
          <w:color w:val="auto"/>
          <w:highlight w:val="none"/>
        </w:rPr>
        <w:fldChar w:fldCharType="begin"/>
      </w:r>
      <w:r>
        <w:rPr>
          <w:color w:val="auto"/>
          <w:highlight w:val="none"/>
        </w:rPr>
        <w:instrText xml:space="preserve"> HYPERLINK "https://dts.Inzb.com:8888/zjt-bid/。5.4" </w:instrText>
      </w:r>
      <w:r>
        <w:rPr>
          <w:color w:val="auto"/>
          <w:highlight w:val="none"/>
        </w:rPr>
        <w:fldChar w:fldCharType="separate"/>
      </w:r>
      <w:r>
        <w:rPr>
          <w:rFonts w:ascii="Arial" w:hAnsi="Arial" w:cs="Arial"/>
          <w:color w:val="auto"/>
          <w:highlight w:val="none"/>
          <w:u w:val="single"/>
        </w:rPr>
        <w:t>https://dts.Inzb.com:8888/zjt-bid/。</w:t>
      </w:r>
      <w:r>
        <w:rPr>
          <w:rFonts w:ascii="Arial" w:hAnsi="Arial" w:cs="Arial"/>
          <w:color w:val="auto"/>
          <w:highlight w:val="none"/>
          <w:u w:val="single"/>
        </w:rPr>
        <w:fldChar w:fldCharType="end"/>
      </w:r>
    </w:p>
    <w:p w14:paraId="32948A19">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hAnsi="宋体" w:cs="宋体"/>
          <w:color w:val="auto"/>
          <w:highlight w:val="none"/>
        </w:rPr>
      </w:pPr>
      <w:r>
        <w:rPr>
          <w:color w:val="auto"/>
          <w:highlight w:val="none"/>
        </w:rPr>
        <w:fldChar w:fldCharType="begin"/>
      </w:r>
      <w:r>
        <w:rPr>
          <w:color w:val="auto"/>
          <w:highlight w:val="none"/>
        </w:rPr>
        <w:instrText xml:space="preserve"> HYPERLINK "https://dts.Inzb.com:8888/zjt-bid/。5.4" </w:instrText>
      </w:r>
      <w:r>
        <w:rPr>
          <w:color w:val="auto"/>
          <w:highlight w:val="none"/>
        </w:rPr>
        <w:fldChar w:fldCharType="separate"/>
      </w:r>
      <w:r>
        <w:rPr>
          <w:rFonts w:hint="eastAsia" w:ascii="宋体" w:hAnsi="宋体" w:cs="宋体"/>
          <w:color w:val="auto"/>
          <w:highlight w:val="none"/>
        </w:rPr>
        <w:t>5.4</w:t>
      </w:r>
      <w:r>
        <w:rPr>
          <w:rFonts w:hint="eastAsia" w:ascii="宋体" w:hAnsi="宋体" w:cs="宋体"/>
          <w:color w:val="auto"/>
          <w:highlight w:val="none"/>
        </w:rPr>
        <w:fldChar w:fldCharType="end"/>
      </w:r>
      <w:r>
        <w:rPr>
          <w:rFonts w:hint="eastAsia" w:ascii="宋体" w:hAnsi="宋体" w:cs="宋体"/>
          <w:color w:val="auto"/>
          <w:highlight w:val="none"/>
        </w:rPr>
        <w:t>开标方式：</w:t>
      </w:r>
      <w:r>
        <w:rPr>
          <w:rFonts w:hint="eastAsia" w:ascii="宋体" w:hAnsi="宋体" w:cs="宋体"/>
          <w:color w:val="auto"/>
          <w:highlight w:val="none"/>
          <w:u w:val="single"/>
        </w:rPr>
        <w:t>远程不见面（请按招标文件规定时间登录“辽宁省工程建设项目数字化开标评标系统（https://dts.lnzb.com:8888/zjt-bid/）”进行解密）</w:t>
      </w:r>
      <w:r>
        <w:rPr>
          <w:rFonts w:hint="eastAsia" w:ascii="宋体" w:hAnsi="宋体" w:cs="宋体"/>
          <w:color w:val="auto"/>
          <w:highlight w:val="none"/>
        </w:rPr>
        <w:t>。</w:t>
      </w:r>
    </w:p>
    <w:p w14:paraId="6992AC67">
      <w:pPr>
        <w:keepNext w:val="0"/>
        <w:keepLines w:val="0"/>
        <w:pageBreakBefore w:val="0"/>
        <w:kinsoku/>
        <w:wordWrap/>
        <w:overflowPunct/>
        <w:topLinePunct w:val="0"/>
        <w:autoSpaceDE/>
        <w:autoSpaceDN/>
        <w:bidi w:val="0"/>
        <w:adjustRightInd/>
        <w:snapToGrid/>
        <w:spacing w:before="116" w:line="360" w:lineRule="auto"/>
        <w:ind w:left="22"/>
        <w:textAlignment w:val="auto"/>
        <w:outlineLvl w:val="1"/>
        <w:rPr>
          <w:rFonts w:ascii="黑体" w:hAnsi="黑体" w:eastAsia="黑体" w:cs="黑体"/>
          <w:color w:val="auto"/>
          <w:sz w:val="24"/>
          <w:highlight w:val="none"/>
        </w:rPr>
      </w:pPr>
      <w:bookmarkStart w:id="23" w:name="_Toc32537"/>
      <w:bookmarkStart w:id="24" w:name="_Toc17647"/>
      <w:r>
        <w:rPr>
          <w:rFonts w:eastAsia="Times New Roman"/>
          <w:color w:val="auto"/>
          <w:spacing w:val="-2"/>
          <w:sz w:val="24"/>
          <w:highlight w:val="none"/>
        </w:rPr>
        <w:t>6</w:t>
      </w:r>
      <w:r>
        <w:rPr>
          <w:rFonts w:hint="eastAsia"/>
          <w:color w:val="auto"/>
          <w:spacing w:val="-2"/>
          <w:sz w:val="24"/>
          <w:highlight w:val="none"/>
          <w:lang w:val="en-US" w:eastAsia="zh-CN"/>
        </w:rPr>
        <w:t>.</w:t>
      </w:r>
      <w:r>
        <w:rPr>
          <w:rFonts w:ascii="黑体" w:hAnsi="黑体" w:eastAsia="黑体" w:cs="黑体"/>
          <w:color w:val="auto"/>
          <w:spacing w:val="-2"/>
          <w:sz w:val="24"/>
          <w:highlight w:val="none"/>
        </w:rPr>
        <w:t>投标相关事宜</w:t>
      </w:r>
      <w:bookmarkEnd w:id="23"/>
      <w:bookmarkEnd w:id="24"/>
    </w:p>
    <w:p w14:paraId="33304159">
      <w:pPr>
        <w:keepNext w:val="0"/>
        <w:keepLines w:val="0"/>
        <w:pageBreakBefore w:val="0"/>
        <w:kinsoku/>
        <w:wordWrap/>
        <w:overflowPunct/>
        <w:topLinePunct w:val="0"/>
        <w:autoSpaceDE/>
        <w:autoSpaceDN/>
        <w:bidi w:val="0"/>
        <w:adjustRightInd/>
        <w:snapToGrid/>
        <w:spacing w:before="213" w:line="360" w:lineRule="auto"/>
        <w:ind w:left="20"/>
        <w:textAlignment w:val="auto"/>
        <w:outlineLvl w:val="9"/>
        <w:rPr>
          <w:rFonts w:hint="default" w:eastAsia="宋体"/>
          <w:color w:val="auto"/>
          <w:spacing w:val="-2"/>
          <w:sz w:val="24"/>
          <w:highlight w:val="none"/>
          <w:u w:val="single"/>
          <w:lang w:val="en-US" w:eastAsia="zh-CN"/>
        </w:rPr>
      </w:pPr>
      <w:bookmarkStart w:id="25" w:name="bookmark10"/>
      <w:bookmarkEnd w:id="25"/>
      <w:bookmarkStart w:id="26" w:name="_Toc24760"/>
      <w:r>
        <w:rPr>
          <w:rFonts w:hint="eastAsia"/>
          <w:color w:val="auto"/>
          <w:spacing w:val="-2"/>
          <w:sz w:val="24"/>
          <w:highlight w:val="none"/>
          <w:u w:val="single"/>
          <w:lang w:val="en-US" w:eastAsia="zh-CN"/>
        </w:rPr>
        <w:t xml:space="preserve">    /   </w:t>
      </w:r>
    </w:p>
    <w:p w14:paraId="562B0A21">
      <w:pPr>
        <w:keepNext w:val="0"/>
        <w:keepLines w:val="0"/>
        <w:pageBreakBefore w:val="0"/>
        <w:kinsoku/>
        <w:wordWrap/>
        <w:overflowPunct/>
        <w:topLinePunct w:val="0"/>
        <w:autoSpaceDE/>
        <w:autoSpaceDN/>
        <w:bidi w:val="0"/>
        <w:adjustRightInd/>
        <w:snapToGrid/>
        <w:spacing w:before="213" w:line="360" w:lineRule="auto"/>
        <w:ind w:left="20"/>
        <w:textAlignment w:val="auto"/>
        <w:outlineLvl w:val="1"/>
        <w:rPr>
          <w:rFonts w:ascii="黑体" w:hAnsi="黑体" w:eastAsia="黑体" w:cs="黑体"/>
          <w:color w:val="auto"/>
          <w:sz w:val="24"/>
          <w:highlight w:val="none"/>
        </w:rPr>
      </w:pPr>
      <w:bookmarkStart w:id="27" w:name="_Toc18025"/>
      <w:r>
        <w:rPr>
          <w:rFonts w:eastAsia="Times New Roman"/>
          <w:color w:val="auto"/>
          <w:spacing w:val="-2"/>
          <w:sz w:val="24"/>
          <w:highlight w:val="none"/>
        </w:rPr>
        <w:t>7</w:t>
      </w:r>
      <w:r>
        <w:rPr>
          <w:rFonts w:hint="eastAsia"/>
          <w:color w:val="auto"/>
          <w:spacing w:val="-2"/>
          <w:sz w:val="24"/>
          <w:highlight w:val="none"/>
          <w:lang w:val="en-US" w:eastAsia="zh-CN"/>
        </w:rPr>
        <w:t>.</w:t>
      </w:r>
      <w:r>
        <w:rPr>
          <w:rFonts w:ascii="黑体" w:hAnsi="黑体" w:eastAsia="黑体" w:cs="黑体"/>
          <w:color w:val="auto"/>
          <w:spacing w:val="-2"/>
          <w:sz w:val="24"/>
          <w:highlight w:val="none"/>
        </w:rPr>
        <w:t>评标办法</w:t>
      </w:r>
      <w:bookmarkEnd w:id="26"/>
      <w:bookmarkEnd w:id="27"/>
    </w:p>
    <w:p w14:paraId="75A3F638">
      <w:pPr>
        <w:keepNext w:val="0"/>
        <w:keepLines w:val="0"/>
        <w:pageBreakBefore w:val="0"/>
        <w:kinsoku/>
        <w:wordWrap/>
        <w:overflowPunct/>
        <w:topLinePunct w:val="0"/>
        <w:autoSpaceDE/>
        <w:autoSpaceDN/>
        <w:bidi w:val="0"/>
        <w:adjustRightInd/>
        <w:snapToGrid/>
        <w:spacing w:before="143" w:line="360" w:lineRule="auto"/>
        <w:ind w:left="457"/>
        <w:textAlignment w:val="auto"/>
        <w:rPr>
          <w:rFonts w:ascii="宋体" w:hAnsi="宋体" w:cs="宋体"/>
          <w:color w:val="auto"/>
          <w:szCs w:val="21"/>
          <w:highlight w:val="none"/>
        </w:rPr>
      </w:pPr>
      <w:r>
        <w:rPr>
          <w:rFonts w:ascii="宋体" w:hAnsi="宋体" w:cs="宋体"/>
          <w:color w:val="auto"/>
          <w:szCs w:val="21"/>
          <w:highlight w:val="none"/>
        </w:rPr>
        <w:t>本次招标评标办法采用</w:t>
      </w:r>
      <w:r>
        <w:rPr>
          <w:rFonts w:ascii="宋体" w:hAnsi="宋体" w:cs="宋体"/>
          <w:color w:val="auto"/>
          <w:szCs w:val="21"/>
          <w:highlight w:val="none"/>
          <w:u w:val="single"/>
        </w:rPr>
        <w:t xml:space="preserve"> 综合评估法</w:t>
      </w:r>
      <w:r>
        <w:rPr>
          <w:rFonts w:hint="eastAsia" w:ascii="宋体" w:hAnsi="宋体" w:cs="宋体"/>
          <w:color w:val="auto"/>
          <w:szCs w:val="21"/>
          <w:highlight w:val="none"/>
          <w:u w:val="single"/>
          <w:lang w:val="en-US" w:eastAsia="zh-CN"/>
        </w:rPr>
        <w:t xml:space="preserve"> </w:t>
      </w:r>
      <w:r>
        <w:rPr>
          <w:rFonts w:ascii="宋体" w:hAnsi="宋体" w:cs="宋体"/>
          <w:color w:val="auto"/>
          <w:spacing w:val="-1"/>
          <w:szCs w:val="21"/>
          <w:highlight w:val="none"/>
        </w:rPr>
        <w:t>。</w:t>
      </w:r>
    </w:p>
    <w:p w14:paraId="3AAA7E41">
      <w:pPr>
        <w:keepNext w:val="0"/>
        <w:keepLines w:val="0"/>
        <w:pageBreakBefore w:val="0"/>
        <w:kinsoku/>
        <w:wordWrap/>
        <w:overflowPunct/>
        <w:topLinePunct w:val="0"/>
        <w:autoSpaceDE/>
        <w:autoSpaceDN/>
        <w:bidi w:val="0"/>
        <w:adjustRightInd/>
        <w:snapToGrid/>
        <w:spacing w:before="130" w:line="360" w:lineRule="auto"/>
        <w:ind w:left="26"/>
        <w:textAlignment w:val="auto"/>
        <w:outlineLvl w:val="1"/>
        <w:rPr>
          <w:rFonts w:ascii="黑体" w:hAnsi="黑体" w:eastAsia="黑体" w:cs="黑体"/>
          <w:color w:val="auto"/>
          <w:sz w:val="24"/>
          <w:highlight w:val="none"/>
        </w:rPr>
      </w:pPr>
      <w:bookmarkStart w:id="28" w:name="bookmark11"/>
      <w:bookmarkEnd w:id="28"/>
      <w:bookmarkStart w:id="29" w:name="_Toc19913"/>
      <w:bookmarkStart w:id="30" w:name="_Toc12172"/>
      <w:r>
        <w:rPr>
          <w:rFonts w:eastAsia="Times New Roman"/>
          <w:color w:val="auto"/>
          <w:spacing w:val="-2"/>
          <w:sz w:val="24"/>
          <w:highlight w:val="none"/>
        </w:rPr>
        <w:t>8</w:t>
      </w:r>
      <w:r>
        <w:rPr>
          <w:rFonts w:hint="eastAsia"/>
          <w:color w:val="auto"/>
          <w:spacing w:val="-2"/>
          <w:sz w:val="24"/>
          <w:highlight w:val="none"/>
          <w:lang w:val="en-US" w:eastAsia="zh-CN"/>
        </w:rPr>
        <w:t>.</w:t>
      </w:r>
      <w:r>
        <w:rPr>
          <w:rFonts w:ascii="黑体" w:hAnsi="黑体" w:eastAsia="黑体" w:cs="黑体"/>
          <w:color w:val="auto"/>
          <w:spacing w:val="-2"/>
          <w:sz w:val="24"/>
          <w:highlight w:val="none"/>
        </w:rPr>
        <w:t>发布公告的媒介</w:t>
      </w:r>
      <w:bookmarkEnd w:id="29"/>
      <w:bookmarkEnd w:id="30"/>
    </w:p>
    <w:p w14:paraId="40DB87DA">
      <w:pPr>
        <w:keepNext w:val="0"/>
        <w:keepLines w:val="0"/>
        <w:pageBreakBefore w:val="0"/>
        <w:kinsoku/>
        <w:wordWrap/>
        <w:overflowPunct/>
        <w:topLinePunct w:val="0"/>
        <w:autoSpaceDE/>
        <w:autoSpaceDN/>
        <w:bidi w:val="0"/>
        <w:adjustRightInd/>
        <w:snapToGrid/>
        <w:spacing w:before="1" w:line="360" w:lineRule="auto"/>
        <w:ind w:left="21" w:firstLine="420" w:firstLineChars="200"/>
        <w:textAlignment w:val="auto"/>
        <w:outlineLvl w:val="9"/>
        <w:rPr>
          <w:rFonts w:ascii="宋体" w:hAnsi="宋体" w:cs="宋体"/>
          <w:color w:val="auto"/>
          <w:szCs w:val="21"/>
          <w:highlight w:val="none"/>
          <w:u w:val="single"/>
        </w:rPr>
      </w:pPr>
      <w:bookmarkStart w:id="31" w:name="bookmark12"/>
      <w:bookmarkEnd w:id="31"/>
      <w:bookmarkStart w:id="32" w:name="_Toc20286"/>
      <w:r>
        <w:rPr>
          <w:rFonts w:hint="eastAsia" w:ascii="宋体" w:hAnsi="宋体" w:cs="宋体"/>
          <w:color w:val="auto"/>
          <w:szCs w:val="21"/>
          <w:highlight w:val="none"/>
          <w:u w:val="single"/>
        </w:rPr>
        <w:t>辽宁省招标投标监管网、辽宁建设工程信息网。</w:t>
      </w:r>
      <w:bookmarkEnd w:id="32"/>
    </w:p>
    <w:p w14:paraId="3D0E9157">
      <w:pPr>
        <w:keepNext w:val="0"/>
        <w:keepLines w:val="0"/>
        <w:pageBreakBefore w:val="0"/>
        <w:kinsoku/>
        <w:wordWrap/>
        <w:overflowPunct/>
        <w:topLinePunct w:val="0"/>
        <w:autoSpaceDE/>
        <w:autoSpaceDN/>
        <w:bidi w:val="0"/>
        <w:adjustRightInd/>
        <w:snapToGrid/>
        <w:spacing w:before="1" w:line="360" w:lineRule="auto"/>
        <w:ind w:left="21"/>
        <w:textAlignment w:val="auto"/>
        <w:outlineLvl w:val="1"/>
        <w:rPr>
          <w:rFonts w:ascii="黑体" w:hAnsi="黑体" w:eastAsia="黑体" w:cs="黑体"/>
          <w:color w:val="auto"/>
          <w:sz w:val="24"/>
          <w:highlight w:val="none"/>
        </w:rPr>
      </w:pPr>
      <w:bookmarkStart w:id="33" w:name="_Toc13714"/>
      <w:bookmarkStart w:id="34" w:name="_Toc2084"/>
      <w:r>
        <w:rPr>
          <w:rFonts w:eastAsia="Times New Roman"/>
          <w:color w:val="auto"/>
          <w:spacing w:val="-2"/>
          <w:sz w:val="24"/>
          <w:highlight w:val="none"/>
        </w:rPr>
        <w:t>9</w:t>
      </w:r>
      <w:r>
        <w:rPr>
          <w:rFonts w:hint="eastAsia"/>
          <w:color w:val="auto"/>
          <w:spacing w:val="-2"/>
          <w:sz w:val="24"/>
          <w:highlight w:val="none"/>
          <w:lang w:val="en-US" w:eastAsia="zh-CN"/>
        </w:rPr>
        <w:t>.</w:t>
      </w:r>
      <w:r>
        <w:rPr>
          <w:rFonts w:ascii="黑体" w:hAnsi="黑体" w:eastAsia="黑体" w:cs="黑体"/>
          <w:color w:val="auto"/>
          <w:spacing w:val="-2"/>
          <w:sz w:val="24"/>
          <w:highlight w:val="none"/>
        </w:rPr>
        <w:t>监督信息</w:t>
      </w:r>
      <w:bookmarkEnd w:id="33"/>
      <w:bookmarkEnd w:id="34"/>
    </w:p>
    <w:p w14:paraId="7B46ECAA">
      <w:pPr>
        <w:keepNext w:val="0"/>
        <w:keepLines w:val="0"/>
        <w:pageBreakBefore w:val="0"/>
        <w:kinsoku/>
        <w:wordWrap/>
        <w:overflowPunct/>
        <w:topLinePunct w:val="0"/>
        <w:autoSpaceDE/>
        <w:autoSpaceDN/>
        <w:bidi w:val="0"/>
        <w:adjustRightInd/>
        <w:snapToGrid/>
        <w:spacing w:before="95" w:line="360" w:lineRule="auto"/>
        <w:ind w:firstLine="416" w:firstLineChars="200"/>
        <w:textAlignment w:val="auto"/>
        <w:rPr>
          <w:rFonts w:ascii="宋体" w:hAnsi="宋体" w:cs="宋体"/>
          <w:color w:val="auto"/>
          <w:szCs w:val="21"/>
          <w:highlight w:val="none"/>
        </w:rPr>
      </w:pPr>
      <w:r>
        <w:rPr>
          <w:rFonts w:hint="eastAsia" w:ascii="宋体" w:hAnsi="宋体" w:cs="宋体"/>
          <w:color w:val="auto"/>
          <w:spacing w:val="-1"/>
          <w:szCs w:val="21"/>
          <w:highlight w:val="none"/>
        </w:rPr>
        <w:t>9.</w:t>
      </w:r>
      <w:r>
        <w:rPr>
          <w:rFonts w:ascii="宋体" w:hAnsi="宋体" w:cs="宋体"/>
          <w:color w:val="auto"/>
          <w:spacing w:val="-1"/>
          <w:szCs w:val="21"/>
          <w:highlight w:val="none"/>
        </w:rPr>
        <w:t>1</w:t>
      </w:r>
      <w:r>
        <w:rPr>
          <w:rFonts w:hint="eastAsia" w:ascii="宋体" w:hAnsi="宋体" w:cs="宋体"/>
          <w:color w:val="auto"/>
          <w:spacing w:val="-1"/>
          <w:szCs w:val="21"/>
          <w:highlight w:val="none"/>
          <w:lang w:val="en-US" w:eastAsia="zh-CN"/>
        </w:rPr>
        <w:t>.</w:t>
      </w:r>
      <w:r>
        <w:rPr>
          <w:rFonts w:ascii="宋体" w:hAnsi="宋体" w:cs="宋体"/>
          <w:color w:val="auto"/>
          <w:spacing w:val="-1"/>
          <w:szCs w:val="21"/>
          <w:highlight w:val="none"/>
        </w:rPr>
        <w:t>监督部门</w:t>
      </w:r>
      <w:r>
        <w:rPr>
          <w:rFonts w:ascii="宋体" w:hAnsi="宋体" w:cs="宋体"/>
          <w:color w:val="auto"/>
          <w:spacing w:val="-6"/>
          <w:szCs w:val="21"/>
          <w:highlight w:val="none"/>
        </w:rPr>
        <w:t>：</w:t>
      </w:r>
      <w:r>
        <w:rPr>
          <w:rFonts w:hint="eastAsia" w:ascii="宋体" w:hAnsi="宋体" w:cs="宋体"/>
          <w:color w:val="auto"/>
          <w:spacing w:val="-6"/>
          <w:szCs w:val="21"/>
          <w:highlight w:val="none"/>
          <w:u w:val="single"/>
          <w:lang w:val="en-US" w:eastAsia="zh-CN"/>
        </w:rPr>
        <w:t>营口市鲅鱼圈区城乡建设和公用事业中心</w:t>
      </w:r>
      <w:r>
        <w:rPr>
          <w:rFonts w:ascii="宋体" w:hAnsi="宋体" w:cs="宋体"/>
          <w:color w:val="auto"/>
          <w:spacing w:val="-6"/>
          <w:szCs w:val="21"/>
          <w:highlight w:val="none"/>
        </w:rPr>
        <w:t>，</w:t>
      </w:r>
      <w:r>
        <w:rPr>
          <w:rFonts w:ascii="宋体" w:hAnsi="宋体" w:cs="宋体"/>
          <w:color w:val="auto"/>
          <w:spacing w:val="-1"/>
          <w:szCs w:val="21"/>
          <w:highlight w:val="none"/>
        </w:rPr>
        <w:t>负责人</w:t>
      </w:r>
      <w:r>
        <w:rPr>
          <w:rFonts w:ascii="宋体" w:hAnsi="宋体" w:cs="宋体"/>
          <w:color w:val="auto"/>
          <w:spacing w:val="-6"/>
          <w:szCs w:val="21"/>
          <w:highlight w:val="none"/>
        </w:rPr>
        <w:t>：</w:t>
      </w:r>
      <w:r>
        <w:rPr>
          <w:rFonts w:hint="eastAsia" w:ascii="宋体" w:hAnsi="宋体" w:cs="宋体"/>
          <w:color w:val="auto"/>
          <w:spacing w:val="-6"/>
          <w:szCs w:val="21"/>
          <w:highlight w:val="none"/>
          <w:u w:val="single"/>
          <w:lang w:val="en-US" w:eastAsia="zh-CN"/>
        </w:rPr>
        <w:t>韩广</w:t>
      </w:r>
      <w:r>
        <w:rPr>
          <w:rFonts w:ascii="宋体" w:hAnsi="宋体" w:cs="宋体"/>
          <w:color w:val="auto"/>
          <w:spacing w:val="-6"/>
          <w:szCs w:val="21"/>
          <w:highlight w:val="none"/>
        </w:rPr>
        <w:t>，</w:t>
      </w:r>
      <w:r>
        <w:rPr>
          <w:rFonts w:ascii="宋体" w:hAnsi="宋体" w:cs="宋体"/>
          <w:color w:val="auto"/>
          <w:spacing w:val="-1"/>
          <w:szCs w:val="21"/>
          <w:highlight w:val="none"/>
        </w:rPr>
        <w:t>联系方式：</w:t>
      </w:r>
      <w:r>
        <w:rPr>
          <w:rFonts w:hint="eastAsia" w:ascii="宋体" w:hAnsi="宋体" w:cs="宋体"/>
          <w:color w:val="auto"/>
          <w:spacing w:val="-1"/>
          <w:szCs w:val="21"/>
          <w:highlight w:val="none"/>
          <w:u w:val="single"/>
          <w:lang w:val="en-US" w:eastAsia="zh-CN"/>
        </w:rPr>
        <w:t>0417-8225249</w:t>
      </w:r>
      <w:r>
        <w:rPr>
          <w:rFonts w:ascii="宋体" w:hAnsi="宋体" w:cs="宋体"/>
          <w:color w:val="auto"/>
          <w:spacing w:val="-1"/>
          <w:szCs w:val="21"/>
          <w:highlight w:val="none"/>
        </w:rPr>
        <w:t>。</w:t>
      </w:r>
    </w:p>
    <w:p w14:paraId="23646399">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hAnsi="宋体" w:cs="宋体"/>
          <w:color w:val="auto"/>
          <w:highlight w:val="none"/>
        </w:rPr>
      </w:pPr>
      <w:r>
        <w:rPr>
          <w:rFonts w:hint="eastAsia" w:ascii="宋体" w:hAnsi="宋体" w:cs="宋体"/>
          <w:color w:val="auto"/>
          <w:highlight w:val="none"/>
        </w:rPr>
        <w:t>9.2</w:t>
      </w:r>
      <w:r>
        <w:rPr>
          <w:rFonts w:hint="eastAsia" w:ascii="宋体" w:hAnsi="宋体" w:cs="宋体"/>
          <w:color w:val="auto"/>
          <w:highlight w:val="none"/>
          <w:lang w:val="en-US" w:eastAsia="zh-CN"/>
        </w:rPr>
        <w:t>.</w:t>
      </w:r>
      <w:r>
        <w:rPr>
          <w:rFonts w:hint="eastAsia" w:ascii="宋体" w:hAnsi="宋体" w:cs="宋体"/>
          <w:color w:val="auto"/>
          <w:highlight w:val="none"/>
        </w:rPr>
        <w:t>招标负责人：</w:t>
      </w:r>
      <w:r>
        <w:rPr>
          <w:rFonts w:hint="eastAsia" w:ascii="宋体" w:hAnsi="宋体" w:cs="宋体"/>
          <w:color w:val="auto"/>
          <w:szCs w:val="21"/>
          <w:highlight w:val="none"/>
          <w:u w:val="single"/>
          <w:lang w:val="en-US" w:eastAsia="zh-CN"/>
        </w:rPr>
        <w:t>祝威</w:t>
      </w:r>
      <w:r>
        <w:rPr>
          <w:rFonts w:hint="eastAsia" w:ascii="宋体" w:hAnsi="宋体" w:cs="宋体"/>
          <w:color w:val="auto"/>
          <w:highlight w:val="none"/>
        </w:rPr>
        <w:t>，联系方式：</w:t>
      </w:r>
      <w:r>
        <w:rPr>
          <w:rFonts w:hint="eastAsia" w:ascii="宋体" w:hAnsi="宋体" w:cs="宋体"/>
          <w:color w:val="auto"/>
          <w:szCs w:val="21"/>
          <w:highlight w:val="none"/>
          <w:u w:val="single"/>
        </w:rPr>
        <w:t>0417-</w:t>
      </w:r>
      <w:r>
        <w:rPr>
          <w:rFonts w:hint="eastAsia" w:ascii="宋体" w:hAnsi="宋体" w:cs="宋体"/>
          <w:color w:val="auto"/>
          <w:szCs w:val="21"/>
          <w:highlight w:val="none"/>
          <w:u w:val="single"/>
          <w:lang w:val="en-US" w:eastAsia="zh-CN"/>
        </w:rPr>
        <w:t>8225105</w:t>
      </w:r>
      <w:r>
        <w:rPr>
          <w:rFonts w:hint="eastAsia" w:ascii="宋体" w:hAnsi="宋体" w:cs="宋体"/>
          <w:color w:val="auto"/>
          <w:highlight w:val="none"/>
        </w:rPr>
        <w:t>。</w:t>
      </w:r>
    </w:p>
    <w:p w14:paraId="46428843">
      <w:pPr>
        <w:spacing w:before="133" w:line="232" w:lineRule="auto"/>
        <w:ind w:left="40"/>
        <w:outlineLvl w:val="1"/>
        <w:rPr>
          <w:rFonts w:ascii="黑体" w:hAnsi="黑体" w:eastAsia="黑体" w:cs="黑体"/>
          <w:color w:val="auto"/>
          <w:sz w:val="24"/>
          <w:highlight w:val="none"/>
        </w:rPr>
      </w:pPr>
      <w:bookmarkStart w:id="35" w:name="bookmark13"/>
      <w:bookmarkEnd w:id="35"/>
      <w:bookmarkStart w:id="36" w:name="_Toc27719"/>
      <w:bookmarkStart w:id="37" w:name="_Toc13419"/>
      <w:r>
        <w:rPr>
          <w:rFonts w:eastAsia="Times New Roman"/>
          <w:color w:val="auto"/>
          <w:spacing w:val="-4"/>
          <w:sz w:val="24"/>
          <w:highlight w:val="none"/>
        </w:rPr>
        <w:t>10</w:t>
      </w:r>
      <w:r>
        <w:rPr>
          <w:rFonts w:hint="eastAsia"/>
          <w:color w:val="auto"/>
          <w:spacing w:val="-4"/>
          <w:sz w:val="24"/>
          <w:highlight w:val="none"/>
          <w:lang w:val="en-US" w:eastAsia="zh-CN"/>
        </w:rPr>
        <w:t>.</w:t>
      </w:r>
      <w:r>
        <w:rPr>
          <w:rFonts w:ascii="黑体" w:hAnsi="黑体" w:eastAsia="黑体" w:cs="黑体"/>
          <w:color w:val="auto"/>
          <w:spacing w:val="-4"/>
          <w:sz w:val="24"/>
          <w:highlight w:val="none"/>
        </w:rPr>
        <w:t>联系方式</w:t>
      </w:r>
      <w:bookmarkEnd w:id="36"/>
      <w:bookmarkEnd w:id="37"/>
    </w:p>
    <w:tbl>
      <w:tblPr>
        <w:tblStyle w:val="43"/>
        <w:tblW w:w="499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71"/>
        <w:gridCol w:w="4273"/>
      </w:tblGrid>
      <w:tr w14:paraId="3055D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499" w:type="pct"/>
            <w:noWrap w:val="0"/>
            <w:vAlign w:val="top"/>
          </w:tcPr>
          <w:p w14:paraId="23351CE6">
            <w:pPr>
              <w:spacing w:line="400" w:lineRule="exact"/>
              <w:ind w:firstLine="420" w:firstLineChars="200"/>
              <w:rPr>
                <w:rFonts w:hint="eastAsia" w:ascii="宋体" w:hAnsi="宋体" w:eastAsia="宋体" w:cs="宋体"/>
                <w:color w:val="auto"/>
                <w:kern w:val="0"/>
                <w:sz w:val="21"/>
                <w:szCs w:val="21"/>
                <w:highlight w:val="none"/>
                <w:vertAlign w:val="baseline"/>
              </w:rPr>
            </w:pPr>
            <w:r>
              <w:rPr>
                <w:rFonts w:hint="eastAsia" w:ascii="宋体" w:hAnsi="宋体" w:eastAsia="宋体" w:cs="宋体"/>
                <w:color w:val="auto"/>
                <w:sz w:val="21"/>
                <w:szCs w:val="21"/>
                <w:highlight w:val="none"/>
              </w:rPr>
              <w:t>招</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标</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人：</w:t>
            </w:r>
            <w:r>
              <w:rPr>
                <w:rFonts w:hint="eastAsia" w:ascii="宋体" w:hAnsi="宋体" w:eastAsia="宋体" w:cs="宋体"/>
                <w:color w:val="auto"/>
                <w:sz w:val="21"/>
                <w:szCs w:val="21"/>
                <w:highlight w:val="none"/>
                <w:u w:val="single"/>
                <w:lang w:eastAsia="zh-CN"/>
              </w:rPr>
              <w:t>营口市鲅鱼圈区住房和城乡建设局</w:t>
            </w:r>
          </w:p>
        </w:tc>
        <w:tc>
          <w:tcPr>
            <w:tcW w:w="2500" w:type="pct"/>
            <w:noWrap w:val="0"/>
            <w:vAlign w:val="top"/>
          </w:tcPr>
          <w:p w14:paraId="6DC23184">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宋体" w:hAnsi="宋体" w:eastAsia="宋体" w:cs="宋体"/>
                <w:color w:val="auto"/>
                <w:kern w:val="0"/>
                <w:sz w:val="21"/>
                <w:szCs w:val="21"/>
                <w:highlight w:val="none"/>
                <w:vertAlign w:val="baseline"/>
              </w:rPr>
            </w:pPr>
            <w:r>
              <w:rPr>
                <w:rFonts w:hint="eastAsia" w:ascii="宋体" w:hAnsi="宋体" w:eastAsia="宋体" w:cs="宋体"/>
                <w:color w:val="auto"/>
                <w:sz w:val="21"/>
                <w:szCs w:val="21"/>
                <w:highlight w:val="none"/>
              </w:rPr>
              <w:t>招标代理机构：</w:t>
            </w:r>
            <w:r>
              <w:rPr>
                <w:rFonts w:hint="eastAsia" w:ascii="宋体" w:hAnsi="宋体" w:eastAsia="宋体" w:cs="宋体"/>
                <w:color w:val="auto"/>
                <w:sz w:val="21"/>
                <w:szCs w:val="21"/>
                <w:highlight w:val="none"/>
                <w:u w:val="single"/>
                <w:lang w:eastAsia="zh-CN"/>
              </w:rPr>
              <w:t>辽宁方唯建设管理有限公司</w:t>
            </w:r>
          </w:p>
        </w:tc>
      </w:tr>
      <w:tr w14:paraId="491E7C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2499" w:type="pct"/>
            <w:noWrap w:val="0"/>
            <w:vAlign w:val="top"/>
          </w:tcPr>
          <w:p w14:paraId="32B9F663">
            <w:pPr>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址：</w:t>
            </w:r>
            <w:r>
              <w:rPr>
                <w:rFonts w:hint="eastAsia" w:ascii="宋体" w:hAnsi="宋体" w:eastAsia="宋体" w:cs="宋体"/>
                <w:color w:val="auto"/>
                <w:sz w:val="21"/>
                <w:szCs w:val="21"/>
                <w:highlight w:val="none"/>
                <w:u w:val="single"/>
              </w:rPr>
              <w:t>营口市鲅鱼圈区华晟社区16号</w:t>
            </w:r>
          </w:p>
        </w:tc>
        <w:tc>
          <w:tcPr>
            <w:tcW w:w="2500" w:type="pct"/>
            <w:noWrap w:val="0"/>
            <w:vAlign w:val="top"/>
          </w:tcPr>
          <w:p w14:paraId="50C3E43F">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eastAsia" w:ascii="宋体" w:hAnsi="宋体" w:eastAsia="宋体" w:cs="宋体"/>
                <w:color w:val="auto"/>
                <w:kern w:val="0"/>
                <w:sz w:val="21"/>
                <w:szCs w:val="21"/>
                <w:highlight w:val="none"/>
                <w:vertAlign w:val="baseline"/>
              </w:rPr>
            </w:pPr>
            <w:r>
              <w:rPr>
                <w:rFonts w:hint="eastAsia" w:ascii="宋体" w:hAnsi="宋体" w:eastAsia="宋体" w:cs="宋体"/>
                <w:color w:val="auto"/>
                <w:kern w:val="0"/>
                <w:sz w:val="21"/>
                <w:szCs w:val="21"/>
                <w:highlight w:val="none"/>
              </w:rPr>
              <w:t>地   址：</w:t>
            </w:r>
            <w:r>
              <w:rPr>
                <w:rFonts w:hint="eastAsia" w:ascii="宋体" w:hAnsi="宋体" w:eastAsia="宋体" w:cs="宋体"/>
                <w:color w:val="auto"/>
                <w:kern w:val="0"/>
                <w:sz w:val="21"/>
                <w:szCs w:val="21"/>
                <w:highlight w:val="none"/>
                <w:u w:val="single"/>
              </w:rPr>
              <w:t>辽宁省营口市鲅鱼圈区工业园32-绿色时代白云小区-2#门市</w:t>
            </w:r>
          </w:p>
        </w:tc>
      </w:tr>
      <w:tr w14:paraId="17FDB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99" w:type="pct"/>
            <w:noWrap w:val="0"/>
            <w:vAlign w:val="top"/>
          </w:tcPr>
          <w:p w14:paraId="7517C23E">
            <w:pPr>
              <w:spacing w:line="4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邮</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编：</w:t>
            </w:r>
            <w:r>
              <w:rPr>
                <w:rFonts w:hint="eastAsia" w:ascii="宋体" w:hAnsi="宋体" w:eastAsia="宋体" w:cs="宋体"/>
                <w:color w:val="auto"/>
                <w:sz w:val="21"/>
                <w:szCs w:val="21"/>
                <w:highlight w:val="none"/>
                <w:u w:val="single"/>
              </w:rPr>
              <w:t>115007</w:t>
            </w:r>
          </w:p>
        </w:tc>
        <w:tc>
          <w:tcPr>
            <w:tcW w:w="2500" w:type="pct"/>
            <w:noWrap w:val="0"/>
            <w:vAlign w:val="top"/>
          </w:tcPr>
          <w:p w14:paraId="4B08DE8B">
            <w:pPr>
              <w:spacing w:line="40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邮</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编：</w:t>
            </w:r>
            <w:r>
              <w:rPr>
                <w:rFonts w:hint="eastAsia" w:ascii="宋体" w:hAnsi="宋体" w:eastAsia="宋体" w:cs="宋体"/>
                <w:color w:val="auto"/>
                <w:sz w:val="21"/>
                <w:szCs w:val="21"/>
                <w:highlight w:val="none"/>
                <w:u w:val="single"/>
              </w:rPr>
              <w:t>115007</w:t>
            </w:r>
          </w:p>
        </w:tc>
      </w:tr>
      <w:tr w14:paraId="32CD3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99" w:type="pct"/>
            <w:noWrap w:val="0"/>
            <w:vAlign w:val="top"/>
          </w:tcPr>
          <w:p w14:paraId="19B7F06C">
            <w:pPr>
              <w:spacing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联</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系</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人：</w:t>
            </w:r>
            <w:r>
              <w:rPr>
                <w:rFonts w:hint="eastAsia" w:ascii="宋体" w:hAnsi="宋体" w:cs="宋体"/>
                <w:color w:val="auto"/>
                <w:sz w:val="21"/>
                <w:szCs w:val="21"/>
                <w:highlight w:val="none"/>
                <w:u w:val="single"/>
                <w:lang w:eastAsia="zh-CN"/>
              </w:rPr>
              <w:t>祝威</w:t>
            </w:r>
          </w:p>
        </w:tc>
        <w:tc>
          <w:tcPr>
            <w:tcW w:w="2500" w:type="pct"/>
            <w:noWrap w:val="0"/>
            <w:vAlign w:val="top"/>
          </w:tcPr>
          <w:p w14:paraId="5B5B59EC">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联</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系</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人：</w:t>
            </w:r>
            <w:r>
              <w:rPr>
                <w:rFonts w:hint="eastAsia" w:ascii="宋体" w:hAnsi="宋体" w:eastAsia="宋体" w:cs="宋体"/>
                <w:color w:val="auto"/>
                <w:sz w:val="21"/>
                <w:szCs w:val="21"/>
                <w:highlight w:val="none"/>
                <w:u w:val="single"/>
                <w:lang w:val="en-US" w:eastAsia="zh-CN"/>
              </w:rPr>
              <w:t>王均伟</w:t>
            </w:r>
          </w:p>
        </w:tc>
      </w:tr>
      <w:tr w14:paraId="076E6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99" w:type="pct"/>
            <w:noWrap w:val="0"/>
            <w:vAlign w:val="top"/>
          </w:tcPr>
          <w:p w14:paraId="22104473">
            <w:pPr>
              <w:spacing w:line="4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电    话：</w:t>
            </w:r>
            <w:r>
              <w:rPr>
                <w:rFonts w:hint="eastAsia" w:ascii="宋体" w:hAnsi="宋体" w:eastAsia="宋体" w:cs="宋体"/>
                <w:color w:val="auto"/>
                <w:sz w:val="21"/>
                <w:szCs w:val="21"/>
                <w:highlight w:val="none"/>
                <w:u w:val="single"/>
              </w:rPr>
              <w:t>0417-8225105</w:t>
            </w:r>
          </w:p>
        </w:tc>
        <w:tc>
          <w:tcPr>
            <w:tcW w:w="2500" w:type="pct"/>
            <w:noWrap w:val="0"/>
            <w:vAlign w:val="top"/>
          </w:tcPr>
          <w:p w14:paraId="48E2C929">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电  </w:t>
            </w:r>
            <w:r>
              <w:rPr>
                <w:rFonts w:hint="eastAsia" w:ascii="宋体" w:hAnsi="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 xml:space="preserve">  话：</w:t>
            </w:r>
            <w:r>
              <w:rPr>
                <w:rFonts w:hint="eastAsia" w:ascii="宋体" w:hAnsi="宋体" w:eastAsia="宋体" w:cs="宋体"/>
                <w:color w:val="auto"/>
                <w:kern w:val="0"/>
                <w:sz w:val="21"/>
                <w:szCs w:val="21"/>
                <w:highlight w:val="none"/>
                <w:u w:val="single"/>
                <w:lang w:val="en-US" w:eastAsia="zh-CN"/>
              </w:rPr>
              <w:t>0417-6259699</w:t>
            </w:r>
          </w:p>
        </w:tc>
      </w:tr>
      <w:tr w14:paraId="5F9B4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99" w:type="pct"/>
            <w:noWrap w:val="0"/>
            <w:vAlign w:val="top"/>
          </w:tcPr>
          <w:p w14:paraId="61FDBC08">
            <w:pPr>
              <w:spacing w:line="4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传    真：</w:t>
            </w:r>
            <w:r>
              <w:rPr>
                <w:rFonts w:hint="eastAsia" w:ascii="宋体" w:hAnsi="宋体" w:eastAsia="宋体" w:cs="宋体"/>
                <w:color w:val="auto"/>
                <w:sz w:val="21"/>
                <w:szCs w:val="21"/>
                <w:highlight w:val="none"/>
                <w:u w:val="single"/>
              </w:rPr>
              <w:t>/</w:t>
            </w:r>
          </w:p>
        </w:tc>
        <w:tc>
          <w:tcPr>
            <w:tcW w:w="2500" w:type="pct"/>
            <w:noWrap w:val="0"/>
            <w:vAlign w:val="top"/>
          </w:tcPr>
          <w:p w14:paraId="10661274">
            <w:pPr>
              <w:spacing w:line="400" w:lineRule="exact"/>
              <w:ind w:firstLine="420" w:firstLineChars="20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lang w:val="en-US" w:eastAsia="zh-CN"/>
              </w:rPr>
              <w:t>传    真：</w:t>
            </w:r>
            <w:r>
              <w:rPr>
                <w:rFonts w:hint="eastAsia" w:ascii="宋体" w:hAnsi="宋体" w:eastAsia="宋体" w:cs="宋体"/>
                <w:color w:val="auto"/>
                <w:sz w:val="21"/>
                <w:szCs w:val="21"/>
                <w:highlight w:val="none"/>
                <w:u w:val="single"/>
              </w:rPr>
              <w:t>/</w:t>
            </w:r>
          </w:p>
        </w:tc>
      </w:tr>
      <w:tr w14:paraId="5AFA1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99" w:type="pct"/>
            <w:noWrap w:val="0"/>
            <w:vAlign w:val="top"/>
          </w:tcPr>
          <w:p w14:paraId="5F883748">
            <w:pPr>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电子邮件：</w:t>
            </w:r>
            <w:r>
              <w:rPr>
                <w:rFonts w:hint="eastAsia" w:ascii="宋体" w:hAnsi="宋体" w:eastAsia="宋体" w:cs="宋体"/>
                <w:color w:val="auto"/>
                <w:sz w:val="21"/>
                <w:szCs w:val="21"/>
                <w:highlight w:val="none"/>
                <w:u w:val="single"/>
                <w:lang w:val="en-US" w:eastAsia="zh-CN"/>
              </w:rPr>
              <w:t>guihuaju2000@163.com</w:t>
            </w:r>
          </w:p>
        </w:tc>
        <w:tc>
          <w:tcPr>
            <w:tcW w:w="2500" w:type="pct"/>
            <w:noWrap w:val="0"/>
            <w:vAlign w:val="top"/>
          </w:tcPr>
          <w:p w14:paraId="16DE822C">
            <w:pPr>
              <w:spacing w:line="400" w:lineRule="exact"/>
              <w:ind w:firstLine="420" w:firstLineChars="200"/>
              <w:rPr>
                <w:rFonts w:hint="eastAsia" w:ascii="宋体" w:hAnsi="宋体" w:eastAsia="宋体" w:cs="宋体"/>
                <w:color w:val="auto"/>
                <w:kern w:val="0"/>
                <w:sz w:val="21"/>
                <w:szCs w:val="21"/>
                <w:highlight w:val="none"/>
                <w:vertAlign w:val="baseline"/>
              </w:rPr>
            </w:pPr>
            <w:r>
              <w:rPr>
                <w:rFonts w:hint="eastAsia" w:ascii="宋体" w:hAnsi="宋体" w:eastAsia="宋体" w:cs="宋体"/>
                <w:color w:val="auto"/>
                <w:sz w:val="21"/>
                <w:szCs w:val="21"/>
                <w:highlight w:val="none"/>
              </w:rPr>
              <w:t>电子邮件：</w:t>
            </w:r>
            <w:r>
              <w:rPr>
                <w:rFonts w:hint="eastAsia" w:ascii="宋体" w:hAnsi="宋体" w:eastAsia="宋体" w:cs="宋体"/>
                <w:color w:val="auto"/>
                <w:sz w:val="21"/>
                <w:szCs w:val="21"/>
                <w:highlight w:val="none"/>
                <w:u w:val="single"/>
                <w:lang w:val="en-US" w:eastAsia="zh-CN"/>
              </w:rPr>
              <w:t>liaoningfangwei@163.com</w:t>
            </w:r>
          </w:p>
        </w:tc>
      </w:tr>
      <w:tr w14:paraId="0DDAC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99" w:type="pct"/>
            <w:noWrap w:val="0"/>
            <w:vAlign w:val="top"/>
          </w:tcPr>
          <w:p w14:paraId="5F4422B2">
            <w:pPr>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网 </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址：</w:t>
            </w:r>
          </w:p>
        </w:tc>
        <w:tc>
          <w:tcPr>
            <w:tcW w:w="4273" w:type="dxa"/>
            <w:noWrap w:val="0"/>
            <w:vAlign w:val="top"/>
          </w:tcPr>
          <w:p w14:paraId="793AA66E">
            <w:pPr>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网 </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址：</w:t>
            </w:r>
          </w:p>
        </w:tc>
      </w:tr>
      <w:tr w14:paraId="47334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99" w:type="pct"/>
            <w:noWrap w:val="0"/>
            <w:vAlign w:val="top"/>
          </w:tcPr>
          <w:p w14:paraId="184A369F">
            <w:pPr>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开户银行</w:t>
            </w:r>
            <w:r>
              <w:rPr>
                <w:rFonts w:hint="eastAsia" w:ascii="宋体" w:hAnsi="宋体" w:cs="宋体"/>
                <w:color w:val="auto"/>
                <w:sz w:val="21"/>
                <w:szCs w:val="21"/>
                <w:highlight w:val="none"/>
                <w:lang w:val="en-US" w:eastAsia="zh-CN"/>
              </w:rPr>
              <w:t>：</w:t>
            </w:r>
          </w:p>
        </w:tc>
        <w:tc>
          <w:tcPr>
            <w:tcW w:w="4273" w:type="dxa"/>
            <w:noWrap w:val="0"/>
            <w:vAlign w:val="top"/>
          </w:tcPr>
          <w:p w14:paraId="4F0D354D">
            <w:pPr>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开户银行</w:t>
            </w:r>
            <w:r>
              <w:rPr>
                <w:rFonts w:hint="eastAsia" w:ascii="宋体" w:hAnsi="宋体" w:cs="宋体"/>
                <w:color w:val="auto"/>
                <w:sz w:val="21"/>
                <w:szCs w:val="21"/>
                <w:highlight w:val="none"/>
                <w:lang w:val="en-US" w:eastAsia="zh-CN"/>
              </w:rPr>
              <w:t>：</w:t>
            </w:r>
          </w:p>
        </w:tc>
      </w:tr>
      <w:tr w14:paraId="2975F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99" w:type="pct"/>
            <w:noWrap w:val="0"/>
            <w:vAlign w:val="top"/>
          </w:tcPr>
          <w:p w14:paraId="3987B810">
            <w:pPr>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账</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 xml:space="preserve"> 号：</w:t>
            </w:r>
          </w:p>
        </w:tc>
        <w:tc>
          <w:tcPr>
            <w:tcW w:w="4273" w:type="dxa"/>
            <w:noWrap w:val="0"/>
            <w:vAlign w:val="top"/>
          </w:tcPr>
          <w:p w14:paraId="7BED4862">
            <w:pPr>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账</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 xml:space="preserve"> 号：</w:t>
            </w:r>
          </w:p>
        </w:tc>
      </w:tr>
      <w:tr w14:paraId="23574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99" w:type="pct"/>
            <w:noWrap w:val="0"/>
            <w:vAlign w:val="top"/>
          </w:tcPr>
          <w:p w14:paraId="3C71CFCA">
            <w:pPr>
              <w:spacing w:line="400" w:lineRule="exact"/>
              <w:ind w:firstLine="420" w:firstLineChars="200"/>
              <w:rPr>
                <w:rFonts w:hint="eastAsia" w:ascii="宋体" w:hAnsi="宋体" w:eastAsia="宋体" w:cs="宋体"/>
                <w:color w:val="auto"/>
                <w:sz w:val="21"/>
                <w:szCs w:val="21"/>
                <w:highlight w:val="none"/>
              </w:rPr>
            </w:pPr>
          </w:p>
        </w:tc>
        <w:tc>
          <w:tcPr>
            <w:tcW w:w="2500" w:type="pct"/>
            <w:noWrap w:val="0"/>
            <w:vAlign w:val="bottom"/>
          </w:tcPr>
          <w:p w14:paraId="76931865">
            <w:pPr>
              <w:keepNext w:val="0"/>
              <w:keepLines w:val="0"/>
              <w:pageBreakBefore w:val="0"/>
              <w:widowControl w:val="0"/>
              <w:kinsoku/>
              <w:wordWrap/>
              <w:overflowPunct/>
              <w:topLinePunct w:val="0"/>
              <w:autoSpaceDE w:val="0"/>
              <w:autoSpaceDN w:val="0"/>
              <w:bidi w:val="0"/>
              <w:adjustRightInd w:val="0"/>
              <w:snapToGrid w:val="0"/>
              <w:spacing w:line="360" w:lineRule="auto"/>
              <w:jc w:val="righ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 xml:space="preserve">2025 </w:t>
            </w:r>
            <w:r>
              <w:rPr>
                <w:rFonts w:hint="eastAsia" w:ascii="宋体" w:hAnsi="宋体" w:eastAsia="宋体" w:cs="宋体"/>
                <w:color w:val="auto"/>
                <w:kern w:val="0"/>
                <w:sz w:val="21"/>
                <w:szCs w:val="21"/>
                <w:highlight w:val="none"/>
              </w:rPr>
              <w:t>年</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rPr>
              <w:t>月</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rPr>
              <w:t>日</w:t>
            </w:r>
          </w:p>
        </w:tc>
      </w:tr>
    </w:tbl>
    <w:p w14:paraId="1CCD09C7">
      <w:pPr>
        <w:spacing w:line="400" w:lineRule="exact"/>
        <w:ind w:firstLine="420" w:firstLineChars="200"/>
        <w:rPr>
          <w:rFonts w:hint="eastAsia" w:ascii="宋体" w:hAnsi="宋体" w:cs="宋体"/>
          <w:color w:val="auto"/>
          <w:highlight w:val="none"/>
        </w:rPr>
      </w:pPr>
    </w:p>
    <w:p w14:paraId="78351FB5">
      <w:pPr>
        <w:pStyle w:val="184"/>
        <w:ind w:firstLine="0" w:firstLineChars="0"/>
        <w:rPr>
          <w:rFonts w:hAnsi="宋体"/>
          <w:color w:val="auto"/>
          <w:kern w:val="2"/>
          <w:sz w:val="21"/>
          <w:szCs w:val="21"/>
          <w:highlight w:val="none"/>
        </w:rPr>
      </w:pPr>
    </w:p>
    <w:p w14:paraId="61F5B3E1">
      <w:pPr>
        <w:widowControl/>
        <w:spacing w:line="360" w:lineRule="auto"/>
        <w:ind w:left="1050" w:leftChars="300" w:hanging="420" w:hangingChars="200"/>
        <w:jc w:val="center"/>
        <w:outlineLvl w:val="9"/>
        <w:rPr>
          <w:color w:val="auto"/>
          <w:highlight w:val="none"/>
        </w:rPr>
      </w:pPr>
      <w:r>
        <w:rPr>
          <w:color w:val="auto"/>
          <w:szCs w:val="21"/>
          <w:highlight w:val="none"/>
        </w:rPr>
        <w:br w:type="page"/>
      </w:r>
    </w:p>
    <w:p w14:paraId="26CE745A">
      <w:pPr>
        <w:spacing w:before="63" w:line="224" w:lineRule="auto"/>
        <w:ind w:left="2859"/>
        <w:outlineLvl w:val="0"/>
        <w:rPr>
          <w:rFonts w:ascii="黑体" w:hAnsi="黑体" w:eastAsia="黑体" w:cs="黑体"/>
          <w:color w:val="auto"/>
          <w:sz w:val="31"/>
          <w:szCs w:val="31"/>
          <w:highlight w:val="none"/>
        </w:rPr>
      </w:pPr>
      <w:bookmarkStart w:id="38" w:name="_Toc3218"/>
      <w:bookmarkStart w:id="39" w:name="_Toc14414"/>
      <w:bookmarkStart w:id="40" w:name="_Toc3546"/>
      <w:bookmarkStart w:id="41" w:name="_Toc5840"/>
      <w:bookmarkStart w:id="42" w:name="_Toc247513952"/>
      <w:bookmarkStart w:id="43" w:name="_Toc152045529"/>
      <w:bookmarkStart w:id="44" w:name="_Toc144974497"/>
      <w:bookmarkStart w:id="45" w:name="_Toc7956574"/>
      <w:bookmarkStart w:id="46" w:name="_Toc152042305"/>
      <w:bookmarkStart w:id="47" w:name="_Toc247527553"/>
      <w:r>
        <w:rPr>
          <w:rFonts w:ascii="黑体" w:hAnsi="黑体" w:eastAsia="黑体" w:cs="黑体"/>
          <w:b/>
          <w:bCs/>
          <w:color w:val="auto"/>
          <w:spacing w:val="6"/>
          <w:sz w:val="31"/>
          <w:szCs w:val="31"/>
          <w:highlight w:val="none"/>
        </w:rPr>
        <w:t>第二章投标人须知</w:t>
      </w:r>
      <w:bookmarkEnd w:id="38"/>
      <w:bookmarkEnd w:id="39"/>
    </w:p>
    <w:p w14:paraId="57FC780F">
      <w:pPr>
        <w:spacing w:before="192" w:line="219" w:lineRule="auto"/>
        <w:ind w:left="3102"/>
        <w:outlineLvl w:val="1"/>
        <w:rPr>
          <w:rFonts w:ascii="黑体" w:hAnsi="黑体" w:eastAsia="黑体" w:cs="黑体"/>
          <w:color w:val="auto"/>
          <w:sz w:val="28"/>
          <w:szCs w:val="28"/>
          <w:highlight w:val="none"/>
        </w:rPr>
      </w:pPr>
      <w:bookmarkStart w:id="48" w:name="bookmark389"/>
      <w:bookmarkEnd w:id="48"/>
      <w:bookmarkStart w:id="49" w:name="_Toc1912"/>
      <w:bookmarkStart w:id="50" w:name="_Toc25689"/>
      <w:r>
        <w:rPr>
          <w:rFonts w:ascii="黑体" w:hAnsi="黑体" w:eastAsia="黑体" w:cs="黑体"/>
          <w:color w:val="auto"/>
          <w:spacing w:val="-1"/>
          <w:sz w:val="28"/>
          <w:szCs w:val="28"/>
          <w:highlight w:val="none"/>
        </w:rPr>
        <w:t>投标人须知前附表</w:t>
      </w:r>
      <w:bookmarkEnd w:id="49"/>
      <w:bookmarkEnd w:id="50"/>
    </w:p>
    <w:p w14:paraId="7F7E80A8">
      <w:pPr>
        <w:spacing w:line="228" w:lineRule="exact"/>
        <w:rPr>
          <w:color w:val="auto"/>
          <w:highlight w:val="none"/>
        </w:rPr>
      </w:pPr>
    </w:p>
    <w:tbl>
      <w:tblPr>
        <w:tblStyle w:val="42"/>
        <w:tblW w:w="860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6"/>
        <w:gridCol w:w="2267"/>
        <w:gridCol w:w="5477"/>
      </w:tblGrid>
      <w:tr w14:paraId="6F6D6B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856" w:type="dxa"/>
            <w:vAlign w:val="center"/>
          </w:tcPr>
          <w:p w14:paraId="60D8B7DC">
            <w:pPr>
              <w:pStyle w:val="185"/>
              <w:spacing w:before="211" w:line="221" w:lineRule="auto"/>
              <w:ind w:left="120"/>
              <w:jc w:val="both"/>
              <w:rPr>
                <w:color w:val="auto"/>
                <w:highlight w:val="none"/>
              </w:rPr>
            </w:pPr>
            <w:r>
              <w:rPr>
                <w:b/>
                <w:bCs/>
                <w:color w:val="auto"/>
                <w:spacing w:val="-4"/>
                <w:highlight w:val="none"/>
              </w:rPr>
              <w:t>条款号</w:t>
            </w:r>
          </w:p>
        </w:tc>
        <w:tc>
          <w:tcPr>
            <w:tcW w:w="2267" w:type="dxa"/>
            <w:vAlign w:val="center"/>
          </w:tcPr>
          <w:p w14:paraId="7AA75FC6">
            <w:pPr>
              <w:pStyle w:val="185"/>
              <w:spacing w:before="211" w:line="221" w:lineRule="auto"/>
              <w:ind w:left="401"/>
              <w:jc w:val="both"/>
              <w:rPr>
                <w:color w:val="auto"/>
                <w:highlight w:val="none"/>
              </w:rPr>
            </w:pPr>
            <w:r>
              <w:rPr>
                <w:b/>
                <w:bCs/>
                <w:color w:val="auto"/>
                <w:spacing w:val="-9"/>
                <w:highlight w:val="none"/>
              </w:rPr>
              <w:t>条款名称</w:t>
            </w:r>
          </w:p>
        </w:tc>
        <w:tc>
          <w:tcPr>
            <w:tcW w:w="5477" w:type="dxa"/>
          </w:tcPr>
          <w:p w14:paraId="12F3DE24">
            <w:pPr>
              <w:pStyle w:val="185"/>
              <w:spacing w:before="211" w:line="221" w:lineRule="auto"/>
              <w:ind w:left="1915"/>
              <w:rPr>
                <w:color w:val="auto"/>
                <w:highlight w:val="none"/>
              </w:rPr>
            </w:pPr>
            <w:r>
              <w:rPr>
                <w:b/>
                <w:bCs/>
                <w:color w:val="auto"/>
                <w:spacing w:val="-16"/>
                <w:highlight w:val="none"/>
              </w:rPr>
              <w:t>编列内容</w:t>
            </w:r>
          </w:p>
        </w:tc>
      </w:tr>
      <w:tr w14:paraId="6A170B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6" w:hRule="atLeast"/>
        </w:trPr>
        <w:tc>
          <w:tcPr>
            <w:tcW w:w="856" w:type="dxa"/>
            <w:vAlign w:val="top"/>
          </w:tcPr>
          <w:p w14:paraId="3BEE1DEC">
            <w:pPr>
              <w:jc w:val="both"/>
              <w:rPr>
                <w:rFonts w:ascii="Arial"/>
                <w:color w:val="auto"/>
                <w:highlight w:val="none"/>
              </w:rPr>
            </w:pPr>
          </w:p>
          <w:p w14:paraId="5AB79E24">
            <w:pPr>
              <w:jc w:val="both"/>
              <w:rPr>
                <w:rFonts w:ascii="Arial"/>
                <w:color w:val="auto"/>
                <w:highlight w:val="none"/>
              </w:rPr>
            </w:pPr>
          </w:p>
          <w:p w14:paraId="5BA96E43">
            <w:pPr>
              <w:jc w:val="both"/>
              <w:rPr>
                <w:rFonts w:ascii="Arial"/>
                <w:color w:val="auto"/>
                <w:highlight w:val="none"/>
              </w:rPr>
            </w:pPr>
          </w:p>
          <w:p w14:paraId="4CA8E5FD">
            <w:pPr>
              <w:spacing w:line="241" w:lineRule="auto"/>
              <w:jc w:val="both"/>
              <w:rPr>
                <w:rFonts w:ascii="Arial"/>
                <w:color w:val="auto"/>
                <w:highlight w:val="none"/>
              </w:rPr>
            </w:pPr>
          </w:p>
          <w:p w14:paraId="7551930A">
            <w:pPr>
              <w:pStyle w:val="185"/>
              <w:spacing w:before="68"/>
              <w:ind w:left="189"/>
              <w:jc w:val="both"/>
              <w:rPr>
                <w:color w:val="auto"/>
                <w:highlight w:val="none"/>
              </w:rPr>
            </w:pPr>
            <w:r>
              <w:rPr>
                <w:color w:val="auto"/>
                <w:spacing w:val="-4"/>
                <w:highlight w:val="none"/>
              </w:rPr>
              <w:t>1.1.2</w:t>
            </w:r>
          </w:p>
        </w:tc>
        <w:tc>
          <w:tcPr>
            <w:tcW w:w="2267" w:type="dxa"/>
            <w:vAlign w:val="top"/>
          </w:tcPr>
          <w:p w14:paraId="16C2E704">
            <w:pPr>
              <w:jc w:val="both"/>
              <w:rPr>
                <w:rFonts w:ascii="Arial"/>
                <w:color w:val="auto"/>
                <w:highlight w:val="none"/>
              </w:rPr>
            </w:pPr>
          </w:p>
          <w:p w14:paraId="0B962B49">
            <w:pPr>
              <w:jc w:val="both"/>
              <w:rPr>
                <w:rFonts w:ascii="Arial"/>
                <w:color w:val="auto"/>
                <w:highlight w:val="none"/>
              </w:rPr>
            </w:pPr>
          </w:p>
          <w:p w14:paraId="23BD8327">
            <w:pPr>
              <w:jc w:val="both"/>
              <w:rPr>
                <w:rFonts w:ascii="Arial"/>
                <w:color w:val="auto"/>
                <w:highlight w:val="none"/>
              </w:rPr>
            </w:pPr>
          </w:p>
          <w:p w14:paraId="0788FAD9">
            <w:pPr>
              <w:spacing w:line="241" w:lineRule="auto"/>
              <w:jc w:val="both"/>
              <w:rPr>
                <w:rFonts w:ascii="Arial"/>
                <w:color w:val="auto"/>
                <w:highlight w:val="none"/>
              </w:rPr>
            </w:pPr>
          </w:p>
          <w:p w14:paraId="3874CD0D">
            <w:pPr>
              <w:pStyle w:val="185"/>
              <w:spacing w:before="68" w:line="221" w:lineRule="auto"/>
              <w:ind w:left="823"/>
              <w:jc w:val="both"/>
              <w:rPr>
                <w:color w:val="auto"/>
                <w:highlight w:val="none"/>
              </w:rPr>
            </w:pPr>
            <w:r>
              <w:rPr>
                <w:color w:val="auto"/>
                <w:spacing w:val="-2"/>
                <w:highlight w:val="none"/>
              </w:rPr>
              <w:t>招标人</w:t>
            </w:r>
          </w:p>
        </w:tc>
        <w:tc>
          <w:tcPr>
            <w:tcW w:w="5477" w:type="dxa"/>
            <w:vAlign w:val="center"/>
          </w:tcPr>
          <w:p w14:paraId="2EE04D0B">
            <w:pPr>
              <w:pStyle w:val="185"/>
              <w:spacing w:before="75" w:line="223" w:lineRule="auto"/>
              <w:jc w:val="both"/>
              <w:rPr>
                <w:color w:val="auto"/>
                <w:highlight w:val="none"/>
                <w:lang w:eastAsia="zh-CN"/>
              </w:rPr>
            </w:pPr>
            <w:r>
              <w:rPr>
                <w:color w:val="auto"/>
                <w:spacing w:val="-13"/>
                <w:highlight w:val="none"/>
                <w:lang w:eastAsia="zh-CN"/>
              </w:rPr>
              <w:t>名</w:t>
            </w:r>
            <w:r>
              <w:rPr>
                <w:rFonts w:hint="eastAsia"/>
                <w:color w:val="auto"/>
                <w:spacing w:val="-13"/>
                <w:highlight w:val="none"/>
                <w:lang w:val="en-US" w:eastAsia="zh-CN"/>
              </w:rPr>
              <w:t xml:space="preserve">     </w:t>
            </w:r>
            <w:r>
              <w:rPr>
                <w:color w:val="auto"/>
                <w:spacing w:val="-13"/>
                <w:highlight w:val="none"/>
                <w:lang w:eastAsia="zh-CN"/>
              </w:rPr>
              <w:t>称：</w:t>
            </w:r>
            <w:r>
              <w:rPr>
                <w:rFonts w:hint="eastAsia" w:ascii="仿宋" w:hAnsi="仿宋" w:cs="仿宋"/>
                <w:bCs/>
                <w:color w:val="auto"/>
                <w:highlight w:val="none"/>
                <w:lang w:eastAsia="zh-CN"/>
              </w:rPr>
              <w:t>营口市鲅鱼圈区住房和城乡建设局</w:t>
            </w:r>
          </w:p>
          <w:p w14:paraId="1365E4D4">
            <w:pPr>
              <w:pStyle w:val="185"/>
              <w:spacing w:before="68" w:line="230" w:lineRule="auto"/>
              <w:jc w:val="both"/>
              <w:rPr>
                <w:color w:val="auto"/>
                <w:highlight w:val="none"/>
                <w:lang w:eastAsia="zh-CN"/>
              </w:rPr>
            </w:pPr>
            <w:r>
              <w:rPr>
                <w:color w:val="auto"/>
                <w:spacing w:val="-13"/>
                <w:highlight w:val="none"/>
                <w:lang w:eastAsia="zh-CN"/>
              </w:rPr>
              <w:t>地</w:t>
            </w:r>
            <w:r>
              <w:rPr>
                <w:rFonts w:hint="eastAsia"/>
                <w:color w:val="auto"/>
                <w:spacing w:val="-13"/>
                <w:highlight w:val="none"/>
                <w:lang w:val="en-US" w:eastAsia="zh-CN"/>
              </w:rPr>
              <w:t xml:space="preserve">     </w:t>
            </w:r>
            <w:r>
              <w:rPr>
                <w:color w:val="auto"/>
                <w:spacing w:val="-13"/>
                <w:highlight w:val="none"/>
                <w:lang w:eastAsia="zh-CN"/>
              </w:rPr>
              <w:t>址：</w:t>
            </w:r>
            <w:r>
              <w:rPr>
                <w:rFonts w:hint="eastAsia" w:ascii="仿宋" w:hAnsi="仿宋" w:cs="仿宋"/>
                <w:bCs/>
                <w:color w:val="auto"/>
                <w:highlight w:val="none"/>
                <w:lang w:eastAsia="zh-CN"/>
              </w:rPr>
              <w:t>营口市鲅鱼圈区华晟社区16号</w:t>
            </w:r>
          </w:p>
          <w:p w14:paraId="3AA4568B">
            <w:pPr>
              <w:pStyle w:val="185"/>
              <w:spacing w:before="57" w:line="319" w:lineRule="exact"/>
              <w:jc w:val="both"/>
              <w:rPr>
                <w:color w:val="auto"/>
                <w:highlight w:val="none"/>
                <w:lang w:eastAsia="zh-CN"/>
              </w:rPr>
            </w:pPr>
            <w:r>
              <w:rPr>
                <w:color w:val="auto"/>
                <w:spacing w:val="19"/>
                <w:position w:val="7"/>
                <w:highlight w:val="none"/>
                <w:lang w:eastAsia="zh-CN"/>
              </w:rPr>
              <w:t>联系人：</w:t>
            </w:r>
            <w:r>
              <w:rPr>
                <w:rFonts w:hint="eastAsia"/>
                <w:color w:val="auto"/>
                <w:spacing w:val="19"/>
                <w:position w:val="7"/>
                <w:highlight w:val="none"/>
                <w:lang w:eastAsia="zh-CN"/>
              </w:rPr>
              <w:t>祝威</w:t>
            </w:r>
          </w:p>
          <w:p w14:paraId="5081D131">
            <w:pPr>
              <w:pStyle w:val="185"/>
              <w:spacing w:line="222" w:lineRule="auto"/>
              <w:jc w:val="both"/>
              <w:rPr>
                <w:color w:val="auto"/>
                <w:highlight w:val="none"/>
                <w:lang w:eastAsia="zh-CN"/>
              </w:rPr>
            </w:pPr>
            <w:r>
              <w:rPr>
                <w:color w:val="auto"/>
                <w:spacing w:val="-21"/>
                <w:highlight w:val="none"/>
                <w:lang w:eastAsia="zh-CN"/>
              </w:rPr>
              <w:t>电</w:t>
            </w:r>
            <w:r>
              <w:rPr>
                <w:rFonts w:hint="eastAsia"/>
                <w:color w:val="auto"/>
                <w:spacing w:val="-21"/>
                <w:highlight w:val="none"/>
                <w:lang w:val="en-US" w:eastAsia="zh-CN"/>
              </w:rPr>
              <w:t xml:space="preserve">       </w:t>
            </w:r>
            <w:r>
              <w:rPr>
                <w:color w:val="auto"/>
                <w:spacing w:val="-21"/>
                <w:highlight w:val="none"/>
                <w:lang w:eastAsia="zh-CN"/>
              </w:rPr>
              <w:t>话：</w:t>
            </w:r>
            <w:r>
              <w:rPr>
                <w:rFonts w:hint="eastAsia" w:ascii="宋体" w:hAnsi="宋体" w:eastAsia="宋体" w:cs="宋体"/>
                <w:color w:val="auto"/>
                <w:spacing w:val="19"/>
                <w:position w:val="7"/>
                <w:highlight w:val="none"/>
                <w:lang w:eastAsia="zh-CN"/>
              </w:rPr>
              <w:t>0417-8225105</w:t>
            </w:r>
          </w:p>
          <w:p w14:paraId="3B5AFC15">
            <w:pPr>
              <w:pStyle w:val="185"/>
              <w:spacing w:before="67" w:line="221" w:lineRule="auto"/>
              <w:jc w:val="both"/>
              <w:rPr>
                <w:color w:val="auto"/>
                <w:highlight w:val="none"/>
                <w:lang w:eastAsia="zh-CN"/>
              </w:rPr>
            </w:pPr>
            <w:r>
              <w:rPr>
                <w:color w:val="auto"/>
                <w:spacing w:val="-11"/>
                <w:highlight w:val="none"/>
                <w:lang w:eastAsia="zh-CN"/>
              </w:rPr>
              <w:t>电子邮件：</w:t>
            </w:r>
            <w:r>
              <w:rPr>
                <w:rFonts w:hint="eastAsia" w:ascii="宋体" w:hAnsi="宋体" w:eastAsia="宋体" w:cs="宋体"/>
                <w:color w:val="auto"/>
                <w:spacing w:val="19"/>
                <w:position w:val="7"/>
                <w:highlight w:val="none"/>
                <w:lang w:val="en-US" w:eastAsia="zh-CN"/>
              </w:rPr>
              <w:t>guihuaju2000@163.com</w:t>
            </w:r>
          </w:p>
          <w:p w14:paraId="6D9E61E6">
            <w:pPr>
              <w:pStyle w:val="185"/>
              <w:spacing w:before="69" w:line="319" w:lineRule="exact"/>
              <w:jc w:val="both"/>
              <w:rPr>
                <w:color w:val="auto"/>
                <w:highlight w:val="none"/>
                <w:lang w:eastAsia="zh-CN"/>
              </w:rPr>
            </w:pPr>
            <w:r>
              <w:rPr>
                <w:color w:val="auto"/>
                <w:spacing w:val="-3"/>
                <w:position w:val="7"/>
                <w:highlight w:val="none"/>
                <w:lang w:eastAsia="zh-CN"/>
              </w:rPr>
              <w:t>项目负责人姓名及联系方式：</w:t>
            </w:r>
          </w:p>
          <w:p w14:paraId="23A8D2EC">
            <w:pPr>
              <w:pStyle w:val="185"/>
              <w:spacing w:before="67" w:line="221" w:lineRule="auto"/>
              <w:jc w:val="both"/>
              <w:rPr>
                <w:rFonts w:hint="eastAsia" w:eastAsia="宋体"/>
                <w:color w:val="auto"/>
                <w:highlight w:val="none"/>
                <w:lang w:eastAsia="zh-CN"/>
              </w:rPr>
            </w:pPr>
            <w:r>
              <w:rPr>
                <w:color w:val="auto"/>
                <w:spacing w:val="-28"/>
                <w:highlight w:val="none"/>
              </w:rPr>
              <w:t>姓名：</w:t>
            </w:r>
            <w:r>
              <w:rPr>
                <w:rFonts w:hint="eastAsia"/>
                <w:color w:val="auto"/>
                <w:spacing w:val="19"/>
                <w:position w:val="7"/>
                <w:highlight w:val="none"/>
                <w:lang w:eastAsia="zh-CN"/>
              </w:rPr>
              <w:t>祝威</w:t>
            </w:r>
            <w:r>
              <w:rPr>
                <w:rFonts w:hint="eastAsia"/>
                <w:color w:val="auto"/>
                <w:spacing w:val="19"/>
                <w:position w:val="7"/>
                <w:highlight w:val="none"/>
                <w:lang w:val="en-US" w:eastAsia="zh-CN"/>
              </w:rPr>
              <w:t xml:space="preserve"> </w:t>
            </w:r>
            <w:r>
              <w:rPr>
                <w:color w:val="auto"/>
                <w:spacing w:val="-28"/>
                <w:highlight w:val="none"/>
              </w:rPr>
              <w:t>电话：</w:t>
            </w:r>
            <w:r>
              <w:rPr>
                <w:rFonts w:hint="eastAsia" w:ascii="宋体" w:hAnsi="宋体" w:eastAsia="宋体" w:cs="宋体"/>
                <w:color w:val="auto"/>
                <w:spacing w:val="19"/>
                <w:position w:val="7"/>
                <w:highlight w:val="none"/>
                <w:lang w:eastAsia="zh-CN"/>
              </w:rPr>
              <w:t>0417-8225105</w:t>
            </w:r>
          </w:p>
        </w:tc>
      </w:tr>
      <w:tr w14:paraId="54C046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3" w:hRule="atLeast"/>
        </w:trPr>
        <w:tc>
          <w:tcPr>
            <w:tcW w:w="856" w:type="dxa"/>
            <w:vAlign w:val="top"/>
          </w:tcPr>
          <w:p w14:paraId="2E3058D4">
            <w:pPr>
              <w:spacing w:line="250" w:lineRule="auto"/>
              <w:jc w:val="both"/>
              <w:rPr>
                <w:rFonts w:ascii="Arial"/>
                <w:color w:val="auto"/>
                <w:highlight w:val="none"/>
              </w:rPr>
            </w:pPr>
          </w:p>
          <w:p w14:paraId="655F6D2E">
            <w:pPr>
              <w:spacing w:line="251" w:lineRule="auto"/>
              <w:jc w:val="both"/>
              <w:rPr>
                <w:rFonts w:ascii="Arial"/>
                <w:color w:val="auto"/>
                <w:highlight w:val="none"/>
              </w:rPr>
            </w:pPr>
          </w:p>
          <w:p w14:paraId="08ED30A1">
            <w:pPr>
              <w:spacing w:line="251" w:lineRule="auto"/>
              <w:jc w:val="both"/>
              <w:rPr>
                <w:rFonts w:ascii="Arial"/>
                <w:color w:val="auto"/>
                <w:highlight w:val="none"/>
              </w:rPr>
            </w:pPr>
          </w:p>
          <w:p w14:paraId="42296699">
            <w:pPr>
              <w:pStyle w:val="185"/>
              <w:spacing w:before="68"/>
              <w:ind w:left="189"/>
              <w:jc w:val="both"/>
              <w:rPr>
                <w:color w:val="auto"/>
                <w:spacing w:val="-4"/>
                <w:highlight w:val="none"/>
              </w:rPr>
            </w:pPr>
          </w:p>
          <w:p w14:paraId="2E9B9759">
            <w:pPr>
              <w:pStyle w:val="185"/>
              <w:spacing w:before="68"/>
              <w:ind w:left="189"/>
              <w:jc w:val="both"/>
              <w:rPr>
                <w:color w:val="auto"/>
                <w:highlight w:val="none"/>
              </w:rPr>
            </w:pPr>
            <w:r>
              <w:rPr>
                <w:color w:val="auto"/>
                <w:spacing w:val="-4"/>
                <w:highlight w:val="none"/>
              </w:rPr>
              <w:t>1.1.3</w:t>
            </w:r>
          </w:p>
        </w:tc>
        <w:tc>
          <w:tcPr>
            <w:tcW w:w="2267" w:type="dxa"/>
            <w:vAlign w:val="top"/>
          </w:tcPr>
          <w:p w14:paraId="08FCEB97">
            <w:pPr>
              <w:spacing w:line="250" w:lineRule="auto"/>
              <w:jc w:val="both"/>
              <w:rPr>
                <w:rFonts w:ascii="Arial"/>
                <w:color w:val="auto"/>
                <w:highlight w:val="none"/>
              </w:rPr>
            </w:pPr>
          </w:p>
          <w:p w14:paraId="69C85059">
            <w:pPr>
              <w:spacing w:line="251" w:lineRule="auto"/>
              <w:jc w:val="both"/>
              <w:rPr>
                <w:rFonts w:ascii="Arial"/>
                <w:color w:val="auto"/>
                <w:highlight w:val="none"/>
              </w:rPr>
            </w:pPr>
          </w:p>
          <w:p w14:paraId="20B5B3AA">
            <w:pPr>
              <w:spacing w:line="251" w:lineRule="auto"/>
              <w:jc w:val="both"/>
              <w:rPr>
                <w:rFonts w:ascii="Arial"/>
                <w:color w:val="auto"/>
                <w:highlight w:val="none"/>
              </w:rPr>
            </w:pPr>
          </w:p>
          <w:p w14:paraId="75B53DC3">
            <w:pPr>
              <w:spacing w:line="251" w:lineRule="auto"/>
              <w:jc w:val="both"/>
              <w:rPr>
                <w:rFonts w:ascii="Arial"/>
                <w:color w:val="auto"/>
                <w:highlight w:val="none"/>
              </w:rPr>
            </w:pPr>
          </w:p>
          <w:p w14:paraId="405B76DA">
            <w:pPr>
              <w:pStyle w:val="185"/>
              <w:spacing w:before="68" w:line="220" w:lineRule="auto"/>
              <w:ind w:firstLine="624" w:firstLineChars="300"/>
              <w:jc w:val="both"/>
              <w:rPr>
                <w:color w:val="auto"/>
                <w:highlight w:val="none"/>
              </w:rPr>
            </w:pPr>
            <w:r>
              <w:rPr>
                <w:color w:val="auto"/>
                <w:spacing w:val="-1"/>
                <w:highlight w:val="none"/>
              </w:rPr>
              <w:t>招标代理机构</w:t>
            </w:r>
          </w:p>
        </w:tc>
        <w:tc>
          <w:tcPr>
            <w:tcW w:w="5477" w:type="dxa"/>
            <w:vAlign w:val="center"/>
          </w:tcPr>
          <w:p w14:paraId="63A528BF">
            <w:pPr>
              <w:spacing w:line="300" w:lineRule="exact"/>
              <w:jc w:val="both"/>
              <w:rPr>
                <w:rFonts w:hint="eastAsia" w:eastAsia="宋体"/>
                <w:color w:val="auto"/>
                <w:highlight w:val="none"/>
                <w:lang w:eastAsia="zh-CN"/>
              </w:rPr>
            </w:pPr>
            <w:r>
              <w:rPr>
                <w:rFonts w:hint="eastAsia"/>
                <w:color w:val="auto"/>
                <w:highlight w:val="none"/>
              </w:rPr>
              <w:t>名    称：</w:t>
            </w:r>
            <w:r>
              <w:rPr>
                <w:rFonts w:hint="eastAsia"/>
                <w:color w:val="auto"/>
                <w:highlight w:val="none"/>
                <w:lang w:eastAsia="zh-CN"/>
              </w:rPr>
              <w:t>辽宁方唯建设管理有限公司</w:t>
            </w:r>
          </w:p>
          <w:p w14:paraId="5F088426">
            <w:pPr>
              <w:spacing w:line="300" w:lineRule="exact"/>
              <w:jc w:val="both"/>
              <w:rPr>
                <w:rFonts w:hint="eastAsia" w:eastAsia="宋体"/>
                <w:color w:val="auto"/>
                <w:highlight w:val="none"/>
                <w:lang w:eastAsia="zh-CN"/>
              </w:rPr>
            </w:pPr>
            <w:r>
              <w:rPr>
                <w:rFonts w:hint="eastAsia"/>
                <w:color w:val="auto"/>
                <w:highlight w:val="none"/>
              </w:rPr>
              <w:t>地    址：</w:t>
            </w:r>
            <w:r>
              <w:rPr>
                <w:rFonts w:hint="eastAsia" w:ascii="仿宋" w:hAnsi="仿宋" w:cs="仿宋"/>
                <w:color w:val="auto"/>
                <w:kern w:val="0"/>
                <w:szCs w:val="21"/>
                <w:highlight w:val="none"/>
                <w:lang w:eastAsia="zh-CN"/>
              </w:rPr>
              <w:t>辽宁省营口市鲅鱼圈区工业园32-绿色时代白云小区-2#门市</w:t>
            </w:r>
          </w:p>
          <w:p w14:paraId="25F98D24">
            <w:pPr>
              <w:spacing w:line="300" w:lineRule="exact"/>
              <w:jc w:val="both"/>
              <w:rPr>
                <w:color w:val="auto"/>
                <w:highlight w:val="none"/>
              </w:rPr>
            </w:pPr>
            <w:r>
              <w:rPr>
                <w:rFonts w:hint="eastAsia"/>
                <w:color w:val="auto"/>
                <w:highlight w:val="none"/>
              </w:rPr>
              <w:t>联 系 人：</w:t>
            </w:r>
            <w:r>
              <w:rPr>
                <w:rFonts w:hint="eastAsia"/>
                <w:color w:val="auto"/>
                <w:highlight w:val="none"/>
                <w:lang w:eastAsia="zh-CN"/>
              </w:rPr>
              <w:t>王均伟</w:t>
            </w:r>
          </w:p>
          <w:p w14:paraId="1D9674EE">
            <w:pPr>
              <w:spacing w:line="300" w:lineRule="exact"/>
              <w:jc w:val="both"/>
              <w:rPr>
                <w:color w:val="auto"/>
                <w:highlight w:val="none"/>
              </w:rPr>
            </w:pPr>
            <w:r>
              <w:rPr>
                <w:rFonts w:hint="eastAsia"/>
                <w:color w:val="auto"/>
                <w:highlight w:val="none"/>
              </w:rPr>
              <w:t>电    话：</w:t>
            </w:r>
            <w:r>
              <w:rPr>
                <w:rFonts w:hint="eastAsia"/>
                <w:color w:val="auto"/>
                <w:highlight w:val="none"/>
                <w:lang w:eastAsia="zh-CN"/>
              </w:rPr>
              <w:t>0417-6259699</w:t>
            </w:r>
          </w:p>
          <w:p w14:paraId="4C5894CF">
            <w:pPr>
              <w:spacing w:line="300" w:lineRule="exact"/>
              <w:jc w:val="both"/>
              <w:rPr>
                <w:color w:val="auto"/>
                <w:highlight w:val="none"/>
              </w:rPr>
            </w:pPr>
            <w:r>
              <w:rPr>
                <w:rFonts w:hint="eastAsia"/>
                <w:color w:val="auto"/>
                <w:highlight w:val="none"/>
              </w:rPr>
              <w:t>电子邮件：</w:t>
            </w:r>
            <w:r>
              <w:rPr>
                <w:rFonts w:hint="eastAsia"/>
                <w:color w:val="auto"/>
                <w:highlight w:val="none"/>
                <w:lang w:eastAsia="zh-CN"/>
              </w:rPr>
              <w:t>liaoningfangwei@163.com</w:t>
            </w:r>
          </w:p>
          <w:p w14:paraId="5CCC60A8">
            <w:pPr>
              <w:spacing w:line="300" w:lineRule="exact"/>
              <w:jc w:val="both"/>
              <w:rPr>
                <w:b/>
                <w:bCs/>
                <w:color w:val="auto"/>
                <w:highlight w:val="none"/>
              </w:rPr>
            </w:pPr>
            <w:r>
              <w:rPr>
                <w:rFonts w:hint="eastAsia"/>
                <w:color w:val="auto"/>
                <w:highlight w:val="none"/>
              </w:rPr>
              <w:t>项目负责人姓名及联系方式：</w:t>
            </w:r>
          </w:p>
          <w:p w14:paraId="73DF8D33">
            <w:pPr>
              <w:pStyle w:val="185"/>
              <w:spacing w:before="47" w:line="209" w:lineRule="auto"/>
              <w:jc w:val="both"/>
              <w:rPr>
                <w:color w:val="auto"/>
                <w:highlight w:val="none"/>
                <w:lang w:eastAsia="zh-CN"/>
              </w:rPr>
            </w:pPr>
            <w:r>
              <w:rPr>
                <w:rFonts w:hint="eastAsia"/>
                <w:color w:val="auto"/>
                <w:highlight w:val="none"/>
              </w:rPr>
              <w:t>姓名：王均伟      电话：0417-6259699</w:t>
            </w:r>
          </w:p>
        </w:tc>
      </w:tr>
      <w:tr w14:paraId="69048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856" w:type="dxa"/>
            <w:vAlign w:val="center"/>
          </w:tcPr>
          <w:p w14:paraId="71D290DF">
            <w:pPr>
              <w:pStyle w:val="185"/>
              <w:spacing w:before="147"/>
              <w:ind w:left="189"/>
              <w:jc w:val="both"/>
              <w:rPr>
                <w:color w:val="auto"/>
                <w:highlight w:val="none"/>
              </w:rPr>
            </w:pPr>
            <w:r>
              <w:rPr>
                <w:color w:val="auto"/>
                <w:spacing w:val="-4"/>
                <w:highlight w:val="none"/>
              </w:rPr>
              <w:t>1.1.4</w:t>
            </w:r>
          </w:p>
        </w:tc>
        <w:tc>
          <w:tcPr>
            <w:tcW w:w="2267" w:type="dxa"/>
            <w:vAlign w:val="center"/>
          </w:tcPr>
          <w:p w14:paraId="7DC8DA21">
            <w:pPr>
              <w:pStyle w:val="185"/>
              <w:spacing w:before="148" w:line="221" w:lineRule="auto"/>
              <w:ind w:left="508"/>
              <w:jc w:val="both"/>
              <w:rPr>
                <w:color w:val="auto"/>
                <w:highlight w:val="none"/>
              </w:rPr>
            </w:pPr>
            <w:r>
              <w:rPr>
                <w:rFonts w:hint="eastAsia"/>
                <w:color w:val="auto"/>
                <w:spacing w:val="-1"/>
                <w:highlight w:val="none"/>
                <w:lang w:val="en-US" w:eastAsia="zh-CN"/>
              </w:rPr>
              <w:t>标段</w:t>
            </w:r>
            <w:r>
              <w:rPr>
                <w:color w:val="auto"/>
                <w:spacing w:val="-1"/>
                <w:highlight w:val="none"/>
              </w:rPr>
              <w:t>项目名称</w:t>
            </w:r>
          </w:p>
        </w:tc>
        <w:tc>
          <w:tcPr>
            <w:tcW w:w="5477" w:type="dxa"/>
            <w:vAlign w:val="center"/>
          </w:tcPr>
          <w:p w14:paraId="5C199003">
            <w:pPr>
              <w:jc w:val="both"/>
              <w:rPr>
                <w:rFonts w:ascii="Arial"/>
                <w:color w:val="auto"/>
                <w:highlight w:val="none"/>
              </w:rPr>
            </w:pPr>
            <w:r>
              <w:rPr>
                <w:rFonts w:hint="eastAsia"/>
                <w:color w:val="auto"/>
                <w:highlight w:val="none"/>
                <w:lang w:eastAsia="zh-CN"/>
              </w:rPr>
              <w:t>2025年营口市鲅鱼圈区集中供热二三网维修改造工程</w:t>
            </w:r>
            <w:r>
              <w:rPr>
                <w:rFonts w:hint="eastAsia"/>
                <w:color w:val="auto"/>
                <w:highlight w:val="none"/>
                <w:lang w:val="en-US" w:eastAsia="zh-CN"/>
              </w:rPr>
              <w:t>EPC工程</w:t>
            </w:r>
            <w:r>
              <w:rPr>
                <w:rFonts w:hint="eastAsia"/>
                <w:color w:val="auto"/>
                <w:highlight w:val="none"/>
                <w:lang w:eastAsia="zh-CN"/>
              </w:rPr>
              <w:t>总承包</w:t>
            </w:r>
          </w:p>
        </w:tc>
      </w:tr>
      <w:tr w14:paraId="463C1C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56" w:type="dxa"/>
            <w:vAlign w:val="center"/>
          </w:tcPr>
          <w:p w14:paraId="013F7527">
            <w:pPr>
              <w:pStyle w:val="185"/>
              <w:spacing w:before="148"/>
              <w:ind w:left="189"/>
              <w:jc w:val="both"/>
              <w:rPr>
                <w:color w:val="auto"/>
                <w:highlight w:val="none"/>
              </w:rPr>
            </w:pPr>
            <w:r>
              <w:rPr>
                <w:color w:val="auto"/>
                <w:spacing w:val="-4"/>
                <w:highlight w:val="none"/>
              </w:rPr>
              <w:t>1.1.5</w:t>
            </w:r>
          </w:p>
        </w:tc>
        <w:tc>
          <w:tcPr>
            <w:tcW w:w="2267" w:type="dxa"/>
            <w:vAlign w:val="center"/>
          </w:tcPr>
          <w:p w14:paraId="7B923056">
            <w:pPr>
              <w:pStyle w:val="185"/>
              <w:spacing w:before="148" w:line="222" w:lineRule="auto"/>
              <w:ind w:left="719"/>
              <w:jc w:val="both"/>
              <w:rPr>
                <w:color w:val="auto"/>
                <w:highlight w:val="none"/>
              </w:rPr>
            </w:pPr>
            <w:r>
              <w:rPr>
                <w:color w:val="auto"/>
                <w:spacing w:val="-2"/>
                <w:highlight w:val="none"/>
              </w:rPr>
              <w:t>建设地点</w:t>
            </w:r>
          </w:p>
        </w:tc>
        <w:tc>
          <w:tcPr>
            <w:tcW w:w="5477" w:type="dxa"/>
            <w:vAlign w:val="center"/>
          </w:tcPr>
          <w:p w14:paraId="67CF21E3">
            <w:pPr>
              <w:jc w:val="both"/>
              <w:rPr>
                <w:rFonts w:hint="default" w:ascii="Arial"/>
                <w:color w:val="auto"/>
                <w:highlight w:val="none"/>
                <w:lang w:val="en-US"/>
              </w:rPr>
            </w:pPr>
            <w:r>
              <w:rPr>
                <w:rFonts w:hint="eastAsia" w:ascii="Arial"/>
                <w:color w:val="auto"/>
                <w:highlight w:val="none"/>
                <w:lang w:val="en-US" w:eastAsia="zh-CN"/>
              </w:rPr>
              <w:t>营口市鲅鱼圈区</w:t>
            </w:r>
          </w:p>
        </w:tc>
      </w:tr>
      <w:tr w14:paraId="0F94A1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856" w:type="dxa"/>
            <w:vAlign w:val="top"/>
          </w:tcPr>
          <w:p w14:paraId="702F1BD4">
            <w:pPr>
              <w:pStyle w:val="185"/>
              <w:spacing w:before="149"/>
              <w:ind w:left="189"/>
              <w:jc w:val="both"/>
              <w:rPr>
                <w:color w:val="auto"/>
                <w:spacing w:val="-5"/>
                <w:highlight w:val="none"/>
              </w:rPr>
            </w:pPr>
          </w:p>
          <w:p w14:paraId="3B5B7A0A">
            <w:pPr>
              <w:pStyle w:val="185"/>
              <w:spacing w:before="149"/>
              <w:ind w:left="189"/>
              <w:jc w:val="both"/>
              <w:rPr>
                <w:color w:val="auto"/>
                <w:spacing w:val="-5"/>
                <w:highlight w:val="none"/>
              </w:rPr>
            </w:pPr>
          </w:p>
          <w:p w14:paraId="35D826D8">
            <w:pPr>
              <w:pStyle w:val="185"/>
              <w:spacing w:before="149"/>
              <w:ind w:left="189"/>
              <w:jc w:val="both"/>
              <w:rPr>
                <w:color w:val="auto"/>
                <w:spacing w:val="-5"/>
                <w:highlight w:val="none"/>
              </w:rPr>
            </w:pPr>
          </w:p>
          <w:p w14:paraId="563F33C1">
            <w:pPr>
              <w:pStyle w:val="185"/>
              <w:spacing w:before="149"/>
              <w:ind w:left="189"/>
              <w:jc w:val="both"/>
              <w:rPr>
                <w:color w:val="auto"/>
                <w:highlight w:val="none"/>
              </w:rPr>
            </w:pPr>
            <w:r>
              <w:rPr>
                <w:color w:val="auto"/>
                <w:spacing w:val="-5"/>
                <w:highlight w:val="none"/>
              </w:rPr>
              <w:t>1.1.6</w:t>
            </w:r>
          </w:p>
        </w:tc>
        <w:tc>
          <w:tcPr>
            <w:tcW w:w="2267" w:type="dxa"/>
            <w:vAlign w:val="top"/>
          </w:tcPr>
          <w:p w14:paraId="05E33F8C">
            <w:pPr>
              <w:pStyle w:val="185"/>
              <w:spacing w:before="148" w:line="221" w:lineRule="auto"/>
              <w:ind w:left="511"/>
              <w:jc w:val="both"/>
              <w:rPr>
                <w:color w:val="auto"/>
                <w:spacing w:val="-2"/>
                <w:highlight w:val="none"/>
              </w:rPr>
            </w:pPr>
          </w:p>
          <w:p w14:paraId="3692983E">
            <w:pPr>
              <w:pStyle w:val="185"/>
              <w:spacing w:before="148" w:line="221" w:lineRule="auto"/>
              <w:ind w:left="511"/>
              <w:jc w:val="both"/>
              <w:rPr>
                <w:color w:val="auto"/>
                <w:spacing w:val="-2"/>
                <w:highlight w:val="none"/>
              </w:rPr>
            </w:pPr>
          </w:p>
          <w:p w14:paraId="51C64D11">
            <w:pPr>
              <w:pStyle w:val="185"/>
              <w:spacing w:before="148" w:line="221" w:lineRule="auto"/>
              <w:ind w:left="511"/>
              <w:jc w:val="both"/>
              <w:rPr>
                <w:color w:val="auto"/>
                <w:spacing w:val="-2"/>
                <w:highlight w:val="none"/>
              </w:rPr>
            </w:pPr>
          </w:p>
          <w:p w14:paraId="7D17BABD">
            <w:pPr>
              <w:pStyle w:val="185"/>
              <w:spacing w:before="148" w:line="221" w:lineRule="auto"/>
              <w:ind w:left="511"/>
              <w:jc w:val="both"/>
              <w:rPr>
                <w:color w:val="auto"/>
                <w:highlight w:val="none"/>
              </w:rPr>
            </w:pPr>
            <w:r>
              <w:rPr>
                <w:color w:val="auto"/>
                <w:spacing w:val="-2"/>
                <w:highlight w:val="none"/>
              </w:rPr>
              <w:t>项目建设规模</w:t>
            </w:r>
          </w:p>
        </w:tc>
        <w:tc>
          <w:tcPr>
            <w:tcW w:w="5477" w:type="dxa"/>
            <w:vAlign w:val="center"/>
          </w:tcPr>
          <w:p w14:paraId="711AE0CF">
            <w:pPr>
              <w:jc w:val="both"/>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本项目为工程总承包（EPC）交钥匙工程，包含与</w:t>
            </w:r>
            <w:r>
              <w:rPr>
                <w:rFonts w:hint="default" w:ascii="Times New Roman" w:hAnsi="Times New Roman" w:eastAsia="宋体" w:cs="Times New Roman"/>
                <w:color w:val="auto"/>
                <w:highlight w:val="none"/>
                <w:lang w:val="en-US" w:eastAsia="zh-CN"/>
              </w:rPr>
              <w:t>本项目所有建安工程相关的建设内容和服务内容。具体包括工程规划范围内的全过程施工图设计、材料设备采购、施工、交(竣)工验收、质量保修期内服务，办理配套设施确认、配合完成最终结算审计等。</w:t>
            </w:r>
          </w:p>
          <w:p w14:paraId="3F155FEC">
            <w:pPr>
              <w:spacing w:line="300" w:lineRule="exact"/>
              <w:jc w:val="both"/>
              <w:rPr>
                <w:rFonts w:hint="eastAsia"/>
                <w:color w:val="auto"/>
                <w:sz w:val="18"/>
                <w:szCs w:val="18"/>
                <w:highlight w:val="none"/>
              </w:rPr>
            </w:pPr>
            <w:r>
              <w:rPr>
                <w:rFonts w:hint="eastAsia" w:cs="Times New Roman"/>
                <w:color w:val="auto"/>
                <w:highlight w:val="none"/>
                <w:lang w:val="en-US" w:eastAsia="zh-CN"/>
              </w:rPr>
              <w:t>包括拆除并改造二、三级网管道长度总计157102米，其中拆除并改造二级网管道长度为38656米，拆除并改造三级网管道长度为118446米、换热站工艺改造（涉及44座换热站）及华源区域电控系统升级改造（涉及7座换热站、新港调度系统和芦屯调度系统）。改造区域涉及昌辉区域、鸿通区域和华源区域三个供热区域114个小区的供热管网设施更新改造工程。</w:t>
            </w:r>
          </w:p>
        </w:tc>
      </w:tr>
      <w:tr w14:paraId="77EB0F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856" w:type="dxa"/>
            <w:vAlign w:val="top"/>
          </w:tcPr>
          <w:p w14:paraId="60DC71C9">
            <w:pPr>
              <w:pStyle w:val="185"/>
              <w:spacing w:before="149"/>
              <w:ind w:left="189"/>
              <w:jc w:val="both"/>
              <w:rPr>
                <w:color w:val="auto"/>
                <w:highlight w:val="none"/>
              </w:rPr>
            </w:pPr>
            <w:r>
              <w:rPr>
                <w:color w:val="auto"/>
                <w:spacing w:val="-5"/>
                <w:highlight w:val="none"/>
              </w:rPr>
              <w:t>1.1.7</w:t>
            </w:r>
          </w:p>
        </w:tc>
        <w:tc>
          <w:tcPr>
            <w:tcW w:w="2267" w:type="dxa"/>
            <w:vAlign w:val="top"/>
          </w:tcPr>
          <w:p w14:paraId="6410C984">
            <w:pPr>
              <w:pStyle w:val="185"/>
              <w:spacing w:before="149" w:line="219" w:lineRule="auto"/>
              <w:ind w:left="511"/>
              <w:jc w:val="both"/>
              <w:rPr>
                <w:color w:val="auto"/>
                <w:highlight w:val="none"/>
              </w:rPr>
            </w:pPr>
            <w:r>
              <w:rPr>
                <w:color w:val="auto"/>
                <w:spacing w:val="-2"/>
                <w:highlight w:val="none"/>
              </w:rPr>
              <w:t>项目投资估算</w:t>
            </w:r>
          </w:p>
        </w:tc>
        <w:tc>
          <w:tcPr>
            <w:tcW w:w="5477" w:type="dxa"/>
            <w:vAlign w:val="center"/>
          </w:tcPr>
          <w:p w14:paraId="49028316">
            <w:pPr>
              <w:pStyle w:val="185"/>
              <w:tabs>
                <w:tab w:val="left" w:pos="3256"/>
              </w:tabs>
              <w:spacing w:before="149" w:line="221" w:lineRule="auto"/>
              <w:jc w:val="both"/>
              <w:rPr>
                <w:color w:val="auto"/>
                <w:highlight w:val="none"/>
              </w:rPr>
            </w:pPr>
            <w:r>
              <w:rPr>
                <w:rFonts w:hint="eastAsia"/>
                <w:color w:val="auto"/>
                <w:highlight w:val="none"/>
                <w:u w:val="single"/>
                <w:lang w:val="en-US" w:eastAsia="zh-CN"/>
              </w:rPr>
              <w:t>6848.53</w:t>
            </w:r>
            <w:r>
              <w:rPr>
                <w:rFonts w:hint="eastAsia"/>
                <w:color w:val="auto"/>
                <w:highlight w:val="none"/>
                <w:u w:val="none"/>
                <w:lang w:val="en-US" w:eastAsia="zh-CN"/>
              </w:rPr>
              <w:t>万</w:t>
            </w:r>
            <w:r>
              <w:rPr>
                <w:color w:val="auto"/>
                <w:highlight w:val="none"/>
              </w:rPr>
              <w:t>元</w:t>
            </w:r>
          </w:p>
        </w:tc>
      </w:tr>
      <w:tr w14:paraId="1F4321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56" w:type="dxa"/>
            <w:vAlign w:val="top"/>
          </w:tcPr>
          <w:p w14:paraId="2D673AF8">
            <w:pPr>
              <w:spacing w:line="245" w:lineRule="auto"/>
              <w:jc w:val="both"/>
              <w:rPr>
                <w:rFonts w:ascii="Arial"/>
                <w:color w:val="auto"/>
                <w:highlight w:val="none"/>
              </w:rPr>
            </w:pPr>
          </w:p>
          <w:p w14:paraId="136FFFDE">
            <w:pPr>
              <w:pStyle w:val="185"/>
              <w:spacing w:before="68"/>
              <w:ind w:left="189"/>
              <w:jc w:val="both"/>
              <w:rPr>
                <w:color w:val="auto"/>
                <w:highlight w:val="none"/>
              </w:rPr>
            </w:pPr>
            <w:r>
              <w:rPr>
                <w:color w:val="auto"/>
                <w:spacing w:val="-5"/>
                <w:highlight w:val="none"/>
              </w:rPr>
              <w:t>1.1.8</w:t>
            </w:r>
          </w:p>
        </w:tc>
        <w:tc>
          <w:tcPr>
            <w:tcW w:w="2267" w:type="dxa"/>
            <w:vAlign w:val="top"/>
          </w:tcPr>
          <w:p w14:paraId="61441601">
            <w:pPr>
              <w:spacing w:line="245" w:lineRule="auto"/>
              <w:jc w:val="both"/>
              <w:rPr>
                <w:rFonts w:ascii="Arial"/>
                <w:color w:val="auto"/>
                <w:highlight w:val="none"/>
              </w:rPr>
            </w:pPr>
          </w:p>
          <w:p w14:paraId="79FBDE2C">
            <w:pPr>
              <w:pStyle w:val="185"/>
              <w:spacing w:before="68" w:line="221" w:lineRule="auto"/>
              <w:ind w:left="532"/>
              <w:jc w:val="both"/>
              <w:rPr>
                <w:color w:val="auto"/>
                <w:highlight w:val="none"/>
              </w:rPr>
            </w:pPr>
            <w:r>
              <w:rPr>
                <w:color w:val="auto"/>
                <w:spacing w:val="-5"/>
                <w:highlight w:val="none"/>
              </w:rPr>
              <w:t>电子交易系统</w:t>
            </w:r>
          </w:p>
        </w:tc>
        <w:tc>
          <w:tcPr>
            <w:tcW w:w="5477" w:type="dxa"/>
            <w:vAlign w:val="center"/>
          </w:tcPr>
          <w:p w14:paraId="2DBC8F85">
            <w:pPr>
              <w:pStyle w:val="185"/>
              <w:spacing w:before="68" w:line="244" w:lineRule="auto"/>
              <w:ind w:right="213" w:rightChars="0"/>
              <w:jc w:val="both"/>
              <w:rPr>
                <w:color w:val="auto"/>
                <w:highlight w:val="none"/>
                <w:lang w:eastAsia="zh-CN"/>
              </w:rPr>
            </w:pPr>
            <w:r>
              <w:rPr>
                <w:rFonts w:hint="eastAsia"/>
                <w:color w:val="auto"/>
                <w:highlight w:val="none"/>
                <w:lang w:eastAsia="zh-CN"/>
              </w:rPr>
              <w:t>辽宁省房屋建筑和市政工程电子交易系统（工程咨询）</w:t>
            </w:r>
          </w:p>
        </w:tc>
      </w:tr>
      <w:tr w14:paraId="4C026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856" w:type="dxa"/>
            <w:vAlign w:val="top"/>
          </w:tcPr>
          <w:p w14:paraId="5976496A">
            <w:pPr>
              <w:pStyle w:val="185"/>
              <w:spacing w:before="150"/>
              <w:ind w:left="189"/>
              <w:jc w:val="both"/>
              <w:rPr>
                <w:color w:val="auto"/>
                <w:highlight w:val="none"/>
              </w:rPr>
            </w:pPr>
            <w:r>
              <w:rPr>
                <w:color w:val="auto"/>
                <w:spacing w:val="-4"/>
                <w:highlight w:val="none"/>
              </w:rPr>
              <w:t>1.2.1</w:t>
            </w:r>
          </w:p>
        </w:tc>
        <w:tc>
          <w:tcPr>
            <w:tcW w:w="2267" w:type="dxa"/>
            <w:vAlign w:val="top"/>
          </w:tcPr>
          <w:p w14:paraId="4AED5A69">
            <w:pPr>
              <w:pStyle w:val="185"/>
              <w:spacing w:before="149" w:line="221" w:lineRule="auto"/>
              <w:ind w:left="411"/>
              <w:jc w:val="both"/>
              <w:rPr>
                <w:color w:val="auto"/>
                <w:highlight w:val="none"/>
              </w:rPr>
            </w:pPr>
            <w:r>
              <w:rPr>
                <w:color w:val="auto"/>
                <w:spacing w:val="-2"/>
                <w:highlight w:val="none"/>
              </w:rPr>
              <w:t>资金来源及比例</w:t>
            </w:r>
          </w:p>
        </w:tc>
        <w:tc>
          <w:tcPr>
            <w:tcW w:w="5477" w:type="dxa"/>
            <w:vAlign w:val="center"/>
          </w:tcPr>
          <w:p w14:paraId="5AA292AD">
            <w:pPr>
              <w:jc w:val="both"/>
              <w:rPr>
                <w:rFonts w:ascii="Arial"/>
                <w:color w:val="auto"/>
                <w:highlight w:val="none"/>
              </w:rPr>
            </w:pPr>
            <w:r>
              <w:rPr>
                <w:rFonts w:hint="eastAsia" w:ascii="Arial"/>
                <w:color w:val="auto"/>
                <w:highlight w:val="none"/>
                <w:lang w:val="en-US" w:eastAsia="zh-CN"/>
              </w:rPr>
              <w:t>70%为超长期特别国债、30%为区财政资金</w:t>
            </w:r>
          </w:p>
        </w:tc>
      </w:tr>
      <w:tr w14:paraId="3AD091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56" w:type="dxa"/>
            <w:vAlign w:val="top"/>
          </w:tcPr>
          <w:p w14:paraId="1BB59DB1">
            <w:pPr>
              <w:pStyle w:val="185"/>
              <w:spacing w:before="150"/>
              <w:ind w:left="189"/>
              <w:jc w:val="both"/>
              <w:rPr>
                <w:color w:val="auto"/>
                <w:spacing w:val="-5"/>
                <w:highlight w:val="none"/>
              </w:rPr>
            </w:pPr>
            <w:r>
              <w:rPr>
                <w:color w:val="auto"/>
                <w:spacing w:val="-5"/>
                <w:highlight w:val="none"/>
              </w:rPr>
              <w:t>1.2.2</w:t>
            </w:r>
          </w:p>
        </w:tc>
        <w:tc>
          <w:tcPr>
            <w:tcW w:w="2267" w:type="dxa"/>
            <w:vAlign w:val="top"/>
          </w:tcPr>
          <w:p w14:paraId="7FFE4108">
            <w:pPr>
              <w:pStyle w:val="185"/>
              <w:spacing w:before="150" w:line="221" w:lineRule="auto"/>
              <w:ind w:left="517"/>
              <w:jc w:val="both"/>
              <w:rPr>
                <w:color w:val="auto"/>
                <w:spacing w:val="-3"/>
                <w:highlight w:val="none"/>
              </w:rPr>
            </w:pPr>
            <w:r>
              <w:rPr>
                <w:rFonts w:hint="eastAsia"/>
                <w:color w:val="auto"/>
                <w:spacing w:val="-3"/>
                <w:highlight w:val="none"/>
                <w:lang w:val="en-US" w:eastAsia="zh-CN"/>
              </w:rPr>
              <w:t>标段合同估算价</w:t>
            </w:r>
          </w:p>
        </w:tc>
        <w:tc>
          <w:tcPr>
            <w:tcW w:w="5477" w:type="dxa"/>
            <w:vAlign w:val="center"/>
          </w:tcPr>
          <w:p w14:paraId="29A791A3">
            <w:pPr>
              <w:jc w:val="both"/>
              <w:rPr>
                <w:rFonts w:hint="default" w:ascii="宋体" w:hAnsi="宋体"/>
                <w:color w:val="auto"/>
                <w:szCs w:val="21"/>
                <w:highlight w:val="none"/>
                <w:lang w:val="en-US" w:eastAsia="zh-CN"/>
              </w:rPr>
            </w:pPr>
            <w:r>
              <w:rPr>
                <w:rFonts w:hint="eastAsia" w:ascii="宋体" w:hAnsi="宋体" w:eastAsia="宋体" w:cs="宋体"/>
                <w:color w:val="auto"/>
                <w:kern w:val="2"/>
                <w:sz w:val="21"/>
                <w:szCs w:val="21"/>
                <w:highlight w:val="none"/>
                <w:u w:val="single"/>
                <w:lang w:val="en-US" w:eastAsia="zh-CN" w:bidi="ar-SA"/>
              </w:rPr>
              <w:t>6628.03</w:t>
            </w:r>
            <w:r>
              <w:rPr>
                <w:rFonts w:hint="eastAsia"/>
                <w:color w:val="auto"/>
                <w:highlight w:val="none"/>
                <w:u w:val="none"/>
                <w:lang w:val="en-US" w:eastAsia="zh-CN"/>
              </w:rPr>
              <w:t>万</w:t>
            </w:r>
            <w:r>
              <w:rPr>
                <w:color w:val="auto"/>
                <w:highlight w:val="none"/>
              </w:rPr>
              <w:t>元</w:t>
            </w:r>
          </w:p>
        </w:tc>
      </w:tr>
      <w:tr w14:paraId="5FAA4C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56" w:type="dxa"/>
            <w:vAlign w:val="top"/>
          </w:tcPr>
          <w:p w14:paraId="21C59C14">
            <w:pPr>
              <w:pStyle w:val="185"/>
              <w:spacing w:before="150"/>
              <w:ind w:left="189"/>
              <w:jc w:val="both"/>
              <w:rPr>
                <w:rFonts w:hint="default" w:eastAsia="宋体"/>
                <w:color w:val="auto"/>
                <w:highlight w:val="none"/>
                <w:lang w:val="en-US" w:eastAsia="zh-CN"/>
              </w:rPr>
            </w:pPr>
            <w:r>
              <w:rPr>
                <w:rFonts w:hint="eastAsia"/>
                <w:color w:val="auto"/>
                <w:highlight w:val="none"/>
                <w:lang w:val="en-US" w:eastAsia="zh-CN"/>
              </w:rPr>
              <w:t>1.2.3</w:t>
            </w:r>
          </w:p>
        </w:tc>
        <w:tc>
          <w:tcPr>
            <w:tcW w:w="2267" w:type="dxa"/>
            <w:vAlign w:val="top"/>
          </w:tcPr>
          <w:p w14:paraId="18E9E716">
            <w:pPr>
              <w:pStyle w:val="185"/>
              <w:spacing w:before="150" w:line="221" w:lineRule="auto"/>
              <w:ind w:left="517"/>
              <w:jc w:val="both"/>
              <w:rPr>
                <w:color w:val="auto"/>
                <w:highlight w:val="none"/>
              </w:rPr>
            </w:pPr>
            <w:r>
              <w:rPr>
                <w:color w:val="auto"/>
                <w:spacing w:val="-3"/>
                <w:highlight w:val="none"/>
              </w:rPr>
              <w:t>资金落实情况</w:t>
            </w:r>
          </w:p>
        </w:tc>
        <w:tc>
          <w:tcPr>
            <w:tcW w:w="5477" w:type="dxa"/>
            <w:vAlign w:val="center"/>
          </w:tcPr>
          <w:p w14:paraId="46C0D738">
            <w:pPr>
              <w:jc w:val="both"/>
              <w:rPr>
                <w:rFonts w:ascii="Arial"/>
                <w:color w:val="auto"/>
                <w:highlight w:val="none"/>
              </w:rPr>
            </w:pPr>
            <w:r>
              <w:rPr>
                <w:rFonts w:hint="eastAsia" w:ascii="宋体" w:hAnsi="宋体"/>
                <w:color w:val="auto"/>
                <w:szCs w:val="21"/>
                <w:highlight w:val="none"/>
                <w:lang w:val="en-US" w:eastAsia="zh-CN"/>
              </w:rPr>
              <w:t>建设资金</w:t>
            </w:r>
            <w:r>
              <w:rPr>
                <w:rFonts w:hint="eastAsia" w:ascii="宋体" w:hAnsi="宋体"/>
                <w:color w:val="auto"/>
                <w:szCs w:val="21"/>
                <w:highlight w:val="none"/>
              </w:rPr>
              <w:t>已落实</w:t>
            </w:r>
          </w:p>
        </w:tc>
      </w:tr>
      <w:tr w14:paraId="3FE1DA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4" w:hRule="atLeast"/>
        </w:trPr>
        <w:tc>
          <w:tcPr>
            <w:tcW w:w="856" w:type="dxa"/>
          </w:tcPr>
          <w:p w14:paraId="26355EEB">
            <w:pPr>
              <w:spacing w:line="420" w:lineRule="auto"/>
              <w:rPr>
                <w:rFonts w:ascii="Arial"/>
                <w:color w:val="auto"/>
                <w:highlight w:val="none"/>
              </w:rPr>
            </w:pPr>
          </w:p>
          <w:p w14:paraId="1D25EC68">
            <w:pPr>
              <w:pStyle w:val="185"/>
              <w:spacing w:before="68"/>
              <w:ind w:left="189"/>
              <w:rPr>
                <w:color w:val="auto"/>
                <w:spacing w:val="-4"/>
                <w:highlight w:val="none"/>
              </w:rPr>
            </w:pPr>
          </w:p>
          <w:p w14:paraId="25B55C6C">
            <w:pPr>
              <w:pStyle w:val="185"/>
              <w:spacing w:before="68"/>
              <w:ind w:left="189"/>
              <w:rPr>
                <w:color w:val="auto"/>
                <w:spacing w:val="-4"/>
                <w:highlight w:val="none"/>
              </w:rPr>
            </w:pPr>
          </w:p>
          <w:p w14:paraId="12EB5866">
            <w:pPr>
              <w:pStyle w:val="185"/>
              <w:spacing w:before="68"/>
              <w:ind w:left="189"/>
              <w:rPr>
                <w:color w:val="auto"/>
                <w:spacing w:val="-4"/>
                <w:highlight w:val="none"/>
              </w:rPr>
            </w:pPr>
          </w:p>
          <w:p w14:paraId="2DABF58C">
            <w:pPr>
              <w:pStyle w:val="185"/>
              <w:spacing w:before="68"/>
              <w:ind w:left="189"/>
              <w:rPr>
                <w:color w:val="auto"/>
                <w:spacing w:val="-4"/>
                <w:highlight w:val="none"/>
              </w:rPr>
            </w:pPr>
          </w:p>
          <w:p w14:paraId="7FFFD10B">
            <w:pPr>
              <w:pStyle w:val="185"/>
              <w:spacing w:before="68"/>
              <w:ind w:left="189"/>
              <w:rPr>
                <w:color w:val="auto"/>
                <w:highlight w:val="none"/>
              </w:rPr>
            </w:pPr>
            <w:r>
              <w:rPr>
                <w:color w:val="auto"/>
                <w:spacing w:val="-4"/>
                <w:highlight w:val="none"/>
              </w:rPr>
              <w:t>1.3.1</w:t>
            </w:r>
          </w:p>
        </w:tc>
        <w:tc>
          <w:tcPr>
            <w:tcW w:w="2267" w:type="dxa"/>
          </w:tcPr>
          <w:p w14:paraId="6AC3B72B">
            <w:pPr>
              <w:spacing w:line="420" w:lineRule="auto"/>
              <w:rPr>
                <w:rFonts w:ascii="Arial"/>
                <w:color w:val="auto"/>
                <w:highlight w:val="none"/>
              </w:rPr>
            </w:pPr>
          </w:p>
          <w:p w14:paraId="0604585E">
            <w:pPr>
              <w:pStyle w:val="185"/>
              <w:spacing w:before="68" w:line="221" w:lineRule="auto"/>
              <w:ind w:left="717"/>
              <w:rPr>
                <w:color w:val="auto"/>
                <w:spacing w:val="-2"/>
                <w:highlight w:val="none"/>
              </w:rPr>
            </w:pPr>
          </w:p>
          <w:p w14:paraId="0AEFD619">
            <w:pPr>
              <w:pStyle w:val="185"/>
              <w:spacing w:before="68" w:line="221" w:lineRule="auto"/>
              <w:ind w:left="717"/>
              <w:rPr>
                <w:color w:val="auto"/>
                <w:spacing w:val="-2"/>
                <w:highlight w:val="none"/>
              </w:rPr>
            </w:pPr>
          </w:p>
          <w:p w14:paraId="5B9B3CE3">
            <w:pPr>
              <w:pStyle w:val="185"/>
              <w:spacing w:before="68" w:line="221" w:lineRule="auto"/>
              <w:ind w:left="717"/>
              <w:rPr>
                <w:color w:val="auto"/>
                <w:spacing w:val="-2"/>
                <w:highlight w:val="none"/>
              </w:rPr>
            </w:pPr>
          </w:p>
          <w:p w14:paraId="393DEAAD">
            <w:pPr>
              <w:pStyle w:val="185"/>
              <w:spacing w:before="68" w:line="221" w:lineRule="auto"/>
              <w:ind w:left="717"/>
              <w:rPr>
                <w:color w:val="auto"/>
                <w:spacing w:val="-2"/>
                <w:highlight w:val="none"/>
              </w:rPr>
            </w:pPr>
          </w:p>
          <w:p w14:paraId="4DE5D4CB">
            <w:pPr>
              <w:pStyle w:val="185"/>
              <w:spacing w:before="68" w:line="221" w:lineRule="auto"/>
              <w:ind w:left="717"/>
              <w:rPr>
                <w:color w:val="auto"/>
                <w:highlight w:val="none"/>
              </w:rPr>
            </w:pPr>
            <w:r>
              <w:rPr>
                <w:color w:val="auto"/>
                <w:spacing w:val="-2"/>
                <w:highlight w:val="none"/>
              </w:rPr>
              <w:t>招标范围</w:t>
            </w:r>
          </w:p>
        </w:tc>
        <w:tc>
          <w:tcPr>
            <w:tcW w:w="5477" w:type="dxa"/>
          </w:tcPr>
          <w:p w14:paraId="6B8CCDCC">
            <w:pPr>
              <w:spacing w:line="395" w:lineRule="auto"/>
              <w:rPr>
                <w:rFonts w:ascii="Arial"/>
                <w:color w:val="auto"/>
                <w:highlight w:val="none"/>
              </w:rPr>
            </w:pPr>
          </w:p>
          <w:p w14:paraId="7121F504">
            <w:pPr>
              <w:pStyle w:val="185"/>
              <w:spacing w:before="69" w:line="45" w:lineRule="exact"/>
              <w:ind w:left="2971"/>
              <w:rPr>
                <w:color w:val="auto"/>
                <w:highlight w:val="none"/>
                <w:lang w:eastAsia="zh-CN"/>
              </w:rPr>
            </w:pPr>
            <w:r>
              <w:rPr>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53975</wp:posOffset>
                      </wp:positionH>
                      <wp:positionV relativeFrom="paragraph">
                        <wp:posOffset>-42545</wp:posOffset>
                      </wp:positionV>
                      <wp:extent cx="3245485" cy="2252980"/>
                      <wp:effectExtent l="0" t="0" r="0" b="0"/>
                      <wp:wrapNone/>
                      <wp:docPr id="5" name="文本框 5"/>
                      <wp:cNvGraphicFramePr/>
                      <a:graphic xmlns:a="http://schemas.openxmlformats.org/drawingml/2006/main">
                        <a:graphicData uri="http://schemas.microsoft.com/office/word/2010/wordprocessingShape">
                          <wps:wsp>
                            <wps:cNvSpPr txBox="1"/>
                            <wps:spPr>
                              <a:xfrm>
                                <a:off x="0" y="0"/>
                                <a:ext cx="3245485" cy="2252980"/>
                              </a:xfrm>
                              <a:prstGeom prst="rect">
                                <a:avLst/>
                              </a:prstGeom>
                              <a:noFill/>
                              <a:ln>
                                <a:noFill/>
                              </a:ln>
                              <a:effectLst/>
                            </wps:spPr>
                            <wps:txbx>
                              <w:txbxContent>
                                <w:p w14:paraId="14881639">
                                  <w:pPr>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本项目为工程总承包（EPC）交钥匙工程，包含与</w:t>
                                  </w:r>
                                  <w:r>
                                    <w:rPr>
                                      <w:rFonts w:hint="default" w:ascii="Times New Roman" w:hAnsi="Times New Roman" w:eastAsia="宋体" w:cs="Times New Roman"/>
                                      <w:color w:val="auto"/>
                                      <w:highlight w:val="none"/>
                                      <w:lang w:val="en-US" w:eastAsia="zh-CN"/>
                                    </w:rPr>
                                    <w:t>本项目所</w:t>
                                  </w:r>
                                  <w:r>
                                    <w:rPr>
                                      <w:rFonts w:hint="default" w:ascii="Times New Roman" w:hAnsi="Times New Roman" w:eastAsia="宋体" w:cs="Times New Roman"/>
                                      <w:color w:val="auto"/>
                                      <w:highlight w:val="none"/>
                                      <w:lang w:val="en-US" w:eastAsia="zh-CN"/>
                                    </w:rPr>
                                    <w:t>有建安工程相关的建设内容和服务内容。具体包括工程规划范围内的全过程施工图设计、材料设备采购、施工、交(竣)工验收、质量保修期内服务，办理配套设施确认、配合完成最终结算审计等。</w:t>
                                  </w:r>
                                </w:p>
                                <w:p w14:paraId="13F8B2DA">
                                  <w:pPr>
                                    <w:tabs>
                                      <w:tab w:val="left" w:pos="2857"/>
                                    </w:tabs>
                                    <w:spacing w:before="19"/>
                                    <w:ind w:left="20"/>
                                    <w:rPr>
                                      <w:rFonts w:ascii="Arial"/>
                                      <w:color w:val="auto"/>
                                    </w:rPr>
                                  </w:pPr>
                                  <w:r>
                                    <w:rPr>
                                      <w:rFonts w:hint="eastAsia" w:cs="Times New Roman"/>
                                      <w:color w:val="auto"/>
                                      <w:highlight w:val="none"/>
                                      <w:lang w:val="en-US" w:eastAsia="zh-CN"/>
                                    </w:rPr>
                                    <w:t>包括拆除并改造二、三级网管道长度总计157102米，其中拆除并改造二级网管道长度为38656米，拆除并改造三级网管道长度为118446米、换热站工艺改造（涉及44座换热站）及华源区域电控系统升级改造（涉及7座换热站、新港调度系统和芦屯调度系统）。改造区域涉及昌辉区域、鸿通区域和华源区域三个供热区域114个小区的供热管网设施更新改造工程。</w:t>
                                  </w:r>
                                </w:p>
                              </w:txbxContent>
                            </wps:txbx>
                            <wps:bodyPr lIns="0" tIns="0" rIns="0" bIns="0" upright="1"/>
                          </wps:wsp>
                        </a:graphicData>
                      </a:graphic>
                    </wp:anchor>
                  </w:drawing>
                </mc:Choice>
                <mc:Fallback>
                  <w:pict>
                    <v:shape id="_x0000_s1026" o:spid="_x0000_s1026" o:spt="202" type="#_x0000_t202" style="position:absolute;left:0pt;margin-left:4.25pt;margin-top:-3.35pt;height:177.4pt;width:255.55pt;z-index:251659264;mso-width-relative:page;mso-height-relative:page;" filled="f" stroked="f" coordsize="21600,21600" o:gfxdata="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mHrCR2AAAAAgBAAAPAAAAAAAAAAEAIAAAACIAAABkcnMvZG93bnJldi54&#10;bWxQSwECFAAUAAAACACHTuJA3cHMKsEBAACBAwAADgAAAAAAAAABACAAAAAnAQAAZHJzL2Uyb0Rv&#10;Yy54bWxQSwUGAAAAAAYABgBZAQAAWgUAAAAA&#10;">
                      <v:fill on="f" focussize="0,0"/>
                      <v:stroke on="f"/>
                      <v:imagedata o:title=""/>
                      <o:lock v:ext="edit" aspectratio="f"/>
                      <v:textbox inset="0mm,0mm,0mm,0mm">
                        <w:txbxContent>
                          <w:p w14:paraId="14881639">
                            <w:pPr>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本项目为工程总承包（EPC）交钥匙工程，包含与</w:t>
                            </w:r>
                            <w:r>
                              <w:rPr>
                                <w:rFonts w:hint="default" w:ascii="Times New Roman" w:hAnsi="Times New Roman" w:eastAsia="宋体" w:cs="Times New Roman"/>
                                <w:color w:val="auto"/>
                                <w:highlight w:val="none"/>
                                <w:lang w:val="en-US" w:eastAsia="zh-CN"/>
                              </w:rPr>
                              <w:t>本项目所</w:t>
                            </w:r>
                            <w:r>
                              <w:rPr>
                                <w:rFonts w:hint="default" w:ascii="Times New Roman" w:hAnsi="Times New Roman" w:eastAsia="宋体" w:cs="Times New Roman"/>
                                <w:color w:val="auto"/>
                                <w:highlight w:val="none"/>
                                <w:lang w:val="en-US" w:eastAsia="zh-CN"/>
                              </w:rPr>
                              <w:t>有建安工程相关的建设内容和服务内容。具体包括工程规划范围内的全过程施工图设计、材料设备采购、施工、交(竣)工验收、质量保修期内服务，办理配套设施确认、配合完成最终结算审计等。</w:t>
                            </w:r>
                          </w:p>
                          <w:p w14:paraId="13F8B2DA">
                            <w:pPr>
                              <w:tabs>
                                <w:tab w:val="left" w:pos="2857"/>
                              </w:tabs>
                              <w:spacing w:before="19"/>
                              <w:ind w:left="20"/>
                              <w:rPr>
                                <w:rFonts w:ascii="Arial"/>
                                <w:color w:val="auto"/>
                              </w:rPr>
                            </w:pPr>
                            <w:r>
                              <w:rPr>
                                <w:rFonts w:hint="eastAsia" w:cs="Times New Roman"/>
                                <w:color w:val="auto"/>
                                <w:highlight w:val="none"/>
                                <w:lang w:val="en-US" w:eastAsia="zh-CN"/>
                              </w:rPr>
                              <w:t>包括拆除并改造二、三级网管道长度总计157102米，其中拆除并改造二级网管道长度为38656米，拆除并改造三级网管道长度为118446米、换热站工艺改造（涉及44座换热站）及华源区域电控系统升级改造（涉及7座换热站、新港调度系统和芦屯调度系统）。改造区域涉及昌辉区域、鸿通区域和华源区域三个供热区域114个小区的供热管网设施更新改造工程。</w:t>
                            </w:r>
                          </w:p>
                        </w:txbxContent>
                      </v:textbox>
                    </v:shape>
                  </w:pict>
                </mc:Fallback>
              </mc:AlternateContent>
            </w:r>
            <w:r>
              <w:rPr>
                <w:color w:val="auto"/>
                <w:position w:val="-1"/>
                <w:highlight w:val="none"/>
                <w:lang w:eastAsia="zh-CN"/>
              </w:rPr>
              <w:t>。</w:t>
            </w:r>
          </w:p>
          <w:p w14:paraId="34EF414B">
            <w:pPr>
              <w:pStyle w:val="185"/>
              <w:spacing w:before="136" w:line="220" w:lineRule="auto"/>
              <w:rPr>
                <w:color w:val="auto"/>
                <w:spacing w:val="-1"/>
                <w:highlight w:val="none"/>
                <w:lang w:eastAsia="zh-CN"/>
              </w:rPr>
            </w:pPr>
          </w:p>
          <w:p w14:paraId="0B22E55C">
            <w:pPr>
              <w:pStyle w:val="185"/>
              <w:spacing w:before="136" w:line="220" w:lineRule="auto"/>
              <w:rPr>
                <w:color w:val="auto"/>
                <w:spacing w:val="-1"/>
                <w:highlight w:val="none"/>
                <w:lang w:eastAsia="zh-CN"/>
              </w:rPr>
            </w:pPr>
          </w:p>
          <w:p w14:paraId="2809FE02">
            <w:pPr>
              <w:pStyle w:val="185"/>
              <w:spacing w:before="136" w:line="220" w:lineRule="auto"/>
              <w:rPr>
                <w:color w:val="auto"/>
                <w:spacing w:val="-1"/>
                <w:highlight w:val="none"/>
                <w:lang w:eastAsia="zh-CN"/>
              </w:rPr>
            </w:pPr>
          </w:p>
          <w:p w14:paraId="135080BE">
            <w:pPr>
              <w:pStyle w:val="185"/>
              <w:spacing w:before="136" w:line="220" w:lineRule="auto"/>
              <w:rPr>
                <w:color w:val="auto"/>
                <w:spacing w:val="-1"/>
                <w:highlight w:val="none"/>
                <w:lang w:eastAsia="zh-CN"/>
              </w:rPr>
            </w:pPr>
          </w:p>
          <w:p w14:paraId="2C038DDC">
            <w:pPr>
              <w:pStyle w:val="185"/>
              <w:spacing w:before="136" w:line="220" w:lineRule="auto"/>
              <w:rPr>
                <w:color w:val="auto"/>
                <w:spacing w:val="-1"/>
                <w:highlight w:val="none"/>
                <w:lang w:eastAsia="zh-CN"/>
              </w:rPr>
            </w:pPr>
          </w:p>
          <w:p w14:paraId="0FA114C8">
            <w:pPr>
              <w:pStyle w:val="185"/>
              <w:spacing w:before="136" w:line="220" w:lineRule="auto"/>
              <w:rPr>
                <w:color w:val="auto"/>
                <w:spacing w:val="-1"/>
                <w:highlight w:val="none"/>
                <w:lang w:eastAsia="zh-CN"/>
              </w:rPr>
            </w:pPr>
          </w:p>
          <w:p w14:paraId="29463172">
            <w:pPr>
              <w:pStyle w:val="185"/>
              <w:spacing w:before="136" w:line="220" w:lineRule="auto"/>
              <w:rPr>
                <w:color w:val="auto"/>
                <w:spacing w:val="-1"/>
                <w:highlight w:val="none"/>
                <w:lang w:eastAsia="zh-CN"/>
              </w:rPr>
            </w:pPr>
          </w:p>
          <w:p w14:paraId="08029EBE">
            <w:pPr>
              <w:pStyle w:val="185"/>
              <w:spacing w:before="136" w:line="220" w:lineRule="auto"/>
              <w:rPr>
                <w:color w:val="auto"/>
                <w:spacing w:val="-1"/>
                <w:highlight w:val="none"/>
                <w:lang w:eastAsia="zh-CN"/>
              </w:rPr>
            </w:pPr>
          </w:p>
          <w:p w14:paraId="4A021127">
            <w:pPr>
              <w:pStyle w:val="185"/>
              <w:spacing w:before="136" w:line="220" w:lineRule="auto"/>
              <w:rPr>
                <w:color w:val="auto"/>
                <w:spacing w:val="-1"/>
                <w:highlight w:val="none"/>
                <w:lang w:eastAsia="zh-CN"/>
              </w:rPr>
            </w:pPr>
            <w:r>
              <w:rPr>
                <w:color w:val="auto"/>
                <w:spacing w:val="-1"/>
                <w:highlight w:val="none"/>
                <w:lang w:eastAsia="zh-CN"/>
              </w:rPr>
              <w:t>关于招标范围的详细说明见第五章“发包人要求”。</w:t>
            </w:r>
          </w:p>
        </w:tc>
      </w:tr>
    </w:tbl>
    <w:p w14:paraId="3865670B">
      <w:pPr>
        <w:spacing w:line="91" w:lineRule="auto"/>
        <w:rPr>
          <w:rFonts w:ascii="Arial"/>
          <w:color w:val="auto"/>
          <w:sz w:val="2"/>
          <w:highlight w:val="none"/>
        </w:rPr>
      </w:pPr>
    </w:p>
    <w:tbl>
      <w:tblPr>
        <w:tblStyle w:val="42"/>
        <w:tblW w:w="858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6"/>
        <w:gridCol w:w="2267"/>
        <w:gridCol w:w="5465"/>
      </w:tblGrid>
      <w:tr w14:paraId="7BA995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9" w:hRule="atLeast"/>
        </w:trPr>
        <w:tc>
          <w:tcPr>
            <w:tcW w:w="856" w:type="dxa"/>
            <w:vAlign w:val="center"/>
          </w:tcPr>
          <w:p w14:paraId="65952401">
            <w:pPr>
              <w:spacing w:line="269" w:lineRule="auto"/>
              <w:jc w:val="both"/>
              <w:rPr>
                <w:rFonts w:ascii="Arial"/>
                <w:color w:val="auto"/>
                <w:highlight w:val="none"/>
              </w:rPr>
            </w:pPr>
          </w:p>
          <w:p w14:paraId="1DD936C4">
            <w:pPr>
              <w:spacing w:line="269" w:lineRule="auto"/>
              <w:jc w:val="both"/>
              <w:rPr>
                <w:rFonts w:ascii="Arial"/>
                <w:color w:val="auto"/>
                <w:highlight w:val="none"/>
              </w:rPr>
            </w:pPr>
          </w:p>
          <w:p w14:paraId="260BC65E">
            <w:pPr>
              <w:spacing w:line="270" w:lineRule="auto"/>
              <w:jc w:val="both"/>
              <w:rPr>
                <w:rFonts w:ascii="Arial"/>
                <w:color w:val="auto"/>
                <w:highlight w:val="none"/>
              </w:rPr>
            </w:pPr>
          </w:p>
          <w:p w14:paraId="46B65FEB">
            <w:pPr>
              <w:pStyle w:val="185"/>
              <w:spacing w:before="69"/>
              <w:ind w:left="189"/>
              <w:jc w:val="both"/>
              <w:rPr>
                <w:color w:val="auto"/>
                <w:highlight w:val="none"/>
              </w:rPr>
            </w:pPr>
            <w:r>
              <w:rPr>
                <w:color w:val="auto"/>
                <w:spacing w:val="-4"/>
                <w:highlight w:val="none"/>
              </w:rPr>
              <w:t>1.3.2</w:t>
            </w:r>
          </w:p>
        </w:tc>
        <w:tc>
          <w:tcPr>
            <w:tcW w:w="2267" w:type="dxa"/>
            <w:vAlign w:val="center"/>
          </w:tcPr>
          <w:p w14:paraId="4CB23D68">
            <w:pPr>
              <w:spacing w:line="269" w:lineRule="auto"/>
              <w:jc w:val="both"/>
              <w:rPr>
                <w:rFonts w:ascii="Arial"/>
                <w:color w:val="auto"/>
                <w:highlight w:val="none"/>
              </w:rPr>
            </w:pPr>
          </w:p>
          <w:p w14:paraId="2C96B41D">
            <w:pPr>
              <w:spacing w:line="270" w:lineRule="auto"/>
              <w:jc w:val="both"/>
              <w:rPr>
                <w:rFonts w:ascii="Arial"/>
                <w:color w:val="auto"/>
                <w:highlight w:val="none"/>
              </w:rPr>
            </w:pPr>
          </w:p>
          <w:p w14:paraId="57D44826">
            <w:pPr>
              <w:spacing w:line="270" w:lineRule="auto"/>
              <w:jc w:val="both"/>
              <w:rPr>
                <w:rFonts w:ascii="Arial"/>
                <w:color w:val="auto"/>
                <w:highlight w:val="none"/>
              </w:rPr>
            </w:pPr>
          </w:p>
          <w:p w14:paraId="231DBF0B">
            <w:pPr>
              <w:pStyle w:val="185"/>
              <w:spacing w:before="68" w:line="221" w:lineRule="auto"/>
              <w:ind w:left="716"/>
              <w:jc w:val="both"/>
              <w:rPr>
                <w:color w:val="auto"/>
                <w:highlight w:val="none"/>
              </w:rPr>
            </w:pPr>
            <w:r>
              <w:rPr>
                <w:color w:val="auto"/>
                <w:spacing w:val="-2"/>
                <w:highlight w:val="none"/>
              </w:rPr>
              <w:t>计划工期</w:t>
            </w:r>
          </w:p>
        </w:tc>
        <w:tc>
          <w:tcPr>
            <w:tcW w:w="5465" w:type="dxa"/>
            <w:vAlign w:val="center"/>
          </w:tcPr>
          <w:p w14:paraId="74023581">
            <w:pPr>
              <w:spacing w:line="440" w:lineRule="exact"/>
              <w:jc w:val="both"/>
              <w:rPr>
                <w:color w:val="auto"/>
                <w:szCs w:val="21"/>
                <w:highlight w:val="none"/>
              </w:rPr>
            </w:pPr>
            <w:r>
              <w:rPr>
                <w:rFonts w:hint="eastAsia"/>
                <w:color w:val="auto"/>
                <w:szCs w:val="21"/>
                <w:highlight w:val="none"/>
              </w:rPr>
              <w:t>计划工期：</w:t>
            </w:r>
            <w:r>
              <w:rPr>
                <w:rFonts w:hint="eastAsia"/>
                <w:color w:val="auto"/>
                <w:szCs w:val="21"/>
                <w:highlight w:val="none"/>
                <w:u w:val="single"/>
                <w:lang w:val="en-US" w:eastAsia="zh-CN"/>
              </w:rPr>
              <w:t xml:space="preserve">     </w:t>
            </w:r>
            <w:r>
              <w:rPr>
                <w:rFonts w:hint="eastAsia"/>
                <w:color w:val="auto"/>
                <w:szCs w:val="21"/>
                <w:highlight w:val="none"/>
              </w:rPr>
              <w:t>日历天</w:t>
            </w:r>
          </w:p>
          <w:p w14:paraId="79963CB8">
            <w:pPr>
              <w:spacing w:line="440" w:lineRule="exact"/>
              <w:jc w:val="both"/>
              <w:rPr>
                <w:color w:val="auto"/>
                <w:szCs w:val="21"/>
                <w:highlight w:val="none"/>
              </w:rPr>
            </w:pPr>
            <w:r>
              <w:rPr>
                <w:rFonts w:hint="eastAsia"/>
                <w:color w:val="auto"/>
                <w:szCs w:val="21"/>
                <w:highlight w:val="none"/>
              </w:rPr>
              <w:t>计划开工日期：</w:t>
            </w:r>
            <w:r>
              <w:rPr>
                <w:rFonts w:hint="eastAsia" w:ascii="宋体" w:hAnsi="宋体" w:cs="宋体"/>
                <w:color w:val="auto"/>
                <w:highlight w:val="none"/>
                <w:u w:val="single"/>
                <w:lang w:val="en-US" w:eastAsia="zh-CN"/>
              </w:rPr>
              <w:t xml:space="preserve">   </w:t>
            </w:r>
            <w:r>
              <w:rPr>
                <w:rFonts w:hint="eastAsia"/>
                <w:color w:val="auto"/>
                <w:szCs w:val="21"/>
                <w:highlight w:val="none"/>
                <w:u w:val="none"/>
              </w:rPr>
              <w:t>年</w:t>
            </w:r>
            <w:r>
              <w:rPr>
                <w:rFonts w:hint="eastAsia"/>
                <w:color w:val="auto"/>
                <w:szCs w:val="21"/>
                <w:highlight w:val="none"/>
                <w:u w:val="single"/>
              </w:rPr>
              <w:t xml:space="preserve"> </w:t>
            </w:r>
            <w:r>
              <w:rPr>
                <w:rFonts w:hint="eastAsia"/>
                <w:color w:val="auto"/>
                <w:szCs w:val="21"/>
                <w:highlight w:val="none"/>
                <w:u w:val="single"/>
                <w:lang w:val="en-US" w:eastAsia="zh-CN"/>
              </w:rPr>
              <w:t xml:space="preserve"> </w:t>
            </w:r>
            <w:r>
              <w:rPr>
                <w:rFonts w:hint="eastAsia"/>
                <w:color w:val="auto"/>
                <w:szCs w:val="21"/>
                <w:highlight w:val="none"/>
                <w:u w:val="single"/>
              </w:rPr>
              <w:t xml:space="preserve"> </w:t>
            </w:r>
            <w:r>
              <w:rPr>
                <w:rFonts w:hint="eastAsia"/>
                <w:color w:val="auto"/>
                <w:szCs w:val="21"/>
                <w:highlight w:val="none"/>
                <w:u w:val="none"/>
              </w:rPr>
              <w:t>月</w:t>
            </w:r>
            <w:r>
              <w:rPr>
                <w:rFonts w:hint="eastAsia"/>
                <w:color w:val="auto"/>
                <w:szCs w:val="21"/>
                <w:highlight w:val="none"/>
                <w:u w:val="single"/>
              </w:rPr>
              <w:t xml:space="preserve"> </w:t>
            </w:r>
            <w:r>
              <w:rPr>
                <w:rFonts w:hint="eastAsia"/>
                <w:color w:val="auto"/>
                <w:szCs w:val="21"/>
                <w:highlight w:val="none"/>
                <w:u w:val="single"/>
                <w:lang w:val="en-US" w:eastAsia="zh-CN"/>
              </w:rPr>
              <w:t xml:space="preserve"> </w:t>
            </w:r>
            <w:r>
              <w:rPr>
                <w:rFonts w:hint="eastAsia"/>
                <w:color w:val="auto"/>
                <w:szCs w:val="21"/>
                <w:highlight w:val="none"/>
                <w:u w:val="single"/>
              </w:rPr>
              <w:t xml:space="preserve"> </w:t>
            </w:r>
            <w:r>
              <w:rPr>
                <w:rFonts w:hint="eastAsia"/>
                <w:color w:val="auto"/>
                <w:szCs w:val="21"/>
                <w:highlight w:val="none"/>
                <w:u w:val="none"/>
              </w:rPr>
              <w:t>日</w:t>
            </w:r>
          </w:p>
          <w:p w14:paraId="0E4B24B1">
            <w:pPr>
              <w:spacing w:line="440" w:lineRule="exact"/>
              <w:jc w:val="both"/>
              <w:rPr>
                <w:color w:val="auto"/>
                <w:szCs w:val="21"/>
                <w:highlight w:val="none"/>
              </w:rPr>
            </w:pPr>
            <w:r>
              <w:rPr>
                <w:rFonts w:hint="eastAsia"/>
                <w:color w:val="auto"/>
                <w:szCs w:val="21"/>
                <w:highlight w:val="none"/>
              </w:rPr>
              <w:t>计划</w:t>
            </w:r>
            <w:r>
              <w:rPr>
                <w:rFonts w:hint="eastAsia"/>
                <w:color w:val="auto"/>
                <w:highlight w:val="none"/>
              </w:rPr>
              <w:t>竣工</w:t>
            </w:r>
            <w:r>
              <w:rPr>
                <w:rFonts w:hint="eastAsia"/>
                <w:color w:val="auto"/>
                <w:szCs w:val="21"/>
                <w:highlight w:val="none"/>
              </w:rPr>
              <w:t>日期：</w:t>
            </w:r>
            <w:r>
              <w:rPr>
                <w:rFonts w:hint="eastAsia" w:ascii="宋体" w:hAnsi="宋体" w:cs="宋体"/>
                <w:color w:val="auto"/>
                <w:highlight w:val="none"/>
                <w:u w:val="single"/>
                <w:lang w:val="en-US" w:eastAsia="zh-CN"/>
              </w:rPr>
              <w:t xml:space="preserve">   </w:t>
            </w:r>
            <w:r>
              <w:rPr>
                <w:rFonts w:hint="eastAsia"/>
                <w:color w:val="auto"/>
                <w:szCs w:val="21"/>
                <w:highlight w:val="none"/>
                <w:u w:val="none"/>
              </w:rPr>
              <w:t>年</w:t>
            </w:r>
            <w:r>
              <w:rPr>
                <w:rFonts w:hint="eastAsia"/>
                <w:color w:val="auto"/>
                <w:szCs w:val="21"/>
                <w:highlight w:val="none"/>
                <w:u w:val="single"/>
              </w:rPr>
              <w:t xml:space="preserve">   </w:t>
            </w:r>
            <w:r>
              <w:rPr>
                <w:rFonts w:hint="eastAsia"/>
                <w:color w:val="auto"/>
                <w:szCs w:val="21"/>
                <w:highlight w:val="none"/>
                <w:u w:val="none"/>
              </w:rPr>
              <w:t>月</w:t>
            </w:r>
            <w:r>
              <w:rPr>
                <w:rFonts w:hint="eastAsia"/>
                <w:color w:val="auto"/>
                <w:szCs w:val="21"/>
                <w:highlight w:val="none"/>
                <w:u w:val="single"/>
              </w:rPr>
              <w:t xml:space="preserve"> </w:t>
            </w:r>
            <w:r>
              <w:rPr>
                <w:rFonts w:hint="eastAsia"/>
                <w:color w:val="auto"/>
                <w:szCs w:val="21"/>
                <w:highlight w:val="none"/>
                <w:u w:val="single"/>
                <w:lang w:val="en-US" w:eastAsia="zh-CN"/>
              </w:rPr>
              <w:t xml:space="preserve"> </w:t>
            </w:r>
            <w:r>
              <w:rPr>
                <w:rFonts w:hint="eastAsia"/>
                <w:color w:val="auto"/>
                <w:szCs w:val="21"/>
                <w:highlight w:val="none"/>
                <w:u w:val="single"/>
              </w:rPr>
              <w:t xml:space="preserve"> </w:t>
            </w:r>
            <w:r>
              <w:rPr>
                <w:rFonts w:hint="eastAsia"/>
                <w:color w:val="auto"/>
                <w:szCs w:val="21"/>
                <w:highlight w:val="none"/>
                <w:u w:val="none"/>
              </w:rPr>
              <w:t>日</w:t>
            </w:r>
          </w:p>
          <w:p w14:paraId="6A713282">
            <w:pPr>
              <w:pStyle w:val="185"/>
              <w:spacing w:before="67" w:line="221" w:lineRule="auto"/>
              <w:ind w:left="126"/>
              <w:jc w:val="both"/>
              <w:rPr>
                <w:color w:val="auto"/>
                <w:highlight w:val="none"/>
                <w:lang w:eastAsia="zh-CN"/>
              </w:rPr>
            </w:pPr>
            <w:r>
              <w:rPr>
                <w:color w:val="auto"/>
                <w:spacing w:val="-1"/>
                <w:highlight w:val="none"/>
                <w:lang w:eastAsia="zh-CN"/>
              </w:rPr>
              <w:t>除上述总工期外，发包人还要求以下区段工期：</w:t>
            </w:r>
          </w:p>
          <w:p w14:paraId="7C0A4490">
            <w:pPr>
              <w:pStyle w:val="185"/>
              <w:spacing w:before="137" w:line="209" w:lineRule="auto"/>
              <w:ind w:left="116"/>
              <w:jc w:val="both"/>
              <w:rPr>
                <w:color w:val="auto"/>
                <w:spacing w:val="-1"/>
                <w:highlight w:val="none"/>
                <w:u w:val="single"/>
                <w:lang w:eastAsia="zh-CN"/>
              </w:rPr>
            </w:pPr>
            <w:r>
              <w:rPr>
                <w:color w:val="auto"/>
                <w:spacing w:val="-1"/>
                <w:highlight w:val="none"/>
                <w:u w:val="single"/>
                <w:lang w:val="en-US" w:eastAsia="zh-CN"/>
              </w:rPr>
              <w:t>其中设计工期：自合同签订之日起</w:t>
            </w:r>
            <w:r>
              <w:rPr>
                <w:rFonts w:hint="eastAsia"/>
                <w:color w:val="auto"/>
                <w:spacing w:val="-1"/>
                <w:highlight w:val="none"/>
                <w:u w:val="single"/>
                <w:lang w:val="en-US" w:eastAsia="zh-CN"/>
              </w:rPr>
              <w:t xml:space="preserve">   </w:t>
            </w:r>
            <w:r>
              <w:rPr>
                <w:color w:val="auto"/>
                <w:spacing w:val="-1"/>
                <w:highlight w:val="none"/>
                <w:u w:val="single"/>
                <w:lang w:val="en-US" w:eastAsia="zh-CN"/>
              </w:rPr>
              <w:t>日历天内完</w:t>
            </w:r>
            <w:r>
              <w:rPr>
                <w:rFonts w:hint="default"/>
                <w:color w:val="auto"/>
                <w:spacing w:val="-1"/>
                <w:highlight w:val="none"/>
                <w:u w:val="single"/>
                <w:lang w:val="en-US" w:eastAsia="zh-CN"/>
              </w:rPr>
              <w:t>成施工图设计；</w:t>
            </w:r>
          </w:p>
          <w:p w14:paraId="4AB47336">
            <w:pPr>
              <w:pStyle w:val="185"/>
              <w:spacing w:before="137" w:line="209" w:lineRule="auto"/>
              <w:ind w:left="116"/>
              <w:jc w:val="both"/>
              <w:rPr>
                <w:color w:val="auto"/>
                <w:spacing w:val="-1"/>
                <w:highlight w:val="none"/>
                <w:lang w:eastAsia="zh-CN"/>
              </w:rPr>
            </w:pPr>
            <w:r>
              <w:rPr>
                <w:color w:val="auto"/>
                <w:spacing w:val="-1"/>
                <w:highlight w:val="none"/>
                <w:lang w:eastAsia="zh-CN"/>
              </w:rPr>
              <w:t>关于计划工期的详细说明见第五章“发包人要求”。</w:t>
            </w:r>
          </w:p>
        </w:tc>
      </w:tr>
      <w:tr w14:paraId="4EA707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6" w:hRule="atLeast"/>
        </w:trPr>
        <w:tc>
          <w:tcPr>
            <w:tcW w:w="856" w:type="dxa"/>
            <w:vAlign w:val="top"/>
          </w:tcPr>
          <w:p w14:paraId="1C5406A0">
            <w:pPr>
              <w:spacing w:line="272" w:lineRule="auto"/>
              <w:jc w:val="both"/>
              <w:rPr>
                <w:rFonts w:ascii="Arial"/>
                <w:color w:val="auto"/>
                <w:highlight w:val="none"/>
              </w:rPr>
            </w:pPr>
          </w:p>
          <w:p w14:paraId="26418793">
            <w:pPr>
              <w:spacing w:line="272" w:lineRule="auto"/>
              <w:jc w:val="both"/>
              <w:rPr>
                <w:rFonts w:ascii="Arial"/>
                <w:color w:val="auto"/>
                <w:highlight w:val="none"/>
              </w:rPr>
            </w:pPr>
          </w:p>
          <w:p w14:paraId="505C6491">
            <w:pPr>
              <w:pStyle w:val="185"/>
              <w:spacing w:before="68"/>
              <w:ind w:left="189"/>
              <w:jc w:val="both"/>
              <w:rPr>
                <w:color w:val="auto"/>
                <w:spacing w:val="-4"/>
                <w:highlight w:val="none"/>
              </w:rPr>
            </w:pPr>
          </w:p>
          <w:p w14:paraId="227EDA48">
            <w:pPr>
              <w:pStyle w:val="185"/>
              <w:spacing w:before="68"/>
              <w:ind w:left="189"/>
              <w:jc w:val="both"/>
              <w:rPr>
                <w:color w:val="auto"/>
                <w:highlight w:val="none"/>
              </w:rPr>
            </w:pPr>
            <w:r>
              <w:rPr>
                <w:color w:val="auto"/>
                <w:spacing w:val="-4"/>
                <w:highlight w:val="none"/>
              </w:rPr>
              <w:t>1.3.3</w:t>
            </w:r>
          </w:p>
        </w:tc>
        <w:tc>
          <w:tcPr>
            <w:tcW w:w="2267" w:type="dxa"/>
            <w:vAlign w:val="top"/>
          </w:tcPr>
          <w:p w14:paraId="7264536D">
            <w:pPr>
              <w:spacing w:line="272" w:lineRule="auto"/>
              <w:jc w:val="both"/>
              <w:rPr>
                <w:rFonts w:ascii="Arial"/>
                <w:color w:val="auto"/>
                <w:highlight w:val="none"/>
              </w:rPr>
            </w:pPr>
          </w:p>
          <w:p w14:paraId="2D1A15CB">
            <w:pPr>
              <w:spacing w:line="272" w:lineRule="auto"/>
              <w:jc w:val="both"/>
              <w:rPr>
                <w:rFonts w:ascii="Arial"/>
                <w:color w:val="auto"/>
                <w:highlight w:val="none"/>
              </w:rPr>
            </w:pPr>
          </w:p>
          <w:p w14:paraId="3B1DCFA4">
            <w:pPr>
              <w:pStyle w:val="185"/>
              <w:spacing w:before="68" w:line="221" w:lineRule="auto"/>
              <w:ind w:left="717"/>
              <w:jc w:val="both"/>
              <w:rPr>
                <w:color w:val="auto"/>
                <w:spacing w:val="-2"/>
                <w:highlight w:val="none"/>
              </w:rPr>
            </w:pPr>
          </w:p>
          <w:p w14:paraId="75753254">
            <w:pPr>
              <w:pStyle w:val="185"/>
              <w:spacing w:before="68" w:line="221" w:lineRule="auto"/>
              <w:ind w:left="717"/>
              <w:jc w:val="both"/>
              <w:rPr>
                <w:color w:val="auto"/>
                <w:highlight w:val="none"/>
              </w:rPr>
            </w:pPr>
            <w:r>
              <w:rPr>
                <w:color w:val="auto"/>
                <w:spacing w:val="-2"/>
                <w:highlight w:val="none"/>
              </w:rPr>
              <w:t>质量标准</w:t>
            </w:r>
          </w:p>
        </w:tc>
        <w:tc>
          <w:tcPr>
            <w:tcW w:w="5465" w:type="dxa"/>
            <w:vAlign w:val="center"/>
          </w:tcPr>
          <w:p w14:paraId="0D8A8BA3">
            <w:pPr>
              <w:spacing w:line="440" w:lineRule="exact"/>
              <w:jc w:val="both"/>
              <w:rPr>
                <w:color w:val="auto"/>
                <w:szCs w:val="21"/>
                <w:highlight w:val="none"/>
                <w:u w:val="single"/>
              </w:rPr>
            </w:pPr>
            <w:r>
              <w:rPr>
                <w:rFonts w:hint="eastAsia"/>
                <w:color w:val="auto"/>
                <w:szCs w:val="21"/>
                <w:highlight w:val="none"/>
              </w:rPr>
              <w:t>设计要求的质量标准：</w:t>
            </w:r>
            <w:r>
              <w:rPr>
                <w:rFonts w:hint="eastAsia"/>
                <w:color w:val="auto"/>
                <w:szCs w:val="21"/>
                <w:highlight w:val="none"/>
                <w:u w:val="single"/>
                <w:lang w:val="en-US" w:eastAsia="zh-CN"/>
              </w:rPr>
              <w:t>合格</w:t>
            </w:r>
            <w:r>
              <w:rPr>
                <w:rFonts w:hint="eastAsia" w:cs="Arial"/>
                <w:color w:val="auto"/>
                <w:szCs w:val="21"/>
                <w:highlight w:val="none"/>
                <w:u w:val="single"/>
              </w:rPr>
              <w:t>。</w:t>
            </w:r>
          </w:p>
          <w:p w14:paraId="7D571228">
            <w:pPr>
              <w:pStyle w:val="185"/>
              <w:spacing w:before="67" w:line="211" w:lineRule="auto"/>
              <w:jc w:val="both"/>
              <w:rPr>
                <w:rFonts w:cs="Arial"/>
                <w:color w:val="auto"/>
                <w:highlight w:val="none"/>
                <w:u w:val="single"/>
                <w:lang w:eastAsia="zh-CN"/>
              </w:rPr>
            </w:pPr>
            <w:r>
              <w:rPr>
                <w:rFonts w:hint="eastAsia"/>
                <w:color w:val="auto"/>
                <w:highlight w:val="none"/>
                <w:lang w:eastAsia="zh-CN"/>
              </w:rPr>
              <w:t>施工要求的质量标准：</w:t>
            </w:r>
            <w:r>
              <w:rPr>
                <w:rFonts w:hint="eastAsia"/>
                <w:color w:val="auto"/>
                <w:szCs w:val="21"/>
                <w:highlight w:val="none"/>
                <w:u w:val="single"/>
                <w:lang w:val="en-US" w:eastAsia="zh-CN"/>
              </w:rPr>
              <w:t>合格</w:t>
            </w:r>
            <w:r>
              <w:rPr>
                <w:rFonts w:hint="eastAsia" w:cs="Arial"/>
                <w:color w:val="auto"/>
                <w:szCs w:val="21"/>
                <w:highlight w:val="none"/>
                <w:u w:val="single"/>
              </w:rPr>
              <w:t>。</w:t>
            </w:r>
          </w:p>
          <w:p w14:paraId="1FB617F4">
            <w:pPr>
              <w:spacing w:line="440" w:lineRule="exact"/>
              <w:jc w:val="both"/>
              <w:rPr>
                <w:color w:val="auto"/>
                <w:szCs w:val="21"/>
                <w:highlight w:val="none"/>
                <w:u w:val="single"/>
              </w:rPr>
            </w:pPr>
            <w:r>
              <w:rPr>
                <w:color w:val="auto"/>
                <w:spacing w:val="-2"/>
                <w:highlight w:val="none"/>
                <w:lang w:eastAsia="zh-CN"/>
              </w:rPr>
              <w:t>其他要求：</w:t>
            </w:r>
            <w:r>
              <w:rPr>
                <w:rFonts w:hint="eastAsia"/>
                <w:color w:val="auto"/>
                <w:szCs w:val="21"/>
                <w:highlight w:val="none"/>
                <w:u w:val="single"/>
              </w:rPr>
              <w:t>设计要求的质量标准：</w:t>
            </w:r>
            <w:r>
              <w:rPr>
                <w:rFonts w:hint="eastAsia"/>
                <w:color w:val="auto"/>
                <w:szCs w:val="21"/>
                <w:highlight w:val="none"/>
                <w:u w:val="single"/>
                <w:lang w:val="en-US" w:eastAsia="zh-CN"/>
              </w:rPr>
              <w:t>满足国家现行的工程建设设计方面的规范、规程、标准以及当地相关部门的相关规定</w:t>
            </w:r>
            <w:r>
              <w:rPr>
                <w:rFonts w:hint="eastAsia" w:cs="Arial"/>
                <w:color w:val="auto"/>
                <w:szCs w:val="21"/>
                <w:highlight w:val="none"/>
                <w:u w:val="single"/>
              </w:rPr>
              <w:t>。</w:t>
            </w:r>
          </w:p>
          <w:p w14:paraId="23D56321">
            <w:pPr>
              <w:pStyle w:val="185"/>
              <w:spacing w:before="68" w:line="221" w:lineRule="auto"/>
              <w:ind w:left="114"/>
              <w:jc w:val="both"/>
              <w:rPr>
                <w:color w:val="auto"/>
                <w:highlight w:val="none"/>
                <w:lang w:eastAsia="zh-CN"/>
              </w:rPr>
            </w:pPr>
            <w:r>
              <w:rPr>
                <w:color w:val="auto"/>
                <w:spacing w:val="-2"/>
                <w:highlight w:val="none"/>
                <w:u w:val="single"/>
                <w:lang w:eastAsia="zh-CN"/>
              </w:rPr>
              <w:t>。</w:t>
            </w:r>
            <w:r>
              <w:rPr>
                <w:rFonts w:hint="eastAsia"/>
                <w:color w:val="auto"/>
                <w:spacing w:val="-2"/>
                <w:highlight w:val="none"/>
                <w:u w:val="single"/>
                <w:lang w:eastAsia="zh-CN"/>
              </w:rPr>
              <w:t>施工要求的质量标准：</w:t>
            </w:r>
            <w:r>
              <w:rPr>
                <w:rFonts w:hint="eastAsia" w:ascii="Times New Roman" w:hAnsi="Times New Roman" w:eastAsia="宋体" w:cs="Times New Roman"/>
                <w:color w:val="auto"/>
                <w:kern w:val="2"/>
                <w:sz w:val="21"/>
                <w:szCs w:val="21"/>
                <w:highlight w:val="none"/>
                <w:u w:val="single"/>
                <w:lang w:val="en-US" w:eastAsia="zh-CN" w:bidi="ar-SA"/>
              </w:rPr>
              <w:t>按照国家、省、市现行质量验收规范验收，必须达到合格标准。</w:t>
            </w:r>
          </w:p>
          <w:p w14:paraId="2E3DAFB8">
            <w:pPr>
              <w:pStyle w:val="185"/>
              <w:spacing w:before="67" w:line="211" w:lineRule="auto"/>
              <w:ind w:left="116"/>
              <w:jc w:val="both"/>
              <w:rPr>
                <w:rFonts w:cs="Arial"/>
                <w:color w:val="auto"/>
                <w:highlight w:val="none"/>
                <w:u w:val="single"/>
                <w:lang w:eastAsia="zh-CN"/>
              </w:rPr>
            </w:pPr>
            <w:r>
              <w:rPr>
                <w:color w:val="auto"/>
                <w:spacing w:val="-1"/>
                <w:highlight w:val="none"/>
                <w:lang w:eastAsia="zh-CN"/>
              </w:rPr>
              <w:t>关于质量标准的详细说明见第五章“发包人要求”。</w:t>
            </w:r>
          </w:p>
        </w:tc>
      </w:tr>
      <w:tr w14:paraId="265763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56" w:type="dxa"/>
            <w:vAlign w:val="center"/>
          </w:tcPr>
          <w:p w14:paraId="2EB12D4C">
            <w:pPr>
              <w:spacing w:line="260" w:lineRule="auto"/>
              <w:jc w:val="both"/>
              <w:rPr>
                <w:rFonts w:ascii="Arial"/>
                <w:color w:val="auto"/>
                <w:highlight w:val="none"/>
              </w:rPr>
            </w:pPr>
          </w:p>
          <w:p w14:paraId="1607217B">
            <w:pPr>
              <w:spacing w:line="261" w:lineRule="auto"/>
              <w:jc w:val="both"/>
              <w:rPr>
                <w:rFonts w:ascii="Arial"/>
                <w:color w:val="auto"/>
                <w:highlight w:val="none"/>
              </w:rPr>
            </w:pPr>
          </w:p>
          <w:p w14:paraId="19F6DC31">
            <w:pPr>
              <w:spacing w:line="261" w:lineRule="auto"/>
              <w:jc w:val="both"/>
              <w:rPr>
                <w:rFonts w:ascii="Arial"/>
                <w:color w:val="auto"/>
                <w:highlight w:val="none"/>
              </w:rPr>
            </w:pPr>
          </w:p>
          <w:p w14:paraId="1E2FA174">
            <w:pPr>
              <w:spacing w:line="261" w:lineRule="auto"/>
              <w:jc w:val="both"/>
              <w:rPr>
                <w:rFonts w:ascii="Arial"/>
                <w:color w:val="auto"/>
                <w:highlight w:val="none"/>
              </w:rPr>
            </w:pPr>
          </w:p>
          <w:p w14:paraId="56D61A09">
            <w:pPr>
              <w:spacing w:line="261" w:lineRule="auto"/>
              <w:jc w:val="both"/>
              <w:rPr>
                <w:rFonts w:ascii="Arial"/>
                <w:color w:val="auto"/>
                <w:highlight w:val="none"/>
              </w:rPr>
            </w:pPr>
          </w:p>
          <w:p w14:paraId="27BAA665">
            <w:pPr>
              <w:spacing w:line="261" w:lineRule="auto"/>
              <w:jc w:val="both"/>
              <w:rPr>
                <w:rFonts w:ascii="Arial"/>
                <w:color w:val="auto"/>
                <w:highlight w:val="none"/>
              </w:rPr>
            </w:pPr>
          </w:p>
          <w:p w14:paraId="09FF5F5D">
            <w:pPr>
              <w:spacing w:line="261" w:lineRule="auto"/>
              <w:jc w:val="both"/>
              <w:rPr>
                <w:rFonts w:ascii="Arial"/>
                <w:color w:val="auto"/>
                <w:highlight w:val="none"/>
              </w:rPr>
            </w:pPr>
          </w:p>
          <w:p w14:paraId="24C50DD4">
            <w:pPr>
              <w:spacing w:line="261" w:lineRule="auto"/>
              <w:jc w:val="both"/>
              <w:rPr>
                <w:rFonts w:ascii="Arial"/>
                <w:color w:val="auto"/>
                <w:highlight w:val="none"/>
              </w:rPr>
            </w:pPr>
          </w:p>
          <w:p w14:paraId="17322C8B">
            <w:pPr>
              <w:spacing w:line="261" w:lineRule="auto"/>
              <w:jc w:val="both"/>
              <w:rPr>
                <w:rFonts w:ascii="Arial"/>
                <w:color w:val="auto"/>
                <w:highlight w:val="none"/>
              </w:rPr>
            </w:pPr>
          </w:p>
          <w:p w14:paraId="384A3DBF">
            <w:pPr>
              <w:spacing w:line="261" w:lineRule="auto"/>
              <w:jc w:val="both"/>
              <w:rPr>
                <w:rFonts w:ascii="Arial"/>
                <w:color w:val="auto"/>
                <w:highlight w:val="none"/>
              </w:rPr>
            </w:pPr>
          </w:p>
          <w:p w14:paraId="5454E95C">
            <w:pPr>
              <w:spacing w:line="261" w:lineRule="auto"/>
              <w:jc w:val="both"/>
              <w:rPr>
                <w:rFonts w:ascii="Arial"/>
                <w:color w:val="auto"/>
                <w:highlight w:val="none"/>
              </w:rPr>
            </w:pPr>
          </w:p>
          <w:p w14:paraId="13105B1E">
            <w:pPr>
              <w:pStyle w:val="185"/>
              <w:spacing w:before="69"/>
              <w:ind w:left="189"/>
              <w:jc w:val="both"/>
              <w:rPr>
                <w:color w:val="auto"/>
                <w:highlight w:val="none"/>
              </w:rPr>
            </w:pPr>
            <w:r>
              <w:rPr>
                <w:color w:val="auto"/>
                <w:spacing w:val="-4"/>
                <w:highlight w:val="none"/>
              </w:rPr>
              <w:t>1.4.1</w:t>
            </w:r>
          </w:p>
        </w:tc>
        <w:tc>
          <w:tcPr>
            <w:tcW w:w="2267" w:type="dxa"/>
            <w:vAlign w:val="center"/>
          </w:tcPr>
          <w:p w14:paraId="60F0399D">
            <w:pPr>
              <w:spacing w:line="246" w:lineRule="auto"/>
              <w:jc w:val="both"/>
              <w:rPr>
                <w:rFonts w:ascii="Arial"/>
                <w:color w:val="auto"/>
                <w:highlight w:val="none"/>
              </w:rPr>
            </w:pPr>
          </w:p>
          <w:p w14:paraId="527D2FBA">
            <w:pPr>
              <w:spacing w:line="246" w:lineRule="auto"/>
              <w:jc w:val="both"/>
              <w:rPr>
                <w:rFonts w:ascii="Arial"/>
                <w:color w:val="auto"/>
                <w:highlight w:val="none"/>
              </w:rPr>
            </w:pPr>
          </w:p>
          <w:p w14:paraId="3AAF75A3">
            <w:pPr>
              <w:spacing w:line="246" w:lineRule="auto"/>
              <w:jc w:val="both"/>
              <w:rPr>
                <w:rFonts w:ascii="Arial"/>
                <w:color w:val="auto"/>
                <w:highlight w:val="none"/>
              </w:rPr>
            </w:pPr>
          </w:p>
          <w:p w14:paraId="41DAB898">
            <w:pPr>
              <w:spacing w:line="246" w:lineRule="auto"/>
              <w:jc w:val="both"/>
              <w:rPr>
                <w:rFonts w:ascii="Arial"/>
                <w:color w:val="auto"/>
                <w:highlight w:val="none"/>
              </w:rPr>
            </w:pPr>
          </w:p>
          <w:p w14:paraId="47AE0EEF">
            <w:pPr>
              <w:spacing w:line="246" w:lineRule="auto"/>
              <w:jc w:val="both"/>
              <w:rPr>
                <w:rFonts w:ascii="Arial"/>
                <w:color w:val="auto"/>
                <w:highlight w:val="none"/>
              </w:rPr>
            </w:pPr>
          </w:p>
          <w:p w14:paraId="3B846979">
            <w:pPr>
              <w:spacing w:line="246" w:lineRule="auto"/>
              <w:jc w:val="both"/>
              <w:rPr>
                <w:rFonts w:ascii="Arial"/>
                <w:color w:val="auto"/>
                <w:highlight w:val="none"/>
              </w:rPr>
            </w:pPr>
          </w:p>
          <w:p w14:paraId="64EFE34F">
            <w:pPr>
              <w:spacing w:line="246" w:lineRule="auto"/>
              <w:jc w:val="both"/>
              <w:rPr>
                <w:rFonts w:ascii="Arial"/>
                <w:color w:val="auto"/>
                <w:highlight w:val="none"/>
              </w:rPr>
            </w:pPr>
          </w:p>
          <w:p w14:paraId="26A9C00E">
            <w:pPr>
              <w:spacing w:line="247" w:lineRule="auto"/>
              <w:jc w:val="both"/>
              <w:rPr>
                <w:rFonts w:ascii="Arial"/>
                <w:color w:val="auto"/>
                <w:highlight w:val="none"/>
              </w:rPr>
            </w:pPr>
          </w:p>
          <w:p w14:paraId="69A9C22E">
            <w:pPr>
              <w:spacing w:line="247" w:lineRule="auto"/>
              <w:jc w:val="both"/>
              <w:rPr>
                <w:rFonts w:ascii="Arial"/>
                <w:color w:val="auto"/>
                <w:highlight w:val="none"/>
              </w:rPr>
            </w:pPr>
          </w:p>
          <w:p w14:paraId="387D87C3">
            <w:pPr>
              <w:spacing w:line="247" w:lineRule="auto"/>
              <w:jc w:val="both"/>
              <w:rPr>
                <w:rFonts w:ascii="Arial"/>
                <w:color w:val="auto"/>
                <w:highlight w:val="none"/>
              </w:rPr>
            </w:pPr>
          </w:p>
          <w:p w14:paraId="4AC63F0A">
            <w:pPr>
              <w:spacing w:line="247" w:lineRule="auto"/>
              <w:jc w:val="both"/>
              <w:rPr>
                <w:rFonts w:ascii="Arial"/>
                <w:color w:val="auto"/>
                <w:highlight w:val="none"/>
              </w:rPr>
            </w:pPr>
          </w:p>
          <w:p w14:paraId="5575B96A">
            <w:pPr>
              <w:pStyle w:val="185"/>
              <w:spacing w:before="68" w:line="285" w:lineRule="auto"/>
              <w:ind w:left="619" w:right="322" w:hanging="320"/>
              <w:jc w:val="both"/>
              <w:rPr>
                <w:color w:val="auto"/>
                <w:highlight w:val="none"/>
                <w:lang w:eastAsia="zh-CN"/>
              </w:rPr>
            </w:pPr>
            <w:r>
              <w:rPr>
                <w:color w:val="auto"/>
                <w:spacing w:val="-5"/>
                <w:highlight w:val="none"/>
                <w:lang w:eastAsia="zh-CN"/>
              </w:rPr>
              <w:t>投标人资质条件、</w:t>
            </w:r>
            <w:r>
              <w:rPr>
                <w:color w:val="auto"/>
                <w:spacing w:val="-3"/>
                <w:highlight w:val="none"/>
                <w:lang w:eastAsia="zh-CN"/>
              </w:rPr>
              <w:t>能力和信誉</w:t>
            </w:r>
          </w:p>
        </w:tc>
        <w:tc>
          <w:tcPr>
            <w:tcW w:w="5465" w:type="dxa"/>
            <w:vAlign w:val="center"/>
          </w:tcPr>
          <w:p w14:paraId="5D15623B">
            <w:pPr>
              <w:pStyle w:val="185"/>
              <w:spacing w:before="77" w:line="281" w:lineRule="auto"/>
              <w:ind w:left="116" w:right="107" w:firstLine="6"/>
              <w:jc w:val="both"/>
              <w:rPr>
                <w:color w:val="auto"/>
                <w:highlight w:val="none"/>
                <w:lang w:eastAsia="zh-CN"/>
              </w:rPr>
            </w:pPr>
            <w:r>
              <w:rPr>
                <w:b/>
                <w:bCs/>
                <w:color w:val="auto"/>
                <w:spacing w:val="-2"/>
                <w:highlight w:val="none"/>
                <w:lang w:eastAsia="zh-CN"/>
              </w:rPr>
              <w:t>资质要求：</w:t>
            </w:r>
            <w:r>
              <w:rPr>
                <w:color w:val="auto"/>
                <w:spacing w:val="-2"/>
                <w:highlight w:val="none"/>
                <w:lang w:eastAsia="zh-CN"/>
              </w:rPr>
              <w:t>具备</w:t>
            </w:r>
            <w:r>
              <w:rPr>
                <w:rFonts w:hint="default" w:ascii="宋体" w:hAnsi="宋体" w:cs="宋体"/>
                <w:color w:val="auto"/>
                <w:spacing w:val="-1"/>
                <w:szCs w:val="21"/>
                <w:highlight w:val="none"/>
                <w:u w:val="single"/>
                <w:lang w:val="en-US" w:eastAsia="zh-CN"/>
              </w:rPr>
              <w:t>[</w:t>
            </w:r>
            <w:r>
              <w:rPr>
                <w:rFonts w:ascii="宋体" w:hAnsi="宋体" w:cs="宋体"/>
                <w:color w:val="auto"/>
                <w:spacing w:val="-1"/>
                <w:szCs w:val="21"/>
                <w:highlight w:val="none"/>
                <w:u w:val="single"/>
                <w:lang w:val="en-US" w:eastAsia="zh-CN"/>
              </w:rPr>
              <w:t>设计·综合类资质·工程设计综合资质]</w:t>
            </w:r>
            <w:r>
              <w:rPr>
                <w:rFonts w:hint="default" w:ascii="宋体" w:hAnsi="宋体" w:cs="宋体"/>
                <w:color w:val="auto"/>
                <w:spacing w:val="-1"/>
                <w:szCs w:val="21"/>
                <w:highlight w:val="none"/>
                <w:u w:val="single"/>
                <w:lang w:val="en-US" w:eastAsia="zh-CN"/>
              </w:rPr>
              <w:t>或者[设计·行业资质·市政行业</w:t>
            </w:r>
            <w:r>
              <w:rPr>
                <w:rFonts w:hint="eastAsia" w:cs="宋体"/>
                <w:color w:val="auto"/>
                <w:spacing w:val="-1"/>
                <w:szCs w:val="21"/>
                <w:highlight w:val="none"/>
                <w:u w:val="single"/>
                <w:lang w:val="en-US" w:eastAsia="zh-CN"/>
              </w:rPr>
              <w:t>·</w:t>
            </w:r>
            <w:r>
              <w:rPr>
                <w:rFonts w:hint="default" w:ascii="宋体" w:hAnsi="宋体" w:cs="宋体"/>
                <w:color w:val="auto"/>
                <w:spacing w:val="-1"/>
                <w:szCs w:val="21"/>
                <w:highlight w:val="none"/>
                <w:u w:val="single"/>
                <w:lang w:val="en-US" w:eastAsia="zh-CN"/>
              </w:rPr>
              <w:t>市政行业</w:t>
            </w:r>
            <w:r>
              <w:rPr>
                <w:rFonts w:hint="eastAsia" w:ascii="宋体" w:hAnsi="宋体" w:cs="宋体"/>
                <w:color w:val="auto"/>
                <w:spacing w:val="-1"/>
                <w:szCs w:val="21"/>
                <w:highlight w:val="none"/>
                <w:u w:val="single"/>
                <w:lang w:val="en-US" w:eastAsia="zh-CN"/>
              </w:rPr>
              <w:t>甲</w:t>
            </w:r>
            <w:r>
              <w:rPr>
                <w:rFonts w:hint="default" w:ascii="宋体" w:hAnsi="宋体" w:cs="宋体"/>
                <w:color w:val="auto"/>
                <w:spacing w:val="-1"/>
                <w:szCs w:val="21"/>
                <w:highlight w:val="none"/>
                <w:u w:val="single"/>
                <w:lang w:val="en-US" w:eastAsia="zh-CN"/>
              </w:rPr>
              <w:t>级]</w:t>
            </w:r>
            <w:r>
              <w:rPr>
                <w:rFonts w:ascii="宋体" w:hAnsi="宋体" w:cs="宋体"/>
                <w:color w:val="auto"/>
                <w:spacing w:val="-1"/>
                <w:szCs w:val="21"/>
                <w:highlight w:val="none"/>
                <w:u w:val="single"/>
                <w:lang w:val="en-US" w:eastAsia="zh-CN"/>
              </w:rPr>
              <w:t>(含)以</w:t>
            </w:r>
            <w:r>
              <w:rPr>
                <w:rFonts w:hint="default" w:ascii="宋体" w:hAnsi="宋体" w:cs="宋体"/>
                <w:color w:val="auto"/>
                <w:spacing w:val="-1"/>
                <w:szCs w:val="21"/>
                <w:highlight w:val="none"/>
                <w:u w:val="single"/>
                <w:lang w:val="en-US" w:eastAsia="zh-CN"/>
              </w:rPr>
              <w:t>上或者[设计·行业资质·市政行业(燃气工程、轨道交通工程除外)·市政行业(燃气工程、轨道交通工程除外)</w:t>
            </w:r>
            <w:r>
              <w:rPr>
                <w:rFonts w:hint="eastAsia" w:ascii="宋体" w:hAnsi="宋体" w:cs="宋体"/>
                <w:color w:val="auto"/>
                <w:spacing w:val="-1"/>
                <w:szCs w:val="21"/>
                <w:highlight w:val="none"/>
                <w:u w:val="single"/>
                <w:lang w:val="en-US" w:eastAsia="zh-CN"/>
              </w:rPr>
              <w:t>甲</w:t>
            </w:r>
            <w:r>
              <w:rPr>
                <w:rFonts w:hint="default" w:ascii="宋体" w:hAnsi="宋体" w:cs="宋体"/>
                <w:color w:val="auto"/>
                <w:spacing w:val="-1"/>
                <w:szCs w:val="21"/>
                <w:highlight w:val="none"/>
                <w:u w:val="single"/>
                <w:lang w:val="en-US" w:eastAsia="zh-CN"/>
              </w:rPr>
              <w:t>级]</w:t>
            </w:r>
            <w:r>
              <w:rPr>
                <w:rFonts w:ascii="宋体" w:hAnsi="宋体" w:cs="宋体"/>
                <w:color w:val="auto"/>
                <w:spacing w:val="-1"/>
                <w:szCs w:val="21"/>
                <w:highlight w:val="none"/>
                <w:u w:val="single"/>
                <w:lang w:val="en-US" w:eastAsia="zh-CN"/>
              </w:rPr>
              <w:t>(含)以</w:t>
            </w:r>
            <w:r>
              <w:rPr>
                <w:rFonts w:hint="default" w:ascii="宋体" w:hAnsi="宋体" w:cs="宋体"/>
                <w:color w:val="auto"/>
                <w:spacing w:val="-1"/>
                <w:szCs w:val="21"/>
                <w:highlight w:val="none"/>
                <w:u w:val="single"/>
                <w:lang w:val="en-US" w:eastAsia="zh-CN"/>
              </w:rPr>
              <w:t>上或者[设计·专业资质·市政行业(热力工程)·市政行业(热力工程)</w:t>
            </w:r>
            <w:r>
              <w:rPr>
                <w:rFonts w:hint="eastAsia" w:ascii="宋体" w:hAnsi="宋体" w:cs="宋体"/>
                <w:color w:val="auto"/>
                <w:spacing w:val="-1"/>
                <w:szCs w:val="21"/>
                <w:highlight w:val="none"/>
                <w:u w:val="single"/>
                <w:lang w:val="en-US" w:eastAsia="zh-CN"/>
              </w:rPr>
              <w:t>甲</w:t>
            </w:r>
            <w:r>
              <w:rPr>
                <w:rFonts w:hint="default" w:ascii="宋体" w:hAnsi="宋体" w:cs="宋体"/>
                <w:color w:val="auto"/>
                <w:spacing w:val="-1"/>
                <w:szCs w:val="21"/>
                <w:highlight w:val="none"/>
                <w:u w:val="single"/>
                <w:lang w:val="en-US" w:eastAsia="zh-CN"/>
              </w:rPr>
              <w:t>级]</w:t>
            </w:r>
            <w:r>
              <w:rPr>
                <w:rFonts w:ascii="宋体" w:hAnsi="宋体" w:cs="宋体"/>
                <w:color w:val="auto"/>
                <w:spacing w:val="-1"/>
                <w:szCs w:val="21"/>
                <w:highlight w:val="none"/>
                <w:u w:val="single"/>
                <w:lang w:val="en-US" w:eastAsia="zh-CN"/>
              </w:rPr>
              <w:t>(含)以</w:t>
            </w:r>
            <w:r>
              <w:rPr>
                <w:rFonts w:hint="default" w:ascii="宋体" w:hAnsi="宋体" w:cs="宋体"/>
                <w:color w:val="auto"/>
                <w:spacing w:val="-1"/>
                <w:szCs w:val="21"/>
                <w:highlight w:val="none"/>
                <w:u w:val="single"/>
                <w:lang w:val="en-US" w:eastAsia="zh-CN"/>
              </w:rPr>
              <w:t>上并且[施工总承包·市政公用工程·市政公用工程</w:t>
            </w:r>
            <w:r>
              <w:rPr>
                <w:rFonts w:hint="eastAsia" w:cs="宋体"/>
                <w:color w:val="auto"/>
                <w:spacing w:val="-1"/>
                <w:szCs w:val="21"/>
                <w:highlight w:val="none"/>
                <w:u w:val="single"/>
                <w:lang w:val="en-US" w:eastAsia="zh-CN"/>
              </w:rPr>
              <w:t>一</w:t>
            </w:r>
            <w:r>
              <w:rPr>
                <w:rFonts w:hint="default" w:ascii="宋体" w:hAnsi="宋体" w:cs="宋体"/>
                <w:color w:val="auto"/>
                <w:spacing w:val="-1"/>
                <w:szCs w:val="21"/>
                <w:highlight w:val="none"/>
                <w:u w:val="single"/>
                <w:lang w:val="en-US" w:eastAsia="zh-CN"/>
              </w:rPr>
              <w:t>级](含)以上</w:t>
            </w:r>
            <w:r>
              <w:rPr>
                <w:color w:val="auto"/>
                <w:spacing w:val="-31"/>
                <w:highlight w:val="none"/>
                <w:lang w:eastAsia="zh-CN"/>
              </w:rPr>
              <w:t>，</w:t>
            </w:r>
            <w:r>
              <w:rPr>
                <w:color w:val="auto"/>
                <w:spacing w:val="4"/>
                <w:highlight w:val="none"/>
                <w:lang w:eastAsia="zh-CN"/>
              </w:rPr>
              <w:t>且具备有效的安全生产许可证，具备市场监督管</w:t>
            </w:r>
            <w:r>
              <w:rPr>
                <w:color w:val="auto"/>
                <w:spacing w:val="-2"/>
                <w:highlight w:val="none"/>
                <w:lang w:eastAsia="zh-CN"/>
              </w:rPr>
              <w:t>理部门核发的有效营业执照。</w:t>
            </w:r>
          </w:p>
          <w:p w14:paraId="2FCE979D">
            <w:pPr>
              <w:pStyle w:val="185"/>
              <w:spacing w:before="1" w:line="281" w:lineRule="auto"/>
              <w:ind w:left="119" w:right="115" w:hanging="6"/>
              <w:jc w:val="both"/>
              <w:rPr>
                <w:color w:val="auto"/>
                <w:highlight w:val="none"/>
                <w:lang w:eastAsia="zh-CN"/>
              </w:rPr>
            </w:pPr>
            <w:r>
              <w:rPr>
                <w:b/>
                <w:bCs/>
                <w:color w:val="auto"/>
                <w:spacing w:val="6"/>
                <w:highlight w:val="none"/>
                <w:lang w:eastAsia="zh-CN"/>
              </w:rPr>
              <w:t>信誉要求：</w:t>
            </w:r>
            <w:r>
              <w:rPr>
                <w:color w:val="auto"/>
                <w:spacing w:val="6"/>
                <w:highlight w:val="none"/>
                <w:lang w:eastAsia="zh-CN"/>
              </w:rPr>
              <w:t>不得具有投标人须知第1.4.3</w:t>
            </w:r>
            <w:r>
              <w:rPr>
                <w:color w:val="auto"/>
                <w:spacing w:val="5"/>
                <w:highlight w:val="none"/>
                <w:lang w:eastAsia="zh-CN"/>
              </w:rPr>
              <w:t>（</w:t>
            </w:r>
            <w:r>
              <w:rPr>
                <w:rFonts w:hint="eastAsia"/>
                <w:color w:val="auto"/>
                <w:spacing w:val="5"/>
                <w:highlight w:val="none"/>
                <w:lang w:val="en-US" w:eastAsia="zh-CN"/>
              </w:rPr>
              <w:t>10</w:t>
            </w:r>
            <w:r>
              <w:rPr>
                <w:color w:val="auto"/>
                <w:spacing w:val="5"/>
                <w:highlight w:val="none"/>
                <w:lang w:eastAsia="zh-CN"/>
              </w:rPr>
              <w:t>）至</w:t>
            </w:r>
            <w:r>
              <w:rPr>
                <w:color w:val="auto"/>
                <w:spacing w:val="-3"/>
                <w:highlight w:val="none"/>
                <w:lang w:eastAsia="zh-CN"/>
              </w:rPr>
              <w:t>（</w:t>
            </w:r>
            <w:r>
              <w:rPr>
                <w:rFonts w:hint="eastAsia"/>
                <w:color w:val="auto"/>
                <w:spacing w:val="-3"/>
                <w:highlight w:val="none"/>
                <w:lang w:val="en-US" w:eastAsia="zh-CN"/>
              </w:rPr>
              <w:t>17</w:t>
            </w:r>
            <w:r>
              <w:rPr>
                <w:color w:val="auto"/>
                <w:spacing w:val="-3"/>
                <w:highlight w:val="none"/>
                <w:lang w:eastAsia="zh-CN"/>
              </w:rPr>
              <w:t>）条目规定的情形。</w:t>
            </w:r>
          </w:p>
          <w:p w14:paraId="48FBAAB2">
            <w:pPr>
              <w:pStyle w:val="185"/>
              <w:spacing w:line="281" w:lineRule="auto"/>
              <w:ind w:left="113" w:right="104" w:firstLine="3"/>
              <w:jc w:val="both"/>
              <w:rPr>
                <w:color w:val="auto"/>
                <w:highlight w:val="none"/>
                <w:lang w:eastAsia="zh-CN"/>
              </w:rPr>
            </w:pPr>
            <w:r>
              <w:rPr>
                <w:b/>
                <w:bCs/>
                <w:color w:val="auto"/>
                <w:spacing w:val="-1"/>
                <w:highlight w:val="none"/>
                <w:lang w:eastAsia="zh-CN"/>
              </w:rPr>
              <w:t>项目经理资格要求：</w:t>
            </w:r>
            <w:r>
              <w:rPr>
                <w:color w:val="auto"/>
                <w:spacing w:val="-1"/>
                <w:highlight w:val="none"/>
                <w:lang w:eastAsia="zh-CN"/>
              </w:rPr>
              <w:t>具备</w:t>
            </w:r>
            <w:r>
              <w:rPr>
                <w:rFonts w:ascii="宋体" w:hAnsi="宋体" w:cs="宋体"/>
                <w:color w:val="auto"/>
                <w:spacing w:val="2"/>
                <w:szCs w:val="21"/>
                <w:highlight w:val="none"/>
                <w:u w:val="single"/>
                <w:lang w:val="en-US" w:eastAsia="zh-CN"/>
              </w:rPr>
              <w:t>市政公用工</w:t>
            </w:r>
            <w:r>
              <w:rPr>
                <w:rFonts w:hint="default" w:ascii="宋体" w:hAnsi="宋体" w:cs="宋体"/>
                <w:color w:val="auto"/>
                <w:spacing w:val="2"/>
                <w:szCs w:val="21"/>
                <w:highlight w:val="none"/>
                <w:u w:val="single"/>
                <w:lang w:val="en-US" w:eastAsia="zh-CN"/>
              </w:rPr>
              <w:t>程</w:t>
            </w:r>
            <w:r>
              <w:rPr>
                <w:color w:val="auto"/>
                <w:spacing w:val="-1"/>
                <w:highlight w:val="none"/>
                <w:lang w:eastAsia="zh-CN"/>
              </w:rPr>
              <w:t>专业</w:t>
            </w:r>
            <w:r>
              <w:rPr>
                <w:rFonts w:hint="eastAsia"/>
                <w:color w:val="auto"/>
                <w:spacing w:val="14"/>
                <w:highlight w:val="none"/>
                <w:u w:val="single"/>
                <w:lang w:val="en-US" w:eastAsia="zh-CN"/>
              </w:rPr>
              <w:t>一</w:t>
            </w:r>
            <w:r>
              <w:rPr>
                <w:color w:val="auto"/>
                <w:spacing w:val="-1"/>
                <w:highlight w:val="none"/>
                <w:lang w:eastAsia="zh-CN"/>
              </w:rPr>
              <w:t>级注册</w:t>
            </w:r>
            <w:r>
              <w:rPr>
                <w:rFonts w:hint="eastAsia"/>
                <w:color w:val="auto"/>
                <w:spacing w:val="-1"/>
                <w:highlight w:val="none"/>
                <w:u w:val="single"/>
                <w:lang w:eastAsia="zh-CN"/>
              </w:rPr>
              <w:t>建造师</w:t>
            </w:r>
            <w:r>
              <w:rPr>
                <w:color w:val="auto"/>
                <w:spacing w:val="5"/>
                <w:highlight w:val="none"/>
                <w:lang w:eastAsia="zh-CN"/>
              </w:rPr>
              <w:t>执业资格，且未担任其他在建工程项目的项目经理，二</w:t>
            </w:r>
            <w:r>
              <w:rPr>
                <w:color w:val="auto"/>
                <w:spacing w:val="4"/>
                <w:highlight w:val="none"/>
                <w:lang w:eastAsia="zh-CN"/>
              </w:rPr>
              <w:t>次刷</w:t>
            </w:r>
            <w:r>
              <w:rPr>
                <w:color w:val="auto"/>
                <w:spacing w:val="-8"/>
                <w:highlight w:val="none"/>
                <w:lang w:eastAsia="zh-CN"/>
              </w:rPr>
              <w:t>卡认证通过</w:t>
            </w:r>
            <w:r>
              <w:rPr>
                <w:color w:val="auto"/>
                <w:spacing w:val="-3"/>
                <w:highlight w:val="none"/>
                <w:lang w:eastAsia="zh-CN"/>
              </w:rPr>
              <w:t>。</w:t>
            </w:r>
          </w:p>
          <w:p w14:paraId="29A28C9D">
            <w:pPr>
              <w:pStyle w:val="185"/>
              <w:spacing w:before="2" w:line="281" w:lineRule="auto"/>
              <w:ind w:left="113" w:right="1" w:rightChars="0"/>
              <w:jc w:val="both"/>
              <w:rPr>
                <w:color w:val="auto"/>
                <w:spacing w:val="-1"/>
                <w:highlight w:val="none"/>
                <w:lang w:eastAsia="zh-CN"/>
              </w:rPr>
            </w:pPr>
            <w:r>
              <w:rPr>
                <w:b/>
                <w:bCs/>
                <w:color w:val="auto"/>
                <w:spacing w:val="3"/>
                <w:highlight w:val="none"/>
                <w:lang w:eastAsia="zh-CN"/>
              </w:rPr>
              <w:t>施工负责人资格要求：</w:t>
            </w:r>
            <w:r>
              <w:rPr>
                <w:color w:val="auto"/>
                <w:spacing w:val="-1"/>
                <w:highlight w:val="none"/>
                <w:lang w:eastAsia="zh-CN"/>
              </w:rPr>
              <w:t>具备</w:t>
            </w:r>
            <w:r>
              <w:rPr>
                <w:rFonts w:hint="eastAsia"/>
                <w:color w:val="auto"/>
                <w:spacing w:val="3"/>
                <w:highlight w:val="none"/>
                <w:u w:val="single"/>
                <w:lang w:eastAsia="zh-CN"/>
              </w:rPr>
              <w:t>市政公用工程</w:t>
            </w:r>
            <w:r>
              <w:rPr>
                <w:color w:val="auto"/>
                <w:spacing w:val="-1"/>
                <w:highlight w:val="none"/>
                <w:lang w:eastAsia="zh-CN"/>
              </w:rPr>
              <w:t>专业</w:t>
            </w:r>
            <w:r>
              <w:rPr>
                <w:rFonts w:hint="eastAsia"/>
                <w:color w:val="auto"/>
                <w:spacing w:val="3"/>
                <w:highlight w:val="none"/>
                <w:u w:val="single"/>
                <w:lang w:eastAsia="zh-CN"/>
              </w:rPr>
              <w:t>一</w:t>
            </w:r>
            <w:r>
              <w:rPr>
                <w:color w:val="auto"/>
                <w:spacing w:val="-1"/>
                <w:highlight w:val="none"/>
                <w:lang w:eastAsia="zh-CN"/>
              </w:rPr>
              <w:t>级</w:t>
            </w:r>
            <w:r>
              <w:rPr>
                <w:rFonts w:hint="eastAsia"/>
                <w:color w:val="auto"/>
                <w:spacing w:val="-1"/>
                <w:highlight w:val="none"/>
                <w:lang w:val="en-US" w:eastAsia="zh-CN"/>
              </w:rPr>
              <w:t>注</w:t>
            </w:r>
          </w:p>
          <w:p w14:paraId="3C8B784A">
            <w:pPr>
              <w:pStyle w:val="185"/>
              <w:spacing w:before="2" w:line="281" w:lineRule="auto"/>
              <w:ind w:left="113" w:right="107"/>
              <w:jc w:val="both"/>
              <w:rPr>
                <w:color w:val="auto"/>
                <w:spacing w:val="-1"/>
                <w:highlight w:val="none"/>
                <w:lang w:eastAsia="zh-CN"/>
              </w:rPr>
            </w:pPr>
            <w:r>
              <w:rPr>
                <w:rFonts w:hint="eastAsia"/>
                <w:color w:val="auto"/>
                <w:spacing w:val="-1"/>
                <w:highlight w:val="none"/>
                <w:lang w:val="en-US" w:eastAsia="zh-CN"/>
              </w:rPr>
              <w:t>册建造师执业资格。</w:t>
            </w:r>
          </w:p>
          <w:p w14:paraId="0E8C8554">
            <w:pPr>
              <w:pStyle w:val="185"/>
              <w:spacing w:before="2" w:line="281" w:lineRule="auto"/>
              <w:ind w:left="113" w:right="107"/>
              <w:jc w:val="both"/>
              <w:rPr>
                <w:color w:val="auto"/>
                <w:highlight w:val="none"/>
                <w:lang w:eastAsia="zh-CN"/>
              </w:rPr>
            </w:pPr>
            <w:r>
              <w:rPr>
                <w:color w:val="auto"/>
                <w:spacing w:val="1"/>
                <w:highlight w:val="none"/>
                <w:lang w:eastAsia="zh-CN"/>
              </w:rPr>
              <w:t>注：施工负责人不得同时在两个或者两个以上工程项目</w:t>
            </w:r>
            <w:r>
              <w:rPr>
                <w:color w:val="auto"/>
                <w:spacing w:val="-1"/>
                <w:highlight w:val="none"/>
                <w:lang w:eastAsia="zh-CN"/>
              </w:rPr>
              <w:t>担任工程施工项目负责人或工程总承包项目经理。</w:t>
            </w:r>
          </w:p>
          <w:p w14:paraId="32814E3F">
            <w:pPr>
              <w:keepNext w:val="0"/>
              <w:keepLines w:val="0"/>
              <w:widowControl/>
              <w:suppressLineNumbers w:val="0"/>
              <w:jc w:val="left"/>
              <w:rPr>
                <w:color w:val="auto"/>
                <w:spacing w:val="3"/>
                <w:highlight w:val="none"/>
                <w:u w:val="single"/>
                <w:lang w:eastAsia="zh-CN"/>
              </w:rPr>
            </w:pPr>
            <w:r>
              <w:rPr>
                <w:b/>
                <w:bCs/>
                <w:color w:val="auto"/>
                <w:spacing w:val="-1"/>
                <w:highlight w:val="none"/>
                <w:lang w:eastAsia="zh-CN"/>
              </w:rPr>
              <w:t>设计负责人资格要求：</w:t>
            </w:r>
            <w:r>
              <w:rPr>
                <w:color w:val="auto"/>
                <w:spacing w:val="-1"/>
                <w:highlight w:val="none"/>
                <w:u w:val="none"/>
                <w:lang w:eastAsia="zh-CN"/>
              </w:rPr>
              <w:t>具备</w:t>
            </w:r>
            <w:r>
              <w:rPr>
                <w:rFonts w:hint="eastAsia"/>
                <w:color w:val="auto"/>
                <w:spacing w:val="3"/>
                <w:highlight w:val="none"/>
                <w:u w:val="single"/>
                <w:lang w:eastAsia="zh-CN"/>
              </w:rPr>
              <w:t>与本工程相关专业的中级及以上工程师职称</w:t>
            </w:r>
            <w:r>
              <w:rPr>
                <w:rFonts w:hint="eastAsia" w:ascii="宋体" w:hAnsi="宋体" w:eastAsia="宋体" w:cs="宋体"/>
                <w:color w:val="auto"/>
                <w:kern w:val="0"/>
                <w:sz w:val="21"/>
                <w:szCs w:val="21"/>
                <w:highlight w:val="none"/>
                <w:lang w:val="en-US" w:eastAsia="zh-CN" w:bidi="ar"/>
              </w:rPr>
              <w:t>执业资格。</w:t>
            </w:r>
          </w:p>
          <w:p w14:paraId="63ACBC70">
            <w:pPr>
              <w:pStyle w:val="185"/>
              <w:spacing w:before="69" w:line="221" w:lineRule="auto"/>
              <w:ind w:left="112"/>
              <w:jc w:val="both"/>
              <w:rPr>
                <w:color w:val="auto"/>
                <w:highlight w:val="none"/>
                <w:lang w:eastAsia="zh-CN"/>
              </w:rPr>
            </w:pPr>
            <w:r>
              <w:rPr>
                <w:b/>
                <w:bCs/>
                <w:color w:val="auto"/>
                <w:spacing w:val="-3"/>
                <w:highlight w:val="none"/>
                <w:lang w:eastAsia="zh-CN"/>
              </w:rPr>
              <w:t>业绩要求：</w:t>
            </w:r>
            <w:r>
              <w:rPr>
                <w:rFonts w:hint="eastAsia"/>
                <w:color w:val="auto"/>
                <w:highlight w:val="none"/>
                <w:u w:val="single"/>
                <w:lang w:eastAsia="zh-CN"/>
              </w:rPr>
              <w:t>/</w:t>
            </w:r>
          </w:p>
          <w:p w14:paraId="0A0E2922">
            <w:pPr>
              <w:pStyle w:val="185"/>
              <w:spacing w:before="68" w:line="192" w:lineRule="auto"/>
              <w:ind w:left="116"/>
              <w:jc w:val="both"/>
              <w:rPr>
                <w:color w:val="auto"/>
                <w:highlight w:val="none"/>
                <w:u w:val="single"/>
                <w:lang w:eastAsia="zh-CN"/>
              </w:rPr>
            </w:pPr>
            <w:r>
              <w:rPr>
                <w:b/>
                <w:bCs/>
                <w:color w:val="auto"/>
                <w:spacing w:val="-5"/>
                <w:highlight w:val="none"/>
                <w:lang w:eastAsia="zh-CN"/>
              </w:rPr>
              <w:t>项目管理机构主要人员要求：</w:t>
            </w:r>
            <w:r>
              <w:rPr>
                <w:rFonts w:hint="eastAsia"/>
                <w:b/>
                <w:bCs/>
                <w:color w:val="auto"/>
                <w:spacing w:val="-5"/>
                <w:highlight w:val="none"/>
                <w:u w:val="single"/>
                <w:lang w:eastAsia="zh-CN"/>
              </w:rPr>
              <w:t xml:space="preserve"> / </w:t>
            </w:r>
          </w:p>
          <w:p w14:paraId="036B0F29">
            <w:pPr>
              <w:spacing w:line="8" w:lineRule="exact"/>
              <w:ind w:left="2845"/>
              <w:jc w:val="both"/>
              <w:rPr>
                <w:rFonts w:eastAsia="Times New Roman"/>
                <w:color w:val="auto"/>
                <w:szCs w:val="21"/>
                <w:highlight w:val="none"/>
              </w:rPr>
            </w:pPr>
            <w:r>
              <w:rPr>
                <w:rFonts w:eastAsia="Times New Roman"/>
                <w:color w:val="auto"/>
                <w:position w:val="4"/>
                <w:szCs w:val="21"/>
                <w:highlight w:val="none"/>
              </w:rPr>
              <w:t>_________________</w:t>
            </w:r>
          </w:p>
          <w:p w14:paraId="5B407271">
            <w:pPr>
              <w:spacing w:line="480" w:lineRule="exact"/>
              <w:jc w:val="both"/>
              <w:rPr>
                <w:b/>
                <w:bCs/>
                <w:color w:val="auto"/>
                <w:spacing w:val="-1"/>
                <w:highlight w:val="none"/>
              </w:rPr>
            </w:pPr>
            <w:r>
              <w:rPr>
                <w:b/>
                <w:bCs/>
                <w:color w:val="auto"/>
                <w:spacing w:val="-1"/>
                <w:highlight w:val="none"/>
              </w:rPr>
              <w:t>其他要求：</w:t>
            </w:r>
          </w:p>
          <w:p w14:paraId="32C31DE7">
            <w:pPr>
              <w:spacing w:line="480" w:lineRule="exact"/>
              <w:jc w:val="both"/>
              <w:rPr>
                <w:rFonts w:hint="eastAsia"/>
                <w:b w:val="0"/>
                <w:bCs w:val="0"/>
                <w:color w:val="auto"/>
                <w:spacing w:val="-1"/>
                <w:highlight w:val="none"/>
                <w:lang w:val="en-US" w:eastAsia="zh-CN"/>
              </w:rPr>
            </w:pPr>
            <w:r>
              <w:rPr>
                <w:rFonts w:hint="eastAsia"/>
                <w:b w:val="0"/>
                <w:bCs w:val="0"/>
                <w:color w:val="auto"/>
                <w:spacing w:val="-1"/>
                <w:highlight w:val="none"/>
                <w:lang w:val="en-US" w:eastAsia="zh-CN"/>
              </w:rPr>
              <w:t>（1）外省投标人必须在报名前办理企业信息库。联系电话:024-23447663外省投标单位入省备案手续按辽住建【2016】1号文件办理。咨询电话024-23447663。</w:t>
            </w:r>
          </w:p>
          <w:p w14:paraId="46EA4804">
            <w:pPr>
              <w:spacing w:line="480" w:lineRule="exact"/>
              <w:jc w:val="both"/>
              <w:rPr>
                <w:rFonts w:hint="eastAsia"/>
                <w:b w:val="0"/>
                <w:bCs w:val="0"/>
                <w:color w:val="auto"/>
                <w:spacing w:val="-1"/>
                <w:highlight w:val="none"/>
                <w:lang w:val="en-US" w:eastAsia="zh-CN"/>
              </w:rPr>
            </w:pPr>
            <w:r>
              <w:rPr>
                <w:rFonts w:hint="eastAsia"/>
                <w:b w:val="0"/>
                <w:bCs w:val="0"/>
                <w:color w:val="auto"/>
                <w:spacing w:val="-1"/>
                <w:highlight w:val="none"/>
                <w:lang w:val="en-US" w:eastAsia="zh-CN"/>
              </w:rPr>
              <w:t>（2）投标人授权的委托代理人应具有与投标人单位签订的经人社部门认定盖章的劳动合同或社会养老保险关系证明（如联合体投标，授权代表须为联合体牵头单位派出）。</w:t>
            </w:r>
          </w:p>
          <w:p w14:paraId="0CB0A5A3">
            <w:pPr>
              <w:spacing w:line="480" w:lineRule="exact"/>
              <w:jc w:val="both"/>
              <w:rPr>
                <w:color w:val="auto"/>
                <w:highlight w:val="none"/>
              </w:rPr>
            </w:pPr>
            <w:r>
              <w:rPr>
                <w:rFonts w:hint="eastAsia"/>
                <w:b w:val="0"/>
                <w:bCs w:val="0"/>
                <w:color w:val="auto"/>
                <w:spacing w:val="-1"/>
                <w:highlight w:val="none"/>
                <w:lang w:val="en-US" w:eastAsia="zh-CN"/>
              </w:rPr>
              <w:t>（3）投标人授权的委托代理人应具有与投标人单位签订的经人社部门认定盖章的劳动合同或社会养老保险证明（若投标单位所在地区的人社部门不在劳动合同或社保证明原件上盖章，则须提供人社部门官网打印件并经人社部门官网可查且信息有效）（如联合体投标，授权代表须为联合体牵头单位派出）。</w:t>
            </w:r>
          </w:p>
        </w:tc>
      </w:tr>
      <w:tr w14:paraId="0B3175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5" w:hRule="atLeast"/>
        </w:trPr>
        <w:tc>
          <w:tcPr>
            <w:tcW w:w="856" w:type="dxa"/>
            <w:vAlign w:val="center"/>
          </w:tcPr>
          <w:p w14:paraId="311A0704">
            <w:pPr>
              <w:spacing w:line="255" w:lineRule="auto"/>
              <w:jc w:val="both"/>
              <w:rPr>
                <w:rFonts w:ascii="Arial"/>
                <w:color w:val="auto"/>
                <w:highlight w:val="none"/>
              </w:rPr>
            </w:pPr>
          </w:p>
          <w:p w14:paraId="58FDA040">
            <w:pPr>
              <w:spacing w:line="255" w:lineRule="auto"/>
              <w:jc w:val="both"/>
              <w:rPr>
                <w:rFonts w:ascii="Arial"/>
                <w:color w:val="auto"/>
                <w:highlight w:val="none"/>
              </w:rPr>
            </w:pPr>
          </w:p>
          <w:p w14:paraId="56FAB930">
            <w:pPr>
              <w:spacing w:line="256" w:lineRule="auto"/>
              <w:jc w:val="both"/>
              <w:rPr>
                <w:rFonts w:ascii="Arial"/>
                <w:color w:val="auto"/>
                <w:highlight w:val="none"/>
              </w:rPr>
            </w:pPr>
          </w:p>
          <w:p w14:paraId="43F92A41">
            <w:pPr>
              <w:pStyle w:val="185"/>
              <w:spacing w:before="68"/>
              <w:ind w:left="189"/>
              <w:jc w:val="both"/>
              <w:rPr>
                <w:color w:val="auto"/>
                <w:highlight w:val="none"/>
              </w:rPr>
            </w:pPr>
            <w:r>
              <w:rPr>
                <w:color w:val="auto"/>
                <w:spacing w:val="-4"/>
                <w:highlight w:val="none"/>
              </w:rPr>
              <w:t>1.4.2</w:t>
            </w:r>
          </w:p>
        </w:tc>
        <w:tc>
          <w:tcPr>
            <w:tcW w:w="2267" w:type="dxa"/>
            <w:vAlign w:val="center"/>
          </w:tcPr>
          <w:p w14:paraId="1C6BF8E0">
            <w:pPr>
              <w:spacing w:line="255" w:lineRule="auto"/>
              <w:jc w:val="both"/>
              <w:rPr>
                <w:rFonts w:ascii="Arial"/>
                <w:color w:val="auto"/>
                <w:highlight w:val="none"/>
              </w:rPr>
            </w:pPr>
          </w:p>
          <w:p w14:paraId="7669F2AE">
            <w:pPr>
              <w:spacing w:line="255" w:lineRule="auto"/>
              <w:jc w:val="both"/>
              <w:rPr>
                <w:rFonts w:ascii="Arial"/>
                <w:color w:val="auto"/>
                <w:highlight w:val="none"/>
              </w:rPr>
            </w:pPr>
          </w:p>
          <w:p w14:paraId="67A854BC">
            <w:pPr>
              <w:spacing w:line="256" w:lineRule="auto"/>
              <w:jc w:val="both"/>
              <w:rPr>
                <w:rFonts w:ascii="Arial"/>
                <w:color w:val="auto"/>
                <w:highlight w:val="none"/>
              </w:rPr>
            </w:pPr>
          </w:p>
          <w:p w14:paraId="1E179BF8">
            <w:pPr>
              <w:pStyle w:val="185"/>
              <w:spacing w:before="68" w:line="221" w:lineRule="auto"/>
              <w:ind w:left="194"/>
              <w:jc w:val="both"/>
              <w:rPr>
                <w:color w:val="auto"/>
                <w:highlight w:val="none"/>
              </w:rPr>
            </w:pPr>
            <w:r>
              <w:rPr>
                <w:color w:val="auto"/>
                <w:spacing w:val="-1"/>
                <w:highlight w:val="none"/>
              </w:rPr>
              <w:t>是否接受联合体投标</w:t>
            </w:r>
          </w:p>
        </w:tc>
        <w:tc>
          <w:tcPr>
            <w:tcW w:w="5465" w:type="dxa"/>
          </w:tcPr>
          <w:p w14:paraId="4C937765">
            <w:pPr>
              <w:topLinePunct/>
              <w:spacing w:line="490" w:lineRule="exact"/>
              <w:rPr>
                <w:color w:val="auto"/>
                <w:szCs w:val="21"/>
                <w:highlight w:val="none"/>
              </w:rPr>
            </w:pPr>
            <w:r>
              <w:rPr>
                <w:rFonts w:hint="eastAsia"/>
                <w:color w:val="auto"/>
                <w:sz w:val="32"/>
                <w:szCs w:val="32"/>
                <w:highlight w:val="none"/>
              </w:rPr>
              <w:t>□</w:t>
            </w:r>
            <w:r>
              <w:rPr>
                <w:rFonts w:hint="eastAsia"/>
                <w:color w:val="auto"/>
                <w:szCs w:val="21"/>
                <w:highlight w:val="none"/>
              </w:rPr>
              <w:t>不接受</w:t>
            </w:r>
          </w:p>
          <w:p w14:paraId="2C53E4D4">
            <w:pPr>
              <w:spacing w:line="490" w:lineRule="exact"/>
              <w:rPr>
                <w:color w:val="auto"/>
                <w:szCs w:val="21"/>
                <w:highlight w:val="none"/>
              </w:rPr>
            </w:pPr>
            <w:r>
              <w:rPr>
                <w:rFonts w:hint="eastAsia"/>
                <w:color w:val="auto"/>
                <w:sz w:val="32"/>
                <w:szCs w:val="32"/>
                <w:highlight w:val="none"/>
              </w:rPr>
              <w:sym w:font="Wingdings 2" w:char="0052"/>
            </w:r>
            <w:r>
              <w:rPr>
                <w:rFonts w:hint="eastAsia"/>
                <w:color w:val="auto"/>
                <w:szCs w:val="21"/>
                <w:highlight w:val="none"/>
              </w:rPr>
              <w:t>接受，应满足下列要求：</w:t>
            </w:r>
          </w:p>
          <w:p w14:paraId="5686716C">
            <w:pPr>
              <w:pStyle w:val="187"/>
              <w:keepNext w:val="0"/>
              <w:keepLines w:val="0"/>
              <w:pageBreakBefore w:val="0"/>
              <w:widowControl w:val="0"/>
              <w:tabs>
                <w:tab w:val="left" w:pos="360"/>
              </w:tabs>
              <w:kinsoku/>
              <w:wordWrap/>
              <w:overflowPunct/>
              <w:topLinePunct w:val="0"/>
              <w:autoSpaceDE/>
              <w:autoSpaceDN/>
              <w:bidi w:val="0"/>
              <w:adjustRightInd w:val="0"/>
              <w:snapToGrid w:val="0"/>
              <w:spacing w:line="440" w:lineRule="exact"/>
              <w:jc w:val="both"/>
              <w:textAlignment w:val="auto"/>
              <w:rPr>
                <w:rStyle w:val="44"/>
                <w:rFonts w:hint="eastAsia" w:ascii="宋体" w:hAnsi="宋体" w:eastAsia="宋体" w:cs="宋体"/>
                <w:color w:val="auto"/>
                <w:kern w:val="2"/>
                <w:sz w:val="21"/>
                <w:szCs w:val="21"/>
                <w:highlight w:val="none"/>
                <w:lang w:val="en-US" w:eastAsia="zh-CN" w:bidi="ar-SA"/>
              </w:rPr>
            </w:pPr>
            <w:r>
              <w:rPr>
                <w:rStyle w:val="44"/>
                <w:rFonts w:hint="eastAsia" w:ascii="宋体" w:hAnsi="宋体" w:eastAsia="宋体" w:cs="宋体"/>
                <w:color w:val="auto"/>
                <w:kern w:val="2"/>
                <w:sz w:val="21"/>
                <w:szCs w:val="21"/>
                <w:highlight w:val="none"/>
                <w:lang w:val="en-US" w:eastAsia="zh-CN" w:bidi="ar-SA"/>
              </w:rPr>
              <w:t>1）投标时需提交联合体协议作为要件之一，联合体协议中要载明联合体投标代表的牵头人，本项目联合体牵头人须为具有施工资质的单位，并声明联合体各方的权利和义务、相关工作范围；</w:t>
            </w:r>
          </w:p>
          <w:p w14:paraId="62102729">
            <w:pPr>
              <w:pStyle w:val="187"/>
              <w:keepNext w:val="0"/>
              <w:keepLines w:val="0"/>
              <w:pageBreakBefore w:val="0"/>
              <w:widowControl w:val="0"/>
              <w:tabs>
                <w:tab w:val="left" w:pos="360"/>
              </w:tabs>
              <w:kinsoku/>
              <w:wordWrap/>
              <w:overflowPunct/>
              <w:topLinePunct w:val="0"/>
              <w:autoSpaceDE/>
              <w:autoSpaceDN/>
              <w:bidi w:val="0"/>
              <w:adjustRightInd w:val="0"/>
              <w:snapToGrid w:val="0"/>
              <w:spacing w:line="440" w:lineRule="exact"/>
              <w:jc w:val="both"/>
              <w:textAlignment w:val="auto"/>
              <w:rPr>
                <w:rStyle w:val="44"/>
                <w:rFonts w:hint="eastAsia" w:ascii="宋体" w:hAnsi="宋体" w:eastAsia="宋体" w:cs="宋体"/>
                <w:color w:val="auto"/>
                <w:kern w:val="2"/>
                <w:sz w:val="21"/>
                <w:szCs w:val="21"/>
                <w:highlight w:val="none"/>
                <w:lang w:val="en-US" w:eastAsia="zh-CN" w:bidi="ar-SA"/>
              </w:rPr>
            </w:pPr>
            <w:r>
              <w:rPr>
                <w:rStyle w:val="44"/>
                <w:rFonts w:hint="eastAsia" w:ascii="宋体" w:hAnsi="宋体" w:eastAsia="宋体" w:cs="宋体"/>
                <w:color w:val="auto"/>
                <w:kern w:val="2"/>
                <w:sz w:val="21"/>
                <w:szCs w:val="21"/>
                <w:highlight w:val="none"/>
                <w:lang w:val="en-US" w:eastAsia="zh-CN" w:bidi="ar-SA"/>
              </w:rPr>
              <w:t>2）联合体各方均需具有良好的商业信誉，没有处于被责令停业或破产状态，且资产未被重组、接管、冻结；</w:t>
            </w:r>
          </w:p>
          <w:p w14:paraId="47AA1EA7">
            <w:pPr>
              <w:pStyle w:val="187"/>
              <w:keepNext w:val="0"/>
              <w:keepLines w:val="0"/>
              <w:pageBreakBefore w:val="0"/>
              <w:widowControl w:val="0"/>
              <w:tabs>
                <w:tab w:val="left" w:pos="360"/>
              </w:tabs>
              <w:kinsoku/>
              <w:wordWrap/>
              <w:overflowPunct/>
              <w:topLinePunct w:val="0"/>
              <w:autoSpaceDE/>
              <w:autoSpaceDN/>
              <w:bidi w:val="0"/>
              <w:adjustRightInd w:val="0"/>
              <w:snapToGrid w:val="0"/>
              <w:spacing w:line="440" w:lineRule="exact"/>
              <w:jc w:val="both"/>
              <w:textAlignment w:val="auto"/>
              <w:rPr>
                <w:rStyle w:val="44"/>
                <w:rFonts w:hint="eastAsia" w:ascii="宋体" w:hAnsi="宋体" w:eastAsia="宋体" w:cs="宋体"/>
                <w:color w:val="auto"/>
                <w:kern w:val="2"/>
                <w:sz w:val="21"/>
                <w:szCs w:val="21"/>
                <w:highlight w:val="none"/>
                <w:lang w:val="en-US" w:eastAsia="zh-CN" w:bidi="ar-SA"/>
              </w:rPr>
            </w:pPr>
            <w:r>
              <w:rPr>
                <w:rStyle w:val="44"/>
                <w:rFonts w:hint="eastAsia" w:ascii="宋体" w:hAnsi="宋体" w:eastAsia="宋体" w:cs="宋体"/>
                <w:color w:val="auto"/>
                <w:kern w:val="2"/>
                <w:sz w:val="21"/>
                <w:szCs w:val="21"/>
                <w:highlight w:val="none"/>
                <w:lang w:val="en-US" w:eastAsia="zh-CN" w:bidi="ar-SA"/>
              </w:rPr>
              <w:t>3）联合体最多允许2家单位；</w:t>
            </w:r>
          </w:p>
          <w:p w14:paraId="77F68DE1">
            <w:pPr>
              <w:pStyle w:val="185"/>
              <w:spacing w:before="69" w:line="283" w:lineRule="auto"/>
              <w:ind w:right="107"/>
              <w:rPr>
                <w:rStyle w:val="44"/>
                <w:rFonts w:hint="eastAsia" w:ascii="宋体" w:hAnsi="宋体" w:eastAsia="宋体" w:cs="宋体"/>
                <w:color w:val="auto"/>
                <w:kern w:val="2"/>
                <w:sz w:val="21"/>
                <w:szCs w:val="21"/>
                <w:highlight w:val="none"/>
                <w:lang w:val="en-US" w:eastAsia="zh-CN" w:bidi="ar-SA"/>
              </w:rPr>
            </w:pPr>
            <w:r>
              <w:rPr>
                <w:rStyle w:val="44"/>
                <w:rFonts w:hint="eastAsia" w:ascii="宋体" w:hAnsi="宋体" w:eastAsia="宋体" w:cs="宋体"/>
                <w:color w:val="auto"/>
                <w:kern w:val="2"/>
                <w:sz w:val="21"/>
                <w:szCs w:val="21"/>
                <w:highlight w:val="none"/>
                <w:lang w:val="en-US" w:eastAsia="zh-CN" w:bidi="ar-SA"/>
              </w:rPr>
              <w:t>4）联合体各方不得再以自己名义单独参与或参加其他联合体在本招标项目中的投标。</w:t>
            </w:r>
          </w:p>
          <w:p w14:paraId="4E48D681">
            <w:pPr>
              <w:pStyle w:val="185"/>
              <w:spacing w:before="69" w:line="283" w:lineRule="auto"/>
              <w:ind w:right="107"/>
              <w:rPr>
                <w:color w:val="auto"/>
                <w:highlight w:val="none"/>
                <w:lang w:eastAsia="zh-CN"/>
              </w:rPr>
            </w:pPr>
            <w:r>
              <w:rPr>
                <w:rFonts w:hint="eastAsia"/>
                <w:b w:val="0"/>
                <w:bCs w:val="0"/>
                <w:color w:val="auto"/>
                <w:spacing w:val="-1"/>
                <w:highlight w:val="none"/>
                <w:lang w:val="en-US" w:eastAsia="zh-CN"/>
              </w:rPr>
              <w:t>投标单位须同时满足以上要求。</w:t>
            </w:r>
          </w:p>
        </w:tc>
      </w:tr>
      <w:tr w14:paraId="5165C6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856" w:type="dxa"/>
            <w:vAlign w:val="top"/>
          </w:tcPr>
          <w:p w14:paraId="12CF56E7">
            <w:pPr>
              <w:pStyle w:val="185"/>
              <w:spacing w:before="79"/>
              <w:ind w:left="189"/>
              <w:jc w:val="both"/>
              <w:rPr>
                <w:color w:val="auto"/>
                <w:highlight w:val="none"/>
              </w:rPr>
            </w:pPr>
            <w:r>
              <w:rPr>
                <w:color w:val="auto"/>
                <w:spacing w:val="-4"/>
                <w:highlight w:val="none"/>
              </w:rPr>
              <w:t>1.4.3</w:t>
            </w:r>
          </w:p>
          <w:p w14:paraId="4EA10667">
            <w:pPr>
              <w:pStyle w:val="185"/>
              <w:spacing w:before="48" w:line="206" w:lineRule="auto"/>
              <w:ind w:left="127"/>
              <w:jc w:val="both"/>
              <w:rPr>
                <w:color w:val="auto"/>
                <w:highlight w:val="none"/>
              </w:rPr>
            </w:pPr>
            <w:r>
              <w:rPr>
                <w:color w:val="auto"/>
                <w:spacing w:val="-4"/>
                <w:highlight w:val="none"/>
              </w:rPr>
              <w:t>（</w:t>
            </w:r>
            <w:r>
              <w:rPr>
                <w:rFonts w:hint="eastAsia"/>
                <w:color w:val="auto"/>
                <w:spacing w:val="-4"/>
                <w:highlight w:val="none"/>
                <w:lang w:val="en-US" w:eastAsia="zh-CN"/>
              </w:rPr>
              <w:t>17</w:t>
            </w:r>
            <w:r>
              <w:rPr>
                <w:color w:val="auto"/>
                <w:spacing w:val="-4"/>
                <w:highlight w:val="none"/>
              </w:rPr>
              <w:t>）</w:t>
            </w:r>
          </w:p>
        </w:tc>
        <w:tc>
          <w:tcPr>
            <w:tcW w:w="2267" w:type="dxa"/>
            <w:vAlign w:val="top"/>
          </w:tcPr>
          <w:p w14:paraId="03D3669C">
            <w:pPr>
              <w:pStyle w:val="185"/>
              <w:spacing w:before="239" w:line="221" w:lineRule="auto"/>
              <w:ind w:left="194"/>
              <w:jc w:val="both"/>
              <w:rPr>
                <w:color w:val="auto"/>
                <w:highlight w:val="none"/>
              </w:rPr>
            </w:pPr>
            <w:r>
              <w:rPr>
                <w:color w:val="auto"/>
                <w:spacing w:val="-1"/>
                <w:highlight w:val="none"/>
              </w:rPr>
              <w:t>不得存在的其他情形</w:t>
            </w:r>
          </w:p>
        </w:tc>
        <w:tc>
          <w:tcPr>
            <w:tcW w:w="5465" w:type="dxa"/>
            <w:vAlign w:val="center"/>
          </w:tcPr>
          <w:p w14:paraId="5712BB88">
            <w:pPr>
              <w:jc w:val="both"/>
              <w:rPr>
                <w:rFonts w:ascii="Arial"/>
                <w:color w:val="auto"/>
                <w:highlight w:val="none"/>
              </w:rPr>
            </w:pPr>
          </w:p>
        </w:tc>
      </w:tr>
      <w:tr w14:paraId="4831D5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trPr>
        <w:tc>
          <w:tcPr>
            <w:tcW w:w="856" w:type="dxa"/>
            <w:vAlign w:val="top"/>
          </w:tcPr>
          <w:p w14:paraId="49422DBF">
            <w:pPr>
              <w:spacing w:line="247" w:lineRule="auto"/>
              <w:jc w:val="both"/>
              <w:rPr>
                <w:rFonts w:ascii="Arial"/>
                <w:color w:val="auto"/>
                <w:highlight w:val="none"/>
              </w:rPr>
            </w:pPr>
          </w:p>
          <w:p w14:paraId="55BD09A4">
            <w:pPr>
              <w:pStyle w:val="185"/>
              <w:spacing w:before="68"/>
              <w:ind w:left="189"/>
              <w:jc w:val="both"/>
              <w:rPr>
                <w:color w:val="auto"/>
                <w:highlight w:val="none"/>
              </w:rPr>
            </w:pPr>
            <w:r>
              <w:rPr>
                <w:color w:val="auto"/>
                <w:spacing w:val="-4"/>
                <w:highlight w:val="none"/>
              </w:rPr>
              <w:t>1.5</w:t>
            </w:r>
          </w:p>
        </w:tc>
        <w:tc>
          <w:tcPr>
            <w:tcW w:w="2267" w:type="dxa"/>
            <w:vAlign w:val="top"/>
          </w:tcPr>
          <w:p w14:paraId="38EB1104">
            <w:pPr>
              <w:pStyle w:val="185"/>
              <w:spacing w:before="79" w:line="283" w:lineRule="auto"/>
              <w:ind w:left="927" w:right="185" w:hanging="725"/>
              <w:jc w:val="both"/>
              <w:rPr>
                <w:color w:val="auto"/>
                <w:highlight w:val="none"/>
                <w:lang w:eastAsia="zh-CN"/>
              </w:rPr>
            </w:pPr>
            <w:r>
              <w:rPr>
                <w:color w:val="auto"/>
                <w:spacing w:val="-2"/>
                <w:highlight w:val="none"/>
                <w:lang w:eastAsia="zh-CN"/>
              </w:rPr>
              <w:t>费用承担和设计成果补偿</w:t>
            </w:r>
          </w:p>
        </w:tc>
        <w:tc>
          <w:tcPr>
            <w:tcW w:w="5465" w:type="dxa"/>
            <w:vAlign w:val="center"/>
          </w:tcPr>
          <w:p w14:paraId="39CA4F2C">
            <w:pPr>
              <w:pStyle w:val="185"/>
              <w:spacing w:before="79" w:line="221" w:lineRule="auto"/>
              <w:ind w:left="135"/>
              <w:jc w:val="both"/>
              <w:rPr>
                <w:color w:val="auto"/>
                <w:highlight w:val="none"/>
                <w:lang w:eastAsia="zh-CN"/>
              </w:rPr>
            </w:pPr>
            <w:r>
              <w:rPr>
                <w:rFonts w:hint="eastAsia"/>
                <w:color w:val="auto"/>
                <w:spacing w:val="-7"/>
                <w:highlight w:val="none"/>
                <w:lang w:eastAsia="zh-CN"/>
              </w:rPr>
              <w:t>☑</w:t>
            </w:r>
            <w:r>
              <w:rPr>
                <w:color w:val="auto"/>
                <w:spacing w:val="-7"/>
                <w:highlight w:val="none"/>
                <w:lang w:eastAsia="zh-CN"/>
              </w:rPr>
              <w:t>不补偿</w:t>
            </w:r>
          </w:p>
          <w:p w14:paraId="5C778E03">
            <w:pPr>
              <w:pStyle w:val="185"/>
              <w:spacing w:before="27" w:line="227" w:lineRule="auto"/>
              <w:ind w:left="127"/>
              <w:jc w:val="both"/>
              <w:rPr>
                <w:color w:val="auto"/>
                <w:highlight w:val="none"/>
                <w:lang w:eastAsia="zh-CN"/>
              </w:rPr>
            </w:pPr>
            <w:r>
              <w:rPr>
                <w:rFonts w:ascii="Times New Roman" w:hAnsi="Times New Roman" w:eastAsia="Times New Roman" w:cs="Times New Roman"/>
                <w:color w:val="auto"/>
                <w:spacing w:val="-2"/>
                <w:sz w:val="31"/>
                <w:szCs w:val="31"/>
                <w:highlight w:val="none"/>
                <w:lang w:eastAsia="zh-CN"/>
              </w:rPr>
              <w:t>□</w:t>
            </w:r>
            <w:r>
              <w:rPr>
                <w:color w:val="auto"/>
                <w:spacing w:val="-2"/>
                <w:highlight w:val="none"/>
                <w:lang w:eastAsia="zh-CN"/>
              </w:rPr>
              <w:t>补偿，补偿标准：</w:t>
            </w:r>
          </w:p>
        </w:tc>
      </w:tr>
      <w:tr w14:paraId="26BD9C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0" w:hRule="atLeast"/>
        </w:trPr>
        <w:tc>
          <w:tcPr>
            <w:tcW w:w="856" w:type="dxa"/>
            <w:vAlign w:val="top"/>
          </w:tcPr>
          <w:p w14:paraId="23AF1CCB">
            <w:pPr>
              <w:spacing w:line="386" w:lineRule="auto"/>
              <w:jc w:val="both"/>
              <w:rPr>
                <w:rFonts w:ascii="Arial"/>
                <w:color w:val="auto"/>
                <w:highlight w:val="none"/>
              </w:rPr>
            </w:pPr>
          </w:p>
          <w:p w14:paraId="530C5EA0">
            <w:pPr>
              <w:pStyle w:val="185"/>
              <w:spacing w:before="68"/>
              <w:ind w:left="189"/>
              <w:jc w:val="both"/>
              <w:rPr>
                <w:color w:val="auto"/>
                <w:highlight w:val="none"/>
              </w:rPr>
            </w:pPr>
            <w:r>
              <w:rPr>
                <w:color w:val="auto"/>
                <w:spacing w:val="-4"/>
                <w:highlight w:val="none"/>
              </w:rPr>
              <w:t>1.9.1</w:t>
            </w:r>
          </w:p>
        </w:tc>
        <w:tc>
          <w:tcPr>
            <w:tcW w:w="2267" w:type="dxa"/>
            <w:vAlign w:val="top"/>
          </w:tcPr>
          <w:p w14:paraId="6BB96705">
            <w:pPr>
              <w:spacing w:line="386" w:lineRule="auto"/>
              <w:jc w:val="both"/>
              <w:rPr>
                <w:rFonts w:ascii="Arial"/>
                <w:color w:val="auto"/>
                <w:highlight w:val="none"/>
              </w:rPr>
            </w:pPr>
          </w:p>
          <w:p w14:paraId="7B6A5FAD">
            <w:pPr>
              <w:pStyle w:val="185"/>
              <w:spacing w:before="68" w:line="221" w:lineRule="auto"/>
              <w:ind w:left="717"/>
              <w:jc w:val="both"/>
              <w:rPr>
                <w:color w:val="auto"/>
                <w:highlight w:val="none"/>
              </w:rPr>
            </w:pPr>
            <w:r>
              <w:rPr>
                <w:color w:val="auto"/>
                <w:spacing w:val="-2"/>
                <w:highlight w:val="none"/>
              </w:rPr>
              <w:t>踏勘现场</w:t>
            </w:r>
          </w:p>
        </w:tc>
        <w:tc>
          <w:tcPr>
            <w:tcW w:w="5465" w:type="dxa"/>
            <w:vAlign w:val="center"/>
          </w:tcPr>
          <w:p w14:paraId="4F888F71">
            <w:pPr>
              <w:pStyle w:val="185"/>
              <w:spacing w:before="135" w:line="222" w:lineRule="auto"/>
              <w:ind w:left="135"/>
              <w:jc w:val="both"/>
              <w:rPr>
                <w:color w:val="auto"/>
                <w:highlight w:val="none"/>
                <w:lang w:eastAsia="zh-CN"/>
              </w:rPr>
            </w:pPr>
            <w:r>
              <w:rPr>
                <w:rFonts w:hint="eastAsia"/>
                <w:color w:val="auto"/>
                <w:spacing w:val="-5"/>
                <w:highlight w:val="none"/>
                <w:lang w:eastAsia="zh-CN"/>
              </w:rPr>
              <w:t>☑</w:t>
            </w:r>
            <w:r>
              <w:rPr>
                <w:color w:val="auto"/>
                <w:spacing w:val="-5"/>
                <w:highlight w:val="none"/>
                <w:lang w:eastAsia="zh-CN"/>
              </w:rPr>
              <w:t>不统一组织（选）</w:t>
            </w:r>
          </w:p>
          <w:p w14:paraId="1D26985B">
            <w:pPr>
              <w:pStyle w:val="185"/>
              <w:spacing w:before="68" w:line="251" w:lineRule="auto"/>
              <w:ind w:left="956" w:right="357" w:hanging="821"/>
              <w:jc w:val="both"/>
              <w:rPr>
                <w:rFonts w:hint="default"/>
                <w:color w:val="auto"/>
                <w:spacing w:val="-1"/>
                <w:highlight w:val="none"/>
                <w:u w:val="single"/>
                <w:lang w:val="en-US" w:eastAsia="zh-CN"/>
              </w:rPr>
            </w:pPr>
            <w:r>
              <w:rPr>
                <w:color w:val="auto"/>
                <w:spacing w:val="-1"/>
                <w:highlight w:val="none"/>
                <w:lang w:eastAsia="zh-CN"/>
              </w:rPr>
              <w:t>□统一组织，踏勘时间：</w:t>
            </w:r>
            <w:r>
              <w:rPr>
                <w:rFonts w:hint="eastAsia"/>
                <w:color w:val="auto"/>
                <w:spacing w:val="-1"/>
                <w:highlight w:val="none"/>
                <w:u w:val="single"/>
                <w:lang w:val="en-US" w:eastAsia="zh-CN"/>
              </w:rPr>
              <w:t xml:space="preserve">                 </w:t>
            </w:r>
          </w:p>
          <w:p w14:paraId="4E83829A">
            <w:pPr>
              <w:pStyle w:val="185"/>
              <w:spacing w:before="68" w:line="251" w:lineRule="auto"/>
              <w:ind w:left="972" w:leftChars="463" w:right="357" w:firstLine="22" w:firstLineChars="11"/>
              <w:jc w:val="both"/>
              <w:rPr>
                <w:color w:val="auto"/>
                <w:highlight w:val="none"/>
                <w:lang w:eastAsia="zh-CN"/>
              </w:rPr>
            </w:pPr>
            <w:r>
              <w:rPr>
                <w:color w:val="auto"/>
                <w:spacing w:val="-2"/>
                <w:highlight w:val="none"/>
                <w:lang w:eastAsia="zh-CN"/>
              </w:rPr>
              <w:t>踏勘集中地点：</w:t>
            </w:r>
            <w:r>
              <w:rPr>
                <w:rFonts w:hint="eastAsia"/>
                <w:color w:val="auto"/>
                <w:spacing w:val="-1"/>
                <w:highlight w:val="none"/>
                <w:u w:val="single"/>
                <w:lang w:val="en-US" w:eastAsia="zh-CN"/>
              </w:rPr>
              <w:t xml:space="preserve">                 </w:t>
            </w:r>
          </w:p>
        </w:tc>
      </w:tr>
      <w:tr w14:paraId="087B8B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8" w:hRule="atLeast"/>
        </w:trPr>
        <w:tc>
          <w:tcPr>
            <w:tcW w:w="856" w:type="dxa"/>
            <w:vAlign w:val="top"/>
          </w:tcPr>
          <w:p w14:paraId="0217ED40">
            <w:pPr>
              <w:spacing w:line="470" w:lineRule="auto"/>
              <w:jc w:val="both"/>
              <w:rPr>
                <w:rFonts w:ascii="Arial"/>
                <w:color w:val="auto"/>
                <w:highlight w:val="none"/>
              </w:rPr>
            </w:pPr>
          </w:p>
          <w:p w14:paraId="3DA1B4FE">
            <w:pPr>
              <w:pStyle w:val="185"/>
              <w:spacing w:before="68"/>
              <w:ind w:left="136"/>
              <w:jc w:val="both"/>
              <w:rPr>
                <w:color w:val="auto"/>
                <w:highlight w:val="none"/>
              </w:rPr>
            </w:pPr>
            <w:r>
              <w:rPr>
                <w:color w:val="auto"/>
                <w:spacing w:val="-3"/>
                <w:highlight w:val="none"/>
              </w:rPr>
              <w:t>1.10.1</w:t>
            </w:r>
          </w:p>
        </w:tc>
        <w:tc>
          <w:tcPr>
            <w:tcW w:w="2267" w:type="dxa"/>
            <w:vAlign w:val="top"/>
          </w:tcPr>
          <w:p w14:paraId="0774332A">
            <w:pPr>
              <w:spacing w:line="469" w:lineRule="auto"/>
              <w:jc w:val="both"/>
              <w:rPr>
                <w:rFonts w:ascii="Arial"/>
                <w:color w:val="auto"/>
                <w:highlight w:val="none"/>
              </w:rPr>
            </w:pPr>
          </w:p>
          <w:p w14:paraId="5512B670">
            <w:pPr>
              <w:pStyle w:val="185"/>
              <w:spacing w:before="69" w:line="220" w:lineRule="auto"/>
              <w:ind w:left="613"/>
              <w:jc w:val="both"/>
              <w:rPr>
                <w:color w:val="auto"/>
                <w:highlight w:val="none"/>
              </w:rPr>
            </w:pPr>
            <w:r>
              <w:rPr>
                <w:color w:val="auto"/>
                <w:spacing w:val="-2"/>
                <w:highlight w:val="none"/>
              </w:rPr>
              <w:t>投标预备会</w:t>
            </w:r>
          </w:p>
        </w:tc>
        <w:tc>
          <w:tcPr>
            <w:tcW w:w="5465" w:type="dxa"/>
            <w:vAlign w:val="center"/>
          </w:tcPr>
          <w:p w14:paraId="41E0F290">
            <w:pPr>
              <w:pStyle w:val="185"/>
              <w:spacing w:before="219" w:line="222" w:lineRule="auto"/>
              <w:ind w:left="135"/>
              <w:jc w:val="both"/>
              <w:rPr>
                <w:color w:val="auto"/>
                <w:highlight w:val="none"/>
                <w:lang w:eastAsia="zh-CN"/>
              </w:rPr>
            </w:pPr>
            <w:r>
              <w:rPr>
                <w:rFonts w:hint="eastAsia"/>
                <w:color w:val="auto"/>
                <w:spacing w:val="-6"/>
                <w:highlight w:val="none"/>
                <w:lang w:eastAsia="zh-CN"/>
              </w:rPr>
              <w:t>☑</w:t>
            </w:r>
            <w:r>
              <w:rPr>
                <w:color w:val="auto"/>
                <w:spacing w:val="-6"/>
                <w:highlight w:val="none"/>
                <w:lang w:eastAsia="zh-CN"/>
              </w:rPr>
              <w:t>不召开（选）</w:t>
            </w:r>
          </w:p>
          <w:p w14:paraId="1E123546">
            <w:pPr>
              <w:pStyle w:val="185"/>
              <w:spacing w:before="69" w:line="251" w:lineRule="auto"/>
              <w:ind w:left="964" w:right="357" w:hanging="829"/>
              <w:jc w:val="both"/>
              <w:rPr>
                <w:rFonts w:hint="eastAsia"/>
                <w:color w:val="auto"/>
                <w:spacing w:val="-1"/>
                <w:highlight w:val="none"/>
                <w:u w:val="single"/>
                <w:lang w:val="en-US" w:eastAsia="zh-CN"/>
              </w:rPr>
            </w:pPr>
            <w:r>
              <w:rPr>
                <w:color w:val="auto"/>
                <w:spacing w:val="-1"/>
                <w:highlight w:val="none"/>
                <w:lang w:eastAsia="zh-CN"/>
              </w:rPr>
              <w:t>□召开，召开时间：</w:t>
            </w:r>
            <w:r>
              <w:rPr>
                <w:rFonts w:hint="eastAsia"/>
                <w:color w:val="auto"/>
                <w:spacing w:val="-1"/>
                <w:highlight w:val="none"/>
                <w:u w:val="single"/>
                <w:lang w:val="en-US" w:eastAsia="zh-CN"/>
              </w:rPr>
              <w:t xml:space="preserve">                 </w:t>
            </w:r>
          </w:p>
          <w:p w14:paraId="06A333A4">
            <w:pPr>
              <w:pStyle w:val="185"/>
              <w:spacing w:before="69" w:line="251" w:lineRule="auto"/>
              <w:ind w:left="972" w:leftChars="463" w:right="357" w:firstLine="12" w:firstLineChars="6"/>
              <w:jc w:val="both"/>
              <w:rPr>
                <w:color w:val="auto"/>
                <w:highlight w:val="none"/>
                <w:lang w:eastAsia="zh-CN"/>
              </w:rPr>
            </w:pPr>
            <w:r>
              <w:rPr>
                <w:color w:val="auto"/>
                <w:spacing w:val="-4"/>
                <w:highlight w:val="none"/>
                <w:lang w:eastAsia="zh-CN"/>
              </w:rPr>
              <w:t>召开地点：</w:t>
            </w:r>
            <w:r>
              <w:rPr>
                <w:rFonts w:hint="eastAsia"/>
                <w:color w:val="auto"/>
                <w:spacing w:val="-1"/>
                <w:highlight w:val="none"/>
                <w:u w:val="single"/>
                <w:lang w:val="en-US" w:eastAsia="zh-CN"/>
              </w:rPr>
              <w:t xml:space="preserve">                 </w:t>
            </w:r>
          </w:p>
        </w:tc>
      </w:tr>
      <w:tr w14:paraId="2C07B1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856" w:type="dxa"/>
            <w:vAlign w:val="top"/>
          </w:tcPr>
          <w:p w14:paraId="34D3995C">
            <w:pPr>
              <w:pStyle w:val="185"/>
              <w:spacing w:before="236"/>
              <w:ind w:left="136"/>
              <w:jc w:val="both"/>
              <w:rPr>
                <w:color w:val="auto"/>
                <w:highlight w:val="none"/>
              </w:rPr>
            </w:pPr>
            <w:r>
              <w:rPr>
                <w:color w:val="auto"/>
                <w:spacing w:val="-3"/>
                <w:highlight w:val="none"/>
              </w:rPr>
              <w:t>1.10.2</w:t>
            </w:r>
          </w:p>
        </w:tc>
        <w:tc>
          <w:tcPr>
            <w:tcW w:w="2267" w:type="dxa"/>
            <w:vAlign w:val="top"/>
          </w:tcPr>
          <w:p w14:paraId="0108B900">
            <w:pPr>
              <w:pStyle w:val="185"/>
              <w:spacing w:before="236" w:line="221" w:lineRule="auto"/>
              <w:ind w:left="4" w:leftChars="0" w:hanging="4" w:firstLineChars="0"/>
              <w:jc w:val="center"/>
              <w:rPr>
                <w:color w:val="auto"/>
                <w:highlight w:val="none"/>
              </w:rPr>
            </w:pPr>
            <w:r>
              <w:rPr>
                <w:rFonts w:hint="eastAsia"/>
                <w:color w:val="auto"/>
                <w:highlight w:val="none"/>
                <w:lang w:val="en-US" w:eastAsia="zh-CN"/>
              </w:rPr>
              <w:t>投标人提出问题的截止时间</w:t>
            </w:r>
          </w:p>
        </w:tc>
        <w:tc>
          <w:tcPr>
            <w:tcW w:w="5465" w:type="dxa"/>
            <w:vAlign w:val="center"/>
          </w:tcPr>
          <w:p w14:paraId="279283E3">
            <w:pPr>
              <w:keepNext w:val="0"/>
              <w:keepLines w:val="0"/>
              <w:widowControl/>
              <w:suppressLineNumbers w:val="0"/>
              <w:jc w:val="left"/>
              <w:rPr>
                <w:rFonts w:hint="eastAsia"/>
                <w:color w:val="auto"/>
                <w:highlight w:val="none"/>
                <w:lang w:eastAsia="zh-CN"/>
              </w:rPr>
            </w:pPr>
            <w:r>
              <w:rPr>
                <w:rFonts w:hint="default" w:ascii="Times New Roman" w:hAnsi="Times New Roman" w:eastAsia="宋体" w:cs="Times New Roman"/>
                <w:color w:val="auto"/>
                <w:kern w:val="0"/>
                <w:sz w:val="32"/>
                <w:szCs w:val="32"/>
                <w:highlight w:val="none"/>
                <w:lang w:val="en-US" w:eastAsia="zh-CN" w:bidi="ar"/>
              </w:rPr>
              <w:t>□</w:t>
            </w:r>
            <w:r>
              <w:rPr>
                <w:rFonts w:hint="eastAsia" w:ascii="宋体" w:hAnsi="宋体" w:eastAsia="宋体" w:cs="宋体"/>
                <w:color w:val="auto"/>
                <w:kern w:val="0"/>
                <w:sz w:val="21"/>
                <w:szCs w:val="21"/>
                <w:highlight w:val="none"/>
                <w:lang w:val="en-US" w:eastAsia="zh-CN" w:bidi="ar"/>
              </w:rPr>
              <w:t>召开投标预备会之日</w:t>
            </w:r>
            <w:r>
              <w:rPr>
                <w:rFonts w:hint="eastAsia"/>
                <w:color w:val="auto"/>
                <w:highlight w:val="none"/>
                <w:u w:val="single"/>
                <w:lang w:val="en-US" w:eastAsia="zh-CN"/>
              </w:rPr>
              <w:t xml:space="preserve">     </w:t>
            </w:r>
            <w:r>
              <w:rPr>
                <w:rFonts w:hint="eastAsia"/>
                <w:color w:val="auto"/>
                <w:highlight w:val="none"/>
                <w:lang w:eastAsia="zh-CN"/>
              </w:rPr>
              <w:t>日前</w:t>
            </w:r>
          </w:p>
          <w:p w14:paraId="025D4410">
            <w:pPr>
              <w:pStyle w:val="185"/>
              <w:spacing w:before="69" w:line="209" w:lineRule="auto"/>
              <w:ind w:left="135" w:firstLine="210" w:firstLineChars="100"/>
              <w:jc w:val="both"/>
              <w:rPr>
                <w:rFonts w:hint="default"/>
                <w:color w:val="auto"/>
                <w:highlight w:val="none"/>
                <w:lang w:val="en-US" w:eastAsia="zh-CN"/>
              </w:rPr>
            </w:pPr>
            <w:r>
              <w:rPr>
                <w:rFonts w:hint="eastAsia"/>
                <w:color w:val="auto"/>
                <w:highlight w:val="none"/>
                <w:lang w:val="en-US" w:eastAsia="zh-CN"/>
              </w:rPr>
              <w:t>年  月  日  时  分</w:t>
            </w:r>
          </w:p>
        </w:tc>
      </w:tr>
      <w:tr w14:paraId="4DCA7A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856" w:type="dxa"/>
            <w:vAlign w:val="top"/>
          </w:tcPr>
          <w:p w14:paraId="0CE9BC13">
            <w:pPr>
              <w:pStyle w:val="185"/>
              <w:spacing w:before="236"/>
              <w:ind w:left="136"/>
              <w:jc w:val="both"/>
              <w:rPr>
                <w:color w:val="auto"/>
                <w:highlight w:val="none"/>
              </w:rPr>
            </w:pPr>
            <w:r>
              <w:rPr>
                <w:color w:val="auto"/>
                <w:spacing w:val="-4"/>
                <w:highlight w:val="none"/>
              </w:rPr>
              <w:t>1.11.1</w:t>
            </w:r>
          </w:p>
        </w:tc>
        <w:tc>
          <w:tcPr>
            <w:tcW w:w="2267" w:type="dxa"/>
            <w:vAlign w:val="top"/>
          </w:tcPr>
          <w:p w14:paraId="33A8F80D">
            <w:pPr>
              <w:pStyle w:val="185"/>
              <w:spacing w:before="75" w:line="246" w:lineRule="auto"/>
              <w:ind w:left="611" w:right="185" w:hanging="419"/>
              <w:jc w:val="both"/>
              <w:rPr>
                <w:color w:val="auto"/>
                <w:highlight w:val="none"/>
                <w:lang w:eastAsia="zh-CN"/>
              </w:rPr>
            </w:pPr>
            <w:r>
              <w:rPr>
                <w:color w:val="auto"/>
                <w:spacing w:val="-1"/>
                <w:highlight w:val="none"/>
                <w:lang w:eastAsia="zh-CN"/>
              </w:rPr>
              <w:t>招标人规定由分包人承担的工作</w:t>
            </w:r>
          </w:p>
        </w:tc>
        <w:tc>
          <w:tcPr>
            <w:tcW w:w="5465" w:type="dxa"/>
            <w:vAlign w:val="center"/>
          </w:tcPr>
          <w:p w14:paraId="5C20F4E4">
            <w:pPr>
              <w:jc w:val="both"/>
              <w:rPr>
                <w:rFonts w:ascii="Arial"/>
                <w:color w:val="auto"/>
                <w:highlight w:val="none"/>
              </w:rPr>
            </w:pPr>
            <w:r>
              <w:rPr>
                <w:rFonts w:hint="eastAsia"/>
                <w:color w:val="auto"/>
                <w:szCs w:val="21"/>
                <w:highlight w:val="none"/>
              </w:rPr>
              <w:t>按相关法律法规执行</w:t>
            </w:r>
          </w:p>
        </w:tc>
      </w:tr>
      <w:tr w14:paraId="32C511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3" w:hRule="atLeast"/>
        </w:trPr>
        <w:tc>
          <w:tcPr>
            <w:tcW w:w="856" w:type="dxa"/>
            <w:vAlign w:val="center"/>
          </w:tcPr>
          <w:p w14:paraId="5AD1A23C">
            <w:pPr>
              <w:spacing w:line="307" w:lineRule="auto"/>
              <w:jc w:val="both"/>
              <w:rPr>
                <w:rFonts w:ascii="Arial"/>
                <w:color w:val="auto"/>
                <w:highlight w:val="none"/>
              </w:rPr>
            </w:pPr>
          </w:p>
          <w:p w14:paraId="25304AF2">
            <w:pPr>
              <w:spacing w:line="307" w:lineRule="auto"/>
              <w:jc w:val="both"/>
              <w:rPr>
                <w:rFonts w:ascii="Arial"/>
                <w:color w:val="auto"/>
                <w:highlight w:val="none"/>
              </w:rPr>
            </w:pPr>
          </w:p>
          <w:p w14:paraId="531E6C58">
            <w:pPr>
              <w:pStyle w:val="185"/>
              <w:spacing w:before="68"/>
              <w:ind w:left="136"/>
              <w:jc w:val="both"/>
              <w:rPr>
                <w:color w:val="auto"/>
                <w:highlight w:val="none"/>
              </w:rPr>
            </w:pPr>
            <w:r>
              <w:rPr>
                <w:color w:val="auto"/>
                <w:spacing w:val="-4"/>
                <w:highlight w:val="none"/>
              </w:rPr>
              <w:t>1.11.2</w:t>
            </w:r>
          </w:p>
        </w:tc>
        <w:tc>
          <w:tcPr>
            <w:tcW w:w="2267" w:type="dxa"/>
            <w:vAlign w:val="center"/>
          </w:tcPr>
          <w:p w14:paraId="2CB00C7D">
            <w:pPr>
              <w:spacing w:line="307" w:lineRule="auto"/>
              <w:jc w:val="both"/>
              <w:rPr>
                <w:rFonts w:ascii="Arial"/>
                <w:color w:val="auto"/>
                <w:highlight w:val="none"/>
              </w:rPr>
            </w:pPr>
          </w:p>
          <w:p w14:paraId="0801569B">
            <w:pPr>
              <w:spacing w:line="307" w:lineRule="auto"/>
              <w:jc w:val="both"/>
              <w:rPr>
                <w:rFonts w:ascii="Arial"/>
                <w:color w:val="auto"/>
                <w:highlight w:val="none"/>
              </w:rPr>
            </w:pPr>
          </w:p>
          <w:p w14:paraId="28FB6F41">
            <w:pPr>
              <w:pStyle w:val="185"/>
              <w:spacing w:before="68" w:line="221" w:lineRule="auto"/>
              <w:ind w:left="824"/>
              <w:jc w:val="both"/>
              <w:rPr>
                <w:color w:val="auto"/>
                <w:highlight w:val="none"/>
              </w:rPr>
            </w:pPr>
            <w:r>
              <w:rPr>
                <w:color w:val="auto"/>
                <w:spacing w:val="-5"/>
                <w:highlight w:val="none"/>
              </w:rPr>
              <w:t>分包</w:t>
            </w:r>
          </w:p>
        </w:tc>
        <w:tc>
          <w:tcPr>
            <w:tcW w:w="5465" w:type="dxa"/>
            <w:vAlign w:val="center"/>
          </w:tcPr>
          <w:p w14:paraId="0BC593EA">
            <w:pPr>
              <w:widowControl/>
              <w:spacing w:line="360" w:lineRule="auto"/>
              <w:jc w:val="both"/>
              <w:rPr>
                <w:rFonts w:ascii="宋体" w:hAnsi="宋体"/>
                <w:color w:val="auto"/>
                <w:szCs w:val="21"/>
                <w:highlight w:val="none"/>
              </w:rPr>
            </w:pPr>
            <w:r>
              <w:rPr>
                <w:rFonts w:hint="eastAsia" w:ascii="宋体" w:hAnsi="宋体"/>
                <w:color w:val="auto"/>
                <w:szCs w:val="21"/>
                <w:highlight w:val="none"/>
              </w:rPr>
              <w:t>□不允许</w:t>
            </w:r>
          </w:p>
          <w:p w14:paraId="1C600504">
            <w:pPr>
              <w:pStyle w:val="142"/>
              <w:adjustRightInd w:val="0"/>
              <w:spacing w:line="360" w:lineRule="auto"/>
              <w:jc w:val="both"/>
              <w:rPr>
                <w:rFonts w:ascii="宋体" w:hAnsi="宋体"/>
                <w:color w:val="auto"/>
                <w:sz w:val="21"/>
                <w:szCs w:val="21"/>
                <w:highlight w:val="none"/>
                <w:u w:val="single"/>
              </w:rPr>
            </w:pPr>
            <w:r>
              <w:rPr>
                <w:rFonts w:hint="eastAsia" w:ascii="宋体" w:hAnsi="MS Mincho" w:eastAsia="MS Mincho" w:cs="MS Mincho"/>
                <w:color w:val="auto"/>
                <w:sz w:val="21"/>
                <w:szCs w:val="21"/>
                <w:highlight w:val="none"/>
              </w:rPr>
              <w:t>☑</w:t>
            </w:r>
            <w:r>
              <w:rPr>
                <w:rFonts w:hint="eastAsia" w:ascii="宋体" w:hAnsi="宋体" w:cs="宋体"/>
                <w:color w:val="auto"/>
                <w:sz w:val="21"/>
                <w:szCs w:val="21"/>
                <w:highlight w:val="none"/>
              </w:rPr>
              <w:t>允许，分包内容要求：</w:t>
            </w:r>
            <w:r>
              <w:rPr>
                <w:rFonts w:ascii="宋体" w:hAnsi="宋体"/>
                <w:color w:val="auto"/>
                <w:szCs w:val="21"/>
                <w:highlight w:val="none"/>
                <w:u w:val="single"/>
              </w:rPr>
              <w:t>/</w:t>
            </w:r>
          </w:p>
          <w:p w14:paraId="4E669C90">
            <w:pPr>
              <w:spacing w:line="360" w:lineRule="auto"/>
              <w:ind w:firstLine="840" w:firstLineChars="400"/>
              <w:jc w:val="both"/>
              <w:rPr>
                <w:rFonts w:ascii="宋体" w:hAnsi="宋体"/>
                <w:color w:val="auto"/>
                <w:szCs w:val="21"/>
                <w:highlight w:val="none"/>
              </w:rPr>
            </w:pPr>
            <w:r>
              <w:rPr>
                <w:rFonts w:hint="eastAsia" w:ascii="宋体" w:hAnsi="宋体"/>
                <w:color w:val="auto"/>
                <w:szCs w:val="21"/>
                <w:highlight w:val="none"/>
              </w:rPr>
              <w:t>分包金额要求：</w:t>
            </w:r>
            <w:r>
              <w:rPr>
                <w:rFonts w:ascii="宋体" w:hAnsi="宋体"/>
                <w:color w:val="auto"/>
                <w:szCs w:val="21"/>
                <w:highlight w:val="none"/>
                <w:u w:val="single"/>
              </w:rPr>
              <w:t>/</w:t>
            </w:r>
          </w:p>
          <w:p w14:paraId="230944EE">
            <w:pPr>
              <w:pStyle w:val="185"/>
              <w:spacing w:before="69" w:line="261" w:lineRule="auto"/>
              <w:ind w:left="223" w:leftChars="106" w:right="249" w:firstLine="644" w:firstLineChars="307"/>
              <w:jc w:val="both"/>
              <w:rPr>
                <w:rFonts w:hint="eastAsia"/>
                <w:color w:val="auto"/>
                <w:highlight w:val="none"/>
                <w:u w:val="single"/>
                <w:lang w:val="en-US" w:eastAsia="zh-CN"/>
              </w:rPr>
            </w:pPr>
            <w:r>
              <w:rPr>
                <w:rFonts w:hint="eastAsia"/>
                <w:color w:val="auto"/>
                <w:highlight w:val="none"/>
                <w:lang w:eastAsia="zh-CN"/>
              </w:rPr>
              <w:t>接受分包的第三人资质要求：</w:t>
            </w:r>
            <w:r>
              <w:rPr>
                <w:rFonts w:hint="eastAsia"/>
                <w:color w:val="auto"/>
                <w:highlight w:val="none"/>
                <w:u w:val="single"/>
                <w:lang w:val="en-US" w:eastAsia="zh-CN"/>
              </w:rPr>
              <w:t>总承包单位应对总承包工程范围内的设计、采购、施工质量、现场安全生产和工程进度负总责。</w:t>
            </w:r>
          </w:p>
          <w:p w14:paraId="639B7A55">
            <w:pPr>
              <w:pStyle w:val="185"/>
              <w:spacing w:before="69" w:line="261" w:lineRule="auto"/>
              <w:ind w:left="235" w:leftChars="0" w:right="249" w:hanging="100" w:firstLineChars="0"/>
              <w:jc w:val="both"/>
              <w:rPr>
                <w:rFonts w:hint="eastAsia"/>
                <w:color w:val="auto"/>
                <w:highlight w:val="none"/>
                <w:u w:val="single"/>
                <w:lang w:val="en-US" w:eastAsia="zh-CN"/>
              </w:rPr>
            </w:pPr>
            <w:r>
              <w:rPr>
                <w:rFonts w:hint="eastAsia"/>
                <w:color w:val="auto"/>
                <w:highlight w:val="none"/>
                <w:u w:val="single"/>
                <w:lang w:val="en-US" w:eastAsia="zh-CN"/>
              </w:rPr>
              <w:t>分包须符合法律和合同规定，但不免除总承包单位的质量、进度、安全、造价等各项合同义务和法律责任。总承包单位和分包单位就分包工程对建设单位承担连带责任。</w:t>
            </w:r>
          </w:p>
          <w:p w14:paraId="41CFEB88">
            <w:pPr>
              <w:pStyle w:val="185"/>
              <w:spacing w:before="69" w:line="261" w:lineRule="auto"/>
              <w:ind w:left="235" w:leftChars="0" w:right="249" w:hanging="100" w:firstLineChars="0"/>
              <w:jc w:val="both"/>
              <w:rPr>
                <w:rFonts w:hint="eastAsia"/>
                <w:color w:val="auto"/>
                <w:highlight w:val="none"/>
                <w:u w:val="single"/>
                <w:lang w:val="en-US" w:eastAsia="zh-CN"/>
              </w:rPr>
            </w:pPr>
            <w:r>
              <w:rPr>
                <w:rFonts w:hint="eastAsia"/>
                <w:color w:val="auto"/>
                <w:highlight w:val="none"/>
                <w:u w:val="single"/>
                <w:lang w:val="en-US" w:eastAsia="zh-CN"/>
              </w:rPr>
              <w:t>当承包人不具备法定相应工作内容资质条件时，应当分包给具备相应工作内容所需资质、设备、人员、经验、业绩的单位实施，分包相关事宜须取得发包人同意后方可实施。</w:t>
            </w:r>
          </w:p>
          <w:p w14:paraId="19E5FE90">
            <w:pPr>
              <w:pStyle w:val="185"/>
              <w:spacing w:before="69" w:line="261" w:lineRule="auto"/>
              <w:ind w:left="955" w:right="249" w:hanging="820"/>
              <w:jc w:val="both"/>
              <w:rPr>
                <w:color w:val="auto"/>
                <w:highlight w:val="none"/>
                <w:lang w:eastAsia="zh-CN"/>
              </w:rPr>
            </w:pPr>
            <w:r>
              <w:rPr>
                <w:rFonts w:hint="eastAsia"/>
                <w:color w:val="auto"/>
                <w:highlight w:val="none"/>
                <w:u w:val="single"/>
                <w:lang w:val="en-US" w:eastAsia="zh-CN"/>
              </w:rPr>
              <w:t>投标人如有分包，需要在投标文件中明确要分包的内容。</w:t>
            </w:r>
          </w:p>
        </w:tc>
      </w:tr>
      <w:tr w14:paraId="3E97C5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8" w:hRule="atLeast"/>
        </w:trPr>
        <w:tc>
          <w:tcPr>
            <w:tcW w:w="856" w:type="dxa"/>
            <w:vAlign w:val="top"/>
          </w:tcPr>
          <w:p w14:paraId="7152DD45">
            <w:pPr>
              <w:spacing w:line="340" w:lineRule="auto"/>
              <w:jc w:val="both"/>
              <w:rPr>
                <w:rFonts w:ascii="Arial"/>
                <w:color w:val="auto"/>
                <w:highlight w:val="none"/>
              </w:rPr>
            </w:pPr>
          </w:p>
          <w:p w14:paraId="01431430">
            <w:pPr>
              <w:pStyle w:val="185"/>
              <w:spacing w:before="68"/>
              <w:ind w:left="242"/>
              <w:jc w:val="both"/>
              <w:rPr>
                <w:color w:val="auto"/>
                <w:highlight w:val="none"/>
              </w:rPr>
            </w:pPr>
            <w:r>
              <w:rPr>
                <w:color w:val="auto"/>
                <w:spacing w:val="-5"/>
                <w:highlight w:val="none"/>
              </w:rPr>
              <w:t>1.12</w:t>
            </w:r>
          </w:p>
        </w:tc>
        <w:tc>
          <w:tcPr>
            <w:tcW w:w="2267" w:type="dxa"/>
            <w:vAlign w:val="top"/>
          </w:tcPr>
          <w:p w14:paraId="07D8D10E">
            <w:pPr>
              <w:spacing w:line="339" w:lineRule="auto"/>
              <w:jc w:val="both"/>
              <w:rPr>
                <w:rFonts w:ascii="Arial"/>
                <w:color w:val="auto"/>
                <w:highlight w:val="none"/>
              </w:rPr>
            </w:pPr>
          </w:p>
          <w:p w14:paraId="6C54CF61">
            <w:pPr>
              <w:pStyle w:val="185"/>
              <w:spacing w:before="68" w:line="221" w:lineRule="auto"/>
              <w:ind w:left="822"/>
              <w:jc w:val="both"/>
              <w:rPr>
                <w:color w:val="auto"/>
                <w:highlight w:val="none"/>
              </w:rPr>
            </w:pPr>
            <w:r>
              <w:rPr>
                <w:color w:val="auto"/>
                <w:spacing w:val="-4"/>
                <w:highlight w:val="none"/>
              </w:rPr>
              <w:t>偏离</w:t>
            </w:r>
          </w:p>
        </w:tc>
        <w:tc>
          <w:tcPr>
            <w:tcW w:w="5465" w:type="dxa"/>
          </w:tcPr>
          <w:p w14:paraId="24403C15">
            <w:pPr>
              <w:pStyle w:val="185"/>
              <w:spacing w:before="88" w:line="221" w:lineRule="auto"/>
              <w:ind w:left="135"/>
              <w:rPr>
                <w:color w:val="auto"/>
                <w:highlight w:val="none"/>
                <w:lang w:eastAsia="zh-CN"/>
              </w:rPr>
            </w:pPr>
            <w:r>
              <w:rPr>
                <w:rFonts w:hint="eastAsia"/>
                <w:color w:val="auto"/>
                <w:spacing w:val="-7"/>
                <w:highlight w:val="none"/>
                <w:lang w:eastAsia="zh-CN"/>
              </w:rPr>
              <w:t>□</w:t>
            </w:r>
            <w:r>
              <w:rPr>
                <w:color w:val="auto"/>
                <w:spacing w:val="-7"/>
                <w:highlight w:val="none"/>
                <w:lang w:eastAsia="zh-CN"/>
              </w:rPr>
              <w:t>不允许</w:t>
            </w:r>
          </w:p>
          <w:p w14:paraId="1F4CB101">
            <w:pPr>
              <w:keepNext w:val="0"/>
              <w:keepLines w:val="0"/>
              <w:widowControl/>
              <w:suppressLineNumbers w:val="0"/>
              <w:jc w:val="left"/>
              <w:rPr>
                <w:color w:val="auto"/>
                <w:spacing w:val="-2"/>
                <w:highlight w:val="none"/>
                <w:lang w:eastAsia="zh-CN"/>
              </w:rPr>
            </w:pPr>
            <w:r>
              <w:rPr>
                <w:rFonts w:hint="eastAsia"/>
                <w:color w:val="auto"/>
                <w:spacing w:val="-2"/>
                <w:highlight w:val="none"/>
                <w:lang w:eastAsia="zh-CN"/>
              </w:rPr>
              <w:t>☑</w:t>
            </w:r>
            <w:r>
              <w:rPr>
                <w:color w:val="auto"/>
                <w:spacing w:val="-2"/>
                <w:highlight w:val="none"/>
                <w:lang w:eastAsia="zh-CN"/>
              </w:rPr>
              <w:t>允许，可偏离的项目和范围见第五</w:t>
            </w:r>
            <w:r>
              <w:rPr>
                <w:rFonts w:hint="eastAsia" w:ascii="宋体" w:hAnsi="宋体" w:eastAsia="宋体" w:cs="宋体"/>
                <w:color w:val="auto"/>
                <w:kern w:val="0"/>
                <w:sz w:val="21"/>
                <w:szCs w:val="21"/>
                <w:highlight w:val="none"/>
                <w:lang w:val="en-US" w:eastAsia="zh-CN" w:bidi="ar"/>
              </w:rPr>
              <w:t>章</w:t>
            </w:r>
            <w:r>
              <w:rPr>
                <w:rFonts w:hint="default" w:ascii="Times New Roman" w:hAnsi="Times New Roman" w:eastAsia="宋体" w:cs="Times New Roman"/>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发包人要求</w:t>
            </w:r>
            <w:r>
              <w:rPr>
                <w:rFonts w:hint="default" w:ascii="Times New Roman" w:hAnsi="Times New Roman" w:eastAsia="宋体" w:cs="Times New Roman"/>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w:t>
            </w:r>
          </w:p>
          <w:p w14:paraId="7C895AD2">
            <w:pPr>
              <w:pStyle w:val="185"/>
              <w:tabs>
                <w:tab w:val="left" w:pos="4840"/>
              </w:tabs>
              <w:spacing w:before="70" w:line="250" w:lineRule="auto"/>
              <w:ind w:left="324" w:right="621" w:rightChars="0" w:hanging="189"/>
              <w:rPr>
                <w:color w:val="auto"/>
                <w:spacing w:val="-2"/>
                <w:highlight w:val="none"/>
                <w:lang w:eastAsia="zh-CN"/>
              </w:rPr>
            </w:pPr>
            <w:r>
              <w:rPr>
                <w:color w:val="auto"/>
                <w:spacing w:val="-2"/>
                <w:highlight w:val="none"/>
                <w:lang w:eastAsia="zh-CN"/>
              </w:rPr>
              <w:t>偏差幅度：</w:t>
            </w:r>
            <w:r>
              <w:rPr>
                <w:rFonts w:hint="eastAsia"/>
                <w:color w:val="auto"/>
                <w:spacing w:val="-2"/>
                <w:highlight w:val="none"/>
                <w:u w:val="single"/>
                <w:lang w:val="en-US" w:eastAsia="zh-CN"/>
              </w:rPr>
              <w:t>允许正偏离的内容、偏离范围和幅度（高于招标文件要求）</w:t>
            </w:r>
          </w:p>
        </w:tc>
      </w:tr>
      <w:tr w14:paraId="14DC0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856" w:type="dxa"/>
            <w:vAlign w:val="center"/>
          </w:tcPr>
          <w:p w14:paraId="7865474E">
            <w:pPr>
              <w:pStyle w:val="185"/>
              <w:spacing w:before="76"/>
              <w:ind w:left="281"/>
              <w:jc w:val="both"/>
              <w:rPr>
                <w:color w:val="auto"/>
                <w:highlight w:val="none"/>
              </w:rPr>
            </w:pPr>
            <w:r>
              <w:rPr>
                <w:color w:val="auto"/>
                <w:spacing w:val="-2"/>
                <w:highlight w:val="none"/>
              </w:rPr>
              <w:t>2.1</w:t>
            </w:r>
          </w:p>
          <w:p w14:paraId="46311521">
            <w:pPr>
              <w:pStyle w:val="185"/>
              <w:spacing w:before="46" w:line="210" w:lineRule="auto"/>
              <w:ind w:left="179"/>
              <w:jc w:val="both"/>
              <w:rPr>
                <w:color w:val="auto"/>
                <w:highlight w:val="none"/>
              </w:rPr>
            </w:pPr>
            <w:r>
              <w:rPr>
                <w:color w:val="auto"/>
                <w:spacing w:val="-5"/>
                <w:highlight w:val="none"/>
              </w:rPr>
              <w:t>（8）</w:t>
            </w:r>
          </w:p>
        </w:tc>
        <w:tc>
          <w:tcPr>
            <w:tcW w:w="2267" w:type="dxa"/>
            <w:vAlign w:val="center"/>
          </w:tcPr>
          <w:p w14:paraId="036728C4">
            <w:pPr>
              <w:pStyle w:val="185"/>
              <w:spacing w:before="77" w:line="245" w:lineRule="auto"/>
              <w:ind w:left="927" w:right="185" w:hanging="734"/>
              <w:jc w:val="both"/>
              <w:rPr>
                <w:color w:val="auto"/>
                <w:highlight w:val="none"/>
                <w:lang w:eastAsia="zh-CN"/>
              </w:rPr>
            </w:pPr>
            <w:r>
              <w:rPr>
                <w:color w:val="auto"/>
                <w:spacing w:val="-1"/>
                <w:highlight w:val="none"/>
                <w:lang w:eastAsia="zh-CN"/>
              </w:rPr>
              <w:t>构成招标文件的其他</w:t>
            </w:r>
            <w:r>
              <w:rPr>
                <w:color w:val="auto"/>
                <w:spacing w:val="-2"/>
                <w:highlight w:val="none"/>
                <w:lang w:eastAsia="zh-CN"/>
              </w:rPr>
              <w:t>材料</w:t>
            </w:r>
          </w:p>
        </w:tc>
        <w:tc>
          <w:tcPr>
            <w:tcW w:w="5465" w:type="dxa"/>
            <w:vAlign w:val="center"/>
          </w:tcPr>
          <w:p w14:paraId="102AEE43">
            <w:pPr>
              <w:jc w:val="both"/>
              <w:rPr>
                <w:rFonts w:ascii="Arial"/>
                <w:color w:val="auto"/>
                <w:highlight w:val="none"/>
              </w:rPr>
            </w:pPr>
            <w:r>
              <w:rPr>
                <w:rFonts w:hint="eastAsia" w:ascii="Arial"/>
                <w:color w:val="auto"/>
                <w:highlight w:val="none"/>
                <w:lang w:val="en-US" w:eastAsia="zh-CN"/>
              </w:rPr>
              <w:t>答疑文件、补遗文件等（如有）</w:t>
            </w:r>
          </w:p>
        </w:tc>
      </w:tr>
      <w:tr w14:paraId="7E36C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5" w:hRule="atLeast"/>
        </w:trPr>
        <w:tc>
          <w:tcPr>
            <w:tcW w:w="856" w:type="dxa"/>
            <w:vAlign w:val="center"/>
          </w:tcPr>
          <w:p w14:paraId="6E66695C">
            <w:pPr>
              <w:pStyle w:val="185"/>
              <w:spacing w:before="290"/>
              <w:ind w:left="176"/>
              <w:jc w:val="both"/>
              <w:rPr>
                <w:color w:val="auto"/>
                <w:highlight w:val="none"/>
              </w:rPr>
            </w:pPr>
            <w:r>
              <w:rPr>
                <w:color w:val="auto"/>
                <w:spacing w:val="-2"/>
                <w:highlight w:val="none"/>
              </w:rPr>
              <w:t>2.2.1</w:t>
            </w:r>
          </w:p>
        </w:tc>
        <w:tc>
          <w:tcPr>
            <w:tcW w:w="2267" w:type="dxa"/>
            <w:vAlign w:val="center"/>
          </w:tcPr>
          <w:p w14:paraId="0C425738">
            <w:pPr>
              <w:pStyle w:val="185"/>
              <w:spacing w:before="133" w:line="269" w:lineRule="auto"/>
              <w:ind w:left="403" w:right="185" w:hanging="210"/>
              <w:jc w:val="both"/>
              <w:rPr>
                <w:color w:val="auto"/>
                <w:highlight w:val="none"/>
                <w:lang w:eastAsia="zh-CN"/>
              </w:rPr>
            </w:pPr>
            <w:r>
              <w:rPr>
                <w:color w:val="auto"/>
                <w:spacing w:val="-1"/>
                <w:highlight w:val="none"/>
                <w:lang w:eastAsia="zh-CN"/>
              </w:rPr>
              <w:t>投标人要求澄清招标文件的截止时间</w:t>
            </w:r>
          </w:p>
        </w:tc>
        <w:tc>
          <w:tcPr>
            <w:tcW w:w="5465" w:type="dxa"/>
            <w:shd w:val="clear" w:color="auto" w:fill="auto"/>
            <w:vAlign w:val="center"/>
          </w:tcPr>
          <w:p w14:paraId="4BDC7422">
            <w:pPr>
              <w:spacing w:line="440" w:lineRule="exact"/>
              <w:rPr>
                <w:rFonts w:ascii="Arial" w:hAnsi="Arial" w:eastAsia="Arial" w:cs="Arial"/>
                <w:snapToGrid w:val="0"/>
                <w:color w:val="auto"/>
                <w:kern w:val="0"/>
                <w:szCs w:val="21"/>
                <w:highlight w:val="none"/>
              </w:rPr>
            </w:pPr>
            <w:r>
              <w:rPr>
                <w:rFonts w:hint="eastAsia" w:ascii="宋体" w:hAnsi="宋体"/>
                <w:color w:val="auto"/>
                <w:szCs w:val="21"/>
                <w:highlight w:val="none"/>
              </w:rPr>
              <w:t>投标文件递交截止</w:t>
            </w:r>
            <w:r>
              <w:rPr>
                <w:rFonts w:hint="eastAsia" w:ascii="宋体" w:hAnsi="宋体"/>
                <w:color w:val="auto"/>
                <w:szCs w:val="21"/>
                <w:highlight w:val="none"/>
                <w:lang w:val="en-US" w:eastAsia="zh-CN"/>
              </w:rPr>
              <w:t>之日</w:t>
            </w:r>
            <w:r>
              <w:rPr>
                <w:rFonts w:ascii="宋体" w:hAnsi="宋体"/>
                <w:color w:val="auto"/>
                <w:szCs w:val="21"/>
                <w:highlight w:val="none"/>
                <w:u w:val="single"/>
              </w:rPr>
              <w:t>1</w:t>
            </w:r>
            <w:r>
              <w:rPr>
                <w:rFonts w:hint="eastAsia" w:ascii="宋体" w:hAnsi="宋体"/>
                <w:color w:val="auto"/>
                <w:szCs w:val="21"/>
                <w:highlight w:val="none"/>
                <w:u w:val="single"/>
              </w:rPr>
              <w:t>5</w:t>
            </w:r>
            <w:r>
              <w:rPr>
                <w:rFonts w:hint="eastAsia" w:ascii="宋体" w:hAnsi="宋体"/>
                <w:color w:val="auto"/>
                <w:szCs w:val="21"/>
                <w:highlight w:val="none"/>
              </w:rPr>
              <w:t>日前</w:t>
            </w:r>
          </w:p>
        </w:tc>
      </w:tr>
      <w:tr w14:paraId="335170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4" w:hRule="atLeast"/>
        </w:trPr>
        <w:tc>
          <w:tcPr>
            <w:tcW w:w="856" w:type="dxa"/>
            <w:vAlign w:val="top"/>
          </w:tcPr>
          <w:p w14:paraId="114909D8">
            <w:pPr>
              <w:spacing w:line="251" w:lineRule="auto"/>
              <w:jc w:val="both"/>
              <w:rPr>
                <w:rFonts w:ascii="Arial"/>
                <w:color w:val="auto"/>
                <w:highlight w:val="none"/>
              </w:rPr>
            </w:pPr>
          </w:p>
          <w:p w14:paraId="7258C925">
            <w:pPr>
              <w:spacing w:line="251" w:lineRule="auto"/>
              <w:jc w:val="both"/>
              <w:rPr>
                <w:rFonts w:ascii="Arial"/>
                <w:color w:val="auto"/>
                <w:highlight w:val="none"/>
              </w:rPr>
            </w:pPr>
          </w:p>
          <w:p w14:paraId="1E8F178F">
            <w:pPr>
              <w:spacing w:line="251" w:lineRule="auto"/>
              <w:jc w:val="both"/>
              <w:rPr>
                <w:rFonts w:ascii="Arial"/>
                <w:color w:val="auto"/>
                <w:highlight w:val="none"/>
              </w:rPr>
            </w:pPr>
          </w:p>
          <w:p w14:paraId="44C7FD73">
            <w:pPr>
              <w:spacing w:line="251" w:lineRule="auto"/>
              <w:jc w:val="both"/>
              <w:rPr>
                <w:rFonts w:ascii="Arial"/>
                <w:color w:val="auto"/>
                <w:highlight w:val="none"/>
              </w:rPr>
            </w:pPr>
          </w:p>
          <w:p w14:paraId="7B4CC5E8">
            <w:pPr>
              <w:spacing w:line="251" w:lineRule="auto"/>
              <w:jc w:val="both"/>
              <w:rPr>
                <w:rFonts w:ascii="Arial"/>
                <w:color w:val="auto"/>
                <w:highlight w:val="none"/>
              </w:rPr>
            </w:pPr>
          </w:p>
          <w:p w14:paraId="0EDA11FF">
            <w:pPr>
              <w:spacing w:line="251" w:lineRule="auto"/>
              <w:jc w:val="both"/>
              <w:rPr>
                <w:rFonts w:ascii="Arial"/>
                <w:color w:val="auto"/>
                <w:highlight w:val="none"/>
              </w:rPr>
            </w:pPr>
          </w:p>
          <w:p w14:paraId="1EC932F6">
            <w:pPr>
              <w:spacing w:line="252" w:lineRule="auto"/>
              <w:jc w:val="both"/>
              <w:rPr>
                <w:rFonts w:ascii="Arial"/>
                <w:color w:val="auto"/>
                <w:highlight w:val="none"/>
              </w:rPr>
            </w:pPr>
          </w:p>
          <w:p w14:paraId="329E2FB6">
            <w:pPr>
              <w:pStyle w:val="185"/>
              <w:spacing w:before="68"/>
              <w:ind w:left="281"/>
              <w:jc w:val="both"/>
              <w:rPr>
                <w:rFonts w:hint="default" w:eastAsia="宋体"/>
                <w:color w:val="auto"/>
                <w:highlight w:val="none"/>
                <w:lang w:val="en-US" w:eastAsia="zh-CN"/>
              </w:rPr>
            </w:pPr>
            <w:r>
              <w:rPr>
                <w:color w:val="auto"/>
                <w:spacing w:val="-3"/>
                <w:highlight w:val="none"/>
              </w:rPr>
              <w:t>2.4</w:t>
            </w:r>
            <w:r>
              <w:rPr>
                <w:rFonts w:hint="eastAsia"/>
                <w:color w:val="auto"/>
                <w:spacing w:val="-3"/>
                <w:highlight w:val="none"/>
                <w:lang w:val="en-US" w:eastAsia="zh-CN"/>
              </w:rPr>
              <w:t>.1</w:t>
            </w:r>
          </w:p>
        </w:tc>
        <w:tc>
          <w:tcPr>
            <w:tcW w:w="2267" w:type="dxa"/>
            <w:vAlign w:val="top"/>
          </w:tcPr>
          <w:p w14:paraId="5D39C15D">
            <w:pPr>
              <w:spacing w:line="266" w:lineRule="auto"/>
              <w:jc w:val="both"/>
              <w:rPr>
                <w:rFonts w:ascii="Arial"/>
                <w:color w:val="auto"/>
                <w:highlight w:val="none"/>
              </w:rPr>
            </w:pPr>
          </w:p>
          <w:p w14:paraId="1DE5CBDE">
            <w:pPr>
              <w:spacing w:line="266" w:lineRule="auto"/>
              <w:jc w:val="both"/>
              <w:rPr>
                <w:rFonts w:ascii="Arial"/>
                <w:color w:val="auto"/>
                <w:highlight w:val="none"/>
              </w:rPr>
            </w:pPr>
          </w:p>
          <w:p w14:paraId="67E8469E">
            <w:pPr>
              <w:spacing w:line="266" w:lineRule="auto"/>
              <w:jc w:val="both"/>
              <w:rPr>
                <w:rFonts w:ascii="Arial"/>
                <w:color w:val="auto"/>
                <w:highlight w:val="none"/>
              </w:rPr>
            </w:pPr>
          </w:p>
          <w:p w14:paraId="4894D6C8">
            <w:pPr>
              <w:spacing w:line="267" w:lineRule="auto"/>
              <w:jc w:val="both"/>
              <w:rPr>
                <w:rFonts w:ascii="Arial"/>
                <w:color w:val="auto"/>
                <w:highlight w:val="none"/>
              </w:rPr>
            </w:pPr>
          </w:p>
          <w:p w14:paraId="3948E19E">
            <w:pPr>
              <w:spacing w:line="267" w:lineRule="auto"/>
              <w:jc w:val="both"/>
              <w:rPr>
                <w:rFonts w:ascii="Arial"/>
                <w:color w:val="auto"/>
                <w:highlight w:val="none"/>
              </w:rPr>
            </w:pPr>
          </w:p>
          <w:p w14:paraId="49E83E30">
            <w:pPr>
              <w:spacing w:line="267" w:lineRule="auto"/>
              <w:jc w:val="both"/>
              <w:rPr>
                <w:rFonts w:ascii="Arial"/>
                <w:color w:val="auto"/>
                <w:highlight w:val="none"/>
              </w:rPr>
            </w:pPr>
          </w:p>
          <w:p w14:paraId="5A8C08DC">
            <w:pPr>
              <w:pStyle w:val="185"/>
              <w:spacing w:before="68" w:line="285" w:lineRule="auto"/>
              <w:ind w:left="716" w:right="393" w:hanging="312"/>
              <w:jc w:val="both"/>
              <w:rPr>
                <w:color w:val="auto"/>
                <w:highlight w:val="none"/>
                <w:lang w:eastAsia="zh-CN"/>
              </w:rPr>
            </w:pPr>
            <w:r>
              <w:rPr>
                <w:color w:val="auto"/>
                <w:spacing w:val="-1"/>
                <w:highlight w:val="none"/>
                <w:lang w:eastAsia="zh-CN"/>
              </w:rPr>
              <w:t>异议受理部门及</w:t>
            </w:r>
            <w:r>
              <w:rPr>
                <w:color w:val="auto"/>
                <w:spacing w:val="-2"/>
                <w:highlight w:val="none"/>
                <w:lang w:eastAsia="zh-CN"/>
              </w:rPr>
              <w:t>联系方式</w:t>
            </w:r>
          </w:p>
        </w:tc>
        <w:tc>
          <w:tcPr>
            <w:tcW w:w="5465" w:type="dxa"/>
          </w:tcPr>
          <w:p w14:paraId="60ADEEFB">
            <w:pPr>
              <w:pStyle w:val="185"/>
              <w:spacing w:before="78" w:line="221" w:lineRule="auto"/>
              <w:ind w:left="114"/>
              <w:rPr>
                <w:color w:val="auto"/>
                <w:highlight w:val="none"/>
                <w:lang w:eastAsia="zh-CN"/>
              </w:rPr>
            </w:pPr>
            <w:r>
              <w:rPr>
                <w:color w:val="auto"/>
                <w:spacing w:val="-12"/>
                <w:highlight w:val="none"/>
                <w:lang w:eastAsia="zh-CN"/>
              </w:rPr>
              <w:t>招标人：</w:t>
            </w:r>
          </w:p>
          <w:p w14:paraId="441506C3">
            <w:pPr>
              <w:pStyle w:val="185"/>
              <w:spacing w:before="67" w:line="223" w:lineRule="auto"/>
              <w:ind w:left="116"/>
              <w:rPr>
                <w:color w:val="auto"/>
                <w:highlight w:val="none"/>
                <w:lang w:eastAsia="zh-CN"/>
              </w:rPr>
            </w:pPr>
            <w:r>
              <w:rPr>
                <w:color w:val="auto"/>
                <w:spacing w:val="-6"/>
                <w:highlight w:val="none"/>
                <w:lang w:eastAsia="zh-CN"/>
              </w:rPr>
              <w:t>名</w:t>
            </w:r>
            <w:r>
              <w:rPr>
                <w:rFonts w:hint="eastAsia"/>
                <w:color w:val="auto"/>
                <w:spacing w:val="-6"/>
                <w:highlight w:val="none"/>
                <w:lang w:val="en-US" w:eastAsia="zh-CN"/>
              </w:rPr>
              <w:t xml:space="preserve">  </w:t>
            </w:r>
            <w:r>
              <w:rPr>
                <w:color w:val="auto"/>
                <w:spacing w:val="-6"/>
                <w:highlight w:val="none"/>
                <w:lang w:eastAsia="zh-CN"/>
              </w:rPr>
              <w:t>称：</w:t>
            </w:r>
            <w:r>
              <w:rPr>
                <w:rFonts w:hint="eastAsia"/>
                <w:color w:val="auto"/>
                <w:highlight w:val="none"/>
                <w:u w:val="single"/>
                <w:lang w:eastAsia="zh-CN"/>
              </w:rPr>
              <w:t>营口市鲅鱼圈区住房和城乡建设局</w:t>
            </w:r>
          </w:p>
          <w:p w14:paraId="0CC6842F">
            <w:pPr>
              <w:pStyle w:val="185"/>
              <w:spacing w:before="65" w:line="230" w:lineRule="auto"/>
              <w:ind w:left="113"/>
              <w:rPr>
                <w:color w:val="auto"/>
                <w:highlight w:val="none"/>
                <w:lang w:eastAsia="zh-CN"/>
              </w:rPr>
            </w:pPr>
            <w:r>
              <w:rPr>
                <w:color w:val="auto"/>
                <w:spacing w:val="-6"/>
                <w:highlight w:val="none"/>
                <w:lang w:eastAsia="zh-CN"/>
              </w:rPr>
              <w:t>地</w:t>
            </w:r>
            <w:r>
              <w:rPr>
                <w:rFonts w:hint="eastAsia"/>
                <w:color w:val="auto"/>
                <w:spacing w:val="-6"/>
                <w:highlight w:val="none"/>
                <w:lang w:val="en-US" w:eastAsia="zh-CN"/>
              </w:rPr>
              <w:t xml:space="preserve">  </w:t>
            </w:r>
            <w:r>
              <w:rPr>
                <w:color w:val="auto"/>
                <w:spacing w:val="-6"/>
                <w:highlight w:val="none"/>
                <w:lang w:eastAsia="zh-CN"/>
              </w:rPr>
              <w:t>址：</w:t>
            </w:r>
            <w:r>
              <w:rPr>
                <w:rFonts w:hint="eastAsia"/>
                <w:color w:val="auto"/>
                <w:highlight w:val="none"/>
                <w:u w:val="single"/>
                <w:lang w:eastAsia="zh-CN"/>
              </w:rPr>
              <w:t>营口市鲅鱼圈区华晟社区16号</w:t>
            </w:r>
          </w:p>
          <w:p w14:paraId="16166DFD">
            <w:pPr>
              <w:pStyle w:val="185"/>
              <w:spacing w:before="59" w:line="223" w:lineRule="auto"/>
              <w:ind w:left="138"/>
              <w:rPr>
                <w:rFonts w:hint="default"/>
                <w:color w:val="auto"/>
                <w:spacing w:val="-14"/>
                <w:highlight w:val="none"/>
                <w:lang w:val="en-US" w:eastAsia="zh-CN"/>
              </w:rPr>
            </w:pPr>
            <w:r>
              <w:rPr>
                <w:rFonts w:hint="eastAsia"/>
                <w:color w:val="auto"/>
                <w:spacing w:val="-14"/>
                <w:highlight w:val="none"/>
                <w:lang w:val="en-US" w:eastAsia="zh-CN"/>
              </w:rPr>
              <w:t>联系人：</w:t>
            </w:r>
            <w:r>
              <w:rPr>
                <w:rFonts w:hint="eastAsia"/>
                <w:color w:val="auto"/>
                <w:spacing w:val="-14"/>
                <w:highlight w:val="none"/>
                <w:u w:val="single"/>
                <w:lang w:val="en-US" w:eastAsia="zh-CN"/>
              </w:rPr>
              <w:t>祝威</w:t>
            </w:r>
          </w:p>
          <w:p w14:paraId="47FA8D2D">
            <w:pPr>
              <w:pStyle w:val="185"/>
              <w:spacing w:before="59" w:line="223" w:lineRule="auto"/>
              <w:ind w:left="138"/>
              <w:rPr>
                <w:color w:val="auto"/>
                <w:highlight w:val="none"/>
                <w:lang w:eastAsia="zh-CN"/>
              </w:rPr>
            </w:pPr>
            <w:r>
              <w:rPr>
                <w:color w:val="auto"/>
                <w:spacing w:val="-14"/>
                <w:highlight w:val="none"/>
                <w:lang w:eastAsia="zh-CN"/>
              </w:rPr>
              <w:t>电</w:t>
            </w:r>
            <w:r>
              <w:rPr>
                <w:rFonts w:hint="eastAsia"/>
                <w:color w:val="auto"/>
                <w:spacing w:val="-14"/>
                <w:highlight w:val="none"/>
                <w:lang w:val="en-US" w:eastAsia="zh-CN"/>
              </w:rPr>
              <w:t xml:space="preserve">   </w:t>
            </w:r>
            <w:r>
              <w:rPr>
                <w:color w:val="auto"/>
                <w:spacing w:val="-14"/>
                <w:highlight w:val="none"/>
                <w:lang w:eastAsia="zh-CN"/>
              </w:rPr>
              <w:t>话：</w:t>
            </w:r>
            <w:r>
              <w:rPr>
                <w:rFonts w:hint="eastAsia"/>
                <w:color w:val="auto"/>
                <w:highlight w:val="none"/>
                <w:u w:val="single"/>
                <w:lang w:eastAsia="zh-CN"/>
              </w:rPr>
              <w:t>0417-8225105</w:t>
            </w:r>
          </w:p>
          <w:p w14:paraId="0D173A96">
            <w:pPr>
              <w:pStyle w:val="185"/>
              <w:spacing w:before="68" w:line="221" w:lineRule="auto"/>
              <w:ind w:left="129"/>
              <w:rPr>
                <w:rFonts w:hint="default"/>
                <w:color w:val="auto"/>
                <w:highlight w:val="none"/>
                <w:lang w:val="en-US" w:eastAsia="zh-CN"/>
              </w:rPr>
            </w:pPr>
            <w:r>
              <w:rPr>
                <w:color w:val="auto"/>
                <w:spacing w:val="-5"/>
                <w:highlight w:val="none"/>
                <w:lang w:eastAsia="zh-CN"/>
              </w:rPr>
              <w:t>邮政编码：</w:t>
            </w:r>
            <w:r>
              <w:rPr>
                <w:rFonts w:hint="eastAsia"/>
                <w:color w:val="auto"/>
                <w:spacing w:val="-5"/>
                <w:highlight w:val="none"/>
                <w:u w:val="single"/>
                <w:lang w:val="en-US" w:eastAsia="zh-CN"/>
              </w:rPr>
              <w:t>115007</w:t>
            </w:r>
          </w:p>
          <w:p w14:paraId="7AD7B688">
            <w:pPr>
              <w:pStyle w:val="185"/>
              <w:spacing w:before="71" w:line="220" w:lineRule="auto"/>
              <w:ind w:left="114"/>
              <w:rPr>
                <w:color w:val="auto"/>
                <w:highlight w:val="none"/>
                <w:lang w:eastAsia="zh-CN"/>
              </w:rPr>
            </w:pPr>
            <w:r>
              <w:rPr>
                <w:color w:val="auto"/>
                <w:spacing w:val="-5"/>
                <w:highlight w:val="none"/>
                <w:lang w:eastAsia="zh-CN"/>
              </w:rPr>
              <w:t>招标代理机构：</w:t>
            </w:r>
          </w:p>
          <w:p w14:paraId="55924968">
            <w:pPr>
              <w:pStyle w:val="185"/>
              <w:spacing w:before="69" w:line="223" w:lineRule="auto"/>
              <w:ind w:left="116"/>
              <w:rPr>
                <w:color w:val="auto"/>
                <w:highlight w:val="none"/>
                <w:lang w:eastAsia="zh-CN"/>
              </w:rPr>
            </w:pPr>
            <w:r>
              <w:rPr>
                <w:color w:val="auto"/>
                <w:spacing w:val="-6"/>
                <w:highlight w:val="none"/>
                <w:lang w:eastAsia="zh-CN"/>
              </w:rPr>
              <w:t>名称：</w:t>
            </w:r>
            <w:r>
              <w:rPr>
                <w:rFonts w:hint="eastAsia" w:ascii="仿宋" w:hAnsi="仿宋" w:cs="仿宋"/>
                <w:color w:val="auto"/>
                <w:kern w:val="0"/>
                <w:highlight w:val="none"/>
                <w:u w:val="single"/>
                <w:lang w:eastAsia="zh-CN"/>
              </w:rPr>
              <w:t>辽宁方唯建设管理有限公司</w:t>
            </w:r>
          </w:p>
          <w:p w14:paraId="182AEFC5">
            <w:pPr>
              <w:pStyle w:val="185"/>
              <w:spacing w:before="65" w:line="230" w:lineRule="auto"/>
              <w:ind w:left="113"/>
              <w:rPr>
                <w:color w:val="auto"/>
                <w:highlight w:val="none"/>
                <w:lang w:eastAsia="zh-CN"/>
              </w:rPr>
            </w:pPr>
            <w:r>
              <w:rPr>
                <w:color w:val="auto"/>
                <w:spacing w:val="-6"/>
                <w:highlight w:val="none"/>
                <w:lang w:eastAsia="zh-CN"/>
              </w:rPr>
              <w:t>地址：</w:t>
            </w:r>
            <w:r>
              <w:rPr>
                <w:rFonts w:hint="eastAsia"/>
                <w:color w:val="auto"/>
                <w:highlight w:val="none"/>
                <w:u w:val="single"/>
                <w:lang w:eastAsia="zh-CN"/>
              </w:rPr>
              <w:t>辽宁省营口市鲅鱼圈区工业园32-绿色时代白云小区-2#门市</w:t>
            </w:r>
          </w:p>
          <w:p w14:paraId="58D7E53E">
            <w:pPr>
              <w:pStyle w:val="185"/>
              <w:spacing w:before="60" w:line="223" w:lineRule="auto"/>
              <w:ind w:left="138"/>
              <w:rPr>
                <w:rFonts w:hint="default"/>
                <w:color w:val="auto"/>
                <w:spacing w:val="-14"/>
                <w:highlight w:val="none"/>
                <w:lang w:val="en-US" w:eastAsia="zh-CN"/>
              </w:rPr>
            </w:pPr>
            <w:r>
              <w:rPr>
                <w:rFonts w:hint="eastAsia"/>
                <w:color w:val="auto"/>
                <w:spacing w:val="-14"/>
                <w:highlight w:val="none"/>
                <w:lang w:val="en-US" w:eastAsia="zh-CN"/>
              </w:rPr>
              <w:t>联系人：</w:t>
            </w:r>
            <w:r>
              <w:rPr>
                <w:rFonts w:hint="eastAsia"/>
                <w:color w:val="auto"/>
                <w:spacing w:val="-14"/>
                <w:highlight w:val="none"/>
                <w:u w:val="single"/>
                <w:lang w:val="en-US" w:eastAsia="zh-CN"/>
              </w:rPr>
              <w:t>王均伟</w:t>
            </w:r>
          </w:p>
          <w:p w14:paraId="5093250A">
            <w:pPr>
              <w:pStyle w:val="185"/>
              <w:spacing w:before="60" w:line="223" w:lineRule="auto"/>
              <w:ind w:left="138"/>
              <w:rPr>
                <w:color w:val="auto"/>
                <w:highlight w:val="none"/>
                <w:lang w:eastAsia="zh-CN"/>
              </w:rPr>
            </w:pPr>
            <w:r>
              <w:rPr>
                <w:color w:val="auto"/>
                <w:spacing w:val="-14"/>
                <w:highlight w:val="none"/>
                <w:lang w:eastAsia="zh-CN"/>
              </w:rPr>
              <w:t>电话：</w:t>
            </w:r>
            <w:r>
              <w:rPr>
                <w:rFonts w:hint="eastAsia"/>
                <w:color w:val="auto"/>
                <w:highlight w:val="none"/>
                <w:u w:val="single"/>
                <w:lang w:eastAsia="zh-CN"/>
              </w:rPr>
              <w:t>0417-6259699</w:t>
            </w:r>
          </w:p>
          <w:p w14:paraId="22EC77AB">
            <w:pPr>
              <w:pStyle w:val="185"/>
              <w:spacing w:before="69" w:line="208" w:lineRule="auto"/>
              <w:ind w:left="129"/>
              <w:rPr>
                <w:rFonts w:hint="eastAsia"/>
                <w:color w:val="auto"/>
                <w:spacing w:val="-5"/>
                <w:highlight w:val="none"/>
                <w:u w:val="none"/>
                <w:lang w:val="en-US" w:eastAsia="zh-CN"/>
              </w:rPr>
            </w:pPr>
            <w:r>
              <w:rPr>
                <w:color w:val="auto"/>
                <w:spacing w:val="-5"/>
                <w:highlight w:val="none"/>
                <w:lang w:eastAsia="zh-CN"/>
              </w:rPr>
              <w:t>邮政编码：</w:t>
            </w:r>
            <w:r>
              <w:rPr>
                <w:rFonts w:hint="eastAsia"/>
                <w:color w:val="auto"/>
                <w:spacing w:val="-5"/>
                <w:highlight w:val="none"/>
                <w:u w:val="single"/>
                <w:lang w:val="en-US" w:eastAsia="zh-CN"/>
              </w:rPr>
              <w:t>115007</w:t>
            </w:r>
          </w:p>
          <w:p w14:paraId="20CF340B">
            <w:pPr>
              <w:keepNext w:val="0"/>
              <w:keepLines w:val="0"/>
              <w:widowControl/>
              <w:suppressLineNumbers w:val="0"/>
              <w:jc w:val="left"/>
              <w:rPr>
                <w:color w:val="auto"/>
                <w:highlight w:val="none"/>
              </w:rPr>
            </w:pPr>
            <w:r>
              <w:rPr>
                <w:rFonts w:hint="eastAsia" w:ascii="宋体" w:hAnsi="宋体" w:eastAsia="宋体" w:cs="宋体"/>
                <w:color w:val="auto"/>
                <w:kern w:val="0"/>
                <w:sz w:val="21"/>
                <w:szCs w:val="21"/>
                <w:highlight w:val="none"/>
                <w:lang w:val="en-US" w:eastAsia="zh-CN" w:bidi="ar"/>
              </w:rPr>
              <w:t xml:space="preserve">异议投诉渠道：辽宁省工程建设项目招标投标异议投诉 </w:t>
            </w:r>
          </w:p>
          <w:p w14:paraId="53109BD8">
            <w:pPr>
              <w:keepNext w:val="0"/>
              <w:keepLines w:val="0"/>
              <w:widowControl/>
              <w:suppressLineNumbers w:val="0"/>
              <w:jc w:val="left"/>
              <w:rPr>
                <w:rFonts w:hint="eastAsia"/>
                <w:color w:val="auto"/>
                <w:spacing w:val="-5"/>
                <w:highlight w:val="none"/>
                <w:u w:val="none"/>
                <w:lang w:val="en-US" w:eastAsia="zh-CN"/>
              </w:rPr>
            </w:pPr>
            <w:r>
              <w:rPr>
                <w:rFonts w:hint="eastAsia" w:ascii="宋体" w:hAnsi="宋体" w:eastAsia="宋体" w:cs="宋体"/>
                <w:color w:val="auto"/>
                <w:kern w:val="0"/>
                <w:sz w:val="21"/>
                <w:szCs w:val="21"/>
                <w:highlight w:val="none"/>
                <w:lang w:val="en-US" w:eastAsia="zh-CN" w:bidi="ar"/>
              </w:rPr>
              <w:t>处理系统</w:t>
            </w:r>
          </w:p>
        </w:tc>
      </w:tr>
      <w:tr w14:paraId="55978C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856" w:type="dxa"/>
            <w:vAlign w:val="center"/>
          </w:tcPr>
          <w:p w14:paraId="2B284FA3">
            <w:pPr>
              <w:pStyle w:val="185"/>
              <w:spacing w:before="79"/>
              <w:ind w:left="177"/>
              <w:jc w:val="both"/>
              <w:rPr>
                <w:color w:val="auto"/>
                <w:highlight w:val="none"/>
              </w:rPr>
            </w:pPr>
            <w:r>
              <w:rPr>
                <w:color w:val="auto"/>
                <w:spacing w:val="-2"/>
                <w:highlight w:val="none"/>
              </w:rPr>
              <w:t>3.1.1</w:t>
            </w:r>
          </w:p>
          <w:p w14:paraId="384523EC">
            <w:pPr>
              <w:pStyle w:val="185"/>
              <w:spacing w:before="45" w:line="208" w:lineRule="auto"/>
              <w:ind w:left="179"/>
              <w:jc w:val="both"/>
              <w:rPr>
                <w:color w:val="auto"/>
                <w:highlight w:val="none"/>
              </w:rPr>
            </w:pPr>
            <w:r>
              <w:rPr>
                <w:color w:val="auto"/>
                <w:spacing w:val="-5"/>
                <w:highlight w:val="none"/>
              </w:rPr>
              <w:t>（9）</w:t>
            </w:r>
          </w:p>
        </w:tc>
        <w:tc>
          <w:tcPr>
            <w:tcW w:w="2267" w:type="dxa"/>
            <w:vAlign w:val="center"/>
          </w:tcPr>
          <w:p w14:paraId="2FABADD8">
            <w:pPr>
              <w:pStyle w:val="185"/>
              <w:spacing w:before="79" w:line="244" w:lineRule="auto"/>
              <w:ind w:left="927" w:right="185" w:hanging="734"/>
              <w:jc w:val="both"/>
              <w:rPr>
                <w:color w:val="auto"/>
                <w:highlight w:val="none"/>
                <w:lang w:eastAsia="zh-CN"/>
              </w:rPr>
            </w:pPr>
            <w:r>
              <w:rPr>
                <w:color w:val="auto"/>
                <w:spacing w:val="-1"/>
                <w:highlight w:val="none"/>
                <w:lang w:eastAsia="zh-CN"/>
              </w:rPr>
              <w:t>构成投标文件的其他</w:t>
            </w:r>
            <w:r>
              <w:rPr>
                <w:color w:val="auto"/>
                <w:spacing w:val="-2"/>
                <w:highlight w:val="none"/>
                <w:lang w:eastAsia="zh-CN"/>
              </w:rPr>
              <w:t>材料</w:t>
            </w:r>
          </w:p>
        </w:tc>
        <w:tc>
          <w:tcPr>
            <w:tcW w:w="5465" w:type="dxa"/>
            <w:vAlign w:val="center"/>
          </w:tcPr>
          <w:p w14:paraId="29648741">
            <w:pPr>
              <w:jc w:val="both"/>
              <w:rPr>
                <w:rFonts w:ascii="Arial"/>
                <w:color w:val="auto"/>
                <w:highlight w:val="none"/>
              </w:rPr>
            </w:pPr>
            <w:r>
              <w:rPr>
                <w:rFonts w:hint="eastAsia" w:ascii="Arial"/>
                <w:color w:val="auto"/>
                <w:highlight w:val="none"/>
                <w:lang w:val="en-US" w:eastAsia="zh-CN"/>
              </w:rPr>
              <w:t>投标人根据实际情况自行提供</w:t>
            </w:r>
          </w:p>
        </w:tc>
      </w:tr>
      <w:tr w14:paraId="596D02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trPr>
        <w:tc>
          <w:tcPr>
            <w:tcW w:w="856" w:type="dxa"/>
            <w:vAlign w:val="center"/>
          </w:tcPr>
          <w:p w14:paraId="17E67576">
            <w:pPr>
              <w:spacing w:line="244" w:lineRule="auto"/>
              <w:jc w:val="both"/>
              <w:rPr>
                <w:rFonts w:ascii="Arial"/>
                <w:color w:val="auto"/>
                <w:highlight w:val="none"/>
              </w:rPr>
            </w:pPr>
          </w:p>
          <w:p w14:paraId="2B52A10E">
            <w:pPr>
              <w:spacing w:line="244" w:lineRule="auto"/>
              <w:jc w:val="both"/>
              <w:rPr>
                <w:rFonts w:ascii="Arial"/>
                <w:color w:val="auto"/>
                <w:highlight w:val="none"/>
              </w:rPr>
            </w:pPr>
          </w:p>
          <w:p w14:paraId="48B6405D">
            <w:pPr>
              <w:pStyle w:val="185"/>
              <w:spacing w:before="69"/>
              <w:ind w:left="177"/>
              <w:jc w:val="both"/>
              <w:rPr>
                <w:color w:val="auto"/>
                <w:highlight w:val="none"/>
              </w:rPr>
            </w:pPr>
            <w:r>
              <w:rPr>
                <w:color w:val="auto"/>
                <w:spacing w:val="-2"/>
                <w:highlight w:val="none"/>
              </w:rPr>
              <w:t>3.2.4</w:t>
            </w:r>
          </w:p>
        </w:tc>
        <w:tc>
          <w:tcPr>
            <w:tcW w:w="2267" w:type="dxa"/>
            <w:vAlign w:val="center"/>
          </w:tcPr>
          <w:p w14:paraId="0C8C7868">
            <w:pPr>
              <w:spacing w:line="327" w:lineRule="auto"/>
              <w:jc w:val="both"/>
              <w:rPr>
                <w:rFonts w:ascii="Arial"/>
                <w:color w:val="auto"/>
                <w:highlight w:val="none"/>
              </w:rPr>
            </w:pPr>
          </w:p>
          <w:p w14:paraId="48BFA7A2">
            <w:pPr>
              <w:pStyle w:val="185"/>
              <w:spacing w:before="69" w:line="283" w:lineRule="auto"/>
              <w:ind w:left="823" w:right="184" w:hanging="630"/>
              <w:jc w:val="both"/>
              <w:rPr>
                <w:color w:val="auto"/>
                <w:highlight w:val="none"/>
                <w:lang w:eastAsia="zh-CN"/>
              </w:rPr>
            </w:pPr>
            <w:r>
              <w:rPr>
                <w:color w:val="auto"/>
                <w:spacing w:val="-1"/>
                <w:highlight w:val="none"/>
                <w:lang w:eastAsia="zh-CN"/>
              </w:rPr>
              <w:t>最高投标限价或其计</w:t>
            </w:r>
            <w:r>
              <w:rPr>
                <w:color w:val="auto"/>
                <w:spacing w:val="-2"/>
                <w:highlight w:val="none"/>
                <w:lang w:eastAsia="zh-CN"/>
              </w:rPr>
              <w:t>算方法</w:t>
            </w:r>
          </w:p>
        </w:tc>
        <w:tc>
          <w:tcPr>
            <w:tcW w:w="5465" w:type="dxa"/>
          </w:tcPr>
          <w:p w14:paraId="6302F28B">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32"/>
                <w:szCs w:val="32"/>
                <w:highlight w:val="none"/>
                <w:lang w:val="en-US" w:eastAsia="zh-CN" w:bidi="ar"/>
              </w:rPr>
              <w:t>□</w:t>
            </w:r>
            <w:r>
              <w:rPr>
                <w:rFonts w:hint="eastAsia" w:ascii="宋体" w:hAnsi="宋体" w:eastAsia="宋体" w:cs="宋体"/>
                <w:color w:val="auto"/>
                <w:kern w:val="0"/>
                <w:sz w:val="21"/>
                <w:szCs w:val="21"/>
                <w:highlight w:val="none"/>
                <w:lang w:val="en-US" w:eastAsia="zh-CN" w:bidi="ar"/>
              </w:rPr>
              <w:t xml:space="preserve">不设最高投标限价 </w:t>
            </w:r>
          </w:p>
          <w:p w14:paraId="4652B52E">
            <w:pPr>
              <w:keepNext w:val="0"/>
              <w:keepLines w:val="0"/>
              <w:widowControl/>
              <w:suppressLineNumbers w:val="0"/>
              <w:jc w:val="left"/>
              <w:rPr>
                <w:color w:val="auto"/>
                <w:highlight w:val="none"/>
                <w:u w:val="none"/>
              </w:rPr>
            </w:pPr>
            <w:r>
              <w:rPr>
                <w:rFonts w:hint="eastAsia" w:ascii="Times New Roman" w:hAnsi="Times New Roman" w:eastAsia="宋体" w:cs="Times New Roman"/>
                <w:color w:val="auto"/>
                <w:kern w:val="0"/>
                <w:sz w:val="32"/>
                <w:szCs w:val="32"/>
                <w:highlight w:val="none"/>
                <w:lang w:val="en-US" w:eastAsia="zh-CN" w:bidi="ar"/>
              </w:rPr>
              <w:t>☑</w:t>
            </w:r>
            <w:r>
              <w:rPr>
                <w:rFonts w:hint="eastAsia" w:ascii="宋体" w:hAnsi="宋体" w:eastAsia="宋体" w:cs="宋体"/>
                <w:color w:val="auto"/>
                <w:kern w:val="0"/>
                <w:sz w:val="21"/>
                <w:szCs w:val="21"/>
                <w:highlight w:val="none"/>
                <w:lang w:val="en-US" w:eastAsia="zh-CN" w:bidi="ar"/>
              </w:rPr>
              <w:t>设最高投标限价，最高投标限价：</w:t>
            </w:r>
            <w:r>
              <w:rPr>
                <w:rFonts w:hint="eastAsia" w:ascii="宋体" w:hAnsi="宋体" w:eastAsia="宋体" w:cs="宋体"/>
                <w:color w:val="auto"/>
                <w:highlight w:val="none"/>
                <w:u w:val="single"/>
                <w:lang w:val="en-US" w:eastAsia="zh-CN"/>
              </w:rPr>
              <w:t>6628.03</w:t>
            </w:r>
            <w:r>
              <w:rPr>
                <w:rFonts w:hint="eastAsia" w:ascii="宋体" w:hAnsi="宋体" w:eastAsia="宋体" w:cs="宋体"/>
                <w:color w:val="auto"/>
                <w:highlight w:val="none"/>
                <w:u w:val="none"/>
                <w:lang w:val="en-US" w:eastAsia="zh-CN"/>
              </w:rPr>
              <w:t>万元</w:t>
            </w:r>
            <w:r>
              <w:rPr>
                <w:rFonts w:hint="eastAsia" w:ascii="宋体" w:hAnsi="宋体" w:eastAsia="宋体" w:cs="宋体"/>
                <w:color w:val="auto"/>
                <w:kern w:val="0"/>
                <w:sz w:val="21"/>
                <w:szCs w:val="21"/>
                <w:highlight w:val="none"/>
                <w:u w:val="none"/>
                <w:lang w:val="en-US" w:eastAsia="zh-CN" w:bidi="ar"/>
              </w:rPr>
              <w:t>。</w:t>
            </w:r>
          </w:p>
          <w:p w14:paraId="30AF4383">
            <w:pPr>
              <w:keepNext w:val="0"/>
              <w:keepLines w:val="0"/>
              <w:widowControl/>
              <w:suppressLineNumbers w:val="0"/>
              <w:jc w:val="left"/>
              <w:rPr>
                <w:color w:val="auto"/>
                <w:highlight w:val="none"/>
              </w:rPr>
            </w:pPr>
            <w:r>
              <w:rPr>
                <w:rFonts w:hint="eastAsia" w:ascii="宋体" w:hAnsi="宋体" w:eastAsia="宋体" w:cs="宋体"/>
                <w:color w:val="auto"/>
                <w:kern w:val="0"/>
                <w:sz w:val="21"/>
                <w:szCs w:val="21"/>
                <w:highlight w:val="none"/>
                <w:lang w:val="en-US" w:eastAsia="zh-CN" w:bidi="ar"/>
              </w:rPr>
              <w:t>最高投标限价公布时间：投标截止时间</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Times New Roman" w:hAnsi="Times New Roman" w:eastAsia="宋体" w:cs="Times New Roman"/>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日前。</w:t>
            </w:r>
          </w:p>
          <w:p w14:paraId="59681E25">
            <w:pPr>
              <w:keepNext w:val="0"/>
              <w:keepLines w:val="0"/>
              <w:widowControl/>
              <w:suppressLineNumbers w:val="0"/>
              <w:jc w:val="left"/>
              <w:rPr>
                <w:rFonts w:hint="eastAsia" w:ascii="宋体" w:hAnsi="宋体"/>
                <w:bCs/>
                <w:color w:val="auto"/>
                <w:szCs w:val="21"/>
                <w:highlight w:val="none"/>
              </w:rPr>
            </w:pPr>
            <w:r>
              <w:rPr>
                <w:rFonts w:hint="eastAsia" w:ascii="宋体" w:hAnsi="宋体" w:eastAsia="宋体" w:cs="宋体"/>
                <w:color w:val="auto"/>
                <w:kern w:val="0"/>
                <w:sz w:val="21"/>
                <w:szCs w:val="21"/>
                <w:highlight w:val="none"/>
                <w:lang w:val="en-US" w:eastAsia="zh-CN" w:bidi="ar"/>
              </w:rPr>
              <w:t>其他要求：</w:t>
            </w:r>
          </w:p>
          <w:p w14:paraId="541041AD">
            <w:pPr>
              <w:pStyle w:val="187"/>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jc w:val="both"/>
              <w:textAlignment w:val="auto"/>
              <w:rPr>
                <w:rStyle w:val="44"/>
                <w:rFonts w:hint="eastAsia" w:ascii="宋体" w:hAnsi="宋体" w:eastAsia="宋体" w:cs="宋体"/>
                <w:color w:val="auto"/>
                <w:kern w:val="2"/>
                <w:sz w:val="21"/>
                <w:szCs w:val="21"/>
                <w:highlight w:val="none"/>
                <w:lang w:val="en-US" w:eastAsia="zh-CN" w:bidi="ar-SA"/>
              </w:rPr>
            </w:pPr>
            <w:r>
              <w:rPr>
                <w:rStyle w:val="44"/>
                <w:rFonts w:hint="eastAsia" w:ascii="宋体" w:hAnsi="宋体" w:eastAsia="宋体" w:cs="宋体"/>
                <w:color w:val="auto"/>
                <w:kern w:val="2"/>
                <w:sz w:val="21"/>
                <w:szCs w:val="21"/>
                <w:highlight w:val="none"/>
                <w:lang w:val="en-US" w:eastAsia="zh-CN" w:bidi="ar-SA"/>
              </w:rPr>
              <w:t>本项目设计费</w:t>
            </w:r>
            <w:r>
              <w:rPr>
                <w:rFonts w:hint="eastAsia"/>
                <w:color w:val="auto"/>
                <w:sz w:val="21"/>
                <w:szCs w:val="21"/>
                <w:highlight w:val="none"/>
                <w:u w:val="single"/>
                <w:lang w:val="en-US" w:eastAsia="zh-CN"/>
              </w:rPr>
              <w:t>236.72</w:t>
            </w:r>
            <w:r>
              <w:rPr>
                <w:rStyle w:val="44"/>
                <w:rFonts w:hint="eastAsia" w:ascii="宋体" w:hAnsi="宋体" w:eastAsia="宋体" w:cs="宋体"/>
                <w:color w:val="auto"/>
                <w:kern w:val="2"/>
                <w:sz w:val="21"/>
                <w:szCs w:val="21"/>
                <w:highlight w:val="none"/>
                <w:lang w:val="en-US" w:eastAsia="zh-CN" w:bidi="ar-SA"/>
              </w:rPr>
              <w:t>万元，建筑安装工程费</w:t>
            </w:r>
            <w:r>
              <w:rPr>
                <w:rFonts w:hint="eastAsia"/>
                <w:color w:val="auto"/>
                <w:sz w:val="21"/>
                <w:szCs w:val="21"/>
                <w:highlight w:val="none"/>
                <w:u w:val="single"/>
                <w:lang w:val="en-US" w:eastAsia="zh-CN"/>
              </w:rPr>
              <w:t>6167.54</w:t>
            </w:r>
            <w:r>
              <w:rPr>
                <w:rStyle w:val="44"/>
                <w:rFonts w:hint="eastAsia" w:ascii="宋体" w:hAnsi="宋体" w:eastAsia="宋体" w:cs="宋体"/>
                <w:color w:val="auto"/>
                <w:kern w:val="2"/>
                <w:sz w:val="21"/>
                <w:szCs w:val="21"/>
                <w:highlight w:val="none"/>
                <w:lang w:val="en-US" w:eastAsia="zh-CN" w:bidi="ar-SA"/>
              </w:rPr>
              <w:t>万元，预备费</w:t>
            </w:r>
            <w:r>
              <w:rPr>
                <w:rStyle w:val="44"/>
                <w:rFonts w:hint="eastAsia" w:ascii="宋体" w:hAnsi="宋体" w:eastAsia="宋体" w:cs="宋体"/>
                <w:color w:val="auto"/>
                <w:kern w:val="2"/>
                <w:sz w:val="21"/>
                <w:szCs w:val="21"/>
                <w:highlight w:val="none"/>
                <w:u w:val="single"/>
                <w:lang w:val="en-US" w:eastAsia="zh-CN" w:bidi="ar-SA"/>
              </w:rPr>
              <w:t>199.47</w:t>
            </w:r>
            <w:r>
              <w:rPr>
                <w:rStyle w:val="44"/>
                <w:rFonts w:hint="eastAsia" w:ascii="宋体" w:hAnsi="宋体" w:eastAsia="宋体" w:cs="宋体"/>
                <w:color w:val="auto"/>
                <w:kern w:val="2"/>
                <w:sz w:val="21"/>
                <w:szCs w:val="21"/>
                <w:highlight w:val="none"/>
                <w:lang w:val="en-US" w:eastAsia="zh-CN" w:bidi="ar-SA"/>
              </w:rPr>
              <w:t>万元，工程建设其他费（招标代理服务费）</w:t>
            </w:r>
            <w:r>
              <w:rPr>
                <w:rStyle w:val="44"/>
                <w:rFonts w:hint="eastAsia" w:ascii="宋体" w:hAnsi="宋体" w:eastAsia="宋体" w:cs="宋体"/>
                <w:color w:val="auto"/>
                <w:kern w:val="2"/>
                <w:sz w:val="21"/>
                <w:szCs w:val="21"/>
                <w:highlight w:val="none"/>
                <w:u w:val="single"/>
                <w:lang w:val="en-US" w:eastAsia="zh-CN" w:bidi="ar-SA"/>
              </w:rPr>
              <w:t>24.3</w:t>
            </w:r>
            <w:r>
              <w:rPr>
                <w:rFonts w:hint="eastAsia"/>
                <w:color w:val="auto"/>
                <w:highlight w:val="none"/>
                <w:u w:val="single"/>
                <w:lang w:val="en-US" w:eastAsia="zh-CN"/>
              </w:rPr>
              <w:t xml:space="preserve">       </w:t>
            </w:r>
            <w:r>
              <w:rPr>
                <w:rStyle w:val="44"/>
                <w:rFonts w:hint="eastAsia" w:ascii="宋体" w:hAnsi="宋体" w:eastAsia="宋体" w:cs="宋体"/>
                <w:color w:val="auto"/>
                <w:kern w:val="2"/>
                <w:sz w:val="21"/>
                <w:szCs w:val="21"/>
                <w:highlight w:val="none"/>
                <w:lang w:val="en-US" w:eastAsia="zh-CN" w:bidi="ar-SA"/>
              </w:rPr>
              <w:t>万元，</w:t>
            </w:r>
            <w:r>
              <w:rPr>
                <w:rStyle w:val="44"/>
                <w:rFonts w:hint="eastAsia" w:ascii="宋体" w:hAnsi="宋体" w:eastAsia="宋体" w:cs="宋体"/>
                <w:bCs/>
                <w:color w:val="auto"/>
                <w:kern w:val="2"/>
                <w:sz w:val="21"/>
                <w:szCs w:val="21"/>
                <w:highlight w:val="none"/>
                <w:lang w:val="en-US" w:eastAsia="zh-CN" w:bidi="ar-SA"/>
              </w:rPr>
              <w:t>EPC总包价的招标控制价为</w:t>
            </w:r>
            <w:r>
              <w:rPr>
                <w:rStyle w:val="44"/>
                <w:rFonts w:hint="eastAsia" w:ascii="宋体" w:hAnsi="宋体" w:eastAsia="宋体" w:cs="宋体"/>
                <w:bCs/>
                <w:color w:val="auto"/>
                <w:kern w:val="2"/>
                <w:sz w:val="21"/>
                <w:szCs w:val="21"/>
                <w:highlight w:val="none"/>
                <w:u w:val="single"/>
                <w:lang w:val="en-US" w:eastAsia="zh-CN" w:bidi="ar-SA"/>
              </w:rPr>
              <w:t>6628.03</w:t>
            </w:r>
            <w:r>
              <w:rPr>
                <w:rStyle w:val="44"/>
                <w:rFonts w:hint="eastAsia" w:ascii="宋体" w:hAnsi="宋体" w:eastAsia="宋体" w:cs="宋体"/>
                <w:bCs/>
                <w:color w:val="auto"/>
                <w:kern w:val="2"/>
                <w:sz w:val="21"/>
                <w:szCs w:val="21"/>
                <w:highlight w:val="none"/>
                <w:lang w:val="en-US" w:eastAsia="zh-CN" w:bidi="ar-SA"/>
              </w:rPr>
              <w:t>万元。</w:t>
            </w:r>
          </w:p>
          <w:p w14:paraId="1A10AB3A">
            <w:pPr>
              <w:pStyle w:val="187"/>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jc w:val="both"/>
              <w:textAlignment w:val="auto"/>
              <w:rPr>
                <w:rStyle w:val="44"/>
                <w:rFonts w:hint="eastAsia" w:ascii="宋体" w:hAnsi="宋体" w:eastAsia="宋体" w:cs="宋体"/>
                <w:color w:val="auto"/>
                <w:kern w:val="2"/>
                <w:sz w:val="21"/>
                <w:szCs w:val="21"/>
                <w:highlight w:val="none"/>
                <w:lang w:val="en-US" w:eastAsia="zh-CN" w:bidi="ar-SA"/>
              </w:rPr>
            </w:pPr>
            <w:r>
              <w:rPr>
                <w:rStyle w:val="44"/>
                <w:rFonts w:hint="eastAsia" w:ascii="宋体" w:hAnsi="宋体" w:eastAsia="宋体" w:cs="宋体"/>
                <w:color w:val="auto"/>
                <w:kern w:val="2"/>
                <w:sz w:val="21"/>
                <w:szCs w:val="21"/>
                <w:highlight w:val="none"/>
                <w:lang w:val="en-US" w:eastAsia="zh-CN" w:bidi="ar-SA"/>
              </w:rPr>
              <w:t>（1）本项目设计费控制价为</w:t>
            </w:r>
            <w:r>
              <w:rPr>
                <w:rFonts w:hint="eastAsia"/>
                <w:color w:val="auto"/>
                <w:sz w:val="21"/>
                <w:szCs w:val="21"/>
                <w:highlight w:val="none"/>
                <w:u w:val="single"/>
                <w:lang w:val="en-US" w:eastAsia="zh-CN"/>
              </w:rPr>
              <w:t>236.72</w:t>
            </w:r>
            <w:r>
              <w:rPr>
                <w:rStyle w:val="44"/>
                <w:rFonts w:hint="eastAsia" w:ascii="宋体" w:hAnsi="宋体" w:eastAsia="宋体" w:cs="宋体"/>
                <w:color w:val="auto"/>
                <w:kern w:val="2"/>
                <w:sz w:val="21"/>
                <w:szCs w:val="21"/>
                <w:highlight w:val="none"/>
                <w:lang w:val="en-US" w:eastAsia="zh-CN" w:bidi="ar-SA"/>
              </w:rPr>
              <w:t>万元，投标人投标时填报的设计费用不得超出上述设计费用的控制价，否则评标委员会否决其投标。</w:t>
            </w:r>
          </w:p>
          <w:p w14:paraId="0E40EAB4">
            <w:pPr>
              <w:pStyle w:val="187"/>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jc w:val="both"/>
              <w:textAlignment w:val="auto"/>
              <w:rPr>
                <w:rStyle w:val="44"/>
                <w:rFonts w:hint="eastAsia" w:ascii="宋体" w:hAnsi="宋体" w:eastAsia="宋体" w:cs="宋体"/>
                <w:color w:val="auto"/>
                <w:kern w:val="2"/>
                <w:sz w:val="21"/>
                <w:szCs w:val="21"/>
                <w:highlight w:val="none"/>
                <w:lang w:val="en-US" w:eastAsia="zh-CN" w:bidi="ar-SA"/>
              </w:rPr>
            </w:pPr>
            <w:r>
              <w:rPr>
                <w:rStyle w:val="44"/>
                <w:rFonts w:hint="eastAsia" w:ascii="宋体" w:hAnsi="宋体" w:eastAsia="宋体" w:cs="宋体"/>
                <w:color w:val="auto"/>
                <w:kern w:val="2"/>
                <w:sz w:val="21"/>
                <w:szCs w:val="21"/>
                <w:highlight w:val="none"/>
                <w:lang w:val="en-US" w:eastAsia="zh-CN" w:bidi="ar-SA"/>
              </w:rPr>
              <w:t>（2）本项目建筑安装工程费控制价为</w:t>
            </w:r>
            <w:r>
              <w:rPr>
                <w:rFonts w:hint="eastAsia"/>
                <w:color w:val="auto"/>
                <w:sz w:val="21"/>
                <w:szCs w:val="21"/>
                <w:highlight w:val="none"/>
                <w:u w:val="single"/>
                <w:lang w:val="en-US" w:eastAsia="zh-CN"/>
              </w:rPr>
              <w:t>6167.54</w:t>
            </w:r>
            <w:r>
              <w:rPr>
                <w:rStyle w:val="44"/>
                <w:rFonts w:hint="eastAsia" w:ascii="宋体" w:hAnsi="宋体" w:eastAsia="宋体" w:cs="宋体"/>
                <w:color w:val="auto"/>
                <w:kern w:val="2"/>
                <w:sz w:val="21"/>
                <w:szCs w:val="21"/>
                <w:highlight w:val="none"/>
                <w:lang w:val="en-US" w:eastAsia="zh-CN" w:bidi="ar-SA"/>
              </w:rPr>
              <w:t>万元，投标人投标时填报的建筑安装工程费用不得超出上述工程费用的控制价，否则评标委员会否决其投标。</w:t>
            </w:r>
          </w:p>
          <w:p w14:paraId="6F056B3F">
            <w:pPr>
              <w:pStyle w:val="78"/>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jc w:val="both"/>
              <w:textAlignment w:val="auto"/>
              <w:rPr>
                <w:rStyle w:val="44"/>
                <w:rFonts w:hint="eastAsia" w:ascii="宋体" w:hAnsi="宋体" w:eastAsia="宋体" w:cs="宋体"/>
                <w:color w:val="auto"/>
                <w:kern w:val="2"/>
                <w:sz w:val="21"/>
                <w:szCs w:val="21"/>
                <w:highlight w:val="none"/>
                <w:lang w:val="en-US" w:eastAsia="zh-CN" w:bidi="ar-SA"/>
              </w:rPr>
            </w:pPr>
            <w:r>
              <w:rPr>
                <w:rStyle w:val="44"/>
                <w:rFonts w:hint="eastAsia" w:ascii="宋体" w:hAnsi="宋体" w:eastAsia="宋体" w:cs="宋体"/>
                <w:color w:val="auto"/>
                <w:kern w:val="2"/>
                <w:sz w:val="21"/>
                <w:szCs w:val="21"/>
                <w:highlight w:val="none"/>
                <w:lang w:val="en-US" w:eastAsia="zh-CN" w:bidi="ar-SA"/>
              </w:rPr>
              <w:t>（3）本项目预备费控制价为</w:t>
            </w:r>
            <w:r>
              <w:rPr>
                <w:rStyle w:val="44"/>
                <w:rFonts w:hint="eastAsia" w:ascii="宋体" w:hAnsi="宋体" w:eastAsia="宋体" w:cs="宋体"/>
                <w:color w:val="auto"/>
                <w:kern w:val="2"/>
                <w:sz w:val="21"/>
                <w:szCs w:val="21"/>
                <w:highlight w:val="none"/>
                <w:u w:val="single"/>
                <w:lang w:val="en-US" w:eastAsia="zh-CN" w:bidi="ar-SA"/>
              </w:rPr>
              <w:t>199.47</w:t>
            </w:r>
            <w:r>
              <w:rPr>
                <w:rStyle w:val="44"/>
                <w:rFonts w:hint="eastAsia" w:ascii="宋体" w:hAnsi="宋体" w:eastAsia="宋体" w:cs="宋体"/>
                <w:color w:val="auto"/>
                <w:kern w:val="2"/>
                <w:sz w:val="21"/>
                <w:szCs w:val="21"/>
                <w:highlight w:val="none"/>
                <w:lang w:val="en-US" w:eastAsia="zh-CN" w:bidi="ar-SA"/>
              </w:rPr>
              <w:t>万元，为不可竞争费用，此费用由招标人支配，仅限于以下四种情况使用：</w:t>
            </w:r>
          </w:p>
          <w:p w14:paraId="118166F1">
            <w:pPr>
              <w:pStyle w:val="78"/>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jc w:val="both"/>
              <w:textAlignment w:val="auto"/>
              <w:rPr>
                <w:rStyle w:val="44"/>
                <w:rFonts w:hint="eastAsia" w:ascii="宋体" w:hAnsi="宋体" w:eastAsia="宋体" w:cs="宋体"/>
                <w:color w:val="auto"/>
                <w:kern w:val="2"/>
                <w:sz w:val="21"/>
                <w:szCs w:val="21"/>
                <w:highlight w:val="none"/>
                <w:lang w:val="en-US" w:eastAsia="zh-CN" w:bidi="ar-SA"/>
              </w:rPr>
            </w:pPr>
            <w:r>
              <w:rPr>
                <w:rStyle w:val="44"/>
                <w:rFonts w:hint="eastAsia" w:ascii="宋体" w:hAnsi="宋体" w:eastAsia="宋体" w:cs="宋体"/>
                <w:color w:val="auto"/>
                <w:kern w:val="2"/>
                <w:sz w:val="21"/>
                <w:szCs w:val="21"/>
                <w:highlight w:val="none"/>
                <w:lang w:val="en-US" w:eastAsia="zh-CN" w:bidi="ar-SA"/>
              </w:rPr>
              <w:t>（一）主要工程材料、设备与招标时基期价相比，波动幅度超过±5%的部分；</w:t>
            </w:r>
          </w:p>
          <w:p w14:paraId="5B75D771">
            <w:pPr>
              <w:pStyle w:val="78"/>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jc w:val="both"/>
              <w:textAlignment w:val="auto"/>
              <w:rPr>
                <w:rStyle w:val="44"/>
                <w:rFonts w:hint="eastAsia" w:ascii="宋体" w:hAnsi="宋体" w:eastAsia="宋体" w:cs="宋体"/>
                <w:color w:val="auto"/>
                <w:kern w:val="2"/>
                <w:sz w:val="21"/>
                <w:szCs w:val="21"/>
                <w:highlight w:val="none"/>
                <w:lang w:val="en-US" w:eastAsia="zh-CN" w:bidi="ar-SA"/>
              </w:rPr>
            </w:pPr>
            <w:r>
              <w:rPr>
                <w:rStyle w:val="44"/>
                <w:rFonts w:hint="eastAsia" w:ascii="宋体" w:hAnsi="宋体" w:eastAsia="宋体" w:cs="宋体"/>
                <w:color w:val="auto"/>
                <w:kern w:val="2"/>
                <w:sz w:val="21"/>
                <w:szCs w:val="21"/>
                <w:highlight w:val="none"/>
                <w:lang w:val="en-US" w:eastAsia="zh-CN" w:bidi="ar-SA"/>
              </w:rPr>
              <w:t>（二）因国家法律法规政策变化引起的合同价格的变化；</w:t>
            </w:r>
          </w:p>
          <w:p w14:paraId="1E107164">
            <w:pPr>
              <w:pStyle w:val="78"/>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jc w:val="both"/>
              <w:textAlignment w:val="auto"/>
              <w:rPr>
                <w:rStyle w:val="44"/>
                <w:rFonts w:hint="eastAsia" w:ascii="宋体" w:hAnsi="宋体" w:eastAsia="宋体" w:cs="宋体"/>
                <w:color w:val="auto"/>
                <w:kern w:val="2"/>
                <w:sz w:val="21"/>
                <w:szCs w:val="21"/>
                <w:highlight w:val="none"/>
                <w:lang w:val="en-US" w:eastAsia="zh-CN" w:bidi="ar-SA"/>
              </w:rPr>
            </w:pPr>
            <w:r>
              <w:rPr>
                <w:rStyle w:val="44"/>
                <w:rFonts w:hint="eastAsia" w:ascii="宋体" w:hAnsi="宋体" w:eastAsia="宋体" w:cs="宋体"/>
                <w:color w:val="auto"/>
                <w:kern w:val="2"/>
                <w:sz w:val="21"/>
                <w:szCs w:val="21"/>
                <w:highlight w:val="none"/>
                <w:lang w:val="en-US" w:eastAsia="zh-CN" w:bidi="ar-SA"/>
              </w:rPr>
              <w:t>（三）因建设单位原因产生的工程费用和工期的变化；</w:t>
            </w:r>
          </w:p>
          <w:p w14:paraId="31206B79">
            <w:pPr>
              <w:pStyle w:val="78"/>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jc w:val="both"/>
              <w:textAlignment w:val="auto"/>
              <w:rPr>
                <w:rStyle w:val="44"/>
                <w:rFonts w:hint="eastAsia" w:ascii="宋体" w:hAnsi="宋体" w:eastAsia="宋体" w:cs="宋体"/>
                <w:color w:val="auto"/>
                <w:kern w:val="2"/>
                <w:sz w:val="21"/>
                <w:szCs w:val="21"/>
                <w:highlight w:val="none"/>
                <w:lang w:val="en-US" w:eastAsia="zh-CN" w:bidi="ar-SA"/>
              </w:rPr>
            </w:pPr>
            <w:r>
              <w:rPr>
                <w:rStyle w:val="44"/>
                <w:rFonts w:hint="eastAsia" w:ascii="宋体" w:hAnsi="宋体" w:eastAsia="宋体" w:cs="宋体"/>
                <w:color w:val="auto"/>
                <w:kern w:val="2"/>
                <w:sz w:val="21"/>
                <w:szCs w:val="21"/>
                <w:highlight w:val="none"/>
                <w:lang w:val="en-US" w:eastAsia="zh-CN" w:bidi="ar-SA"/>
              </w:rPr>
              <w:t>（四）不可抗力造成的工程费用和工期的变化。</w:t>
            </w:r>
          </w:p>
          <w:p w14:paraId="41D1077F">
            <w:pPr>
              <w:pStyle w:val="78"/>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jc w:val="both"/>
              <w:textAlignment w:val="auto"/>
              <w:rPr>
                <w:rStyle w:val="44"/>
                <w:rFonts w:hint="eastAsia" w:ascii="宋体" w:hAnsi="宋体" w:eastAsia="宋体" w:cs="宋体"/>
                <w:b/>
                <w:bCs/>
                <w:color w:val="auto"/>
                <w:kern w:val="2"/>
                <w:sz w:val="21"/>
                <w:szCs w:val="21"/>
                <w:highlight w:val="none"/>
                <w:lang w:val="en-US" w:eastAsia="zh-CN" w:bidi="ar-SA"/>
              </w:rPr>
            </w:pPr>
            <w:r>
              <w:rPr>
                <w:rStyle w:val="44"/>
                <w:rFonts w:hint="eastAsia" w:ascii="宋体" w:hAnsi="宋体" w:eastAsia="宋体" w:cs="宋体"/>
                <w:b/>
                <w:bCs/>
                <w:color w:val="auto"/>
                <w:kern w:val="2"/>
                <w:sz w:val="21"/>
                <w:szCs w:val="21"/>
                <w:highlight w:val="none"/>
                <w:lang w:val="en-US" w:eastAsia="zh-CN" w:bidi="ar-SA"/>
              </w:rPr>
              <w:t>此费用为不可竞争费用，投标单位不得擅自修改，否则评标委员会否决其投标。</w:t>
            </w:r>
          </w:p>
          <w:p w14:paraId="13CE269C">
            <w:pPr>
              <w:pStyle w:val="78"/>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jc w:val="both"/>
              <w:textAlignment w:val="auto"/>
              <w:rPr>
                <w:rStyle w:val="44"/>
                <w:rFonts w:hint="eastAsia" w:ascii="宋体" w:hAnsi="宋体" w:eastAsia="宋体" w:cs="宋体"/>
                <w:b w:val="0"/>
                <w:bCs w:val="0"/>
                <w:color w:val="auto"/>
                <w:kern w:val="2"/>
                <w:sz w:val="21"/>
                <w:szCs w:val="21"/>
                <w:highlight w:val="none"/>
                <w:lang w:val="en-US" w:eastAsia="zh-CN" w:bidi="ar-SA"/>
              </w:rPr>
            </w:pPr>
            <w:r>
              <w:rPr>
                <w:rStyle w:val="44"/>
                <w:rFonts w:hint="eastAsia" w:ascii="宋体" w:hAnsi="宋体" w:eastAsia="宋体" w:cs="宋体"/>
                <w:b w:val="0"/>
                <w:bCs w:val="0"/>
                <w:color w:val="auto"/>
                <w:kern w:val="2"/>
                <w:sz w:val="21"/>
                <w:szCs w:val="21"/>
                <w:highlight w:val="none"/>
                <w:lang w:val="en-US" w:eastAsia="zh-CN" w:bidi="ar-SA"/>
              </w:rPr>
              <w:t>（</w:t>
            </w:r>
            <w:r>
              <w:rPr>
                <w:rStyle w:val="44"/>
                <w:rFonts w:hint="eastAsia" w:ascii="宋体" w:hAnsi="宋体" w:cs="宋体"/>
                <w:b w:val="0"/>
                <w:bCs w:val="0"/>
                <w:color w:val="auto"/>
                <w:kern w:val="2"/>
                <w:sz w:val="21"/>
                <w:szCs w:val="21"/>
                <w:highlight w:val="none"/>
                <w:lang w:val="en-US" w:eastAsia="zh-CN" w:bidi="ar-SA"/>
              </w:rPr>
              <w:t>4</w:t>
            </w:r>
            <w:r>
              <w:rPr>
                <w:rStyle w:val="44"/>
                <w:rFonts w:hint="eastAsia" w:ascii="宋体" w:hAnsi="宋体" w:eastAsia="宋体" w:cs="宋体"/>
                <w:b w:val="0"/>
                <w:bCs w:val="0"/>
                <w:color w:val="auto"/>
                <w:kern w:val="2"/>
                <w:sz w:val="21"/>
                <w:szCs w:val="21"/>
                <w:highlight w:val="none"/>
                <w:lang w:val="en-US" w:eastAsia="zh-CN" w:bidi="ar-SA"/>
              </w:rPr>
              <w:t>）工程建设其他费（招标代理服务费）</w:t>
            </w:r>
            <w:r>
              <w:rPr>
                <w:rStyle w:val="44"/>
                <w:rFonts w:hint="eastAsia" w:ascii="宋体" w:hAnsi="宋体" w:eastAsia="宋体" w:cs="宋体"/>
                <w:color w:val="auto"/>
                <w:kern w:val="2"/>
                <w:sz w:val="21"/>
                <w:szCs w:val="21"/>
                <w:highlight w:val="none"/>
                <w:u w:val="single"/>
                <w:lang w:val="en-US" w:eastAsia="zh-CN" w:bidi="ar-SA"/>
              </w:rPr>
              <w:t>24.3</w:t>
            </w:r>
            <w:r>
              <w:rPr>
                <w:rStyle w:val="44"/>
                <w:rFonts w:hint="eastAsia" w:ascii="宋体" w:hAnsi="宋体" w:eastAsia="宋体" w:cs="宋体"/>
                <w:b w:val="0"/>
                <w:bCs w:val="0"/>
                <w:color w:val="auto"/>
                <w:kern w:val="2"/>
                <w:sz w:val="21"/>
                <w:szCs w:val="21"/>
                <w:highlight w:val="none"/>
                <w:lang w:val="en-US" w:eastAsia="zh-CN" w:bidi="ar-SA"/>
              </w:rPr>
              <w:t>万元。</w:t>
            </w:r>
          </w:p>
          <w:p w14:paraId="387A38A1">
            <w:pPr>
              <w:pStyle w:val="78"/>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jc w:val="both"/>
              <w:textAlignment w:val="auto"/>
              <w:rPr>
                <w:rStyle w:val="44"/>
                <w:rFonts w:hint="default" w:ascii="宋体" w:hAnsi="宋体" w:eastAsia="宋体" w:cs="宋体"/>
                <w:b/>
                <w:bCs/>
                <w:color w:val="auto"/>
                <w:kern w:val="2"/>
                <w:sz w:val="21"/>
                <w:szCs w:val="21"/>
                <w:highlight w:val="none"/>
                <w:lang w:val="en-US" w:eastAsia="zh-CN" w:bidi="ar-SA"/>
              </w:rPr>
            </w:pPr>
            <w:r>
              <w:rPr>
                <w:rStyle w:val="44"/>
                <w:rFonts w:hint="eastAsia" w:ascii="宋体" w:hAnsi="宋体" w:eastAsia="宋体" w:cs="宋体"/>
                <w:b/>
                <w:bCs/>
                <w:color w:val="auto"/>
                <w:kern w:val="2"/>
                <w:sz w:val="21"/>
                <w:szCs w:val="21"/>
                <w:highlight w:val="none"/>
                <w:lang w:val="en-US" w:eastAsia="zh-CN" w:bidi="ar-SA"/>
              </w:rPr>
              <w:t>此费用为不可竞争费用，投标单位不得擅自修改，否则评标委员会否决其投标。</w:t>
            </w:r>
            <w:r>
              <w:rPr>
                <w:rStyle w:val="44"/>
                <w:rFonts w:hint="eastAsia" w:ascii="宋体" w:hAnsi="宋体" w:cs="宋体"/>
                <w:b/>
                <w:bCs/>
                <w:color w:val="auto"/>
                <w:kern w:val="2"/>
                <w:sz w:val="21"/>
                <w:szCs w:val="21"/>
                <w:highlight w:val="none"/>
                <w:lang w:val="en-US" w:eastAsia="zh-CN" w:bidi="ar-SA"/>
              </w:rPr>
              <w:t>结算时，据实调整。</w:t>
            </w:r>
          </w:p>
          <w:p w14:paraId="40DC1A0F">
            <w:pPr>
              <w:pStyle w:val="78"/>
              <w:spacing w:line="360" w:lineRule="exact"/>
              <w:rPr>
                <w:color w:val="auto"/>
                <w:highlight w:val="none"/>
              </w:rPr>
            </w:pPr>
            <w:r>
              <w:rPr>
                <w:rStyle w:val="44"/>
                <w:rFonts w:hint="eastAsia" w:ascii="宋体" w:hAnsi="宋体" w:eastAsia="宋体" w:cs="宋体"/>
                <w:color w:val="auto"/>
                <w:kern w:val="2"/>
                <w:sz w:val="21"/>
                <w:szCs w:val="21"/>
                <w:highlight w:val="none"/>
                <w:lang w:val="en-US" w:eastAsia="zh-CN" w:bidi="ar-SA"/>
              </w:rPr>
              <w:t>（</w:t>
            </w:r>
            <w:r>
              <w:rPr>
                <w:rStyle w:val="44"/>
                <w:rFonts w:hint="eastAsia" w:ascii="宋体" w:hAnsi="宋体" w:cs="宋体"/>
                <w:color w:val="auto"/>
                <w:kern w:val="2"/>
                <w:sz w:val="21"/>
                <w:szCs w:val="21"/>
                <w:highlight w:val="none"/>
                <w:lang w:val="en-US" w:eastAsia="zh-CN" w:bidi="ar-SA"/>
              </w:rPr>
              <w:t>5</w:t>
            </w:r>
            <w:r>
              <w:rPr>
                <w:rStyle w:val="44"/>
                <w:rFonts w:hint="eastAsia" w:ascii="宋体" w:hAnsi="宋体" w:eastAsia="宋体" w:cs="宋体"/>
                <w:color w:val="auto"/>
                <w:kern w:val="2"/>
                <w:sz w:val="21"/>
                <w:szCs w:val="21"/>
                <w:highlight w:val="none"/>
                <w:lang w:val="en-US" w:eastAsia="zh-CN" w:bidi="ar-SA"/>
              </w:rPr>
              <w:t>）本项目EPC总包投标总价由上述的（1）+(2)+(3)</w:t>
            </w:r>
            <w:r>
              <w:rPr>
                <w:rStyle w:val="44"/>
                <w:rFonts w:hint="eastAsia" w:ascii="宋体" w:hAnsi="宋体" w:cs="宋体"/>
                <w:color w:val="auto"/>
                <w:kern w:val="2"/>
                <w:sz w:val="21"/>
                <w:szCs w:val="21"/>
                <w:highlight w:val="none"/>
                <w:lang w:val="en-US" w:eastAsia="zh-CN" w:bidi="ar-SA"/>
              </w:rPr>
              <w:t>+（4）</w:t>
            </w:r>
            <w:r>
              <w:rPr>
                <w:rStyle w:val="44"/>
                <w:rFonts w:hint="eastAsia" w:ascii="宋体" w:hAnsi="宋体" w:eastAsia="宋体" w:cs="宋体"/>
                <w:color w:val="auto"/>
                <w:kern w:val="2"/>
                <w:sz w:val="21"/>
                <w:szCs w:val="21"/>
                <w:highlight w:val="none"/>
                <w:lang w:val="en-US" w:eastAsia="zh-CN" w:bidi="ar-SA"/>
              </w:rPr>
              <w:t>的投标报价合计组成，此价格为签约合同价（代号A），该价格不得超过</w:t>
            </w:r>
            <w:r>
              <w:rPr>
                <w:rFonts w:hint="eastAsia" w:ascii="宋体" w:hAnsi="宋体" w:eastAsia="宋体" w:cs="宋体"/>
                <w:color w:val="auto"/>
                <w:highlight w:val="none"/>
                <w:u w:val="single"/>
                <w:lang w:val="en-US" w:eastAsia="zh-CN"/>
              </w:rPr>
              <w:t>6628.03</w:t>
            </w:r>
            <w:r>
              <w:rPr>
                <w:rStyle w:val="44"/>
                <w:rFonts w:hint="eastAsia" w:ascii="宋体" w:hAnsi="宋体" w:eastAsia="宋体" w:cs="宋体"/>
                <w:color w:val="auto"/>
                <w:kern w:val="2"/>
                <w:sz w:val="21"/>
                <w:szCs w:val="21"/>
                <w:highlight w:val="none"/>
                <w:lang w:val="en-US" w:eastAsia="zh-CN" w:bidi="ar-SA"/>
              </w:rPr>
              <w:t>万元，投标人投标时填报的EPC总包投标总价超过上述招标控制价</w:t>
            </w:r>
            <w:r>
              <w:rPr>
                <w:rFonts w:hint="eastAsia" w:ascii="宋体" w:hAnsi="宋体" w:eastAsia="宋体" w:cs="宋体"/>
                <w:color w:val="auto"/>
                <w:highlight w:val="none"/>
                <w:u w:val="single"/>
                <w:lang w:val="en-US" w:eastAsia="zh-CN"/>
              </w:rPr>
              <w:t>6628.03</w:t>
            </w:r>
            <w:r>
              <w:rPr>
                <w:rStyle w:val="44"/>
                <w:rFonts w:hint="eastAsia" w:ascii="宋体" w:hAnsi="宋体" w:eastAsia="宋体" w:cs="宋体"/>
                <w:color w:val="auto"/>
                <w:kern w:val="2"/>
                <w:sz w:val="21"/>
                <w:szCs w:val="21"/>
                <w:highlight w:val="none"/>
                <w:lang w:val="en-US" w:eastAsia="zh-CN" w:bidi="ar-SA"/>
              </w:rPr>
              <w:t>万元，评标委员会否决其投标。</w:t>
            </w:r>
          </w:p>
        </w:tc>
      </w:tr>
      <w:tr w14:paraId="3DA1AD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856" w:type="dxa"/>
            <w:vAlign w:val="center"/>
          </w:tcPr>
          <w:p w14:paraId="73ED08A0">
            <w:pPr>
              <w:pStyle w:val="185"/>
              <w:spacing w:before="159"/>
              <w:ind w:left="177"/>
              <w:jc w:val="both"/>
              <w:rPr>
                <w:color w:val="auto"/>
                <w:highlight w:val="none"/>
              </w:rPr>
            </w:pPr>
            <w:r>
              <w:rPr>
                <w:color w:val="auto"/>
                <w:spacing w:val="-2"/>
                <w:highlight w:val="none"/>
              </w:rPr>
              <w:t>3.2.5</w:t>
            </w:r>
          </w:p>
        </w:tc>
        <w:tc>
          <w:tcPr>
            <w:tcW w:w="2267" w:type="dxa"/>
            <w:vAlign w:val="center"/>
          </w:tcPr>
          <w:p w14:paraId="22DA9A30">
            <w:pPr>
              <w:pStyle w:val="185"/>
              <w:spacing w:before="159" w:line="219" w:lineRule="auto"/>
              <w:ind w:left="715"/>
              <w:jc w:val="both"/>
              <w:rPr>
                <w:color w:val="auto"/>
                <w:highlight w:val="none"/>
              </w:rPr>
            </w:pPr>
            <w:r>
              <w:rPr>
                <w:color w:val="auto"/>
                <w:spacing w:val="-1"/>
                <w:highlight w:val="none"/>
              </w:rPr>
              <w:t>报价说明</w:t>
            </w:r>
          </w:p>
        </w:tc>
        <w:tc>
          <w:tcPr>
            <w:tcW w:w="5465" w:type="dxa"/>
          </w:tcPr>
          <w:p w14:paraId="178C637D">
            <w:pPr>
              <w:keepNext w:val="0"/>
              <w:keepLines w:val="0"/>
              <w:widowControl/>
              <w:suppressLineNumbers w:val="0"/>
              <w:jc w:val="left"/>
              <w:rPr>
                <w:color w:val="auto"/>
                <w:highlight w:val="none"/>
              </w:rPr>
            </w:pPr>
            <w:r>
              <w:rPr>
                <w:rFonts w:hint="eastAsia" w:ascii="宋体" w:hAnsi="宋体" w:eastAsia="宋体" w:cs="宋体"/>
                <w:color w:val="auto"/>
                <w:kern w:val="0"/>
                <w:sz w:val="21"/>
                <w:szCs w:val="21"/>
                <w:highlight w:val="none"/>
                <w:lang w:val="en-US" w:eastAsia="zh-CN" w:bidi="ar"/>
              </w:rPr>
              <w:t xml:space="preserve">报价方式： </w:t>
            </w:r>
          </w:p>
          <w:p w14:paraId="362E2F83">
            <w:pPr>
              <w:keepNext w:val="0"/>
              <w:keepLines w:val="0"/>
              <w:widowControl/>
              <w:suppressLineNumbers w:val="0"/>
              <w:jc w:val="left"/>
              <w:rPr>
                <w:color w:val="auto"/>
                <w:highlight w:val="none"/>
              </w:rPr>
            </w:pPr>
            <w:r>
              <w:rPr>
                <w:rFonts w:hint="eastAsia" w:cs="Times New Roman"/>
                <w:color w:val="auto"/>
                <w:kern w:val="0"/>
                <w:sz w:val="32"/>
                <w:szCs w:val="32"/>
                <w:highlight w:val="none"/>
                <w:lang w:val="en-US" w:eastAsia="zh-CN" w:bidi="ar"/>
              </w:rPr>
              <w:t>☑</w:t>
            </w:r>
            <w:r>
              <w:rPr>
                <w:rFonts w:hint="eastAsia" w:ascii="宋体" w:hAnsi="宋体" w:eastAsia="宋体" w:cs="宋体"/>
                <w:color w:val="auto"/>
                <w:kern w:val="0"/>
                <w:sz w:val="21"/>
                <w:szCs w:val="21"/>
                <w:highlight w:val="none"/>
                <w:lang w:val="en-US" w:eastAsia="zh-CN" w:bidi="ar"/>
              </w:rPr>
              <w:t xml:space="preserve">人民币价格 </w:t>
            </w:r>
          </w:p>
          <w:p w14:paraId="08447652">
            <w:pPr>
              <w:keepNext w:val="0"/>
              <w:keepLines w:val="0"/>
              <w:widowControl/>
              <w:suppressLineNumbers w:val="0"/>
              <w:jc w:val="left"/>
              <w:rPr>
                <w:color w:val="auto"/>
                <w:highlight w:val="none"/>
              </w:rPr>
            </w:pPr>
            <w:r>
              <w:rPr>
                <w:rFonts w:hint="eastAsia" w:ascii="宋体" w:hAnsi="宋体" w:eastAsia="宋体" w:cs="宋体"/>
                <w:color w:val="auto"/>
                <w:kern w:val="0"/>
                <w:sz w:val="21"/>
                <w:szCs w:val="21"/>
                <w:highlight w:val="none"/>
                <w:lang w:val="en-US" w:eastAsia="zh-CN" w:bidi="ar"/>
              </w:rPr>
              <w:t xml:space="preserve">投标总报价均应转换为人民币价格，涉及分项报价按招标人要求填报。 </w:t>
            </w:r>
          </w:p>
          <w:p w14:paraId="3C25641C">
            <w:pPr>
              <w:keepNext w:val="0"/>
              <w:keepLines w:val="0"/>
              <w:widowControl/>
              <w:suppressLineNumbers w:val="0"/>
              <w:jc w:val="left"/>
              <w:rPr>
                <w:rStyle w:val="44"/>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
              </w:rPr>
              <w:t>报价要求：</w:t>
            </w:r>
          </w:p>
          <w:p w14:paraId="09BE4341">
            <w:pPr>
              <w:pStyle w:val="187"/>
              <w:keepNext w:val="0"/>
              <w:keepLines w:val="0"/>
              <w:pageBreakBefore w:val="0"/>
              <w:widowControl w:val="0"/>
              <w:kinsoku/>
              <w:wordWrap/>
              <w:overflowPunct/>
              <w:topLinePunct w:val="0"/>
              <w:autoSpaceDE/>
              <w:autoSpaceDN/>
              <w:bidi w:val="0"/>
              <w:adjustRightInd w:val="0"/>
              <w:snapToGrid w:val="0"/>
              <w:spacing w:line="440" w:lineRule="exact"/>
              <w:ind w:left="0" w:leftChars="0"/>
              <w:jc w:val="both"/>
              <w:textAlignment w:val="auto"/>
              <w:rPr>
                <w:rStyle w:val="44"/>
                <w:rFonts w:hint="eastAsia" w:ascii="宋体" w:hAnsi="宋体" w:eastAsia="宋体" w:cs="宋体"/>
                <w:color w:val="auto"/>
                <w:kern w:val="2"/>
                <w:sz w:val="21"/>
                <w:szCs w:val="21"/>
                <w:highlight w:val="none"/>
                <w:u w:val="single"/>
                <w:lang w:val="en-US" w:eastAsia="zh-CN" w:bidi="ar-SA"/>
              </w:rPr>
            </w:pPr>
            <w:r>
              <w:rPr>
                <w:rStyle w:val="44"/>
                <w:rFonts w:hint="eastAsia" w:ascii="宋体" w:hAnsi="宋体" w:eastAsia="宋体" w:cs="宋体"/>
                <w:b/>
                <w:color w:val="auto"/>
                <w:kern w:val="2"/>
                <w:sz w:val="21"/>
                <w:szCs w:val="21"/>
                <w:highlight w:val="none"/>
                <w:u w:val="single"/>
                <w:lang w:val="en-US" w:eastAsia="zh-CN" w:bidi="ar-SA"/>
              </w:rPr>
              <w:t>一、设计费报价要求：</w:t>
            </w:r>
          </w:p>
          <w:p w14:paraId="4F65CB30">
            <w:pPr>
              <w:pStyle w:val="187"/>
              <w:keepNext w:val="0"/>
              <w:keepLines w:val="0"/>
              <w:pageBreakBefore w:val="0"/>
              <w:widowControl w:val="0"/>
              <w:kinsoku/>
              <w:wordWrap/>
              <w:overflowPunct/>
              <w:topLinePunct w:val="0"/>
              <w:autoSpaceDE/>
              <w:autoSpaceDN/>
              <w:bidi w:val="0"/>
              <w:adjustRightInd w:val="0"/>
              <w:snapToGrid w:val="0"/>
              <w:spacing w:line="440" w:lineRule="exact"/>
              <w:ind w:left="0" w:leftChars="0"/>
              <w:jc w:val="both"/>
              <w:textAlignment w:val="auto"/>
              <w:rPr>
                <w:rStyle w:val="44"/>
                <w:rFonts w:hint="eastAsia" w:ascii="宋体" w:hAnsi="宋体" w:eastAsia="宋体" w:cs="宋体"/>
                <w:color w:val="auto"/>
                <w:kern w:val="2"/>
                <w:sz w:val="21"/>
                <w:szCs w:val="21"/>
                <w:highlight w:val="none"/>
                <w:u w:val="single"/>
                <w:lang w:val="en-US" w:eastAsia="zh-CN" w:bidi="ar-SA"/>
              </w:rPr>
            </w:pPr>
            <w:r>
              <w:rPr>
                <w:rStyle w:val="44"/>
                <w:rFonts w:hint="eastAsia" w:ascii="宋体" w:hAnsi="宋体" w:eastAsia="宋体" w:cs="宋体"/>
                <w:color w:val="auto"/>
                <w:kern w:val="2"/>
                <w:sz w:val="21"/>
                <w:szCs w:val="21"/>
                <w:highlight w:val="none"/>
                <w:u w:val="single"/>
                <w:lang w:val="en-US" w:eastAsia="zh-CN" w:bidi="ar-SA"/>
              </w:rPr>
              <w:t>1、各投标人需依据国家有关规定及发改价格〔2015〕299号“关于进一步放开建设项目专业服务价格的通知”的规定，并结合各自实际情况编制设计投标报价。</w:t>
            </w:r>
          </w:p>
          <w:p w14:paraId="5E0DEE38">
            <w:pPr>
              <w:pStyle w:val="78"/>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jc w:val="both"/>
              <w:textAlignment w:val="auto"/>
              <w:rPr>
                <w:rStyle w:val="44"/>
                <w:rFonts w:hint="eastAsia" w:ascii="宋体" w:hAnsi="宋体" w:eastAsia="宋体" w:cs="宋体"/>
                <w:color w:val="auto"/>
                <w:kern w:val="2"/>
                <w:sz w:val="21"/>
                <w:szCs w:val="21"/>
                <w:highlight w:val="none"/>
                <w:u w:val="single"/>
                <w:lang w:val="en-US" w:eastAsia="zh-CN" w:bidi="ar-SA"/>
              </w:rPr>
            </w:pPr>
            <w:r>
              <w:rPr>
                <w:rStyle w:val="44"/>
                <w:rFonts w:hint="eastAsia" w:ascii="宋体" w:hAnsi="宋体" w:eastAsia="宋体" w:cs="宋体"/>
                <w:color w:val="auto"/>
                <w:kern w:val="2"/>
                <w:sz w:val="21"/>
                <w:szCs w:val="21"/>
                <w:highlight w:val="none"/>
                <w:u w:val="single"/>
                <w:lang w:val="en-US" w:eastAsia="zh-CN" w:bidi="ar-SA"/>
              </w:rPr>
              <w:t>2、投标人填报的设计费是完成招标范围内全部与设计有关的服务内容的价格体现。</w:t>
            </w:r>
          </w:p>
          <w:p w14:paraId="4F4CE645">
            <w:pPr>
              <w:pStyle w:val="187"/>
              <w:keepNext w:val="0"/>
              <w:keepLines w:val="0"/>
              <w:pageBreakBefore w:val="0"/>
              <w:widowControl w:val="0"/>
              <w:tabs>
                <w:tab w:val="left" w:pos="-23"/>
              </w:tabs>
              <w:kinsoku/>
              <w:wordWrap/>
              <w:overflowPunct/>
              <w:topLinePunct w:val="0"/>
              <w:autoSpaceDE/>
              <w:autoSpaceDN/>
              <w:bidi w:val="0"/>
              <w:adjustRightInd w:val="0"/>
              <w:snapToGrid w:val="0"/>
              <w:spacing w:line="440" w:lineRule="exact"/>
              <w:jc w:val="both"/>
              <w:textAlignment w:val="auto"/>
              <w:rPr>
                <w:rStyle w:val="44"/>
                <w:rFonts w:hint="eastAsia" w:ascii="宋体" w:hAnsi="宋体" w:eastAsia="宋体" w:cs="宋体"/>
                <w:color w:val="auto"/>
                <w:kern w:val="2"/>
                <w:sz w:val="21"/>
                <w:szCs w:val="21"/>
                <w:highlight w:val="none"/>
                <w:u w:val="single"/>
                <w:lang w:val="en-US" w:eastAsia="zh-CN" w:bidi="ar-SA"/>
              </w:rPr>
            </w:pPr>
            <w:r>
              <w:rPr>
                <w:rStyle w:val="44"/>
                <w:rFonts w:hint="eastAsia" w:ascii="宋体" w:hAnsi="宋体" w:eastAsia="宋体" w:cs="宋体"/>
                <w:color w:val="auto"/>
                <w:kern w:val="2"/>
                <w:sz w:val="21"/>
                <w:szCs w:val="21"/>
                <w:highlight w:val="none"/>
                <w:u w:val="single"/>
                <w:lang w:val="en-US" w:eastAsia="zh-CN" w:bidi="ar-SA"/>
              </w:rPr>
              <w:t>（1）工程设计范围：现场勘察（满足施工图要求）、现场实测实量</w:t>
            </w:r>
            <w:r>
              <w:rPr>
                <w:rStyle w:val="44"/>
                <w:rFonts w:hint="eastAsia" w:cs="宋体"/>
                <w:color w:val="auto"/>
                <w:kern w:val="2"/>
                <w:sz w:val="21"/>
                <w:szCs w:val="21"/>
                <w:highlight w:val="none"/>
                <w:u w:val="single"/>
                <w:lang w:val="en-US" w:eastAsia="zh-CN" w:bidi="ar-SA"/>
              </w:rPr>
              <w:t>、</w:t>
            </w:r>
            <w:r>
              <w:rPr>
                <w:rStyle w:val="44"/>
                <w:rFonts w:hint="eastAsia" w:ascii="宋体" w:hAnsi="宋体" w:eastAsia="宋体" w:cs="宋体"/>
                <w:color w:val="auto"/>
                <w:kern w:val="2"/>
                <w:sz w:val="21"/>
                <w:szCs w:val="21"/>
                <w:highlight w:val="none"/>
                <w:u w:val="single"/>
                <w:lang w:val="en-US" w:eastAsia="zh-CN" w:bidi="ar-SA"/>
              </w:rPr>
              <w:t>施工图设计、设计交底、设计变更（如有）、施工现场服务、档案整理、后续服务、项目实施全过程的协调管理等全部工作。</w:t>
            </w:r>
          </w:p>
          <w:p w14:paraId="3E96199E">
            <w:pPr>
              <w:pStyle w:val="187"/>
              <w:keepNext w:val="0"/>
              <w:keepLines w:val="0"/>
              <w:pageBreakBefore w:val="0"/>
              <w:widowControl w:val="0"/>
              <w:kinsoku/>
              <w:wordWrap/>
              <w:overflowPunct/>
              <w:topLinePunct w:val="0"/>
              <w:autoSpaceDE/>
              <w:autoSpaceDN/>
              <w:bidi w:val="0"/>
              <w:adjustRightInd w:val="0"/>
              <w:snapToGrid w:val="0"/>
              <w:spacing w:line="440" w:lineRule="exact"/>
              <w:jc w:val="left"/>
              <w:textAlignment w:val="auto"/>
              <w:rPr>
                <w:rStyle w:val="44"/>
                <w:rFonts w:hint="eastAsia" w:ascii="宋体" w:hAnsi="宋体" w:eastAsia="宋体" w:cs="宋体"/>
                <w:color w:val="auto"/>
                <w:kern w:val="2"/>
                <w:sz w:val="21"/>
                <w:szCs w:val="21"/>
                <w:highlight w:val="none"/>
                <w:u w:val="single"/>
                <w:lang w:val="en-US" w:eastAsia="zh-CN" w:bidi="ar-SA"/>
              </w:rPr>
            </w:pPr>
            <w:r>
              <w:rPr>
                <w:rStyle w:val="44"/>
                <w:rFonts w:hint="eastAsia" w:ascii="宋体" w:hAnsi="宋体" w:eastAsia="宋体" w:cs="宋体"/>
                <w:color w:val="auto"/>
                <w:kern w:val="2"/>
                <w:sz w:val="21"/>
                <w:szCs w:val="21"/>
                <w:highlight w:val="none"/>
                <w:u w:val="single"/>
                <w:lang w:val="en-US" w:eastAsia="zh-CN" w:bidi="ar-SA"/>
              </w:rPr>
              <w:t>设计标准为国家及辽宁省现行设计规范、规程及行业标准，设计成果深度需达到现行国家设计深度标准的要求，且通过相关主管部门的审批。</w:t>
            </w:r>
          </w:p>
          <w:p w14:paraId="04C1E581">
            <w:pPr>
              <w:pStyle w:val="187"/>
              <w:keepNext w:val="0"/>
              <w:keepLines w:val="0"/>
              <w:pageBreakBefore w:val="0"/>
              <w:widowControl w:val="0"/>
              <w:tabs>
                <w:tab w:val="left" w:pos="-23"/>
              </w:tabs>
              <w:kinsoku/>
              <w:wordWrap/>
              <w:overflowPunct/>
              <w:topLinePunct w:val="0"/>
              <w:autoSpaceDE/>
              <w:autoSpaceDN/>
              <w:bidi w:val="0"/>
              <w:adjustRightInd w:val="0"/>
              <w:snapToGrid w:val="0"/>
              <w:spacing w:line="440" w:lineRule="exact"/>
              <w:jc w:val="both"/>
              <w:textAlignment w:val="auto"/>
              <w:rPr>
                <w:rStyle w:val="44"/>
                <w:rFonts w:hint="eastAsia" w:ascii="宋体" w:hAnsi="宋体" w:eastAsia="宋体" w:cs="宋体"/>
                <w:color w:val="auto"/>
                <w:kern w:val="2"/>
                <w:sz w:val="21"/>
                <w:szCs w:val="21"/>
                <w:highlight w:val="none"/>
                <w:u w:val="single"/>
                <w:lang w:val="en-US" w:eastAsia="zh-CN" w:bidi="ar-SA"/>
              </w:rPr>
            </w:pPr>
            <w:r>
              <w:rPr>
                <w:rStyle w:val="44"/>
                <w:rFonts w:hint="eastAsia" w:ascii="宋体" w:hAnsi="宋体" w:eastAsia="宋体" w:cs="宋体"/>
                <w:color w:val="auto"/>
                <w:kern w:val="2"/>
                <w:sz w:val="21"/>
                <w:szCs w:val="21"/>
                <w:highlight w:val="none"/>
                <w:u w:val="single"/>
                <w:lang w:val="en-US" w:eastAsia="zh-CN" w:bidi="ar-SA"/>
              </w:rPr>
              <w:t>（2）设计费用组成：本合同设计费综合考虑了设计人员的工资、福利、保险、加班费用、车旅费用、提供设计文件的资料费、各种设备使用费及企业管理费、利润、税金、各阶段设计费用，施工阶段技术咨询服务、常驻现场设计代表及与其他专业设计单位之间协调及不可预见风险等全部费用。设计人为完成设计任务所需的人力、物力、财力投入，充分考虑可能的市场风险以及企业所需缴纳的各种税费。以及为实现合同目的所涉及的机构、人员、利润、税金、政策性文件规定、不可预见风险、责任、设计人为自己的雇员、财产等所做的人身和财产保险的费用，以及第三方责任险和参与投标所发生费用等全部费用。同时包括发包人未列出，但设计人认为完成本项目必须列支的有关费用，且充分考虑一切后期因素和风险、意外事件或不可抗力风险。</w:t>
            </w:r>
          </w:p>
          <w:p w14:paraId="5436A767">
            <w:pPr>
              <w:pStyle w:val="187"/>
              <w:keepNext w:val="0"/>
              <w:keepLines w:val="0"/>
              <w:pageBreakBefore w:val="0"/>
              <w:widowControl w:val="0"/>
              <w:kinsoku/>
              <w:wordWrap/>
              <w:overflowPunct/>
              <w:topLinePunct w:val="0"/>
              <w:autoSpaceDE/>
              <w:autoSpaceDN/>
              <w:bidi w:val="0"/>
              <w:adjustRightInd w:val="0"/>
              <w:snapToGrid w:val="0"/>
              <w:spacing w:line="440" w:lineRule="exact"/>
              <w:ind w:left="0" w:leftChars="0"/>
              <w:jc w:val="both"/>
              <w:textAlignment w:val="auto"/>
              <w:rPr>
                <w:rStyle w:val="44"/>
                <w:rFonts w:hint="eastAsia" w:ascii="宋体" w:hAnsi="宋体" w:eastAsia="宋体" w:cs="宋体"/>
                <w:color w:val="auto"/>
                <w:kern w:val="2"/>
                <w:sz w:val="21"/>
                <w:szCs w:val="21"/>
                <w:highlight w:val="none"/>
                <w:u w:val="single"/>
                <w:lang w:val="en-US" w:eastAsia="zh-CN" w:bidi="ar-SA"/>
              </w:rPr>
            </w:pPr>
            <w:r>
              <w:rPr>
                <w:rStyle w:val="44"/>
                <w:rFonts w:hint="eastAsia" w:ascii="宋体" w:hAnsi="宋体" w:eastAsia="宋体" w:cs="宋体"/>
                <w:color w:val="auto"/>
                <w:kern w:val="2"/>
                <w:sz w:val="21"/>
                <w:szCs w:val="21"/>
                <w:highlight w:val="none"/>
                <w:u w:val="single"/>
                <w:lang w:val="en-US" w:eastAsia="zh-CN" w:bidi="ar-SA"/>
              </w:rPr>
              <w:t>3、在合同实施期间，无论后期发生任何情况，设计中标价均不得改变。</w:t>
            </w:r>
          </w:p>
          <w:p w14:paraId="64CA657D">
            <w:pPr>
              <w:pStyle w:val="187"/>
              <w:keepNext w:val="0"/>
              <w:keepLines w:val="0"/>
              <w:pageBreakBefore w:val="0"/>
              <w:widowControl w:val="0"/>
              <w:kinsoku/>
              <w:wordWrap/>
              <w:overflowPunct/>
              <w:topLinePunct w:val="0"/>
              <w:autoSpaceDE/>
              <w:autoSpaceDN/>
              <w:bidi w:val="0"/>
              <w:adjustRightInd w:val="0"/>
              <w:snapToGrid w:val="0"/>
              <w:spacing w:line="440" w:lineRule="exact"/>
              <w:ind w:left="0" w:leftChars="0"/>
              <w:jc w:val="both"/>
              <w:textAlignment w:val="auto"/>
              <w:rPr>
                <w:rStyle w:val="44"/>
                <w:rFonts w:hint="eastAsia" w:ascii="宋体" w:hAnsi="宋体" w:eastAsia="宋体" w:cs="宋体"/>
                <w:b/>
                <w:color w:val="auto"/>
                <w:kern w:val="2"/>
                <w:sz w:val="21"/>
                <w:szCs w:val="21"/>
                <w:highlight w:val="none"/>
                <w:u w:val="single"/>
                <w:lang w:val="en-US" w:eastAsia="zh-CN" w:bidi="ar-SA"/>
              </w:rPr>
            </w:pPr>
            <w:r>
              <w:rPr>
                <w:rStyle w:val="44"/>
                <w:rFonts w:hint="eastAsia" w:ascii="宋体" w:hAnsi="宋体" w:eastAsia="宋体" w:cs="宋体"/>
                <w:b/>
                <w:color w:val="auto"/>
                <w:kern w:val="2"/>
                <w:sz w:val="21"/>
                <w:szCs w:val="21"/>
                <w:highlight w:val="none"/>
                <w:u w:val="single"/>
                <w:lang w:val="en-US" w:eastAsia="zh-CN" w:bidi="ar-SA"/>
              </w:rPr>
              <w:t>二、建筑安装工程费用报价要求：</w:t>
            </w:r>
          </w:p>
          <w:p w14:paraId="4CD41242">
            <w:pPr>
              <w:pStyle w:val="187"/>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jc w:val="both"/>
              <w:textAlignment w:val="auto"/>
              <w:rPr>
                <w:rStyle w:val="44"/>
                <w:rFonts w:hint="eastAsia" w:ascii="宋体" w:hAnsi="宋体" w:eastAsia="宋体" w:cs="宋体"/>
                <w:b/>
                <w:color w:val="auto"/>
                <w:kern w:val="2"/>
                <w:sz w:val="21"/>
                <w:szCs w:val="21"/>
                <w:highlight w:val="none"/>
                <w:u w:val="single"/>
                <w:lang w:val="en-US" w:eastAsia="zh-CN" w:bidi="ar-SA"/>
              </w:rPr>
            </w:pPr>
            <w:r>
              <w:rPr>
                <w:rStyle w:val="44"/>
                <w:rFonts w:hint="eastAsia" w:ascii="宋体" w:hAnsi="宋体" w:eastAsia="宋体" w:cs="宋体"/>
                <w:color w:val="auto"/>
                <w:kern w:val="2"/>
                <w:sz w:val="21"/>
                <w:szCs w:val="21"/>
                <w:highlight w:val="none"/>
                <w:u w:val="single"/>
                <w:lang w:val="en-US" w:eastAsia="zh-CN" w:bidi="ar-SA"/>
              </w:rPr>
              <w:t>1、本项目建筑安装工程费用采用总价报价，投标人只能报一个建筑安装工程费用总价，任何有选择的建筑安装工程费用总价将不被接受。</w:t>
            </w:r>
          </w:p>
          <w:p w14:paraId="5CC9F60A">
            <w:pPr>
              <w:pStyle w:val="187"/>
              <w:keepNext w:val="0"/>
              <w:keepLines w:val="0"/>
              <w:pageBreakBefore w:val="0"/>
              <w:widowControl w:val="0"/>
              <w:kinsoku/>
              <w:wordWrap/>
              <w:overflowPunct/>
              <w:topLinePunct w:val="0"/>
              <w:autoSpaceDE/>
              <w:autoSpaceDN/>
              <w:bidi w:val="0"/>
              <w:adjustRightInd w:val="0"/>
              <w:snapToGrid w:val="0"/>
              <w:spacing w:line="440" w:lineRule="exact"/>
              <w:ind w:left="0" w:leftChars="0"/>
              <w:jc w:val="both"/>
              <w:textAlignment w:val="auto"/>
              <w:rPr>
                <w:rStyle w:val="44"/>
                <w:rFonts w:hint="eastAsia" w:ascii="宋体" w:hAnsi="宋体" w:eastAsia="宋体" w:cs="宋体"/>
                <w:color w:val="auto"/>
                <w:kern w:val="2"/>
                <w:sz w:val="21"/>
                <w:szCs w:val="21"/>
                <w:highlight w:val="none"/>
                <w:u w:val="single"/>
                <w:lang w:val="en-US" w:eastAsia="zh-CN" w:bidi="ar-SA"/>
              </w:rPr>
            </w:pPr>
            <w:r>
              <w:rPr>
                <w:rStyle w:val="44"/>
                <w:rFonts w:hint="eastAsia" w:ascii="宋体" w:hAnsi="宋体" w:eastAsia="宋体" w:cs="宋体"/>
                <w:color w:val="auto"/>
                <w:kern w:val="2"/>
                <w:sz w:val="21"/>
                <w:szCs w:val="21"/>
                <w:highlight w:val="none"/>
                <w:u w:val="single"/>
                <w:lang w:val="en-US" w:eastAsia="zh-CN" w:bidi="ar-SA"/>
              </w:rPr>
              <w:t>2、各投标人应通过自行现场踏勘了解施工现场的实际情况、根据发包人的要求、招标文件、补充通知澄清（答疑）纪要中提出的工程技术、质量、安全、工期要求、文明施工要求、承包范围等，自行编制的施工组织设计，并依据20</w:t>
            </w:r>
            <w:r>
              <w:rPr>
                <w:rStyle w:val="44"/>
                <w:rFonts w:hint="eastAsia" w:cs="宋体"/>
                <w:color w:val="auto"/>
                <w:kern w:val="2"/>
                <w:sz w:val="21"/>
                <w:szCs w:val="21"/>
                <w:highlight w:val="none"/>
                <w:u w:val="single"/>
                <w:lang w:val="en-US" w:eastAsia="zh-CN" w:bidi="ar-SA"/>
              </w:rPr>
              <w:t>24</w:t>
            </w:r>
            <w:r>
              <w:rPr>
                <w:rStyle w:val="44"/>
                <w:rFonts w:hint="eastAsia" w:ascii="宋体" w:hAnsi="宋体" w:eastAsia="宋体" w:cs="宋体"/>
                <w:color w:val="auto"/>
                <w:kern w:val="2"/>
                <w:sz w:val="21"/>
                <w:szCs w:val="21"/>
                <w:highlight w:val="none"/>
                <w:u w:val="single"/>
                <w:lang w:val="en-US" w:eastAsia="zh-CN" w:bidi="ar-SA"/>
              </w:rPr>
              <w:t>年辽宁省建设工程计价依据及相关规定并结合企业自身情况及投资风险，报出建筑安装工程费用总价。</w:t>
            </w:r>
          </w:p>
          <w:p w14:paraId="67FB70DE">
            <w:pPr>
              <w:pStyle w:val="187"/>
              <w:keepNext w:val="0"/>
              <w:keepLines w:val="0"/>
              <w:pageBreakBefore w:val="0"/>
              <w:widowControl w:val="0"/>
              <w:kinsoku/>
              <w:wordWrap/>
              <w:overflowPunct/>
              <w:topLinePunct w:val="0"/>
              <w:autoSpaceDE/>
              <w:autoSpaceDN/>
              <w:bidi w:val="0"/>
              <w:adjustRightInd w:val="0"/>
              <w:snapToGrid w:val="0"/>
              <w:spacing w:line="440" w:lineRule="exact"/>
              <w:ind w:left="0" w:leftChars="0"/>
              <w:jc w:val="both"/>
              <w:textAlignment w:val="auto"/>
              <w:rPr>
                <w:rStyle w:val="44"/>
                <w:rFonts w:hint="eastAsia" w:ascii="宋体" w:hAnsi="宋体" w:eastAsia="宋体" w:cs="宋体"/>
                <w:color w:val="auto"/>
                <w:kern w:val="2"/>
                <w:sz w:val="21"/>
                <w:szCs w:val="21"/>
                <w:highlight w:val="none"/>
                <w:u w:val="single"/>
                <w:lang w:val="en-US" w:eastAsia="zh-CN" w:bidi="ar-SA"/>
              </w:rPr>
            </w:pPr>
            <w:r>
              <w:rPr>
                <w:rStyle w:val="44"/>
                <w:rFonts w:hint="eastAsia" w:ascii="宋体" w:hAnsi="宋体" w:eastAsia="宋体" w:cs="宋体"/>
                <w:color w:val="auto"/>
                <w:kern w:val="2"/>
                <w:sz w:val="21"/>
                <w:szCs w:val="21"/>
                <w:highlight w:val="none"/>
                <w:u w:val="single"/>
                <w:lang w:val="en-US" w:eastAsia="zh-CN" w:bidi="ar-SA"/>
              </w:rPr>
              <w:t>3、建筑安装工程费用上报约定：</w:t>
            </w:r>
          </w:p>
          <w:p w14:paraId="4055C50F">
            <w:pPr>
              <w:pStyle w:val="187"/>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Style w:val="44"/>
                <w:rFonts w:hint="eastAsia" w:ascii="宋体" w:hAnsi="宋体" w:eastAsia="宋体" w:cs="宋体"/>
                <w:color w:val="auto"/>
                <w:kern w:val="2"/>
                <w:sz w:val="21"/>
                <w:szCs w:val="21"/>
                <w:highlight w:val="none"/>
                <w:u w:val="single"/>
                <w:lang w:val="en-US" w:eastAsia="zh-CN" w:bidi="ar-SA"/>
              </w:rPr>
            </w:pPr>
            <w:r>
              <w:rPr>
                <w:rStyle w:val="44"/>
                <w:rFonts w:hint="eastAsia" w:ascii="宋体" w:hAnsi="宋体" w:eastAsia="宋体" w:cs="宋体"/>
                <w:color w:val="auto"/>
                <w:kern w:val="2"/>
                <w:sz w:val="21"/>
                <w:szCs w:val="21"/>
                <w:highlight w:val="none"/>
                <w:u w:val="single"/>
                <w:lang w:val="en-US" w:eastAsia="zh-CN" w:bidi="ar-SA"/>
              </w:rPr>
              <w:t>本次招标工作结束</w:t>
            </w:r>
            <w:r>
              <w:rPr>
                <w:rStyle w:val="44"/>
                <w:rFonts w:hint="eastAsia" w:cs="宋体"/>
                <w:color w:val="auto"/>
                <w:kern w:val="2"/>
                <w:sz w:val="21"/>
                <w:szCs w:val="21"/>
                <w:highlight w:val="none"/>
                <w:u w:val="single"/>
                <w:lang w:val="en-US" w:eastAsia="zh-CN" w:bidi="ar-SA"/>
              </w:rPr>
              <w:t>，</w:t>
            </w:r>
            <w:r>
              <w:rPr>
                <w:rStyle w:val="44"/>
                <w:rFonts w:hint="eastAsia" w:ascii="宋体" w:hAnsi="宋体" w:eastAsia="宋体" w:cs="宋体"/>
                <w:color w:val="auto"/>
                <w:kern w:val="2"/>
                <w:sz w:val="21"/>
                <w:szCs w:val="21"/>
                <w:highlight w:val="none"/>
                <w:u w:val="single"/>
                <w:lang w:val="en-US" w:eastAsia="zh-CN" w:bidi="ar-SA"/>
              </w:rPr>
              <w:t>由承包人编制或委托造价咨询公司（造价咨询费由承包人支付），按照审定的施工图纸编制清单及价格，上报财政部门审核，编制及审核需依据下述第4条约定的计算方法进行，最终以财政部门审核结果为准，用于调整签约合同价中的建筑安装工程费用。（在财政部门的审核结果定案之前，进度款支付暂按中标时的</w:t>
            </w:r>
            <w:r>
              <w:rPr>
                <w:rStyle w:val="44"/>
                <w:rFonts w:hint="eastAsia" w:ascii="宋体" w:hAnsi="宋体" w:eastAsia="宋体" w:cs="宋体"/>
                <w:bCs/>
                <w:color w:val="auto"/>
                <w:kern w:val="2"/>
                <w:sz w:val="21"/>
                <w:szCs w:val="21"/>
                <w:highlight w:val="none"/>
                <w:u w:val="single"/>
                <w:lang w:val="en-US" w:eastAsia="zh-CN" w:bidi="ar-SA"/>
              </w:rPr>
              <w:t>建筑安装</w:t>
            </w:r>
            <w:r>
              <w:rPr>
                <w:rStyle w:val="44"/>
                <w:rFonts w:hint="eastAsia" w:ascii="宋体" w:hAnsi="宋体" w:eastAsia="宋体" w:cs="宋体"/>
                <w:color w:val="auto"/>
                <w:kern w:val="2"/>
                <w:sz w:val="21"/>
                <w:szCs w:val="21"/>
                <w:highlight w:val="none"/>
                <w:u w:val="single"/>
                <w:lang w:val="en-US" w:eastAsia="zh-CN" w:bidi="ar-SA"/>
              </w:rPr>
              <w:t>工程费用价格先行支付，定案结果出来后再对签约合同价进行调整</w:t>
            </w:r>
            <w:r>
              <w:rPr>
                <w:rStyle w:val="50"/>
                <w:rFonts w:hint="eastAsia" w:ascii="宋体" w:hAnsi="宋体" w:eastAsia="宋体" w:cs="宋体"/>
                <w:color w:val="auto"/>
                <w:kern w:val="2"/>
                <w:sz w:val="21"/>
                <w:szCs w:val="21"/>
                <w:highlight w:val="none"/>
                <w:u w:val="single"/>
                <w:lang w:val="en-US" w:eastAsia="zh-CN" w:bidi="ar-SA"/>
              </w:rPr>
              <w:t>，</w:t>
            </w:r>
            <w:r>
              <w:rPr>
                <w:rStyle w:val="44"/>
                <w:rFonts w:hint="eastAsia" w:ascii="宋体" w:hAnsi="宋体" w:eastAsia="宋体" w:cs="宋体"/>
                <w:color w:val="auto"/>
                <w:kern w:val="2"/>
                <w:sz w:val="21"/>
                <w:szCs w:val="21"/>
                <w:highlight w:val="none"/>
                <w:u w:val="single"/>
                <w:lang w:val="en-US" w:eastAsia="zh-CN" w:bidi="ar-SA"/>
              </w:rPr>
              <w:t>该调整后价格为</w:t>
            </w:r>
            <w:r>
              <w:rPr>
                <w:rStyle w:val="44"/>
                <w:rFonts w:hint="eastAsia" w:ascii="宋体" w:hAnsi="宋体" w:eastAsia="宋体" w:cs="宋体"/>
                <w:b/>
                <w:bCs/>
                <w:color w:val="auto"/>
                <w:kern w:val="2"/>
                <w:sz w:val="21"/>
                <w:szCs w:val="21"/>
                <w:highlight w:val="none"/>
                <w:u w:val="single"/>
                <w:lang w:val="en-US" w:eastAsia="zh-CN" w:bidi="ar-SA"/>
              </w:rPr>
              <w:t>实际签约合同价（代号B），B≤A</w:t>
            </w:r>
            <w:r>
              <w:rPr>
                <w:rStyle w:val="44"/>
                <w:rFonts w:hint="eastAsia" w:ascii="宋体" w:hAnsi="宋体" w:eastAsia="宋体" w:cs="宋体"/>
                <w:color w:val="auto"/>
                <w:kern w:val="2"/>
                <w:sz w:val="21"/>
                <w:szCs w:val="21"/>
                <w:highlight w:val="none"/>
                <w:u w:val="single"/>
                <w:lang w:val="en-US" w:eastAsia="zh-CN" w:bidi="ar-SA"/>
              </w:rPr>
              <w:t>）。</w:t>
            </w:r>
          </w:p>
          <w:p w14:paraId="1947B0C8">
            <w:pPr>
              <w:pStyle w:val="187"/>
              <w:keepNext w:val="0"/>
              <w:keepLines w:val="0"/>
              <w:pageBreakBefore w:val="0"/>
              <w:widowControl w:val="0"/>
              <w:kinsoku/>
              <w:wordWrap/>
              <w:overflowPunct/>
              <w:topLinePunct w:val="0"/>
              <w:autoSpaceDE/>
              <w:autoSpaceDN/>
              <w:bidi w:val="0"/>
              <w:adjustRightInd w:val="0"/>
              <w:snapToGrid w:val="0"/>
              <w:spacing w:line="440" w:lineRule="exact"/>
              <w:ind w:left="0" w:leftChars="0"/>
              <w:jc w:val="both"/>
              <w:textAlignment w:val="auto"/>
              <w:rPr>
                <w:rStyle w:val="44"/>
                <w:rFonts w:hint="eastAsia" w:ascii="宋体" w:hAnsi="宋体" w:eastAsia="宋体" w:cs="宋体"/>
                <w:color w:val="auto"/>
                <w:kern w:val="2"/>
                <w:sz w:val="21"/>
                <w:szCs w:val="21"/>
                <w:highlight w:val="none"/>
                <w:u w:val="single"/>
                <w:lang w:val="en-US" w:eastAsia="zh-CN" w:bidi="ar-SA"/>
              </w:rPr>
            </w:pPr>
            <w:r>
              <w:rPr>
                <w:rStyle w:val="44"/>
                <w:rFonts w:hint="eastAsia" w:ascii="宋体" w:hAnsi="宋体" w:eastAsia="宋体" w:cs="宋体"/>
                <w:color w:val="auto"/>
                <w:kern w:val="2"/>
                <w:sz w:val="21"/>
                <w:szCs w:val="21"/>
                <w:highlight w:val="none"/>
                <w:u w:val="single"/>
                <w:lang w:val="en-US" w:eastAsia="zh-CN" w:bidi="ar-SA"/>
              </w:rPr>
              <w:t>4、</w:t>
            </w:r>
            <w:r>
              <w:rPr>
                <w:rStyle w:val="44"/>
                <w:rFonts w:hint="eastAsia" w:ascii="宋体" w:hAnsi="宋体" w:eastAsia="宋体" w:cs="宋体"/>
                <w:bCs/>
                <w:color w:val="auto"/>
                <w:kern w:val="2"/>
                <w:sz w:val="21"/>
                <w:szCs w:val="21"/>
                <w:highlight w:val="none"/>
                <w:u w:val="single"/>
                <w:lang w:val="en-US" w:eastAsia="zh-CN" w:bidi="ar-SA"/>
              </w:rPr>
              <w:t>建筑安装</w:t>
            </w:r>
            <w:r>
              <w:rPr>
                <w:rStyle w:val="44"/>
                <w:rFonts w:hint="eastAsia" w:ascii="宋体" w:hAnsi="宋体" w:eastAsia="宋体" w:cs="宋体"/>
                <w:color w:val="auto"/>
                <w:kern w:val="2"/>
                <w:sz w:val="21"/>
                <w:szCs w:val="21"/>
                <w:highlight w:val="none"/>
                <w:u w:val="single"/>
                <w:lang w:val="en-US" w:eastAsia="zh-CN" w:bidi="ar-SA"/>
              </w:rPr>
              <w:t>工程费用计算方法：</w:t>
            </w:r>
          </w:p>
          <w:p w14:paraId="05FFBF09">
            <w:pPr>
              <w:pStyle w:val="187"/>
              <w:keepNext w:val="0"/>
              <w:keepLines w:val="0"/>
              <w:pageBreakBefore w:val="0"/>
              <w:widowControl w:val="0"/>
              <w:kinsoku/>
              <w:wordWrap/>
              <w:overflowPunct/>
              <w:topLinePunct w:val="0"/>
              <w:autoSpaceDE/>
              <w:autoSpaceDN/>
              <w:bidi w:val="0"/>
              <w:adjustRightInd w:val="0"/>
              <w:snapToGrid w:val="0"/>
              <w:spacing w:line="440" w:lineRule="exact"/>
              <w:jc w:val="left"/>
              <w:textAlignment w:val="auto"/>
              <w:rPr>
                <w:rStyle w:val="44"/>
                <w:rFonts w:hint="eastAsia" w:ascii="宋体" w:hAnsi="宋体" w:eastAsia="宋体" w:cs="宋体"/>
                <w:color w:val="auto"/>
                <w:kern w:val="2"/>
                <w:sz w:val="21"/>
                <w:szCs w:val="21"/>
                <w:highlight w:val="none"/>
                <w:u w:val="single"/>
                <w:lang w:val="en-US" w:eastAsia="zh-CN" w:bidi="ar-SA"/>
              </w:rPr>
            </w:pPr>
            <w:r>
              <w:rPr>
                <w:rStyle w:val="44"/>
                <w:rFonts w:hint="eastAsia" w:ascii="宋体" w:hAnsi="宋体" w:eastAsia="宋体" w:cs="宋体"/>
                <w:color w:val="auto"/>
                <w:kern w:val="2"/>
                <w:sz w:val="21"/>
                <w:szCs w:val="21"/>
                <w:highlight w:val="none"/>
                <w:u w:val="single"/>
                <w:lang w:val="en-US" w:eastAsia="zh-CN" w:bidi="ar-SA"/>
              </w:rPr>
              <w:t>（1）工程量计算规则：执行《建设工程工程量清单计价规范（GB50500-20</w:t>
            </w:r>
            <w:r>
              <w:rPr>
                <w:rStyle w:val="44"/>
                <w:rFonts w:hint="eastAsia" w:cs="宋体"/>
                <w:color w:val="auto"/>
                <w:kern w:val="2"/>
                <w:sz w:val="21"/>
                <w:szCs w:val="21"/>
                <w:highlight w:val="none"/>
                <w:u w:val="single"/>
                <w:lang w:val="en-US" w:eastAsia="zh-CN" w:bidi="ar-SA"/>
              </w:rPr>
              <w:t>24</w:t>
            </w:r>
            <w:r>
              <w:rPr>
                <w:rStyle w:val="44"/>
                <w:rFonts w:hint="eastAsia" w:ascii="宋体" w:hAnsi="宋体" w:eastAsia="宋体" w:cs="宋体"/>
                <w:color w:val="auto"/>
                <w:kern w:val="2"/>
                <w:sz w:val="21"/>
                <w:szCs w:val="21"/>
                <w:highlight w:val="none"/>
                <w:u w:val="single"/>
                <w:lang w:val="en-US" w:eastAsia="zh-CN" w:bidi="ar-SA"/>
              </w:rPr>
              <w:t>）、20</w:t>
            </w:r>
            <w:r>
              <w:rPr>
                <w:rStyle w:val="44"/>
                <w:rFonts w:hint="eastAsia" w:cs="宋体"/>
                <w:color w:val="auto"/>
                <w:kern w:val="2"/>
                <w:sz w:val="21"/>
                <w:szCs w:val="21"/>
                <w:highlight w:val="none"/>
                <w:u w:val="single"/>
                <w:lang w:val="en-US" w:eastAsia="zh-CN" w:bidi="ar-SA"/>
              </w:rPr>
              <w:t>24</w:t>
            </w:r>
            <w:r>
              <w:rPr>
                <w:rStyle w:val="44"/>
                <w:rFonts w:hint="eastAsia" w:ascii="宋体" w:hAnsi="宋体" w:eastAsia="宋体" w:cs="宋体"/>
                <w:color w:val="auto"/>
                <w:kern w:val="2"/>
                <w:sz w:val="21"/>
                <w:szCs w:val="21"/>
                <w:highlight w:val="none"/>
                <w:u w:val="single"/>
                <w:lang w:val="en-US" w:eastAsia="zh-CN" w:bidi="ar-SA"/>
              </w:rPr>
              <w:t>年《辽宁省建设工程计价依据》中的各专业计算规则。</w:t>
            </w:r>
          </w:p>
          <w:p w14:paraId="62AF1843">
            <w:pPr>
              <w:pStyle w:val="187"/>
              <w:keepNext w:val="0"/>
              <w:keepLines w:val="0"/>
              <w:pageBreakBefore w:val="0"/>
              <w:widowControl w:val="0"/>
              <w:kinsoku/>
              <w:wordWrap/>
              <w:overflowPunct/>
              <w:topLinePunct w:val="0"/>
              <w:autoSpaceDE/>
              <w:autoSpaceDN/>
              <w:bidi w:val="0"/>
              <w:adjustRightInd w:val="0"/>
              <w:snapToGrid w:val="0"/>
              <w:spacing w:line="440" w:lineRule="exact"/>
              <w:jc w:val="left"/>
              <w:textAlignment w:val="auto"/>
              <w:rPr>
                <w:rStyle w:val="44"/>
                <w:rFonts w:hint="eastAsia" w:ascii="宋体" w:hAnsi="宋体" w:eastAsia="宋体" w:cs="宋体"/>
                <w:color w:val="auto"/>
                <w:kern w:val="2"/>
                <w:sz w:val="21"/>
                <w:szCs w:val="21"/>
                <w:highlight w:val="none"/>
                <w:u w:val="single"/>
                <w:lang w:val="en-US" w:eastAsia="zh-CN" w:bidi="ar-SA"/>
              </w:rPr>
            </w:pPr>
            <w:r>
              <w:rPr>
                <w:rStyle w:val="44"/>
                <w:rFonts w:hint="eastAsia" w:ascii="宋体" w:hAnsi="宋体" w:eastAsia="宋体" w:cs="宋体"/>
                <w:color w:val="auto"/>
                <w:kern w:val="2"/>
                <w:sz w:val="21"/>
                <w:szCs w:val="21"/>
                <w:highlight w:val="none"/>
                <w:u w:val="single"/>
                <w:lang w:val="en-US" w:eastAsia="zh-CN" w:bidi="ar-SA"/>
              </w:rPr>
              <w:t>（2）计价依据中的定额有相同项按定额执行，没有相同项目有类似项目的按类似项执行，没有类似项目的按市场价执行。</w:t>
            </w:r>
          </w:p>
          <w:p w14:paraId="51D3E048">
            <w:pPr>
              <w:pStyle w:val="187"/>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Style w:val="44"/>
                <w:rFonts w:hint="eastAsia" w:ascii="宋体" w:hAnsi="宋体" w:eastAsia="宋体" w:cs="宋体"/>
                <w:color w:val="auto"/>
                <w:kern w:val="2"/>
                <w:sz w:val="21"/>
                <w:szCs w:val="21"/>
                <w:highlight w:val="none"/>
                <w:u w:val="single"/>
                <w:lang w:val="en-US" w:eastAsia="zh-CN" w:bidi="ar-SA"/>
              </w:rPr>
            </w:pPr>
            <w:r>
              <w:rPr>
                <w:rStyle w:val="44"/>
                <w:rFonts w:hint="eastAsia" w:ascii="宋体" w:hAnsi="宋体" w:eastAsia="宋体" w:cs="宋体"/>
                <w:color w:val="auto"/>
                <w:kern w:val="2"/>
                <w:sz w:val="21"/>
                <w:szCs w:val="21"/>
                <w:highlight w:val="none"/>
                <w:u w:val="single"/>
                <w:lang w:val="en-US" w:eastAsia="zh-CN" w:bidi="ar-SA"/>
              </w:rPr>
              <w:t>（3）材料费：以辽宁省住房和城乡建设厅发布的投标时的基期价格（以下简称网刊价格）为参考，网刊上有价格的按网刊价格执行；网刊上无数据的材料可参照省内其他城市价格执行；网刊上都没有可参照数据的，参照市场价格或由监理单位、发包人共同选样及确定价格。合同履行期间材料价格风险以基期网刊价格为基础，超过±5%时，其超过部分据实调整。</w:t>
            </w:r>
          </w:p>
          <w:p w14:paraId="2611D5A5">
            <w:pPr>
              <w:pStyle w:val="187"/>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Style w:val="44"/>
                <w:rFonts w:hint="eastAsia" w:ascii="宋体" w:hAnsi="宋体" w:eastAsia="宋体" w:cs="宋体"/>
                <w:color w:val="auto"/>
                <w:kern w:val="2"/>
                <w:sz w:val="21"/>
                <w:szCs w:val="21"/>
                <w:highlight w:val="none"/>
                <w:u w:val="single"/>
                <w:lang w:val="en-US" w:eastAsia="zh-CN" w:bidi="ar-SA"/>
              </w:rPr>
            </w:pPr>
            <w:r>
              <w:rPr>
                <w:rStyle w:val="44"/>
                <w:rFonts w:hint="eastAsia" w:ascii="宋体" w:hAnsi="宋体" w:eastAsia="宋体" w:cs="宋体"/>
                <w:color w:val="auto"/>
                <w:kern w:val="2"/>
                <w:sz w:val="21"/>
                <w:szCs w:val="21"/>
                <w:highlight w:val="none"/>
                <w:u w:val="single"/>
                <w:lang w:val="en-US" w:eastAsia="zh-CN" w:bidi="ar-SA"/>
              </w:rPr>
              <w:t>（4）管理费、利润以及可以按系数计取的措施费按20</w:t>
            </w:r>
            <w:r>
              <w:rPr>
                <w:rStyle w:val="44"/>
                <w:rFonts w:hint="eastAsia" w:cs="宋体"/>
                <w:color w:val="auto"/>
                <w:kern w:val="2"/>
                <w:sz w:val="21"/>
                <w:szCs w:val="21"/>
                <w:highlight w:val="none"/>
                <w:u w:val="single"/>
                <w:lang w:val="en-US" w:eastAsia="zh-CN" w:bidi="ar-SA"/>
              </w:rPr>
              <w:t>24</w:t>
            </w:r>
            <w:r>
              <w:rPr>
                <w:rStyle w:val="44"/>
                <w:rFonts w:hint="eastAsia" w:ascii="宋体" w:hAnsi="宋体" w:eastAsia="宋体" w:cs="宋体"/>
                <w:color w:val="auto"/>
                <w:kern w:val="2"/>
                <w:sz w:val="21"/>
                <w:szCs w:val="21"/>
                <w:highlight w:val="none"/>
                <w:u w:val="single"/>
                <w:lang w:val="en-US" w:eastAsia="zh-CN" w:bidi="ar-SA"/>
              </w:rPr>
              <w:t>年辽宁省建设工程费用标准中的基础费率执行。</w:t>
            </w:r>
          </w:p>
          <w:p w14:paraId="6A4E88A3">
            <w:pPr>
              <w:pStyle w:val="187"/>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Style w:val="44"/>
                <w:rFonts w:hint="eastAsia" w:ascii="宋体" w:hAnsi="宋体" w:eastAsia="宋体" w:cs="宋体"/>
                <w:color w:val="auto"/>
                <w:kern w:val="2"/>
                <w:sz w:val="21"/>
                <w:szCs w:val="21"/>
                <w:highlight w:val="none"/>
                <w:u w:val="single"/>
                <w:lang w:val="en-US" w:eastAsia="zh-CN" w:bidi="ar-SA"/>
              </w:rPr>
            </w:pPr>
            <w:r>
              <w:rPr>
                <w:rStyle w:val="44"/>
                <w:rFonts w:hint="eastAsia" w:ascii="宋体" w:hAnsi="宋体" w:eastAsia="宋体" w:cs="宋体"/>
                <w:color w:val="auto"/>
                <w:kern w:val="2"/>
                <w:sz w:val="21"/>
                <w:szCs w:val="21"/>
                <w:highlight w:val="none"/>
                <w:u w:val="single"/>
                <w:lang w:val="en-US" w:eastAsia="zh-CN" w:bidi="ar-SA"/>
              </w:rPr>
              <w:t>（5）不能按系数计取的措施费如夜间施工增加费、已完工程及设备保护费、二次搬运费、以及其他不能按系数计取的措施费等，在招标工作结束、计算实际签约合同价（代号B）时按监理审定同意的施工组织设计及施工方案计算，在竣工结算阶段按发包人审定意见计算。</w:t>
            </w:r>
          </w:p>
          <w:p w14:paraId="5AB3412A">
            <w:pPr>
              <w:pStyle w:val="187"/>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Style w:val="44"/>
                <w:rFonts w:hint="eastAsia" w:ascii="宋体" w:hAnsi="宋体" w:eastAsia="宋体" w:cs="宋体"/>
                <w:color w:val="auto"/>
                <w:kern w:val="2"/>
                <w:sz w:val="21"/>
                <w:szCs w:val="21"/>
                <w:highlight w:val="none"/>
                <w:u w:val="single"/>
                <w:lang w:val="en-US" w:eastAsia="zh-CN" w:bidi="ar-SA"/>
              </w:rPr>
            </w:pPr>
            <w:r>
              <w:rPr>
                <w:rStyle w:val="44"/>
                <w:rFonts w:hint="eastAsia" w:ascii="宋体" w:hAnsi="宋体" w:eastAsia="宋体" w:cs="宋体"/>
                <w:color w:val="auto"/>
                <w:kern w:val="2"/>
                <w:sz w:val="21"/>
                <w:szCs w:val="21"/>
                <w:highlight w:val="none"/>
                <w:u w:val="single"/>
                <w:lang w:val="en-US" w:eastAsia="zh-CN" w:bidi="ar-SA"/>
              </w:rPr>
              <w:t>（6）总承包服务费（总承包配合费）不计取。</w:t>
            </w:r>
          </w:p>
          <w:p w14:paraId="13D0D0A3">
            <w:pPr>
              <w:pStyle w:val="187"/>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Style w:val="44"/>
                <w:rFonts w:hint="eastAsia" w:ascii="宋体" w:hAnsi="宋体" w:eastAsia="宋体" w:cs="宋体"/>
                <w:color w:val="auto"/>
                <w:kern w:val="2"/>
                <w:sz w:val="21"/>
                <w:szCs w:val="21"/>
                <w:highlight w:val="none"/>
                <w:u w:val="single"/>
                <w:lang w:val="en-US" w:eastAsia="zh-CN" w:bidi="ar-SA"/>
              </w:rPr>
            </w:pPr>
            <w:r>
              <w:rPr>
                <w:rStyle w:val="44"/>
                <w:rFonts w:hint="eastAsia" w:ascii="宋体" w:hAnsi="宋体" w:eastAsia="宋体" w:cs="宋体"/>
                <w:color w:val="auto"/>
                <w:kern w:val="2"/>
                <w:sz w:val="21"/>
                <w:szCs w:val="21"/>
                <w:highlight w:val="none"/>
                <w:u w:val="single"/>
                <w:lang w:val="en-US" w:eastAsia="zh-CN" w:bidi="ar-SA"/>
              </w:rPr>
              <w:t>（7）检验试验费：对施工材料、构件、设备和施工成品进行的一般鉴定、检查所发生的检验试验费用均含在投标人企业管理费中，由承包人自行支付，检测单位由发包人指定，发包人明确提出由发包人自行支付的特殊检测费用除外。</w:t>
            </w:r>
          </w:p>
          <w:p w14:paraId="05636808">
            <w:pPr>
              <w:pStyle w:val="187"/>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Style w:val="44"/>
                <w:rFonts w:hint="eastAsia" w:ascii="宋体" w:hAnsi="宋体" w:eastAsia="宋体" w:cs="宋体"/>
                <w:color w:val="auto"/>
                <w:kern w:val="2"/>
                <w:sz w:val="21"/>
                <w:szCs w:val="21"/>
                <w:highlight w:val="none"/>
                <w:u w:val="single"/>
                <w:lang w:val="en-US" w:eastAsia="zh-CN" w:bidi="ar-SA"/>
              </w:rPr>
            </w:pPr>
            <w:r>
              <w:rPr>
                <w:rStyle w:val="44"/>
                <w:rFonts w:hint="eastAsia" w:ascii="宋体" w:hAnsi="宋体" w:eastAsia="宋体" w:cs="宋体"/>
                <w:color w:val="auto"/>
                <w:kern w:val="2"/>
                <w:sz w:val="21"/>
                <w:szCs w:val="21"/>
                <w:highlight w:val="none"/>
                <w:u w:val="single"/>
                <w:lang w:val="en-US" w:eastAsia="zh-CN" w:bidi="ar-SA"/>
              </w:rPr>
              <w:t>（8）规费：由承包人自行考虑。</w:t>
            </w:r>
          </w:p>
          <w:p w14:paraId="30FB28BB">
            <w:pPr>
              <w:pStyle w:val="187"/>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Style w:val="44"/>
                <w:rFonts w:hint="eastAsia" w:ascii="宋体" w:hAnsi="宋体" w:eastAsia="宋体" w:cs="宋体"/>
                <w:color w:val="auto"/>
                <w:kern w:val="2"/>
                <w:sz w:val="21"/>
                <w:szCs w:val="21"/>
                <w:highlight w:val="none"/>
                <w:u w:val="single"/>
                <w:lang w:val="en-US" w:eastAsia="zh-CN" w:bidi="ar-SA"/>
              </w:rPr>
            </w:pPr>
            <w:r>
              <w:rPr>
                <w:rStyle w:val="44"/>
                <w:rFonts w:hint="eastAsia" w:ascii="宋体" w:hAnsi="宋体" w:eastAsia="宋体" w:cs="宋体"/>
                <w:color w:val="auto"/>
                <w:kern w:val="2"/>
                <w:sz w:val="21"/>
                <w:szCs w:val="21"/>
                <w:highlight w:val="none"/>
                <w:u w:val="single"/>
                <w:lang w:val="en-US" w:eastAsia="zh-CN" w:bidi="ar-SA"/>
              </w:rPr>
              <w:t>（9）由承包人造成的施工现场出现赶工、窝工以及特殊天气等特殊情况造成的人工和机械降效，不额外给予费用补偿，但由发包人原因造成的，经甲方、监理确认后施工期顺延。</w:t>
            </w:r>
          </w:p>
          <w:p w14:paraId="290F739D">
            <w:pPr>
              <w:pStyle w:val="187"/>
              <w:keepNext w:val="0"/>
              <w:keepLines w:val="0"/>
              <w:pageBreakBefore w:val="0"/>
              <w:widowControl w:val="0"/>
              <w:kinsoku/>
              <w:wordWrap/>
              <w:overflowPunct/>
              <w:topLinePunct w:val="0"/>
              <w:autoSpaceDE/>
              <w:autoSpaceDN/>
              <w:bidi w:val="0"/>
              <w:adjustRightInd w:val="0"/>
              <w:snapToGrid w:val="0"/>
              <w:spacing w:line="440" w:lineRule="exact"/>
              <w:ind w:left="0" w:leftChars="0"/>
              <w:jc w:val="both"/>
              <w:textAlignment w:val="auto"/>
              <w:rPr>
                <w:rStyle w:val="44"/>
                <w:rFonts w:hint="eastAsia" w:ascii="宋体" w:hAnsi="宋体" w:eastAsia="宋体" w:cs="宋体"/>
                <w:color w:val="auto"/>
                <w:kern w:val="2"/>
                <w:sz w:val="21"/>
                <w:szCs w:val="21"/>
                <w:highlight w:val="none"/>
                <w:u w:val="single"/>
                <w:lang w:val="en-US" w:eastAsia="zh-CN" w:bidi="ar-SA"/>
              </w:rPr>
            </w:pPr>
            <w:r>
              <w:rPr>
                <w:rStyle w:val="44"/>
                <w:rFonts w:hint="eastAsia" w:ascii="宋体" w:hAnsi="宋体" w:eastAsia="宋体" w:cs="宋体"/>
                <w:color w:val="auto"/>
                <w:kern w:val="2"/>
                <w:sz w:val="21"/>
                <w:szCs w:val="21"/>
                <w:highlight w:val="none"/>
                <w:u w:val="single"/>
                <w:lang w:val="en-US" w:eastAsia="zh-CN" w:bidi="ar-SA"/>
              </w:rPr>
              <w:t>5、本项目投标人填报的设计费为固定费，在招标文件及施工合同约定的招标内容（工程内容）及相应风险范围之内不可调整，设计费不变，建筑安装工程费用按最后财政审核的建筑安装工程费计算。</w:t>
            </w:r>
          </w:p>
          <w:p w14:paraId="55A01116">
            <w:pPr>
              <w:pStyle w:val="187"/>
              <w:keepNext w:val="0"/>
              <w:keepLines w:val="0"/>
              <w:pageBreakBefore w:val="0"/>
              <w:widowControl w:val="0"/>
              <w:kinsoku/>
              <w:wordWrap/>
              <w:overflowPunct/>
              <w:topLinePunct w:val="0"/>
              <w:autoSpaceDE/>
              <w:autoSpaceDN/>
              <w:bidi w:val="0"/>
              <w:adjustRightInd w:val="0"/>
              <w:snapToGrid w:val="0"/>
              <w:spacing w:line="440" w:lineRule="exact"/>
              <w:ind w:left="0" w:leftChars="0"/>
              <w:jc w:val="both"/>
              <w:textAlignment w:val="auto"/>
              <w:rPr>
                <w:rStyle w:val="44"/>
                <w:rFonts w:hint="eastAsia" w:ascii="宋体" w:hAnsi="宋体" w:eastAsia="宋体" w:cs="宋体"/>
                <w:color w:val="auto"/>
                <w:kern w:val="2"/>
                <w:sz w:val="21"/>
                <w:szCs w:val="21"/>
                <w:highlight w:val="none"/>
                <w:u w:val="single"/>
                <w:lang w:val="en-US" w:eastAsia="zh-CN" w:bidi="ar-SA"/>
              </w:rPr>
            </w:pPr>
            <w:r>
              <w:rPr>
                <w:rStyle w:val="44"/>
                <w:rFonts w:hint="eastAsia" w:ascii="宋体" w:hAnsi="宋体" w:eastAsia="宋体" w:cs="宋体"/>
                <w:color w:val="auto"/>
                <w:kern w:val="2"/>
                <w:sz w:val="21"/>
                <w:szCs w:val="21"/>
                <w:highlight w:val="none"/>
                <w:u w:val="single"/>
                <w:lang w:val="en-US" w:eastAsia="zh-CN" w:bidi="ar-SA"/>
              </w:rPr>
              <w:t>6、投标报价风险：</w:t>
            </w:r>
          </w:p>
          <w:p w14:paraId="3B164DDD">
            <w:pPr>
              <w:pStyle w:val="187"/>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Style w:val="44"/>
                <w:rFonts w:hint="eastAsia" w:ascii="宋体" w:hAnsi="宋体" w:eastAsia="宋体" w:cs="宋体"/>
                <w:color w:val="auto"/>
                <w:kern w:val="2"/>
                <w:sz w:val="21"/>
                <w:szCs w:val="21"/>
                <w:highlight w:val="none"/>
                <w:u w:val="single"/>
                <w:lang w:val="en-US" w:eastAsia="zh-CN" w:bidi="ar-SA"/>
              </w:rPr>
            </w:pPr>
            <w:r>
              <w:rPr>
                <w:rStyle w:val="44"/>
                <w:rFonts w:hint="eastAsia" w:ascii="宋体" w:hAnsi="宋体" w:eastAsia="宋体" w:cs="宋体"/>
                <w:color w:val="auto"/>
                <w:kern w:val="2"/>
                <w:sz w:val="21"/>
                <w:szCs w:val="21"/>
                <w:highlight w:val="none"/>
                <w:u w:val="single"/>
                <w:lang w:val="en-US" w:eastAsia="zh-CN" w:bidi="ar-SA"/>
              </w:rPr>
              <w:t>（1）投标人依据招标文件自行考虑风险因素进行投标报价，一旦中标，结算方式将不会因市场变化因素而得到调整。</w:t>
            </w:r>
          </w:p>
          <w:p w14:paraId="4C2628EF">
            <w:pPr>
              <w:pStyle w:val="187"/>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Style w:val="44"/>
                <w:rFonts w:hint="eastAsia" w:ascii="宋体" w:hAnsi="宋体" w:eastAsia="宋体" w:cs="宋体"/>
                <w:color w:val="auto"/>
                <w:kern w:val="2"/>
                <w:sz w:val="21"/>
                <w:szCs w:val="21"/>
                <w:highlight w:val="none"/>
                <w:u w:val="single"/>
                <w:lang w:val="en-US" w:eastAsia="zh-CN" w:bidi="ar-SA"/>
              </w:rPr>
            </w:pPr>
            <w:r>
              <w:rPr>
                <w:rStyle w:val="44"/>
                <w:rFonts w:hint="eastAsia" w:ascii="宋体" w:hAnsi="宋体" w:eastAsia="宋体" w:cs="宋体"/>
                <w:color w:val="auto"/>
                <w:kern w:val="2"/>
                <w:sz w:val="21"/>
                <w:szCs w:val="21"/>
                <w:highlight w:val="none"/>
                <w:u w:val="single"/>
                <w:lang w:val="en-US" w:eastAsia="zh-CN" w:bidi="ar-SA"/>
              </w:rPr>
              <w:t>（2）投标报价中应包括完成施工项目所发生的人工费、材料费、机械费、管理费、利润、措施费、规费、税金以及合同包含的所有风险、责任等各项应有费用。</w:t>
            </w:r>
          </w:p>
          <w:p w14:paraId="48873964">
            <w:pPr>
              <w:pStyle w:val="187"/>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Style w:val="44"/>
                <w:rFonts w:hint="eastAsia" w:ascii="宋体" w:hAnsi="宋体" w:eastAsia="宋体" w:cs="宋体"/>
                <w:color w:val="auto"/>
                <w:kern w:val="2"/>
                <w:sz w:val="21"/>
                <w:szCs w:val="21"/>
                <w:highlight w:val="none"/>
                <w:u w:val="single"/>
                <w:lang w:val="en-US" w:eastAsia="zh-CN" w:bidi="ar-SA"/>
              </w:rPr>
            </w:pPr>
            <w:r>
              <w:rPr>
                <w:rStyle w:val="44"/>
                <w:rFonts w:hint="eastAsia" w:ascii="宋体" w:hAnsi="宋体" w:eastAsia="宋体" w:cs="宋体"/>
                <w:color w:val="auto"/>
                <w:kern w:val="2"/>
                <w:sz w:val="21"/>
                <w:szCs w:val="21"/>
                <w:highlight w:val="none"/>
                <w:u w:val="single"/>
                <w:lang w:val="en-US" w:eastAsia="zh-CN" w:bidi="ar-SA"/>
              </w:rPr>
              <w:t>（3）投标人应充分考虑料场、进场道路、施工道路及工程建设中一切与第三方纠纷的组织、协调，发包人不负责组织和协调工作。</w:t>
            </w:r>
          </w:p>
          <w:p w14:paraId="6F4A402D">
            <w:pPr>
              <w:pStyle w:val="187"/>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Style w:val="44"/>
                <w:rFonts w:hint="eastAsia" w:ascii="宋体" w:hAnsi="宋体" w:eastAsia="宋体" w:cs="宋体"/>
                <w:color w:val="auto"/>
                <w:kern w:val="2"/>
                <w:sz w:val="21"/>
                <w:szCs w:val="21"/>
                <w:highlight w:val="none"/>
                <w:u w:val="single"/>
                <w:lang w:val="en-US" w:eastAsia="zh-CN" w:bidi="ar-SA"/>
              </w:rPr>
            </w:pPr>
            <w:r>
              <w:rPr>
                <w:rStyle w:val="44"/>
                <w:rFonts w:hint="eastAsia" w:ascii="宋体" w:hAnsi="宋体" w:eastAsia="宋体" w:cs="宋体"/>
                <w:color w:val="auto"/>
                <w:kern w:val="2"/>
                <w:sz w:val="21"/>
                <w:szCs w:val="21"/>
                <w:highlight w:val="none"/>
                <w:u w:val="single"/>
                <w:lang w:val="en-US" w:eastAsia="zh-CN" w:bidi="ar-SA"/>
              </w:rPr>
              <w:t>（4）投标人应充分保证施工期间对周边环境和人、畜、建、构筑物的安全及影响，满足招标人及当地政府环保要求，所发生费用均包含在投标价格中，做好一切必备保护保障措施，造成一切损失及索赔均由中标人赔付。</w:t>
            </w:r>
          </w:p>
          <w:p w14:paraId="18F8ABA7">
            <w:pPr>
              <w:pStyle w:val="187"/>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Style w:val="44"/>
                <w:rFonts w:hint="eastAsia" w:ascii="宋体" w:hAnsi="宋体" w:eastAsia="宋体" w:cs="宋体"/>
                <w:color w:val="auto"/>
                <w:kern w:val="2"/>
                <w:sz w:val="21"/>
                <w:szCs w:val="21"/>
                <w:highlight w:val="none"/>
                <w:u w:val="single"/>
                <w:lang w:val="en-US" w:eastAsia="zh-CN" w:bidi="ar-SA"/>
              </w:rPr>
            </w:pPr>
            <w:r>
              <w:rPr>
                <w:rStyle w:val="44"/>
                <w:rFonts w:hint="eastAsia" w:ascii="宋体" w:hAnsi="宋体" w:eastAsia="宋体" w:cs="宋体"/>
                <w:color w:val="auto"/>
                <w:kern w:val="2"/>
                <w:sz w:val="21"/>
                <w:szCs w:val="21"/>
                <w:highlight w:val="none"/>
                <w:u w:val="single"/>
                <w:lang w:val="en-US" w:eastAsia="zh-CN" w:bidi="ar-SA"/>
              </w:rPr>
              <w:t>（5）投标人应充分考虑疫情防疫费用。</w:t>
            </w:r>
          </w:p>
          <w:p w14:paraId="532E3D7E">
            <w:pPr>
              <w:pStyle w:val="187"/>
              <w:keepNext w:val="0"/>
              <w:keepLines w:val="0"/>
              <w:pageBreakBefore w:val="0"/>
              <w:widowControl w:val="0"/>
              <w:kinsoku/>
              <w:wordWrap/>
              <w:overflowPunct/>
              <w:topLinePunct w:val="0"/>
              <w:autoSpaceDE/>
              <w:autoSpaceDN/>
              <w:bidi w:val="0"/>
              <w:adjustRightInd w:val="0"/>
              <w:snapToGrid w:val="0"/>
              <w:spacing w:line="440" w:lineRule="exact"/>
              <w:jc w:val="both"/>
              <w:textAlignment w:val="auto"/>
              <w:rPr>
                <w:rStyle w:val="44"/>
                <w:rFonts w:hint="eastAsia" w:ascii="宋体" w:hAnsi="宋体" w:eastAsia="宋体" w:cs="宋体"/>
                <w:color w:val="auto"/>
                <w:kern w:val="2"/>
                <w:sz w:val="21"/>
                <w:szCs w:val="21"/>
                <w:highlight w:val="none"/>
                <w:u w:val="single"/>
                <w:lang w:val="en-US" w:eastAsia="zh-CN" w:bidi="ar-SA"/>
              </w:rPr>
            </w:pPr>
            <w:r>
              <w:rPr>
                <w:rStyle w:val="44"/>
                <w:rFonts w:hint="eastAsia" w:ascii="宋体" w:hAnsi="宋体" w:eastAsia="宋体" w:cs="宋体"/>
                <w:color w:val="auto"/>
                <w:kern w:val="2"/>
                <w:sz w:val="21"/>
                <w:szCs w:val="21"/>
                <w:highlight w:val="none"/>
                <w:u w:val="single"/>
                <w:lang w:val="en-US" w:eastAsia="zh-CN" w:bidi="ar-SA"/>
              </w:rPr>
              <w:t>（6）所有涉及本项目的费用均包含在投标报价总价中，投标人应自行考虑。</w:t>
            </w:r>
          </w:p>
          <w:p w14:paraId="26B1F5AE">
            <w:pPr>
              <w:pStyle w:val="187"/>
              <w:keepNext w:val="0"/>
              <w:keepLines w:val="0"/>
              <w:pageBreakBefore w:val="0"/>
              <w:widowControl w:val="0"/>
              <w:kinsoku/>
              <w:wordWrap/>
              <w:overflowPunct/>
              <w:topLinePunct w:val="0"/>
              <w:autoSpaceDE/>
              <w:autoSpaceDN/>
              <w:bidi w:val="0"/>
              <w:adjustRightInd w:val="0"/>
              <w:snapToGrid w:val="0"/>
              <w:spacing w:line="440" w:lineRule="exact"/>
              <w:ind w:left="0" w:leftChars="0"/>
              <w:jc w:val="both"/>
              <w:textAlignment w:val="auto"/>
              <w:rPr>
                <w:rStyle w:val="44"/>
                <w:rFonts w:hint="eastAsia" w:ascii="宋体" w:hAnsi="宋体" w:eastAsia="宋体" w:cs="宋体"/>
                <w:color w:val="auto"/>
                <w:kern w:val="2"/>
                <w:sz w:val="21"/>
                <w:szCs w:val="21"/>
                <w:highlight w:val="none"/>
                <w:u w:val="single"/>
                <w:lang w:val="en-US" w:eastAsia="zh-CN" w:bidi="ar-SA"/>
              </w:rPr>
            </w:pPr>
            <w:r>
              <w:rPr>
                <w:rStyle w:val="44"/>
                <w:rFonts w:hint="eastAsia" w:ascii="宋体" w:hAnsi="宋体" w:eastAsia="宋体" w:cs="宋体"/>
                <w:b/>
                <w:color w:val="auto"/>
                <w:kern w:val="2"/>
                <w:sz w:val="21"/>
                <w:szCs w:val="21"/>
                <w:highlight w:val="none"/>
                <w:u w:val="single"/>
                <w:lang w:val="en-US" w:eastAsia="zh-CN" w:bidi="ar-SA"/>
              </w:rPr>
              <w:t>三、其他要求</w:t>
            </w:r>
          </w:p>
          <w:p w14:paraId="016EAE25">
            <w:pPr>
              <w:pStyle w:val="187"/>
              <w:keepNext w:val="0"/>
              <w:keepLines w:val="0"/>
              <w:pageBreakBefore w:val="0"/>
              <w:widowControl w:val="0"/>
              <w:kinsoku/>
              <w:wordWrap/>
              <w:overflowPunct/>
              <w:topLinePunct w:val="0"/>
              <w:autoSpaceDE/>
              <w:autoSpaceDN/>
              <w:bidi w:val="0"/>
              <w:adjustRightInd w:val="0"/>
              <w:snapToGrid w:val="0"/>
              <w:spacing w:line="440" w:lineRule="exact"/>
              <w:ind w:left="0" w:leftChars="0"/>
              <w:jc w:val="both"/>
              <w:textAlignment w:val="auto"/>
              <w:rPr>
                <w:rStyle w:val="44"/>
                <w:rFonts w:hint="eastAsia" w:ascii="宋体" w:hAnsi="宋体" w:eastAsia="宋体" w:cs="宋体"/>
                <w:b/>
                <w:color w:val="auto"/>
                <w:kern w:val="2"/>
                <w:sz w:val="21"/>
                <w:szCs w:val="21"/>
                <w:highlight w:val="none"/>
                <w:u w:val="single"/>
                <w:lang w:val="en-US" w:eastAsia="zh-CN" w:bidi="ar-SA"/>
              </w:rPr>
            </w:pPr>
            <w:r>
              <w:rPr>
                <w:rStyle w:val="44"/>
                <w:rFonts w:hint="eastAsia" w:ascii="宋体" w:hAnsi="宋体" w:eastAsia="宋体" w:cs="宋体"/>
                <w:color w:val="auto"/>
                <w:kern w:val="2"/>
                <w:sz w:val="21"/>
                <w:szCs w:val="21"/>
                <w:highlight w:val="none"/>
                <w:u w:val="single"/>
                <w:lang w:val="en-US" w:eastAsia="zh-CN" w:bidi="ar-SA"/>
              </w:rPr>
              <w:t>1、中标后承包人上报的</w:t>
            </w:r>
            <w:r>
              <w:rPr>
                <w:rStyle w:val="50"/>
                <w:rFonts w:hint="eastAsia" w:ascii="宋体" w:hAnsi="宋体" w:eastAsia="宋体" w:cs="宋体"/>
                <w:color w:val="auto"/>
                <w:kern w:val="2"/>
                <w:sz w:val="21"/>
                <w:szCs w:val="21"/>
                <w:highlight w:val="none"/>
                <w:u w:val="single"/>
                <w:lang w:val="en-US" w:eastAsia="zh-CN" w:bidi="ar-SA"/>
              </w:rPr>
              <w:t>工程</w:t>
            </w:r>
            <w:r>
              <w:rPr>
                <w:rStyle w:val="44"/>
                <w:rFonts w:hint="eastAsia" w:ascii="宋体" w:hAnsi="宋体" w:eastAsia="宋体" w:cs="宋体"/>
                <w:color w:val="auto"/>
                <w:kern w:val="2"/>
                <w:sz w:val="21"/>
                <w:szCs w:val="21"/>
                <w:highlight w:val="none"/>
                <w:u w:val="single"/>
                <w:lang w:val="en-US" w:eastAsia="zh-CN" w:bidi="ar-SA"/>
              </w:rPr>
              <w:t>预算经财政审核后，施工图纸不得更改（不包括设计变更）如有设计变更，需经招标人同意，变更发生的费用包括在签约合同价（代号A）中，财政审核后的工程费用高于中标时的工程费用，按中标时的</w:t>
            </w:r>
            <w:r>
              <w:rPr>
                <w:rStyle w:val="44"/>
                <w:rFonts w:hint="eastAsia" w:ascii="宋体" w:hAnsi="宋体" w:eastAsia="宋体" w:cs="宋体"/>
                <w:bCs/>
                <w:color w:val="auto"/>
                <w:kern w:val="2"/>
                <w:sz w:val="21"/>
                <w:szCs w:val="21"/>
                <w:highlight w:val="none"/>
                <w:u w:val="single"/>
                <w:lang w:val="en-US" w:eastAsia="zh-CN" w:bidi="ar-SA"/>
              </w:rPr>
              <w:t>建筑安装</w:t>
            </w:r>
            <w:r>
              <w:rPr>
                <w:rStyle w:val="44"/>
                <w:rFonts w:hint="eastAsia" w:ascii="宋体" w:hAnsi="宋体" w:eastAsia="宋体" w:cs="宋体"/>
                <w:color w:val="auto"/>
                <w:kern w:val="2"/>
                <w:sz w:val="21"/>
                <w:szCs w:val="21"/>
                <w:highlight w:val="none"/>
                <w:u w:val="single"/>
                <w:lang w:val="en-US" w:eastAsia="zh-CN" w:bidi="ar-SA"/>
              </w:rPr>
              <w:t>工程费用计算，低于中标时的</w:t>
            </w:r>
            <w:r>
              <w:rPr>
                <w:rStyle w:val="44"/>
                <w:rFonts w:hint="eastAsia" w:ascii="宋体" w:hAnsi="宋体" w:eastAsia="宋体" w:cs="宋体"/>
                <w:bCs/>
                <w:color w:val="auto"/>
                <w:kern w:val="2"/>
                <w:sz w:val="21"/>
                <w:szCs w:val="21"/>
                <w:highlight w:val="none"/>
                <w:u w:val="single"/>
                <w:lang w:val="en-US" w:eastAsia="zh-CN" w:bidi="ar-SA"/>
              </w:rPr>
              <w:t>建筑安装</w:t>
            </w:r>
            <w:r>
              <w:rPr>
                <w:rStyle w:val="44"/>
                <w:rFonts w:hint="eastAsia" w:ascii="宋体" w:hAnsi="宋体" w:eastAsia="宋体" w:cs="宋体"/>
                <w:color w:val="auto"/>
                <w:kern w:val="2"/>
                <w:sz w:val="21"/>
                <w:szCs w:val="21"/>
                <w:highlight w:val="none"/>
                <w:u w:val="single"/>
                <w:lang w:val="en-US" w:eastAsia="zh-CN" w:bidi="ar-SA"/>
              </w:rPr>
              <w:t>工程费用，按财政审核为准。</w:t>
            </w:r>
          </w:p>
          <w:p w14:paraId="257BBE07">
            <w:pPr>
              <w:pStyle w:val="187"/>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0" w:leftChars="0" w:firstLine="0"/>
              <w:jc w:val="both"/>
              <w:textAlignment w:val="auto"/>
              <w:rPr>
                <w:rStyle w:val="44"/>
                <w:rFonts w:hint="eastAsia" w:ascii="宋体" w:hAnsi="宋体" w:eastAsia="宋体" w:cs="宋体"/>
                <w:color w:val="auto"/>
                <w:kern w:val="2"/>
                <w:sz w:val="21"/>
                <w:szCs w:val="21"/>
                <w:highlight w:val="none"/>
                <w:u w:val="single"/>
                <w:lang w:val="en-US" w:eastAsia="zh-CN" w:bidi="ar-SA"/>
              </w:rPr>
            </w:pPr>
            <w:r>
              <w:rPr>
                <w:rStyle w:val="44"/>
                <w:rFonts w:hint="eastAsia" w:ascii="宋体" w:hAnsi="宋体" w:eastAsia="宋体" w:cs="宋体"/>
                <w:color w:val="auto"/>
                <w:kern w:val="2"/>
                <w:sz w:val="21"/>
                <w:szCs w:val="21"/>
                <w:highlight w:val="none"/>
                <w:u w:val="single"/>
                <w:lang w:val="en-US" w:eastAsia="zh-CN" w:bidi="ar-SA"/>
              </w:rPr>
              <w:t>2、竣工验收后，承包人按照最终实际实施的施工图纸、设计变更（如有）、实际发生的工程量、审定的综合单价以及实际发生的各项措施费用，计算出建筑安装工程费用结算价，该费用包含暂列金（如发生）。</w:t>
            </w:r>
          </w:p>
          <w:p w14:paraId="7FA85CF3">
            <w:pPr>
              <w:pStyle w:val="187"/>
              <w:keepNext w:val="0"/>
              <w:keepLines w:val="0"/>
              <w:pageBreakBefore w:val="0"/>
              <w:widowControl w:val="0"/>
              <w:kinsoku/>
              <w:wordWrap/>
              <w:overflowPunct/>
              <w:topLinePunct w:val="0"/>
              <w:autoSpaceDE/>
              <w:autoSpaceDN/>
              <w:bidi w:val="0"/>
              <w:adjustRightInd w:val="0"/>
              <w:snapToGrid w:val="0"/>
              <w:spacing w:line="440" w:lineRule="exact"/>
              <w:ind w:left="0" w:leftChars="0"/>
              <w:jc w:val="both"/>
              <w:textAlignment w:val="auto"/>
              <w:rPr>
                <w:rStyle w:val="44"/>
                <w:rFonts w:hint="eastAsia" w:ascii="宋体" w:hAnsi="宋体" w:eastAsia="宋体" w:cs="宋体"/>
                <w:color w:val="auto"/>
                <w:kern w:val="2"/>
                <w:sz w:val="21"/>
                <w:szCs w:val="21"/>
                <w:highlight w:val="none"/>
                <w:u w:val="single"/>
                <w:lang w:val="en-US" w:eastAsia="zh-CN" w:bidi="ar-SA"/>
              </w:rPr>
            </w:pPr>
            <w:r>
              <w:rPr>
                <w:rStyle w:val="44"/>
                <w:rFonts w:hint="eastAsia" w:ascii="宋体" w:hAnsi="宋体" w:eastAsia="宋体" w:cs="宋体"/>
                <w:color w:val="auto"/>
                <w:kern w:val="2"/>
                <w:sz w:val="21"/>
                <w:szCs w:val="21"/>
                <w:highlight w:val="none"/>
                <w:u w:val="single"/>
                <w:lang w:val="en-US" w:eastAsia="zh-CN" w:bidi="ar-SA"/>
              </w:rPr>
              <w:t>承包人上报的EPC总承包结算费用包括上述①建筑安装工程费用结算价、②设计费、③暂列金（如发生，据实计算，不下浮，暂列金为199.47万元，此费用为不可竞争费用，投标单位不得擅自修改）。④中标时的工程建设其他费（招标代理服务费）。</w:t>
            </w:r>
          </w:p>
          <w:p w14:paraId="08C53752">
            <w:pPr>
              <w:pStyle w:val="187"/>
              <w:keepNext w:val="0"/>
              <w:keepLines w:val="0"/>
              <w:pageBreakBefore w:val="0"/>
              <w:widowControl w:val="0"/>
              <w:kinsoku/>
              <w:wordWrap/>
              <w:overflowPunct/>
              <w:topLinePunct w:val="0"/>
              <w:autoSpaceDE/>
              <w:autoSpaceDN/>
              <w:bidi w:val="0"/>
              <w:adjustRightInd w:val="0"/>
              <w:snapToGrid w:val="0"/>
              <w:spacing w:line="440" w:lineRule="exact"/>
              <w:ind w:left="0" w:leftChars="0"/>
              <w:jc w:val="both"/>
              <w:textAlignment w:val="auto"/>
              <w:rPr>
                <w:rStyle w:val="44"/>
                <w:rFonts w:hint="eastAsia" w:ascii="宋体" w:hAnsi="宋体" w:eastAsia="宋体" w:cs="宋体"/>
                <w:color w:val="auto"/>
                <w:kern w:val="2"/>
                <w:sz w:val="21"/>
                <w:szCs w:val="21"/>
                <w:highlight w:val="none"/>
                <w:u w:val="single"/>
                <w:lang w:val="en-US" w:eastAsia="zh-CN" w:bidi="ar-SA"/>
              </w:rPr>
            </w:pPr>
            <w:r>
              <w:rPr>
                <w:rStyle w:val="44"/>
                <w:rFonts w:hint="eastAsia" w:ascii="宋体" w:hAnsi="宋体" w:eastAsia="宋体" w:cs="宋体"/>
                <w:color w:val="auto"/>
                <w:kern w:val="2"/>
                <w:sz w:val="21"/>
                <w:szCs w:val="21"/>
                <w:highlight w:val="none"/>
                <w:u w:val="single"/>
                <w:lang w:val="en-US" w:eastAsia="zh-CN" w:bidi="ar-SA"/>
              </w:rPr>
              <w:t>上述①-④项费用合计为EPC竣工结算价（代号C），上报财政部门做最终审核，财政审核完的金额不能超过中标时的签约合同价，即C≤A。</w:t>
            </w:r>
          </w:p>
          <w:p w14:paraId="7E31D04D">
            <w:pPr>
              <w:pStyle w:val="187"/>
              <w:keepNext w:val="0"/>
              <w:keepLines w:val="0"/>
              <w:pageBreakBefore w:val="0"/>
              <w:widowControl w:val="0"/>
              <w:kinsoku/>
              <w:wordWrap/>
              <w:overflowPunct/>
              <w:topLinePunct w:val="0"/>
              <w:autoSpaceDE/>
              <w:autoSpaceDN/>
              <w:bidi w:val="0"/>
              <w:adjustRightInd w:val="0"/>
              <w:snapToGrid w:val="0"/>
              <w:spacing w:line="440" w:lineRule="exact"/>
              <w:ind w:left="0" w:leftChars="0"/>
              <w:jc w:val="both"/>
              <w:textAlignment w:val="auto"/>
              <w:rPr>
                <w:rStyle w:val="44"/>
                <w:rFonts w:hint="eastAsia" w:ascii="宋体" w:hAnsi="宋体" w:eastAsia="宋体" w:cs="宋体"/>
                <w:color w:val="auto"/>
                <w:kern w:val="2"/>
                <w:sz w:val="21"/>
                <w:szCs w:val="21"/>
                <w:highlight w:val="none"/>
                <w:u w:val="single"/>
                <w:lang w:val="en-US" w:eastAsia="zh-CN" w:bidi="ar-SA"/>
              </w:rPr>
            </w:pPr>
            <w:r>
              <w:rPr>
                <w:rStyle w:val="44"/>
                <w:rFonts w:hint="eastAsia" w:ascii="宋体" w:hAnsi="宋体" w:eastAsia="宋体" w:cs="宋体"/>
                <w:color w:val="auto"/>
                <w:kern w:val="2"/>
                <w:sz w:val="21"/>
                <w:szCs w:val="21"/>
                <w:highlight w:val="none"/>
                <w:u w:val="single"/>
                <w:lang w:val="en-US" w:eastAsia="zh-CN" w:bidi="ar-SA"/>
              </w:rPr>
              <w:t>3、EPC总包竣工结算价超过实际签约合同价格时（即C＞B时），超过部分发包人不予支付，由承包人自行消化，即按实际签约合同价B价格进行结算；EPC总包竣工结算价低于实际签约合同价格时（即C＜B时），按EPC总包竣工结算价进行结算，即按C价格结算。</w:t>
            </w:r>
          </w:p>
          <w:p w14:paraId="079CE0CB">
            <w:pPr>
              <w:rPr>
                <w:rFonts w:ascii="Arial"/>
                <w:color w:val="auto"/>
                <w:highlight w:val="none"/>
              </w:rPr>
            </w:pPr>
            <w:r>
              <w:rPr>
                <w:rStyle w:val="44"/>
                <w:rFonts w:hint="eastAsia" w:ascii="宋体" w:hAnsi="宋体" w:eastAsia="宋体" w:cs="宋体"/>
                <w:b/>
                <w:bCs/>
                <w:color w:val="auto"/>
                <w:kern w:val="2"/>
                <w:sz w:val="21"/>
                <w:szCs w:val="21"/>
                <w:highlight w:val="none"/>
                <w:u w:val="single"/>
                <w:lang w:val="en-US" w:eastAsia="zh-CN" w:bidi="ar-SA"/>
              </w:rPr>
              <w:t>4、投标报价均保留小数点后两位，小数点后第三位四舍五入。</w:t>
            </w:r>
          </w:p>
        </w:tc>
      </w:tr>
      <w:tr w14:paraId="23C96A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856" w:type="dxa"/>
          </w:tcPr>
          <w:p w14:paraId="36FFA678">
            <w:pPr>
              <w:pStyle w:val="185"/>
              <w:spacing w:before="148"/>
              <w:ind w:left="177"/>
              <w:rPr>
                <w:color w:val="auto"/>
                <w:highlight w:val="none"/>
              </w:rPr>
            </w:pPr>
            <w:r>
              <w:rPr>
                <w:color w:val="auto"/>
                <w:spacing w:val="-2"/>
                <w:highlight w:val="none"/>
              </w:rPr>
              <w:t>3.3.1</w:t>
            </w:r>
          </w:p>
        </w:tc>
        <w:tc>
          <w:tcPr>
            <w:tcW w:w="2267" w:type="dxa"/>
          </w:tcPr>
          <w:p w14:paraId="5EE33D47">
            <w:pPr>
              <w:pStyle w:val="185"/>
              <w:spacing w:before="148" w:line="221" w:lineRule="auto"/>
              <w:ind w:left="613"/>
              <w:rPr>
                <w:color w:val="auto"/>
                <w:highlight w:val="none"/>
              </w:rPr>
            </w:pPr>
            <w:r>
              <w:rPr>
                <w:color w:val="auto"/>
                <w:spacing w:val="-2"/>
                <w:highlight w:val="none"/>
              </w:rPr>
              <w:t>投标有效期</w:t>
            </w:r>
          </w:p>
        </w:tc>
        <w:tc>
          <w:tcPr>
            <w:tcW w:w="5465" w:type="dxa"/>
          </w:tcPr>
          <w:p w14:paraId="2DA3131E">
            <w:pPr>
              <w:pStyle w:val="185"/>
              <w:spacing w:before="147" w:line="221" w:lineRule="auto"/>
              <w:ind w:left="148"/>
              <w:rPr>
                <w:color w:val="auto"/>
                <w:highlight w:val="none"/>
                <w:lang w:eastAsia="zh-CN"/>
              </w:rPr>
            </w:pPr>
            <w:r>
              <w:rPr>
                <w:color w:val="auto"/>
                <w:spacing w:val="-7"/>
                <w:highlight w:val="none"/>
                <w:lang w:eastAsia="zh-CN"/>
              </w:rPr>
              <w:t>自投标截止之日起</w:t>
            </w:r>
            <w:r>
              <w:rPr>
                <w:rFonts w:hint="eastAsia"/>
                <w:color w:val="auto"/>
                <w:spacing w:val="26"/>
                <w:highlight w:val="none"/>
                <w:u w:val="single"/>
                <w:lang w:eastAsia="zh-CN"/>
              </w:rPr>
              <w:t>90</w:t>
            </w:r>
            <w:r>
              <w:rPr>
                <w:color w:val="auto"/>
                <w:spacing w:val="-7"/>
                <w:highlight w:val="none"/>
                <w:lang w:eastAsia="zh-CN"/>
              </w:rPr>
              <w:t>日内有效</w:t>
            </w:r>
          </w:p>
        </w:tc>
      </w:tr>
      <w:tr w14:paraId="7D5699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856" w:type="dxa"/>
            <w:vAlign w:val="center"/>
          </w:tcPr>
          <w:p w14:paraId="1A0D4583">
            <w:pPr>
              <w:pStyle w:val="185"/>
              <w:spacing w:before="148"/>
              <w:ind w:left="177"/>
              <w:jc w:val="both"/>
              <w:rPr>
                <w:color w:val="auto"/>
                <w:spacing w:val="-2"/>
                <w:highlight w:val="none"/>
              </w:rPr>
            </w:pPr>
            <w:r>
              <w:rPr>
                <w:color w:val="auto"/>
                <w:spacing w:val="-2"/>
                <w:highlight w:val="none"/>
              </w:rPr>
              <w:t>3.4.1</w:t>
            </w:r>
          </w:p>
        </w:tc>
        <w:tc>
          <w:tcPr>
            <w:tcW w:w="2267" w:type="dxa"/>
            <w:vAlign w:val="center"/>
          </w:tcPr>
          <w:p w14:paraId="657E5B9E">
            <w:pPr>
              <w:spacing w:line="248" w:lineRule="auto"/>
              <w:jc w:val="both"/>
              <w:rPr>
                <w:rFonts w:ascii="Arial"/>
                <w:color w:val="auto"/>
                <w:highlight w:val="none"/>
              </w:rPr>
            </w:pPr>
          </w:p>
          <w:p w14:paraId="0AFF994E">
            <w:pPr>
              <w:pStyle w:val="185"/>
              <w:spacing w:before="148" w:line="221" w:lineRule="auto"/>
              <w:ind w:left="613"/>
              <w:jc w:val="both"/>
              <w:rPr>
                <w:color w:val="auto"/>
                <w:spacing w:val="-2"/>
                <w:highlight w:val="none"/>
              </w:rPr>
            </w:pPr>
            <w:r>
              <w:rPr>
                <w:color w:val="auto"/>
                <w:spacing w:val="-2"/>
                <w:highlight w:val="none"/>
              </w:rPr>
              <w:t>投标保证金</w:t>
            </w:r>
          </w:p>
        </w:tc>
        <w:tc>
          <w:tcPr>
            <w:tcW w:w="5465" w:type="dxa"/>
          </w:tcPr>
          <w:p w14:paraId="653824CF">
            <w:pPr>
              <w:pStyle w:val="185"/>
              <w:spacing w:before="80" w:line="221" w:lineRule="auto"/>
              <w:ind w:left="135"/>
              <w:rPr>
                <w:color w:val="auto"/>
                <w:highlight w:val="none"/>
                <w:lang w:eastAsia="zh-CN"/>
              </w:rPr>
            </w:pPr>
            <w:r>
              <w:rPr>
                <w:color w:val="auto"/>
                <w:spacing w:val="-7"/>
                <w:highlight w:val="none"/>
                <w:lang w:eastAsia="zh-CN"/>
              </w:rPr>
              <w:t>□不提交</w:t>
            </w:r>
          </w:p>
          <w:p w14:paraId="03C43398">
            <w:pPr>
              <w:pStyle w:val="185"/>
              <w:spacing w:before="70" w:line="221" w:lineRule="auto"/>
              <w:ind w:left="135"/>
              <w:rPr>
                <w:color w:val="auto"/>
                <w:highlight w:val="none"/>
                <w:lang w:eastAsia="zh-CN"/>
              </w:rPr>
            </w:pPr>
            <w:r>
              <w:rPr>
                <w:rFonts w:hint="eastAsia"/>
                <w:color w:val="auto"/>
                <w:spacing w:val="-7"/>
                <w:highlight w:val="none"/>
                <w:lang w:eastAsia="zh-CN"/>
              </w:rPr>
              <w:t>☑</w:t>
            </w:r>
            <w:r>
              <w:rPr>
                <w:color w:val="auto"/>
                <w:spacing w:val="-7"/>
                <w:highlight w:val="none"/>
                <w:lang w:eastAsia="zh-CN"/>
              </w:rPr>
              <w:t>提交，</w:t>
            </w:r>
          </w:p>
          <w:p w14:paraId="191BA29F">
            <w:pPr>
              <w:pStyle w:val="185"/>
              <w:spacing w:before="67" w:line="252" w:lineRule="auto"/>
              <w:ind w:left="129" w:right="105"/>
              <w:rPr>
                <w:color w:val="auto"/>
                <w:highlight w:val="none"/>
                <w:lang w:eastAsia="zh-CN"/>
              </w:rPr>
            </w:pPr>
            <w:r>
              <w:rPr>
                <w:color w:val="auto"/>
                <w:spacing w:val="10"/>
                <w:highlight w:val="none"/>
                <w:lang w:eastAsia="zh-CN"/>
              </w:rPr>
              <w:t>1</w:t>
            </w:r>
            <w:r>
              <w:rPr>
                <w:rFonts w:hint="eastAsia"/>
                <w:color w:val="auto"/>
                <w:spacing w:val="10"/>
                <w:highlight w:val="none"/>
                <w:lang w:val="en-US" w:eastAsia="zh-CN"/>
              </w:rPr>
              <w:t>.</w:t>
            </w:r>
            <w:r>
              <w:rPr>
                <w:color w:val="auto"/>
                <w:spacing w:val="10"/>
                <w:highlight w:val="none"/>
                <w:lang w:eastAsia="zh-CN"/>
              </w:rPr>
              <w:t>递交截止时间（到账时间</w:t>
            </w:r>
            <w:r>
              <w:rPr>
                <w:color w:val="auto"/>
                <w:spacing w:val="-47"/>
                <w:highlight w:val="none"/>
                <w:lang w:eastAsia="zh-CN"/>
              </w:rPr>
              <w:t>）：</w:t>
            </w:r>
            <w:r>
              <w:rPr>
                <w:b/>
                <w:bCs/>
                <w:color w:val="auto"/>
                <w:spacing w:val="10"/>
                <w:highlight w:val="none"/>
                <w:lang w:eastAsia="zh-CN"/>
              </w:rPr>
              <w:t>同本标段投标截止时</w:t>
            </w:r>
            <w:r>
              <w:rPr>
                <w:b/>
                <w:bCs/>
                <w:color w:val="auto"/>
                <w:spacing w:val="-16"/>
                <w:highlight w:val="none"/>
                <w:lang w:eastAsia="zh-CN"/>
              </w:rPr>
              <w:t>间。</w:t>
            </w:r>
          </w:p>
          <w:p w14:paraId="4DF6A7E9">
            <w:pPr>
              <w:pStyle w:val="185"/>
              <w:spacing w:before="66" w:line="221" w:lineRule="auto"/>
              <w:ind w:left="116"/>
              <w:rPr>
                <w:color w:val="auto"/>
                <w:highlight w:val="none"/>
                <w:lang w:eastAsia="zh-CN"/>
              </w:rPr>
            </w:pPr>
            <w:r>
              <w:rPr>
                <w:color w:val="auto"/>
                <w:spacing w:val="-2"/>
                <w:highlight w:val="none"/>
                <w:lang w:eastAsia="zh-CN"/>
              </w:rPr>
              <w:t>2</w:t>
            </w:r>
            <w:r>
              <w:rPr>
                <w:rFonts w:hint="eastAsia"/>
                <w:color w:val="auto"/>
                <w:spacing w:val="-2"/>
                <w:highlight w:val="none"/>
                <w:lang w:val="en-US" w:eastAsia="zh-CN"/>
              </w:rPr>
              <w:t>.</w:t>
            </w:r>
            <w:r>
              <w:rPr>
                <w:color w:val="auto"/>
                <w:spacing w:val="-2"/>
                <w:highlight w:val="none"/>
                <w:lang w:eastAsia="zh-CN"/>
              </w:rPr>
              <w:t>金额：</w:t>
            </w:r>
            <w:r>
              <w:rPr>
                <w:rFonts w:hint="eastAsia"/>
                <w:color w:val="auto"/>
                <w:spacing w:val="-2"/>
                <w:highlight w:val="none"/>
                <w:u w:val="single"/>
                <w:lang w:val="en-US" w:eastAsia="zh-CN"/>
              </w:rPr>
              <w:t>66</w:t>
            </w:r>
            <w:r>
              <w:rPr>
                <w:rFonts w:hint="eastAsia"/>
                <w:color w:val="auto"/>
                <w:spacing w:val="-2"/>
                <w:highlight w:val="none"/>
                <w:u w:val="none"/>
                <w:lang w:val="en-US" w:eastAsia="zh-CN"/>
              </w:rPr>
              <w:t>万</w:t>
            </w:r>
            <w:r>
              <w:rPr>
                <w:color w:val="auto"/>
                <w:spacing w:val="-2"/>
                <w:highlight w:val="none"/>
                <w:u w:val="none"/>
                <w:lang w:eastAsia="zh-CN"/>
              </w:rPr>
              <w:t>元</w:t>
            </w:r>
            <w:r>
              <w:rPr>
                <w:color w:val="auto"/>
                <w:spacing w:val="-2"/>
                <w:highlight w:val="none"/>
                <w:lang w:eastAsia="zh-CN"/>
              </w:rPr>
              <w:t>。</w:t>
            </w:r>
          </w:p>
          <w:p w14:paraId="58CEDB0C">
            <w:pPr>
              <w:pStyle w:val="185"/>
              <w:spacing w:before="69" w:line="221" w:lineRule="auto"/>
              <w:ind w:left="117"/>
              <w:rPr>
                <w:color w:val="auto"/>
                <w:highlight w:val="none"/>
                <w:lang w:eastAsia="zh-CN"/>
              </w:rPr>
            </w:pPr>
            <w:r>
              <w:rPr>
                <w:color w:val="auto"/>
                <w:spacing w:val="-3"/>
                <w:highlight w:val="none"/>
                <w:lang w:eastAsia="zh-CN"/>
              </w:rPr>
              <w:t>3</w:t>
            </w:r>
            <w:r>
              <w:rPr>
                <w:rFonts w:hint="eastAsia"/>
                <w:color w:val="auto"/>
                <w:spacing w:val="-3"/>
                <w:highlight w:val="none"/>
                <w:lang w:val="en-US" w:eastAsia="zh-CN"/>
              </w:rPr>
              <w:t>.</w:t>
            </w:r>
            <w:r>
              <w:rPr>
                <w:color w:val="auto"/>
                <w:spacing w:val="-3"/>
                <w:highlight w:val="none"/>
                <w:lang w:eastAsia="zh-CN"/>
              </w:rPr>
              <w:t>形式：</w:t>
            </w:r>
            <w:r>
              <w:rPr>
                <w:rFonts w:hint="eastAsia"/>
                <w:color w:val="auto"/>
                <w:spacing w:val="-3"/>
                <w:highlight w:val="none"/>
                <w:lang w:eastAsia="zh-CN"/>
              </w:rPr>
              <w:t>☑</w:t>
            </w:r>
            <w:r>
              <w:rPr>
                <w:color w:val="auto"/>
                <w:spacing w:val="-3"/>
                <w:highlight w:val="none"/>
                <w:lang w:eastAsia="zh-CN"/>
              </w:rPr>
              <w:t>现金</w:t>
            </w:r>
            <w:r>
              <w:rPr>
                <w:rFonts w:hint="eastAsia"/>
                <w:color w:val="auto"/>
                <w:spacing w:val="-3"/>
                <w:highlight w:val="none"/>
                <w:lang w:eastAsia="zh-CN"/>
              </w:rPr>
              <w:t>☑</w:t>
            </w:r>
            <w:r>
              <w:rPr>
                <w:color w:val="auto"/>
                <w:spacing w:val="-3"/>
                <w:highlight w:val="none"/>
                <w:lang w:eastAsia="zh-CN"/>
              </w:rPr>
              <w:t>保函（保险）  □其他</w:t>
            </w:r>
            <w:r>
              <w:rPr>
                <w:color w:val="auto"/>
                <w:spacing w:val="-4"/>
                <w:highlight w:val="none"/>
                <w:lang w:eastAsia="zh-CN"/>
              </w:rPr>
              <w:t>形式</w:t>
            </w:r>
          </w:p>
          <w:p w14:paraId="242CEEC0">
            <w:pPr>
              <w:pStyle w:val="185"/>
              <w:spacing w:before="67" w:line="222" w:lineRule="auto"/>
              <w:ind w:left="112"/>
              <w:rPr>
                <w:color w:val="auto"/>
                <w:highlight w:val="none"/>
                <w:lang w:eastAsia="zh-CN"/>
              </w:rPr>
            </w:pPr>
            <w:r>
              <w:rPr>
                <w:color w:val="auto"/>
                <w:spacing w:val="-5"/>
                <w:highlight w:val="none"/>
                <w:lang w:eastAsia="zh-CN"/>
              </w:rPr>
              <w:t>4</w:t>
            </w:r>
            <w:r>
              <w:rPr>
                <w:rFonts w:hint="eastAsia"/>
                <w:color w:val="auto"/>
                <w:spacing w:val="-5"/>
                <w:highlight w:val="none"/>
                <w:lang w:val="en-US" w:eastAsia="zh-CN"/>
              </w:rPr>
              <w:t>.</w:t>
            </w:r>
            <w:r>
              <w:rPr>
                <w:color w:val="auto"/>
                <w:spacing w:val="-5"/>
                <w:highlight w:val="none"/>
                <w:lang w:eastAsia="zh-CN"/>
              </w:rPr>
              <w:t>递交方式：</w:t>
            </w:r>
          </w:p>
          <w:p w14:paraId="63202525">
            <w:pPr>
              <w:pStyle w:val="185"/>
              <w:spacing w:before="69" w:line="221" w:lineRule="auto"/>
              <w:ind w:left="112"/>
              <w:rPr>
                <w:color w:val="auto"/>
                <w:highlight w:val="none"/>
                <w:lang w:eastAsia="zh-CN"/>
              </w:rPr>
            </w:pPr>
            <w:r>
              <w:rPr>
                <w:color w:val="auto"/>
                <w:spacing w:val="-3"/>
                <w:highlight w:val="none"/>
                <w:lang w:eastAsia="zh-CN"/>
              </w:rPr>
              <w:t>4.1现金</w:t>
            </w:r>
          </w:p>
          <w:p w14:paraId="7D0AEFB7">
            <w:pPr>
              <w:pStyle w:val="185"/>
              <w:spacing w:before="67" w:line="221" w:lineRule="auto"/>
              <w:ind w:left="539"/>
              <w:rPr>
                <w:color w:val="auto"/>
                <w:highlight w:val="none"/>
                <w:lang w:eastAsia="zh-CN"/>
              </w:rPr>
            </w:pPr>
            <w:r>
              <w:rPr>
                <w:color w:val="auto"/>
                <w:spacing w:val="-3"/>
                <w:highlight w:val="none"/>
                <w:lang w:eastAsia="zh-CN"/>
              </w:rPr>
              <w:t>（1）收款信息</w:t>
            </w:r>
          </w:p>
          <w:p w14:paraId="4048DB62">
            <w:pPr>
              <w:ind w:firstLine="606" w:firstLineChars="300"/>
              <w:rPr>
                <w:color w:val="auto"/>
                <w:highlight w:val="none"/>
              </w:rPr>
            </w:pPr>
            <w:r>
              <w:rPr>
                <w:color w:val="auto"/>
                <w:spacing w:val="-4"/>
                <w:highlight w:val="none"/>
              </w:rPr>
              <w:t>收款单位</w:t>
            </w:r>
            <w:r>
              <w:rPr>
                <w:color w:val="auto"/>
                <w:highlight w:val="none"/>
              </w:rPr>
              <w:t>：</w:t>
            </w:r>
            <w:r>
              <w:rPr>
                <w:rFonts w:hint="eastAsia"/>
                <w:color w:val="auto"/>
                <w:spacing w:val="1"/>
                <w:highlight w:val="none"/>
                <w:u w:val="single"/>
                <w:lang w:eastAsia="zh-CN"/>
              </w:rPr>
              <w:t>辽宁方唯建设管理有限公司</w:t>
            </w:r>
            <w:r>
              <w:rPr>
                <w:color w:val="auto"/>
                <w:highlight w:val="none"/>
                <w:u w:val="single"/>
              </w:rPr>
              <w:t>；</w:t>
            </w:r>
          </w:p>
          <w:p w14:paraId="525F247B">
            <w:pPr>
              <w:pStyle w:val="185"/>
              <w:spacing w:before="72" w:line="221" w:lineRule="auto"/>
              <w:ind w:firstLine="618" w:firstLineChars="300"/>
              <w:rPr>
                <w:color w:val="auto"/>
                <w:highlight w:val="none"/>
                <w:lang w:eastAsia="zh-CN"/>
              </w:rPr>
            </w:pPr>
            <w:r>
              <w:rPr>
                <w:color w:val="auto"/>
                <w:spacing w:val="-2"/>
                <w:highlight w:val="none"/>
                <w:lang w:eastAsia="zh-CN"/>
              </w:rPr>
              <w:t>开户银行</w:t>
            </w:r>
            <w:r>
              <w:rPr>
                <w:rFonts w:hint="eastAsia"/>
                <w:color w:val="auto"/>
                <w:spacing w:val="-2"/>
                <w:highlight w:val="none"/>
                <w:lang w:eastAsia="zh-CN"/>
              </w:rPr>
              <w:t>：</w:t>
            </w:r>
            <w:r>
              <w:rPr>
                <w:rFonts w:hint="eastAsia"/>
                <w:bCs/>
                <w:color w:val="auto"/>
                <w:highlight w:val="none"/>
                <w:u w:val="single"/>
                <w:lang w:eastAsia="zh-CN"/>
              </w:rPr>
              <w:t>大连农村商业银行股份有限公司营口分行</w:t>
            </w:r>
            <w:r>
              <w:rPr>
                <w:color w:val="auto"/>
                <w:spacing w:val="-1"/>
                <w:highlight w:val="none"/>
                <w:u w:val="single"/>
                <w:lang w:eastAsia="zh-CN"/>
              </w:rPr>
              <w:t>；</w:t>
            </w:r>
          </w:p>
          <w:p w14:paraId="71AA7569">
            <w:pPr>
              <w:ind w:firstLine="618" w:firstLineChars="300"/>
              <w:rPr>
                <w:rFonts w:hint="eastAsia"/>
                <w:color w:val="auto"/>
                <w:spacing w:val="-2"/>
                <w:highlight w:val="none"/>
                <w:u w:val="single"/>
                <w:lang w:val="en-US" w:eastAsia="zh-CN"/>
              </w:rPr>
            </w:pPr>
            <w:r>
              <w:rPr>
                <w:color w:val="auto"/>
                <w:spacing w:val="-2"/>
                <w:highlight w:val="none"/>
              </w:rPr>
              <w:t>账户账号：</w:t>
            </w:r>
            <w:bookmarkStart w:id="51" w:name="EBe62b6c921692447c838497e70ccbeea7"/>
            <w:r>
              <w:rPr>
                <w:rFonts w:hint="eastAsia"/>
                <w:color w:val="auto"/>
                <w:spacing w:val="-2"/>
                <w:highlight w:val="none"/>
                <w:u w:val="single"/>
                <w:lang w:val="en-US" w:eastAsia="zh-CN"/>
              </w:rPr>
              <w:t>15118800010000274</w:t>
            </w:r>
            <w:bookmarkEnd w:id="51"/>
            <w:r>
              <w:rPr>
                <w:rFonts w:hint="eastAsia"/>
                <w:color w:val="auto"/>
                <w:spacing w:val="-2"/>
                <w:highlight w:val="none"/>
                <w:u w:val="single"/>
                <w:lang w:val="en-US" w:eastAsia="zh-CN"/>
              </w:rPr>
              <w:t>。</w:t>
            </w:r>
          </w:p>
          <w:p w14:paraId="1CBDEE0F">
            <w:pPr>
              <w:pStyle w:val="185"/>
              <w:spacing w:before="67" w:line="221" w:lineRule="auto"/>
              <w:ind w:left="539"/>
              <w:rPr>
                <w:color w:val="auto"/>
                <w:highlight w:val="none"/>
                <w:lang w:eastAsia="zh-CN"/>
              </w:rPr>
            </w:pPr>
            <w:r>
              <w:rPr>
                <w:color w:val="auto"/>
                <w:spacing w:val="-4"/>
                <w:highlight w:val="none"/>
                <w:lang w:eastAsia="zh-CN"/>
              </w:rPr>
              <w:t>（2）收款说明</w:t>
            </w:r>
          </w:p>
          <w:p w14:paraId="520D9469">
            <w:pPr>
              <w:pStyle w:val="185"/>
              <w:spacing w:before="70" w:line="281" w:lineRule="auto"/>
              <w:ind w:left="115" w:right="107" w:firstLine="420"/>
              <w:rPr>
                <w:color w:val="auto"/>
                <w:highlight w:val="none"/>
                <w:lang w:eastAsia="zh-CN"/>
              </w:rPr>
            </w:pPr>
            <w:r>
              <w:rPr>
                <w:color w:val="auto"/>
                <w:spacing w:val="1"/>
                <w:highlight w:val="none"/>
                <w:lang w:eastAsia="zh-CN"/>
              </w:rPr>
              <w:t>投标人应在投标截止时间前通过企业基本账户递交</w:t>
            </w:r>
            <w:r>
              <w:rPr>
                <w:color w:val="auto"/>
                <w:spacing w:val="-1"/>
                <w:highlight w:val="none"/>
                <w:lang w:eastAsia="zh-CN"/>
              </w:rPr>
              <w:t>至4.1（1）规定的账户，否则视为无效投标保证金。</w:t>
            </w:r>
          </w:p>
          <w:p w14:paraId="61025CD2">
            <w:pPr>
              <w:pStyle w:val="185"/>
              <w:spacing w:line="221" w:lineRule="auto"/>
              <w:ind w:left="112"/>
              <w:rPr>
                <w:color w:val="auto"/>
                <w:highlight w:val="none"/>
                <w:lang w:eastAsia="zh-CN"/>
              </w:rPr>
            </w:pPr>
            <w:r>
              <w:rPr>
                <w:color w:val="auto"/>
                <w:spacing w:val="-2"/>
                <w:highlight w:val="none"/>
                <w:lang w:eastAsia="zh-CN"/>
              </w:rPr>
              <w:t>4.2保函（保险）</w:t>
            </w:r>
          </w:p>
          <w:p w14:paraId="2713E353">
            <w:pPr>
              <w:pStyle w:val="185"/>
              <w:spacing w:before="70" w:line="269" w:lineRule="auto"/>
              <w:ind w:left="112" w:right="104" w:firstLine="427"/>
              <w:rPr>
                <w:color w:val="auto"/>
                <w:highlight w:val="none"/>
                <w:lang w:eastAsia="zh-CN"/>
              </w:rPr>
            </w:pPr>
            <w:r>
              <w:rPr>
                <w:color w:val="auto"/>
                <w:spacing w:val="5"/>
                <w:highlight w:val="none"/>
                <w:lang w:eastAsia="zh-CN"/>
              </w:rPr>
              <w:t>（1）投标人可通过辽宁省建设工程领域电子保函</w:t>
            </w:r>
            <w:r>
              <w:rPr>
                <w:color w:val="auto"/>
                <w:spacing w:val="1"/>
                <w:highlight w:val="none"/>
                <w:lang w:eastAsia="zh-CN"/>
              </w:rPr>
              <w:t>保险基础公共服务平台或辽宁省工程建设项目电子保函保险基础服务平台跨地区、跨行业自由服务试点的金融</w:t>
            </w:r>
            <w:r>
              <w:rPr>
                <w:color w:val="auto"/>
                <w:spacing w:val="5"/>
                <w:highlight w:val="none"/>
                <w:lang w:eastAsia="zh-CN"/>
              </w:rPr>
              <w:t>平台或金融机构任一渠道自主选择购买保函（保险</w:t>
            </w:r>
            <w:r>
              <w:rPr>
                <w:color w:val="auto"/>
                <w:spacing w:val="-39"/>
                <w:highlight w:val="none"/>
                <w:lang w:eastAsia="zh-CN"/>
              </w:rPr>
              <w:t>），</w:t>
            </w:r>
            <w:r>
              <w:rPr>
                <w:color w:val="auto"/>
                <w:highlight w:val="none"/>
                <w:lang w:eastAsia="zh-CN"/>
              </w:rPr>
              <w:t>鼓励企业使用电子保函（保险）等形式提交保</w:t>
            </w:r>
            <w:r>
              <w:rPr>
                <w:color w:val="auto"/>
                <w:spacing w:val="-1"/>
                <w:highlight w:val="none"/>
                <w:lang w:eastAsia="zh-CN"/>
              </w:rPr>
              <w:t>证金。</w:t>
            </w:r>
          </w:p>
          <w:p w14:paraId="646391A2">
            <w:pPr>
              <w:pStyle w:val="185"/>
              <w:spacing w:before="67" w:line="273" w:lineRule="auto"/>
              <w:ind w:left="112" w:right="105" w:firstLine="427"/>
              <w:rPr>
                <w:color w:val="auto"/>
                <w:highlight w:val="none"/>
                <w:lang w:eastAsia="zh-CN"/>
              </w:rPr>
            </w:pPr>
            <w:r>
              <w:rPr>
                <w:color w:val="auto"/>
                <w:spacing w:val="16"/>
                <w:highlight w:val="none"/>
                <w:lang w:eastAsia="zh-CN"/>
              </w:rPr>
              <w:t>（2）投标人应在投标截止时间前购买完成并生</w:t>
            </w:r>
            <w:r>
              <w:rPr>
                <w:color w:val="auto"/>
                <w:spacing w:val="1"/>
                <w:highlight w:val="none"/>
                <w:lang w:eastAsia="zh-CN"/>
              </w:rPr>
              <w:t>效。购买保函（保险）的财务费用应当通过企业基本账</w:t>
            </w:r>
            <w:r>
              <w:rPr>
                <w:color w:val="auto"/>
                <w:spacing w:val="10"/>
                <w:highlight w:val="none"/>
                <w:lang w:eastAsia="zh-CN"/>
              </w:rPr>
              <w:t>户或主体信息库登记的企业账户缴纳。纸质保函（保</w:t>
            </w:r>
            <w:r>
              <w:rPr>
                <w:color w:val="auto"/>
                <w:spacing w:val="1"/>
                <w:highlight w:val="none"/>
                <w:lang w:eastAsia="zh-CN"/>
              </w:rPr>
              <w:t>险）和电子保函（保险）均能实现出函机构官方媒介或政府部门业务系统在线验真。购买保函（保险）的财务费用不是通过企业账户缴纳或无法在线验真的保函（保</w:t>
            </w:r>
            <w:r>
              <w:rPr>
                <w:color w:val="auto"/>
                <w:spacing w:val="-10"/>
                <w:highlight w:val="none"/>
                <w:lang w:eastAsia="zh-CN"/>
              </w:rPr>
              <w:t>险）视为无效保函（保险）。</w:t>
            </w:r>
          </w:p>
          <w:p w14:paraId="6CC8F47C">
            <w:pPr>
              <w:pStyle w:val="185"/>
              <w:spacing w:before="70" w:line="221" w:lineRule="auto"/>
              <w:ind w:left="112"/>
              <w:rPr>
                <w:color w:val="auto"/>
                <w:highlight w:val="none"/>
                <w:lang w:eastAsia="zh-CN"/>
              </w:rPr>
            </w:pPr>
            <w:r>
              <w:rPr>
                <w:color w:val="auto"/>
                <w:spacing w:val="-3"/>
                <w:highlight w:val="none"/>
                <w:lang w:eastAsia="zh-CN"/>
              </w:rPr>
              <w:t>4.3其他</w:t>
            </w:r>
          </w:p>
          <w:p w14:paraId="0CF55B75">
            <w:pPr>
              <w:keepNext w:val="0"/>
              <w:keepLines w:val="0"/>
              <w:widowControl/>
              <w:suppressLineNumbers w:val="0"/>
              <w:ind w:firstLine="420" w:firstLineChars="200"/>
              <w:jc w:val="left"/>
              <w:rPr>
                <w:rFonts w:hint="eastAsia"/>
                <w:color w:val="auto"/>
                <w:spacing w:val="-2"/>
                <w:highlight w:val="none"/>
                <w:u w:val="single"/>
                <w:lang w:val="en-US" w:eastAsia="zh-CN"/>
              </w:rPr>
            </w:pPr>
            <w:r>
              <w:rPr>
                <w:rFonts w:hint="eastAsia" w:ascii="宋体" w:hAnsi="宋体" w:eastAsia="宋体" w:cs="宋体"/>
                <w:color w:val="auto"/>
                <w:kern w:val="0"/>
                <w:sz w:val="21"/>
                <w:szCs w:val="21"/>
                <w:highlight w:val="none"/>
                <w:lang w:val="en-US" w:eastAsia="zh-CN" w:bidi="ar"/>
              </w:rPr>
              <w:t>采用汇票等其他方式缴纳投标保证金的，也应参照现金方式缴纳要求执行。招标人要求可以不缴纳投标保证金的除外。</w:t>
            </w:r>
          </w:p>
        </w:tc>
      </w:tr>
      <w:tr w14:paraId="5DE71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3" w:hRule="atLeast"/>
        </w:trPr>
        <w:tc>
          <w:tcPr>
            <w:tcW w:w="856" w:type="dxa"/>
          </w:tcPr>
          <w:p w14:paraId="2F4067E1">
            <w:pPr>
              <w:spacing w:line="268" w:lineRule="auto"/>
              <w:rPr>
                <w:rFonts w:ascii="Arial"/>
                <w:color w:val="auto"/>
                <w:highlight w:val="none"/>
              </w:rPr>
            </w:pPr>
          </w:p>
          <w:p w14:paraId="29EEF925">
            <w:pPr>
              <w:spacing w:line="268" w:lineRule="auto"/>
              <w:rPr>
                <w:rFonts w:ascii="Arial"/>
                <w:color w:val="auto"/>
                <w:highlight w:val="none"/>
              </w:rPr>
            </w:pPr>
          </w:p>
          <w:p w14:paraId="32FB2415">
            <w:pPr>
              <w:spacing w:line="269" w:lineRule="auto"/>
              <w:rPr>
                <w:rFonts w:ascii="Arial"/>
                <w:color w:val="auto"/>
                <w:highlight w:val="none"/>
              </w:rPr>
            </w:pPr>
          </w:p>
          <w:p w14:paraId="5E40C1A0">
            <w:pPr>
              <w:pStyle w:val="185"/>
              <w:spacing w:before="68"/>
              <w:ind w:left="177"/>
              <w:rPr>
                <w:color w:val="auto"/>
                <w:highlight w:val="none"/>
              </w:rPr>
            </w:pPr>
            <w:r>
              <w:rPr>
                <w:color w:val="auto"/>
                <w:spacing w:val="-2"/>
                <w:highlight w:val="none"/>
              </w:rPr>
              <w:t>3.4.3</w:t>
            </w:r>
          </w:p>
        </w:tc>
        <w:tc>
          <w:tcPr>
            <w:tcW w:w="2267" w:type="dxa"/>
          </w:tcPr>
          <w:p w14:paraId="22EBE9BD">
            <w:pPr>
              <w:spacing w:line="323" w:lineRule="auto"/>
              <w:rPr>
                <w:rFonts w:ascii="Arial"/>
                <w:color w:val="auto"/>
                <w:highlight w:val="none"/>
              </w:rPr>
            </w:pPr>
          </w:p>
          <w:p w14:paraId="33834138">
            <w:pPr>
              <w:spacing w:line="324" w:lineRule="auto"/>
              <w:rPr>
                <w:rFonts w:ascii="Arial"/>
                <w:color w:val="auto"/>
                <w:highlight w:val="none"/>
              </w:rPr>
            </w:pPr>
          </w:p>
          <w:p w14:paraId="6D0CDF74">
            <w:pPr>
              <w:pStyle w:val="185"/>
              <w:spacing w:before="68" w:line="284" w:lineRule="auto"/>
              <w:ind w:left="821" w:right="394" w:hanging="418"/>
              <w:rPr>
                <w:color w:val="auto"/>
                <w:highlight w:val="none"/>
                <w:lang w:eastAsia="zh-CN"/>
              </w:rPr>
            </w:pPr>
            <w:r>
              <w:rPr>
                <w:color w:val="auto"/>
                <w:spacing w:val="-1"/>
                <w:highlight w:val="none"/>
                <w:lang w:eastAsia="zh-CN"/>
              </w:rPr>
              <w:t>退还投标保证金及利息</w:t>
            </w:r>
          </w:p>
        </w:tc>
        <w:tc>
          <w:tcPr>
            <w:tcW w:w="5465" w:type="dxa"/>
          </w:tcPr>
          <w:p w14:paraId="64BD67F8">
            <w:pPr>
              <w:pStyle w:val="185"/>
              <w:spacing w:before="78" w:line="221" w:lineRule="auto"/>
              <w:ind w:left="113"/>
              <w:rPr>
                <w:color w:val="auto"/>
                <w:highlight w:val="none"/>
                <w:lang w:eastAsia="zh-CN"/>
              </w:rPr>
            </w:pPr>
            <w:r>
              <w:rPr>
                <w:color w:val="auto"/>
                <w:spacing w:val="-1"/>
                <w:highlight w:val="none"/>
                <w:lang w:eastAsia="zh-CN"/>
              </w:rPr>
              <w:t>计息标准：</w:t>
            </w:r>
            <w:r>
              <w:rPr>
                <w:color w:val="auto"/>
                <w:spacing w:val="-1"/>
                <w:highlight w:val="none"/>
                <w:u w:val="single"/>
                <w:lang w:eastAsia="zh-CN"/>
              </w:rPr>
              <w:t>人民银行同期活期存款利率。</w:t>
            </w:r>
          </w:p>
          <w:p w14:paraId="0F28E9B0">
            <w:pPr>
              <w:pStyle w:val="185"/>
              <w:spacing w:before="68" w:line="221" w:lineRule="auto"/>
              <w:ind w:left="113"/>
              <w:rPr>
                <w:color w:val="auto"/>
                <w:highlight w:val="none"/>
                <w:lang w:eastAsia="zh-CN"/>
              </w:rPr>
            </w:pPr>
            <w:r>
              <w:rPr>
                <w:color w:val="auto"/>
                <w:spacing w:val="-1"/>
                <w:highlight w:val="none"/>
                <w:lang w:eastAsia="zh-CN"/>
              </w:rPr>
              <w:t>计息时间：</w:t>
            </w:r>
            <w:r>
              <w:rPr>
                <w:color w:val="auto"/>
                <w:spacing w:val="-1"/>
                <w:highlight w:val="none"/>
                <w:u w:val="single"/>
                <w:lang w:eastAsia="zh-CN"/>
              </w:rPr>
              <w:t>投标保证金到账之日至退还的前一日。</w:t>
            </w:r>
          </w:p>
          <w:p w14:paraId="252E0D50">
            <w:pPr>
              <w:pStyle w:val="185"/>
              <w:spacing w:before="69" w:line="260" w:lineRule="auto"/>
              <w:ind w:left="1165" w:right="102" w:hanging="1051"/>
              <w:rPr>
                <w:color w:val="auto"/>
                <w:highlight w:val="none"/>
                <w:lang w:eastAsia="zh-CN"/>
              </w:rPr>
            </w:pPr>
            <w:r>
              <w:rPr>
                <w:color w:val="auto"/>
                <w:spacing w:val="-2"/>
                <w:highlight w:val="none"/>
                <w:lang w:eastAsia="zh-CN"/>
              </w:rPr>
              <w:t>退还办法：</w:t>
            </w:r>
            <w:r>
              <w:rPr>
                <w:color w:val="auto"/>
                <w:spacing w:val="-2"/>
                <w:highlight w:val="none"/>
                <w:u w:val="single"/>
                <w:lang w:eastAsia="zh-CN"/>
              </w:rPr>
              <w:t>中标结果公示后5日内，未中标的投标人现</w:t>
            </w:r>
            <w:r>
              <w:rPr>
                <w:color w:val="auto"/>
                <w:spacing w:val="1"/>
                <w:highlight w:val="none"/>
                <w:u w:val="single"/>
                <w:lang w:eastAsia="zh-CN"/>
              </w:rPr>
              <w:t>金保证金按原路径自动退回；合同签订后5日内，中标人的现金投标保证金按原路径自</w:t>
            </w:r>
            <w:r>
              <w:rPr>
                <w:color w:val="auto"/>
                <w:spacing w:val="-2"/>
                <w:highlight w:val="none"/>
                <w:u w:val="single"/>
                <w:lang w:eastAsia="zh-CN"/>
              </w:rPr>
              <w:t>动退回。</w:t>
            </w:r>
          </w:p>
        </w:tc>
      </w:tr>
      <w:tr w14:paraId="32F1ED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856" w:type="dxa"/>
          </w:tcPr>
          <w:p w14:paraId="2D962C4B">
            <w:pPr>
              <w:pStyle w:val="185"/>
              <w:spacing w:before="251"/>
              <w:ind w:left="177"/>
              <w:rPr>
                <w:color w:val="auto"/>
                <w:highlight w:val="none"/>
              </w:rPr>
            </w:pPr>
            <w:r>
              <w:rPr>
                <w:color w:val="auto"/>
                <w:spacing w:val="-2"/>
                <w:highlight w:val="none"/>
              </w:rPr>
              <w:t>3.5.2</w:t>
            </w:r>
          </w:p>
        </w:tc>
        <w:tc>
          <w:tcPr>
            <w:tcW w:w="2267" w:type="dxa"/>
          </w:tcPr>
          <w:p w14:paraId="27BA5D1E">
            <w:pPr>
              <w:pStyle w:val="185"/>
              <w:spacing w:before="90" w:line="221" w:lineRule="auto"/>
              <w:ind w:left="194"/>
              <w:rPr>
                <w:color w:val="auto"/>
                <w:highlight w:val="none"/>
                <w:lang w:eastAsia="zh-CN"/>
              </w:rPr>
            </w:pPr>
            <w:r>
              <w:rPr>
                <w:color w:val="auto"/>
                <w:spacing w:val="-1"/>
                <w:highlight w:val="none"/>
                <w:lang w:eastAsia="zh-CN"/>
              </w:rPr>
              <w:t>企业近年财务状况的</w:t>
            </w:r>
          </w:p>
          <w:p w14:paraId="0141CEBE">
            <w:pPr>
              <w:pStyle w:val="185"/>
              <w:spacing w:before="70" w:line="205" w:lineRule="auto"/>
              <w:ind w:left="717"/>
              <w:rPr>
                <w:color w:val="auto"/>
                <w:highlight w:val="none"/>
                <w:lang w:eastAsia="zh-CN"/>
              </w:rPr>
            </w:pPr>
            <w:r>
              <w:rPr>
                <w:color w:val="auto"/>
                <w:spacing w:val="-2"/>
                <w:highlight w:val="none"/>
                <w:lang w:eastAsia="zh-CN"/>
              </w:rPr>
              <w:t>年份要求</w:t>
            </w:r>
          </w:p>
        </w:tc>
        <w:tc>
          <w:tcPr>
            <w:tcW w:w="5465" w:type="dxa"/>
          </w:tcPr>
          <w:p w14:paraId="5C1980DB">
            <w:pPr>
              <w:pStyle w:val="185"/>
              <w:spacing w:before="251" w:line="221" w:lineRule="auto"/>
              <w:ind w:left="112"/>
              <w:rPr>
                <w:color w:val="auto"/>
                <w:highlight w:val="none"/>
              </w:rPr>
            </w:pPr>
            <w:r>
              <w:rPr>
                <w:color w:val="auto"/>
                <w:spacing w:val="-3"/>
                <w:highlight w:val="none"/>
              </w:rPr>
              <w:t>近</w:t>
            </w:r>
            <w:r>
              <w:rPr>
                <w:rFonts w:hint="eastAsia"/>
                <w:color w:val="auto"/>
                <w:spacing w:val="-3"/>
                <w:highlight w:val="none"/>
                <w:u w:val="single"/>
                <w:lang w:val="en-US" w:eastAsia="zh-CN"/>
              </w:rPr>
              <w:t xml:space="preserve">    </w:t>
            </w:r>
            <w:r>
              <w:rPr>
                <w:color w:val="auto"/>
                <w:spacing w:val="-3"/>
                <w:highlight w:val="none"/>
              </w:rPr>
              <w:t>年，指</w:t>
            </w:r>
            <w:r>
              <w:rPr>
                <w:rFonts w:hint="eastAsia"/>
                <w:color w:val="auto"/>
                <w:spacing w:val="-3"/>
                <w:highlight w:val="none"/>
                <w:u w:val="single"/>
                <w:lang w:val="en-US" w:eastAsia="zh-CN"/>
              </w:rPr>
              <w:t xml:space="preserve">    </w:t>
            </w:r>
            <w:r>
              <w:rPr>
                <w:color w:val="auto"/>
                <w:spacing w:val="-3"/>
                <w:highlight w:val="none"/>
              </w:rPr>
              <w:t>年度、</w:t>
            </w:r>
            <w:r>
              <w:rPr>
                <w:rFonts w:hint="eastAsia"/>
                <w:color w:val="auto"/>
                <w:spacing w:val="-3"/>
                <w:highlight w:val="none"/>
                <w:u w:val="single"/>
                <w:lang w:val="en-US" w:eastAsia="zh-CN"/>
              </w:rPr>
              <w:t xml:space="preserve">    </w:t>
            </w:r>
            <w:r>
              <w:rPr>
                <w:color w:val="auto"/>
                <w:spacing w:val="-3"/>
                <w:highlight w:val="none"/>
              </w:rPr>
              <w:t>年度和</w:t>
            </w:r>
            <w:r>
              <w:rPr>
                <w:rFonts w:hint="eastAsia"/>
                <w:color w:val="auto"/>
                <w:spacing w:val="-3"/>
                <w:highlight w:val="none"/>
                <w:u w:val="single"/>
                <w:lang w:val="en-US" w:eastAsia="zh-CN"/>
              </w:rPr>
              <w:t xml:space="preserve">    </w:t>
            </w:r>
            <w:r>
              <w:rPr>
                <w:color w:val="auto"/>
                <w:spacing w:val="-3"/>
                <w:highlight w:val="none"/>
              </w:rPr>
              <w:t>年度。</w:t>
            </w:r>
          </w:p>
        </w:tc>
      </w:tr>
      <w:tr w14:paraId="368B86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856" w:type="dxa"/>
          </w:tcPr>
          <w:p w14:paraId="7210FA65">
            <w:pPr>
              <w:pStyle w:val="185"/>
              <w:spacing w:before="241"/>
              <w:ind w:left="177"/>
              <w:rPr>
                <w:color w:val="auto"/>
                <w:highlight w:val="none"/>
              </w:rPr>
            </w:pPr>
            <w:r>
              <w:rPr>
                <w:color w:val="auto"/>
                <w:spacing w:val="-2"/>
                <w:highlight w:val="none"/>
              </w:rPr>
              <w:t>3.5.3</w:t>
            </w:r>
          </w:p>
        </w:tc>
        <w:tc>
          <w:tcPr>
            <w:tcW w:w="2267" w:type="dxa"/>
          </w:tcPr>
          <w:p w14:paraId="547506FB">
            <w:pPr>
              <w:pStyle w:val="185"/>
              <w:spacing w:before="80" w:line="246" w:lineRule="auto"/>
              <w:ind w:left="295" w:right="185" w:hanging="101"/>
              <w:rPr>
                <w:color w:val="auto"/>
                <w:highlight w:val="none"/>
                <w:lang w:eastAsia="zh-CN"/>
              </w:rPr>
            </w:pPr>
            <w:r>
              <w:rPr>
                <w:color w:val="auto"/>
                <w:spacing w:val="-1"/>
                <w:highlight w:val="none"/>
                <w:lang w:eastAsia="zh-CN"/>
              </w:rPr>
              <w:t>企业近年已完成的类似项目的年份要求</w:t>
            </w:r>
          </w:p>
        </w:tc>
        <w:tc>
          <w:tcPr>
            <w:tcW w:w="5465" w:type="dxa"/>
          </w:tcPr>
          <w:p w14:paraId="41C19869">
            <w:pPr>
              <w:pStyle w:val="185"/>
              <w:spacing w:before="241" w:line="221" w:lineRule="auto"/>
              <w:ind w:left="112"/>
              <w:rPr>
                <w:color w:val="auto"/>
                <w:highlight w:val="none"/>
              </w:rPr>
            </w:pPr>
            <w:r>
              <w:rPr>
                <w:color w:val="auto"/>
                <w:spacing w:val="-3"/>
                <w:highlight w:val="none"/>
              </w:rPr>
              <w:t>近</w:t>
            </w:r>
            <w:r>
              <w:rPr>
                <w:rFonts w:hint="eastAsia"/>
                <w:color w:val="auto"/>
                <w:spacing w:val="-3"/>
                <w:highlight w:val="none"/>
                <w:u w:val="single"/>
                <w:lang w:val="en-US" w:eastAsia="zh-CN"/>
              </w:rPr>
              <w:t xml:space="preserve">    </w:t>
            </w:r>
            <w:r>
              <w:rPr>
                <w:color w:val="auto"/>
                <w:spacing w:val="-3"/>
                <w:highlight w:val="none"/>
              </w:rPr>
              <w:t>年</w:t>
            </w:r>
            <w:r>
              <w:rPr>
                <w:rFonts w:hint="eastAsia"/>
                <w:color w:val="auto"/>
                <w:spacing w:val="-3"/>
                <w:highlight w:val="none"/>
                <w:lang w:eastAsia="zh-CN"/>
              </w:rPr>
              <w:t>，</w:t>
            </w:r>
            <w:r>
              <w:rPr>
                <w:rFonts w:hint="eastAsia"/>
                <w:color w:val="auto"/>
                <w:spacing w:val="-3"/>
                <w:highlight w:val="none"/>
                <w:lang w:val="en-US" w:eastAsia="zh-CN"/>
              </w:rPr>
              <w:t>指</w:t>
            </w:r>
            <w:r>
              <w:rPr>
                <w:rFonts w:hint="eastAsia"/>
                <w:color w:val="auto"/>
                <w:spacing w:val="-3"/>
                <w:highlight w:val="none"/>
                <w:u w:val="single"/>
                <w:lang w:val="en-US" w:eastAsia="zh-CN"/>
              </w:rPr>
              <w:t xml:space="preserve">    </w:t>
            </w:r>
            <w:r>
              <w:rPr>
                <w:rFonts w:hint="eastAsia"/>
                <w:color w:val="auto"/>
                <w:highlight w:val="none"/>
              </w:rPr>
              <w:t>年</w:t>
            </w:r>
            <w:r>
              <w:rPr>
                <w:rFonts w:hint="eastAsia"/>
                <w:color w:val="auto"/>
                <w:spacing w:val="-3"/>
                <w:highlight w:val="none"/>
                <w:u w:val="single"/>
                <w:lang w:val="en-US" w:eastAsia="zh-CN"/>
              </w:rPr>
              <w:t xml:space="preserve">    </w:t>
            </w:r>
            <w:r>
              <w:rPr>
                <w:rFonts w:hint="eastAsia"/>
                <w:color w:val="auto"/>
                <w:highlight w:val="none"/>
              </w:rPr>
              <w:t>月</w:t>
            </w:r>
            <w:r>
              <w:rPr>
                <w:rFonts w:hint="eastAsia"/>
                <w:color w:val="auto"/>
                <w:spacing w:val="-3"/>
                <w:highlight w:val="none"/>
                <w:u w:val="single"/>
                <w:lang w:val="en-US" w:eastAsia="zh-CN"/>
              </w:rPr>
              <w:t xml:space="preserve">    </w:t>
            </w:r>
            <w:r>
              <w:rPr>
                <w:rFonts w:hint="eastAsia"/>
                <w:color w:val="auto"/>
                <w:highlight w:val="none"/>
              </w:rPr>
              <w:t>日</w:t>
            </w:r>
            <w:r>
              <w:rPr>
                <w:rFonts w:hint="eastAsia"/>
                <w:color w:val="auto"/>
                <w:highlight w:val="none"/>
                <w:lang w:val="en-US" w:eastAsia="zh-CN"/>
              </w:rPr>
              <w:t>-</w:t>
            </w:r>
            <w:r>
              <w:rPr>
                <w:rFonts w:hint="eastAsia"/>
                <w:color w:val="auto"/>
                <w:spacing w:val="-3"/>
                <w:highlight w:val="none"/>
                <w:u w:val="single"/>
                <w:lang w:val="en-US" w:eastAsia="zh-CN"/>
              </w:rPr>
              <w:t xml:space="preserve">    </w:t>
            </w:r>
            <w:r>
              <w:rPr>
                <w:rFonts w:hint="eastAsia"/>
                <w:color w:val="auto"/>
                <w:highlight w:val="none"/>
              </w:rPr>
              <w:t>年</w:t>
            </w:r>
            <w:r>
              <w:rPr>
                <w:rFonts w:hint="eastAsia"/>
                <w:color w:val="auto"/>
                <w:spacing w:val="-3"/>
                <w:highlight w:val="none"/>
                <w:u w:val="single"/>
                <w:lang w:val="en-US" w:eastAsia="zh-CN"/>
              </w:rPr>
              <w:t xml:space="preserve">    </w:t>
            </w:r>
            <w:r>
              <w:rPr>
                <w:rFonts w:hint="eastAsia"/>
                <w:color w:val="auto"/>
                <w:highlight w:val="none"/>
              </w:rPr>
              <w:t>月</w:t>
            </w:r>
            <w:r>
              <w:rPr>
                <w:rFonts w:hint="eastAsia"/>
                <w:color w:val="auto"/>
                <w:spacing w:val="-3"/>
                <w:highlight w:val="none"/>
                <w:u w:val="single"/>
                <w:lang w:val="en-US" w:eastAsia="zh-CN"/>
              </w:rPr>
              <w:t xml:space="preserve">    </w:t>
            </w:r>
            <w:r>
              <w:rPr>
                <w:rFonts w:hint="eastAsia"/>
                <w:color w:val="auto"/>
                <w:highlight w:val="none"/>
              </w:rPr>
              <w:t>日</w:t>
            </w:r>
          </w:p>
        </w:tc>
      </w:tr>
      <w:tr w14:paraId="777950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856" w:type="dxa"/>
            <w:vAlign w:val="center"/>
          </w:tcPr>
          <w:p w14:paraId="7032397F">
            <w:pPr>
              <w:spacing w:line="331" w:lineRule="auto"/>
              <w:jc w:val="both"/>
              <w:rPr>
                <w:rFonts w:ascii="Arial"/>
                <w:color w:val="auto"/>
                <w:highlight w:val="none"/>
              </w:rPr>
            </w:pPr>
          </w:p>
          <w:p w14:paraId="6628D453">
            <w:pPr>
              <w:pStyle w:val="185"/>
              <w:spacing w:before="68"/>
              <w:ind w:left="177"/>
              <w:jc w:val="both"/>
              <w:rPr>
                <w:color w:val="auto"/>
                <w:highlight w:val="none"/>
              </w:rPr>
            </w:pPr>
            <w:r>
              <w:rPr>
                <w:color w:val="auto"/>
                <w:spacing w:val="-2"/>
                <w:highlight w:val="none"/>
              </w:rPr>
              <w:t>3.5.5</w:t>
            </w:r>
          </w:p>
        </w:tc>
        <w:tc>
          <w:tcPr>
            <w:tcW w:w="2267" w:type="dxa"/>
            <w:vAlign w:val="center"/>
          </w:tcPr>
          <w:p w14:paraId="7292B452">
            <w:pPr>
              <w:pStyle w:val="185"/>
              <w:spacing w:before="79" w:line="221" w:lineRule="auto"/>
              <w:ind w:left="194"/>
              <w:jc w:val="both"/>
              <w:rPr>
                <w:color w:val="auto"/>
                <w:highlight w:val="none"/>
                <w:lang w:eastAsia="zh-CN"/>
              </w:rPr>
            </w:pPr>
            <w:r>
              <w:rPr>
                <w:color w:val="auto"/>
                <w:spacing w:val="-1"/>
                <w:highlight w:val="none"/>
                <w:lang w:eastAsia="zh-CN"/>
              </w:rPr>
              <w:t>企业近年发生的诉讼</w:t>
            </w:r>
          </w:p>
          <w:p w14:paraId="329EAA6E">
            <w:pPr>
              <w:pStyle w:val="185"/>
              <w:spacing w:before="70" w:line="221" w:lineRule="auto"/>
              <w:ind w:left="190"/>
              <w:jc w:val="both"/>
              <w:rPr>
                <w:color w:val="auto"/>
                <w:highlight w:val="none"/>
                <w:lang w:eastAsia="zh-CN"/>
              </w:rPr>
            </w:pPr>
            <w:r>
              <w:rPr>
                <w:color w:val="auto"/>
                <w:spacing w:val="-1"/>
                <w:highlight w:val="none"/>
                <w:lang w:eastAsia="zh-CN"/>
              </w:rPr>
              <w:t>及仲裁情况的年份要</w:t>
            </w:r>
          </w:p>
          <w:p w14:paraId="0B30F71F">
            <w:pPr>
              <w:pStyle w:val="185"/>
              <w:spacing w:before="68" w:line="209" w:lineRule="auto"/>
              <w:ind w:left="1032"/>
              <w:jc w:val="both"/>
              <w:rPr>
                <w:color w:val="auto"/>
                <w:highlight w:val="none"/>
              </w:rPr>
            </w:pPr>
            <w:r>
              <w:rPr>
                <w:color w:val="auto"/>
                <w:highlight w:val="none"/>
              </w:rPr>
              <w:t>求</w:t>
            </w:r>
          </w:p>
        </w:tc>
        <w:tc>
          <w:tcPr>
            <w:tcW w:w="5465" w:type="dxa"/>
          </w:tcPr>
          <w:p w14:paraId="43134663">
            <w:pPr>
              <w:pStyle w:val="185"/>
              <w:spacing w:before="68" w:line="221" w:lineRule="auto"/>
              <w:rPr>
                <w:rFonts w:hint="eastAsia"/>
                <w:color w:val="auto"/>
                <w:highlight w:val="none"/>
              </w:rPr>
            </w:pPr>
            <w:r>
              <w:rPr>
                <w:color w:val="auto"/>
                <w:spacing w:val="-3"/>
                <w:highlight w:val="none"/>
              </w:rPr>
              <w:t>近</w:t>
            </w:r>
            <w:r>
              <w:rPr>
                <w:rFonts w:hint="eastAsia"/>
                <w:color w:val="auto"/>
                <w:spacing w:val="-3"/>
                <w:highlight w:val="none"/>
                <w:u w:val="single"/>
                <w:lang w:val="en-US" w:eastAsia="zh-CN"/>
              </w:rPr>
              <w:t xml:space="preserve">    </w:t>
            </w:r>
            <w:r>
              <w:rPr>
                <w:color w:val="auto"/>
                <w:spacing w:val="-3"/>
                <w:highlight w:val="none"/>
              </w:rPr>
              <w:t>年</w:t>
            </w:r>
            <w:r>
              <w:rPr>
                <w:rFonts w:hint="eastAsia"/>
                <w:color w:val="auto"/>
                <w:spacing w:val="-3"/>
                <w:highlight w:val="none"/>
                <w:lang w:eastAsia="zh-CN"/>
              </w:rPr>
              <w:t>，</w:t>
            </w:r>
            <w:r>
              <w:rPr>
                <w:rFonts w:hint="eastAsia"/>
                <w:color w:val="auto"/>
                <w:spacing w:val="-3"/>
                <w:highlight w:val="none"/>
                <w:lang w:val="en-US" w:eastAsia="zh-CN"/>
              </w:rPr>
              <w:t>指</w:t>
            </w:r>
            <w:r>
              <w:rPr>
                <w:rFonts w:hint="eastAsia"/>
                <w:color w:val="auto"/>
                <w:spacing w:val="-3"/>
                <w:highlight w:val="none"/>
                <w:u w:val="single"/>
                <w:lang w:val="en-US" w:eastAsia="zh-CN"/>
              </w:rPr>
              <w:t xml:space="preserve">    </w:t>
            </w:r>
            <w:r>
              <w:rPr>
                <w:rFonts w:hint="eastAsia"/>
                <w:color w:val="auto"/>
                <w:highlight w:val="none"/>
              </w:rPr>
              <w:t>年</w:t>
            </w:r>
            <w:r>
              <w:rPr>
                <w:rFonts w:hint="eastAsia"/>
                <w:color w:val="auto"/>
                <w:spacing w:val="-3"/>
                <w:highlight w:val="none"/>
                <w:u w:val="single"/>
                <w:lang w:val="en-US" w:eastAsia="zh-CN"/>
              </w:rPr>
              <w:t xml:space="preserve">    </w:t>
            </w:r>
            <w:r>
              <w:rPr>
                <w:rFonts w:hint="eastAsia"/>
                <w:color w:val="auto"/>
                <w:highlight w:val="none"/>
              </w:rPr>
              <w:t>月</w:t>
            </w:r>
            <w:r>
              <w:rPr>
                <w:rFonts w:hint="eastAsia"/>
                <w:color w:val="auto"/>
                <w:spacing w:val="-3"/>
                <w:highlight w:val="none"/>
                <w:u w:val="single"/>
                <w:lang w:val="en-US" w:eastAsia="zh-CN"/>
              </w:rPr>
              <w:t xml:space="preserve">    </w:t>
            </w:r>
            <w:r>
              <w:rPr>
                <w:rFonts w:hint="eastAsia"/>
                <w:color w:val="auto"/>
                <w:highlight w:val="none"/>
              </w:rPr>
              <w:t>日</w:t>
            </w:r>
            <w:r>
              <w:rPr>
                <w:rFonts w:hint="eastAsia"/>
                <w:color w:val="auto"/>
                <w:highlight w:val="none"/>
                <w:lang w:val="en-US" w:eastAsia="zh-CN"/>
              </w:rPr>
              <w:t>-</w:t>
            </w:r>
            <w:r>
              <w:rPr>
                <w:rFonts w:hint="eastAsia"/>
                <w:color w:val="auto"/>
                <w:spacing w:val="-3"/>
                <w:highlight w:val="none"/>
                <w:u w:val="single"/>
                <w:lang w:val="en-US" w:eastAsia="zh-CN"/>
              </w:rPr>
              <w:t xml:space="preserve">    </w:t>
            </w:r>
            <w:r>
              <w:rPr>
                <w:rFonts w:hint="eastAsia"/>
                <w:color w:val="auto"/>
                <w:highlight w:val="none"/>
              </w:rPr>
              <w:t>年</w:t>
            </w:r>
            <w:r>
              <w:rPr>
                <w:rFonts w:hint="eastAsia"/>
                <w:color w:val="auto"/>
                <w:spacing w:val="-3"/>
                <w:highlight w:val="none"/>
                <w:u w:val="single"/>
                <w:lang w:val="en-US" w:eastAsia="zh-CN"/>
              </w:rPr>
              <w:t xml:space="preserve">    </w:t>
            </w:r>
            <w:r>
              <w:rPr>
                <w:rFonts w:hint="eastAsia"/>
                <w:color w:val="auto"/>
                <w:highlight w:val="none"/>
              </w:rPr>
              <w:t>月</w:t>
            </w:r>
            <w:r>
              <w:rPr>
                <w:rFonts w:hint="eastAsia"/>
                <w:color w:val="auto"/>
                <w:spacing w:val="-3"/>
                <w:highlight w:val="none"/>
                <w:u w:val="single"/>
                <w:lang w:val="en-US" w:eastAsia="zh-CN"/>
              </w:rPr>
              <w:t xml:space="preserve">    </w:t>
            </w:r>
            <w:r>
              <w:rPr>
                <w:rFonts w:hint="eastAsia"/>
                <w:color w:val="auto"/>
                <w:highlight w:val="none"/>
              </w:rPr>
              <w:t>日</w:t>
            </w:r>
          </w:p>
          <w:p w14:paraId="42D0D6A8">
            <w:pPr>
              <w:keepNext w:val="0"/>
              <w:keepLines w:val="0"/>
              <w:widowControl/>
              <w:suppressLineNumbers w:val="0"/>
              <w:jc w:val="left"/>
              <w:rPr>
                <w:rFonts w:hint="eastAsia"/>
                <w:color w:val="auto"/>
                <w:highlight w:val="none"/>
              </w:rPr>
            </w:pPr>
            <w:r>
              <w:rPr>
                <w:rFonts w:hint="eastAsia" w:ascii="宋体" w:hAnsi="宋体" w:eastAsia="宋体" w:cs="宋体"/>
                <w:color w:val="auto"/>
                <w:kern w:val="0"/>
                <w:sz w:val="21"/>
                <w:szCs w:val="21"/>
                <w:highlight w:val="none"/>
                <w:lang w:val="en-US" w:eastAsia="zh-CN" w:bidi="ar"/>
              </w:rPr>
              <w:t>特别说明：近年发生的诉讼和仲裁情况仅限于申请人败诉的，且可能直接影响正常合同履约有关的案件，不包括调解结案、未终审判决的诉讼或未裁决的仲裁以及与合同履约无直接关联案件。投标人应如实填写近年发生的诉讼及仲裁情况，否则视为不响应招标文件实质性要求，其投标文件将被否决。如投标人因故意隐瞒且查证属实存在影响履约的诉讼及仲裁情况，将视为弄虚作假或以不正当手段骗取中标的行为，将依法依规予以处理。时间为判决或仲裁决定时间。</w:t>
            </w:r>
          </w:p>
        </w:tc>
      </w:tr>
      <w:tr w14:paraId="67D67C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856" w:type="dxa"/>
            <w:vAlign w:val="center"/>
          </w:tcPr>
          <w:p w14:paraId="5AF00D8C">
            <w:pPr>
              <w:pStyle w:val="185"/>
              <w:spacing w:before="236"/>
              <w:ind w:left="283"/>
              <w:jc w:val="both"/>
              <w:rPr>
                <w:color w:val="auto"/>
                <w:spacing w:val="-3"/>
                <w:highlight w:val="none"/>
              </w:rPr>
            </w:pPr>
            <w:r>
              <w:rPr>
                <w:rFonts w:hint="default"/>
                <w:color w:val="auto"/>
                <w:spacing w:val="-3"/>
                <w:highlight w:val="none"/>
                <w:lang w:val="en-US" w:eastAsia="zh-CN"/>
              </w:rPr>
              <w:t>3.5.9</w:t>
            </w:r>
          </w:p>
        </w:tc>
        <w:tc>
          <w:tcPr>
            <w:tcW w:w="2267" w:type="dxa"/>
            <w:vAlign w:val="center"/>
          </w:tcPr>
          <w:p w14:paraId="7D048296">
            <w:pPr>
              <w:pStyle w:val="185"/>
              <w:spacing w:before="75" w:line="246" w:lineRule="auto"/>
              <w:ind w:right="185"/>
              <w:jc w:val="center"/>
              <w:rPr>
                <w:color w:val="auto"/>
                <w:spacing w:val="-1"/>
                <w:highlight w:val="none"/>
                <w:lang w:eastAsia="zh-CN"/>
              </w:rPr>
            </w:pPr>
            <w:r>
              <w:rPr>
                <w:rFonts w:hint="eastAsia"/>
                <w:color w:val="auto"/>
                <w:spacing w:val="-1"/>
                <w:highlight w:val="none"/>
                <w:lang w:val="en-US" w:eastAsia="zh-CN"/>
              </w:rPr>
              <w:t>项目经理近年已完成的类似项目的年份要求</w:t>
            </w:r>
          </w:p>
        </w:tc>
        <w:tc>
          <w:tcPr>
            <w:tcW w:w="5465" w:type="dxa"/>
            <w:vAlign w:val="center"/>
          </w:tcPr>
          <w:p w14:paraId="2BA426FE">
            <w:pPr>
              <w:pStyle w:val="185"/>
              <w:spacing w:before="68" w:line="221" w:lineRule="auto"/>
              <w:jc w:val="both"/>
              <w:rPr>
                <w:rFonts w:hint="eastAsia" w:ascii="Times New Roman" w:hAnsi="Times New Roman" w:cs="Times New Roman"/>
                <w:color w:val="auto"/>
                <w:spacing w:val="-4"/>
                <w:sz w:val="31"/>
                <w:szCs w:val="31"/>
                <w:highlight w:val="none"/>
                <w:lang w:eastAsia="zh-CN"/>
              </w:rPr>
            </w:pPr>
            <w:r>
              <w:rPr>
                <w:color w:val="auto"/>
                <w:spacing w:val="-3"/>
                <w:highlight w:val="none"/>
              </w:rPr>
              <w:t>近</w:t>
            </w:r>
            <w:r>
              <w:rPr>
                <w:rFonts w:hint="eastAsia"/>
                <w:color w:val="auto"/>
                <w:spacing w:val="-3"/>
                <w:highlight w:val="none"/>
                <w:u w:val="single"/>
                <w:lang w:val="en-US" w:eastAsia="zh-CN"/>
              </w:rPr>
              <w:t xml:space="preserve">    </w:t>
            </w:r>
            <w:r>
              <w:rPr>
                <w:color w:val="auto"/>
                <w:spacing w:val="-3"/>
                <w:highlight w:val="none"/>
              </w:rPr>
              <w:t>年</w:t>
            </w:r>
            <w:r>
              <w:rPr>
                <w:rFonts w:hint="eastAsia"/>
                <w:color w:val="auto"/>
                <w:spacing w:val="-3"/>
                <w:highlight w:val="none"/>
                <w:lang w:eastAsia="zh-CN"/>
              </w:rPr>
              <w:t>，</w:t>
            </w:r>
            <w:r>
              <w:rPr>
                <w:rFonts w:hint="eastAsia"/>
                <w:color w:val="auto"/>
                <w:spacing w:val="-3"/>
                <w:highlight w:val="none"/>
                <w:lang w:val="en-US" w:eastAsia="zh-CN"/>
              </w:rPr>
              <w:t>指</w:t>
            </w:r>
            <w:r>
              <w:rPr>
                <w:rFonts w:hint="eastAsia"/>
                <w:color w:val="auto"/>
                <w:spacing w:val="-3"/>
                <w:highlight w:val="none"/>
                <w:u w:val="single"/>
                <w:lang w:val="en-US" w:eastAsia="zh-CN"/>
              </w:rPr>
              <w:t xml:space="preserve">    </w:t>
            </w:r>
            <w:r>
              <w:rPr>
                <w:rFonts w:hint="eastAsia"/>
                <w:color w:val="auto"/>
                <w:highlight w:val="none"/>
              </w:rPr>
              <w:t>年</w:t>
            </w:r>
            <w:r>
              <w:rPr>
                <w:rFonts w:hint="eastAsia"/>
                <w:color w:val="auto"/>
                <w:spacing w:val="-3"/>
                <w:highlight w:val="none"/>
                <w:u w:val="single"/>
                <w:lang w:val="en-US" w:eastAsia="zh-CN"/>
              </w:rPr>
              <w:t xml:space="preserve">    </w:t>
            </w:r>
            <w:r>
              <w:rPr>
                <w:rFonts w:hint="eastAsia"/>
                <w:color w:val="auto"/>
                <w:highlight w:val="none"/>
              </w:rPr>
              <w:t>月</w:t>
            </w:r>
            <w:r>
              <w:rPr>
                <w:rFonts w:hint="eastAsia"/>
                <w:color w:val="auto"/>
                <w:spacing w:val="-3"/>
                <w:highlight w:val="none"/>
                <w:u w:val="single"/>
                <w:lang w:val="en-US" w:eastAsia="zh-CN"/>
              </w:rPr>
              <w:t xml:space="preserve">    </w:t>
            </w:r>
            <w:r>
              <w:rPr>
                <w:rFonts w:hint="eastAsia"/>
                <w:color w:val="auto"/>
                <w:highlight w:val="none"/>
              </w:rPr>
              <w:t>日</w:t>
            </w:r>
            <w:r>
              <w:rPr>
                <w:rFonts w:hint="eastAsia"/>
                <w:color w:val="auto"/>
                <w:highlight w:val="none"/>
                <w:lang w:val="en-US" w:eastAsia="zh-CN"/>
              </w:rPr>
              <w:t>-</w:t>
            </w:r>
            <w:r>
              <w:rPr>
                <w:rFonts w:hint="eastAsia"/>
                <w:color w:val="auto"/>
                <w:spacing w:val="-3"/>
                <w:highlight w:val="none"/>
                <w:u w:val="single"/>
                <w:lang w:val="en-US" w:eastAsia="zh-CN"/>
              </w:rPr>
              <w:t xml:space="preserve">    </w:t>
            </w:r>
            <w:r>
              <w:rPr>
                <w:rFonts w:hint="eastAsia"/>
                <w:color w:val="auto"/>
                <w:highlight w:val="none"/>
              </w:rPr>
              <w:t>年</w:t>
            </w:r>
            <w:r>
              <w:rPr>
                <w:rFonts w:hint="eastAsia"/>
                <w:color w:val="auto"/>
                <w:spacing w:val="-3"/>
                <w:highlight w:val="none"/>
                <w:u w:val="single"/>
                <w:lang w:val="en-US" w:eastAsia="zh-CN"/>
              </w:rPr>
              <w:t xml:space="preserve">    </w:t>
            </w:r>
            <w:r>
              <w:rPr>
                <w:rFonts w:hint="eastAsia"/>
                <w:color w:val="auto"/>
                <w:highlight w:val="none"/>
              </w:rPr>
              <w:t>月</w:t>
            </w:r>
            <w:r>
              <w:rPr>
                <w:rFonts w:hint="eastAsia"/>
                <w:color w:val="auto"/>
                <w:spacing w:val="-3"/>
                <w:highlight w:val="none"/>
                <w:u w:val="single"/>
                <w:lang w:val="en-US" w:eastAsia="zh-CN"/>
              </w:rPr>
              <w:t xml:space="preserve">    </w:t>
            </w:r>
            <w:r>
              <w:rPr>
                <w:rFonts w:hint="eastAsia"/>
                <w:color w:val="auto"/>
                <w:highlight w:val="none"/>
              </w:rPr>
              <w:t>日</w:t>
            </w:r>
          </w:p>
        </w:tc>
      </w:tr>
      <w:tr w14:paraId="4D382E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856" w:type="dxa"/>
          </w:tcPr>
          <w:p w14:paraId="1FB6C837">
            <w:pPr>
              <w:pStyle w:val="185"/>
              <w:spacing w:before="236"/>
              <w:ind w:left="283"/>
              <w:rPr>
                <w:color w:val="auto"/>
                <w:highlight w:val="none"/>
              </w:rPr>
            </w:pPr>
            <w:r>
              <w:rPr>
                <w:color w:val="auto"/>
                <w:spacing w:val="-3"/>
                <w:highlight w:val="none"/>
              </w:rPr>
              <w:t>3.6</w:t>
            </w:r>
          </w:p>
        </w:tc>
        <w:tc>
          <w:tcPr>
            <w:tcW w:w="2267" w:type="dxa"/>
          </w:tcPr>
          <w:p w14:paraId="7FEC2229">
            <w:pPr>
              <w:pStyle w:val="185"/>
              <w:spacing w:before="75" w:line="246" w:lineRule="auto"/>
              <w:ind w:left="822" w:right="185" w:hanging="628"/>
              <w:rPr>
                <w:color w:val="auto"/>
                <w:highlight w:val="none"/>
                <w:lang w:eastAsia="zh-CN"/>
              </w:rPr>
            </w:pPr>
            <w:r>
              <w:rPr>
                <w:color w:val="auto"/>
                <w:spacing w:val="-1"/>
                <w:highlight w:val="none"/>
                <w:lang w:eastAsia="zh-CN"/>
              </w:rPr>
              <w:t>是否允许递交备选投</w:t>
            </w:r>
            <w:r>
              <w:rPr>
                <w:color w:val="auto"/>
                <w:spacing w:val="-2"/>
                <w:highlight w:val="none"/>
                <w:lang w:eastAsia="zh-CN"/>
              </w:rPr>
              <w:t>标方案</w:t>
            </w:r>
          </w:p>
        </w:tc>
        <w:tc>
          <w:tcPr>
            <w:tcW w:w="5465" w:type="dxa"/>
          </w:tcPr>
          <w:p w14:paraId="6088B072">
            <w:pPr>
              <w:pStyle w:val="185"/>
              <w:spacing w:before="34" w:line="202" w:lineRule="auto"/>
              <w:ind w:left="127" w:right="4361"/>
              <w:rPr>
                <w:color w:val="auto"/>
                <w:highlight w:val="none"/>
              </w:rPr>
            </w:pPr>
            <w:r>
              <w:rPr>
                <w:rFonts w:hint="eastAsia" w:ascii="Times New Roman" w:hAnsi="Times New Roman" w:cs="Times New Roman"/>
                <w:color w:val="auto"/>
                <w:spacing w:val="-4"/>
                <w:sz w:val="31"/>
                <w:szCs w:val="31"/>
                <w:highlight w:val="none"/>
                <w:lang w:eastAsia="zh-CN"/>
              </w:rPr>
              <w:t>☑</w:t>
            </w:r>
            <w:r>
              <w:rPr>
                <w:color w:val="auto"/>
                <w:spacing w:val="-4"/>
                <w:highlight w:val="none"/>
              </w:rPr>
              <w:t>不允许</w:t>
            </w:r>
            <w:r>
              <w:rPr>
                <w:rFonts w:ascii="Times New Roman" w:hAnsi="Times New Roman" w:eastAsia="Times New Roman" w:cs="Times New Roman"/>
                <w:color w:val="auto"/>
                <w:spacing w:val="-6"/>
                <w:sz w:val="31"/>
                <w:szCs w:val="31"/>
                <w:highlight w:val="none"/>
              </w:rPr>
              <w:t>□</w:t>
            </w:r>
            <w:r>
              <w:rPr>
                <w:color w:val="auto"/>
                <w:spacing w:val="-6"/>
                <w:highlight w:val="none"/>
              </w:rPr>
              <w:t>允许</w:t>
            </w:r>
          </w:p>
        </w:tc>
      </w:tr>
      <w:tr w14:paraId="2D4836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856" w:type="dxa"/>
            <w:vAlign w:val="center"/>
          </w:tcPr>
          <w:p w14:paraId="2E85BBE8">
            <w:pPr>
              <w:keepNext w:val="0"/>
              <w:keepLines w:val="0"/>
              <w:suppressLineNumbers w:val="0"/>
              <w:spacing w:before="0" w:beforeAutospacing="0" w:after="0" w:afterAutospacing="0" w:line="320" w:lineRule="exact"/>
              <w:ind w:left="0" w:leftChars="0" w:right="0" w:rightChars="0"/>
              <w:jc w:val="center"/>
              <w:rPr>
                <w:color w:val="auto"/>
                <w:spacing w:val="-2"/>
                <w:highlight w:val="none"/>
              </w:rPr>
            </w:pPr>
            <w:r>
              <w:rPr>
                <w:rFonts w:hint="eastAsia"/>
                <w:color w:val="auto"/>
                <w:highlight w:val="none"/>
              </w:rPr>
              <w:t>3.7.3</w:t>
            </w:r>
          </w:p>
        </w:tc>
        <w:tc>
          <w:tcPr>
            <w:tcW w:w="2267" w:type="dxa"/>
            <w:vAlign w:val="center"/>
          </w:tcPr>
          <w:p w14:paraId="0C1BB132">
            <w:pPr>
              <w:keepNext w:val="0"/>
              <w:keepLines w:val="0"/>
              <w:suppressLineNumbers w:val="0"/>
              <w:spacing w:before="0" w:beforeAutospacing="0" w:after="0" w:afterAutospacing="0" w:line="320" w:lineRule="exact"/>
              <w:ind w:left="0" w:leftChars="0" w:right="0" w:rightChars="0"/>
              <w:jc w:val="center"/>
              <w:rPr>
                <w:color w:val="auto"/>
                <w:spacing w:val="-1"/>
                <w:highlight w:val="none"/>
              </w:rPr>
            </w:pPr>
            <w:r>
              <w:rPr>
                <w:rFonts w:hint="eastAsia"/>
                <w:color w:val="auto"/>
                <w:highlight w:val="none"/>
              </w:rPr>
              <w:t>应用于评审的佐证或证明材料</w:t>
            </w:r>
          </w:p>
        </w:tc>
        <w:tc>
          <w:tcPr>
            <w:tcW w:w="5465" w:type="dxa"/>
            <w:vAlign w:val="center"/>
          </w:tcPr>
          <w:p w14:paraId="4276AAA5">
            <w:pPr>
              <w:keepNext w:val="0"/>
              <w:keepLines w:val="0"/>
              <w:suppressLineNumbers w:val="0"/>
              <w:spacing w:before="0" w:beforeAutospacing="0" w:after="0" w:afterAutospacing="0" w:line="320" w:lineRule="exact"/>
              <w:ind w:left="0" w:right="0"/>
              <w:jc w:val="left"/>
              <w:rPr>
                <w:rFonts w:hint="default" w:ascii="Segoe UI Symbol" w:hAnsi="Segoe UI Symbol" w:cs="Segoe UI Symbol"/>
                <w:color w:val="auto"/>
                <w:highlight w:val="none"/>
              </w:rPr>
            </w:pPr>
            <w:r>
              <w:rPr>
                <w:rFonts w:hint="eastAsia"/>
                <w:color w:val="auto"/>
                <w:highlight w:val="none"/>
              </w:rPr>
              <w:t>应用数字证照评审的节点和材料内容：</w:t>
            </w:r>
          </w:p>
          <w:p w14:paraId="1EA1854B">
            <w:pPr>
              <w:keepNext w:val="0"/>
              <w:keepLines w:val="0"/>
              <w:suppressLineNumbers w:val="0"/>
              <w:spacing w:before="0" w:beforeAutospacing="0" w:after="0" w:afterAutospacing="0" w:line="320" w:lineRule="exact"/>
              <w:ind w:left="0" w:right="0"/>
              <w:jc w:val="left"/>
              <w:rPr>
                <w:rFonts w:hint="eastAsia" w:ascii="宋体" w:hAnsi="宋体"/>
                <w:color w:val="auto"/>
                <w:highlight w:val="none"/>
              </w:rPr>
            </w:pPr>
            <w:r>
              <w:rPr>
                <w:rFonts w:hint="default" w:ascii="Segoe UI Symbol" w:hAnsi="Segoe UI Symbol" w:cs="Segoe UI Symbol"/>
                <w:color w:val="auto"/>
                <w:highlight w:val="none"/>
              </w:rPr>
              <w:t>☑</w:t>
            </w:r>
            <w:r>
              <w:rPr>
                <w:rFonts w:hint="eastAsia" w:ascii="宋体" w:hAnsi="宋体"/>
                <w:color w:val="auto"/>
                <w:highlight w:val="none"/>
              </w:rPr>
              <w:t>企业业绩</w:t>
            </w:r>
          </w:p>
          <w:p w14:paraId="3606694A">
            <w:pPr>
              <w:keepNext w:val="0"/>
              <w:keepLines w:val="0"/>
              <w:suppressLineNumbers w:val="0"/>
              <w:spacing w:before="0" w:beforeAutospacing="0" w:after="0" w:afterAutospacing="0" w:line="320" w:lineRule="exact"/>
              <w:ind w:left="0" w:right="0"/>
              <w:jc w:val="left"/>
              <w:rPr>
                <w:rFonts w:hint="eastAsia" w:ascii="宋体" w:hAnsi="宋体"/>
                <w:color w:val="auto"/>
                <w:highlight w:val="none"/>
              </w:rPr>
            </w:pPr>
            <w:r>
              <w:rPr>
                <w:rFonts w:hint="default" w:ascii="Segoe UI Symbol" w:hAnsi="Segoe UI Symbol" w:cs="Segoe UI Symbol"/>
                <w:color w:val="auto"/>
                <w:highlight w:val="none"/>
              </w:rPr>
              <w:t>☑</w:t>
            </w:r>
            <w:r>
              <w:rPr>
                <w:rFonts w:hint="eastAsia" w:ascii="宋体" w:hAnsi="宋体"/>
                <w:color w:val="auto"/>
                <w:highlight w:val="none"/>
              </w:rPr>
              <w:t>人员业绩</w:t>
            </w:r>
          </w:p>
          <w:p w14:paraId="03860863">
            <w:pPr>
              <w:keepNext w:val="0"/>
              <w:keepLines w:val="0"/>
              <w:suppressLineNumbers w:val="0"/>
              <w:spacing w:before="0" w:beforeAutospacing="0" w:after="0" w:afterAutospacing="0" w:line="320" w:lineRule="exact"/>
              <w:ind w:left="0" w:right="0"/>
              <w:jc w:val="left"/>
              <w:rPr>
                <w:rFonts w:hint="eastAsia" w:ascii="宋体" w:hAnsi="宋体"/>
                <w:color w:val="auto"/>
                <w:highlight w:val="none"/>
              </w:rPr>
            </w:pPr>
            <w:r>
              <w:rPr>
                <w:rFonts w:hint="default" w:ascii="Segoe UI Symbol" w:hAnsi="Segoe UI Symbol" w:cs="Segoe UI Symbol"/>
                <w:color w:val="auto"/>
                <w:highlight w:val="none"/>
              </w:rPr>
              <w:t>☑</w:t>
            </w:r>
            <w:r>
              <w:rPr>
                <w:rFonts w:hint="eastAsia" w:ascii="宋体" w:hAnsi="宋体"/>
                <w:color w:val="auto"/>
                <w:highlight w:val="none"/>
              </w:rPr>
              <w:t>财务审计报告</w:t>
            </w:r>
          </w:p>
          <w:p w14:paraId="480B68CC">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rPr>
              <w:t>特别说明：1.通过企业主体信息库生成的数字证照信息，投标人应当自行校核和确认数字证照数据信息内容，一般应当对投标文件中已生成的数字证照进行电子签名，否则视为已确认和认可数据信息内容。</w:t>
            </w:r>
          </w:p>
          <w:p w14:paraId="4CE4616C">
            <w:pPr>
              <w:keepNext w:val="0"/>
              <w:keepLines w:val="0"/>
              <w:suppressLineNumbers w:val="0"/>
              <w:spacing w:before="0" w:beforeAutospacing="0" w:after="0" w:afterAutospacing="0" w:line="320" w:lineRule="exact"/>
              <w:ind w:left="0" w:leftChars="0" w:right="0" w:rightChars="0"/>
              <w:jc w:val="left"/>
              <w:rPr>
                <w:rFonts w:ascii="Times New Roman" w:hAnsi="Times New Roman" w:eastAsia="Times New Roman" w:cs="Times New Roman"/>
                <w:color w:val="auto"/>
                <w:spacing w:val="-4"/>
                <w:sz w:val="31"/>
                <w:szCs w:val="31"/>
                <w:highlight w:val="none"/>
              </w:rPr>
            </w:pPr>
            <w:r>
              <w:rPr>
                <w:rFonts w:hint="eastAsia"/>
                <w:color w:val="auto"/>
                <w:highlight w:val="none"/>
              </w:rPr>
              <w:t>2.投标人制作投标文件时按上述实际明确的材料生成数字证照应用于项目评审，否则相关证明佐证材料以企业主体信息库获取的材料影印件应用于项目评审，投标人对数字证照和材料影印件内容的准确性、完整性和真实性负责。</w:t>
            </w:r>
          </w:p>
        </w:tc>
      </w:tr>
      <w:tr w14:paraId="187A81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856" w:type="dxa"/>
            <w:vAlign w:val="center"/>
          </w:tcPr>
          <w:p w14:paraId="658A7C44">
            <w:pPr>
              <w:pStyle w:val="185"/>
              <w:spacing w:before="237"/>
              <w:ind w:left="177"/>
              <w:jc w:val="both"/>
              <w:rPr>
                <w:color w:val="auto"/>
                <w:highlight w:val="none"/>
              </w:rPr>
            </w:pPr>
            <w:r>
              <w:rPr>
                <w:color w:val="auto"/>
                <w:spacing w:val="-2"/>
                <w:highlight w:val="none"/>
              </w:rPr>
              <w:t>3.7.4</w:t>
            </w:r>
          </w:p>
        </w:tc>
        <w:tc>
          <w:tcPr>
            <w:tcW w:w="2267" w:type="dxa"/>
            <w:vAlign w:val="center"/>
          </w:tcPr>
          <w:p w14:paraId="57E90266">
            <w:pPr>
              <w:keepNext w:val="0"/>
              <w:keepLines w:val="0"/>
              <w:widowControl/>
              <w:suppressLineNumbers w:val="0"/>
              <w:jc w:val="both"/>
              <w:rPr>
                <w:color w:val="auto"/>
                <w:highlight w:val="none"/>
              </w:rPr>
            </w:pPr>
            <w:r>
              <w:rPr>
                <w:rFonts w:hint="eastAsia" w:ascii="宋体" w:hAnsi="宋体" w:eastAsia="宋体" w:cs="宋体"/>
                <w:color w:val="auto"/>
                <w:kern w:val="0"/>
                <w:sz w:val="21"/>
                <w:szCs w:val="21"/>
                <w:highlight w:val="none"/>
                <w:lang w:val="en-US" w:eastAsia="zh-CN" w:bidi="ar"/>
              </w:rPr>
              <w:t>技术标（承包人实施方案）是否采用暗标</w:t>
            </w:r>
          </w:p>
        </w:tc>
        <w:tc>
          <w:tcPr>
            <w:tcW w:w="5465" w:type="dxa"/>
            <w:vAlign w:val="center"/>
          </w:tcPr>
          <w:p w14:paraId="5B1683FB">
            <w:pPr>
              <w:keepNext w:val="0"/>
              <w:keepLines w:val="0"/>
              <w:widowControl/>
              <w:suppressLineNumbers w:val="0"/>
              <w:jc w:val="both"/>
              <w:rPr>
                <w:color w:val="auto"/>
                <w:highlight w:val="none"/>
              </w:rPr>
            </w:pPr>
            <w:r>
              <w:rPr>
                <w:rFonts w:hint="eastAsia" w:ascii="宋体" w:hAnsi="宋体" w:eastAsia="宋体" w:cs="宋体"/>
                <w:color w:val="auto"/>
                <w:kern w:val="0"/>
                <w:sz w:val="21"/>
                <w:szCs w:val="21"/>
                <w:highlight w:val="none"/>
                <w:lang w:val="en-US" w:eastAsia="zh-CN" w:bidi="ar"/>
              </w:rPr>
              <w:t>采用模块化暗标评审</w:t>
            </w:r>
          </w:p>
        </w:tc>
      </w:tr>
      <w:tr w14:paraId="195FAC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856" w:type="dxa"/>
          </w:tcPr>
          <w:p w14:paraId="0E45D791">
            <w:pPr>
              <w:pStyle w:val="185"/>
              <w:spacing w:before="247"/>
              <w:ind w:left="172"/>
              <w:rPr>
                <w:color w:val="auto"/>
                <w:highlight w:val="none"/>
              </w:rPr>
            </w:pPr>
            <w:r>
              <w:rPr>
                <w:color w:val="auto"/>
                <w:spacing w:val="-1"/>
                <w:highlight w:val="none"/>
              </w:rPr>
              <w:t>4.2.1</w:t>
            </w:r>
          </w:p>
        </w:tc>
        <w:tc>
          <w:tcPr>
            <w:tcW w:w="2267" w:type="dxa"/>
          </w:tcPr>
          <w:p w14:paraId="05AE50CB">
            <w:pPr>
              <w:pStyle w:val="185"/>
              <w:spacing w:before="247" w:line="221" w:lineRule="auto"/>
              <w:ind w:left="510"/>
              <w:rPr>
                <w:color w:val="auto"/>
                <w:highlight w:val="none"/>
              </w:rPr>
            </w:pPr>
            <w:r>
              <w:rPr>
                <w:color w:val="auto"/>
                <w:spacing w:val="-2"/>
                <w:highlight w:val="none"/>
              </w:rPr>
              <w:t>投标截止时间</w:t>
            </w:r>
          </w:p>
        </w:tc>
        <w:tc>
          <w:tcPr>
            <w:tcW w:w="5465" w:type="dxa"/>
          </w:tcPr>
          <w:p w14:paraId="0B756DA8">
            <w:pPr>
              <w:pStyle w:val="185"/>
              <w:tabs>
                <w:tab w:val="left" w:pos="527"/>
              </w:tabs>
              <w:spacing w:before="246" w:line="221" w:lineRule="auto"/>
              <w:ind w:left="105"/>
              <w:rPr>
                <w:color w:val="auto"/>
                <w:highlight w:val="none"/>
              </w:rPr>
            </w:pPr>
            <w:r>
              <w:rPr>
                <w:color w:val="auto"/>
                <w:highlight w:val="none"/>
                <w:u w:val="single"/>
              </w:rPr>
              <w:tab/>
            </w:r>
            <w:r>
              <w:rPr>
                <w:color w:val="auto"/>
                <w:spacing w:val="-17"/>
                <w:highlight w:val="none"/>
              </w:rPr>
              <w:t>年</w:t>
            </w:r>
            <w:r>
              <w:rPr>
                <w:color w:val="auto"/>
                <w:highlight w:val="none"/>
                <w:u w:val="single"/>
              </w:rPr>
              <w:tab/>
            </w:r>
            <w:r>
              <w:rPr>
                <w:color w:val="auto"/>
                <w:highlight w:val="none"/>
                <w:u w:val="single"/>
              </w:rPr>
              <w:tab/>
            </w:r>
            <w:r>
              <w:rPr>
                <w:color w:val="auto"/>
                <w:spacing w:val="-17"/>
                <w:highlight w:val="none"/>
              </w:rPr>
              <w:t>月</w:t>
            </w:r>
            <w:r>
              <w:rPr>
                <w:color w:val="auto"/>
                <w:highlight w:val="none"/>
                <w:u w:val="single"/>
              </w:rPr>
              <w:tab/>
            </w:r>
            <w:r>
              <w:rPr>
                <w:color w:val="auto"/>
                <w:highlight w:val="none"/>
                <w:u w:val="single"/>
              </w:rPr>
              <w:tab/>
            </w:r>
            <w:r>
              <w:rPr>
                <w:color w:val="auto"/>
                <w:spacing w:val="-17"/>
                <w:highlight w:val="none"/>
              </w:rPr>
              <w:t>日</w:t>
            </w:r>
            <w:r>
              <w:rPr>
                <w:rFonts w:hint="eastAsia"/>
                <w:color w:val="auto"/>
                <w:highlight w:val="none"/>
                <w:u w:val="single"/>
                <w:lang w:val="en-US" w:eastAsia="zh-CN"/>
              </w:rPr>
              <w:t>09</w:t>
            </w:r>
            <w:r>
              <w:rPr>
                <w:color w:val="auto"/>
                <w:spacing w:val="-17"/>
                <w:highlight w:val="none"/>
              </w:rPr>
              <w:t>时</w:t>
            </w:r>
            <w:r>
              <w:rPr>
                <w:rFonts w:hint="eastAsia"/>
                <w:color w:val="auto"/>
                <w:highlight w:val="none"/>
                <w:u w:val="single"/>
                <w:lang w:val="en-US" w:eastAsia="zh-CN"/>
              </w:rPr>
              <w:t>30</w:t>
            </w:r>
            <w:r>
              <w:rPr>
                <w:color w:val="auto"/>
                <w:spacing w:val="-17"/>
                <w:highlight w:val="none"/>
              </w:rPr>
              <w:t>分。</w:t>
            </w:r>
          </w:p>
        </w:tc>
      </w:tr>
      <w:tr w14:paraId="24DFD9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56" w:type="dxa"/>
          </w:tcPr>
          <w:p w14:paraId="0D4E6F30">
            <w:pPr>
              <w:pStyle w:val="185"/>
              <w:spacing w:before="279"/>
              <w:ind w:left="172"/>
              <w:rPr>
                <w:color w:val="auto"/>
                <w:highlight w:val="none"/>
              </w:rPr>
            </w:pPr>
            <w:r>
              <w:rPr>
                <w:color w:val="auto"/>
                <w:spacing w:val="-1"/>
                <w:highlight w:val="none"/>
              </w:rPr>
              <w:t>4.2.3</w:t>
            </w:r>
          </w:p>
        </w:tc>
        <w:tc>
          <w:tcPr>
            <w:tcW w:w="2267" w:type="dxa"/>
          </w:tcPr>
          <w:p w14:paraId="155E733D">
            <w:pPr>
              <w:pStyle w:val="185"/>
              <w:spacing w:before="279" w:line="221" w:lineRule="auto"/>
              <w:ind w:left="300"/>
              <w:rPr>
                <w:color w:val="auto"/>
                <w:highlight w:val="none"/>
              </w:rPr>
            </w:pPr>
            <w:r>
              <w:rPr>
                <w:color w:val="auto"/>
                <w:spacing w:val="-1"/>
                <w:highlight w:val="none"/>
              </w:rPr>
              <w:t>是否退还投标文件</w:t>
            </w:r>
          </w:p>
        </w:tc>
        <w:tc>
          <w:tcPr>
            <w:tcW w:w="5465" w:type="dxa"/>
          </w:tcPr>
          <w:p w14:paraId="1AE7C2C1">
            <w:pPr>
              <w:pStyle w:val="185"/>
              <w:spacing w:before="120" w:line="221" w:lineRule="auto"/>
              <w:ind w:left="135"/>
              <w:rPr>
                <w:color w:val="auto"/>
                <w:highlight w:val="none"/>
                <w:lang w:eastAsia="zh-CN"/>
              </w:rPr>
            </w:pPr>
            <w:r>
              <w:rPr>
                <w:rFonts w:hint="eastAsia"/>
                <w:color w:val="auto"/>
                <w:spacing w:val="-7"/>
                <w:highlight w:val="none"/>
                <w:lang w:eastAsia="zh-CN"/>
              </w:rPr>
              <w:t>☑</w:t>
            </w:r>
            <w:r>
              <w:rPr>
                <w:color w:val="auto"/>
                <w:spacing w:val="-7"/>
                <w:highlight w:val="none"/>
                <w:lang w:eastAsia="zh-CN"/>
              </w:rPr>
              <w:t>否</w:t>
            </w:r>
          </w:p>
          <w:p w14:paraId="758E080E">
            <w:pPr>
              <w:pStyle w:val="185"/>
              <w:spacing w:before="68" w:line="222" w:lineRule="auto"/>
              <w:ind w:left="135"/>
              <w:rPr>
                <w:color w:val="auto"/>
                <w:highlight w:val="none"/>
                <w:lang w:eastAsia="zh-CN"/>
              </w:rPr>
            </w:pPr>
            <w:r>
              <w:rPr>
                <w:color w:val="auto"/>
                <w:spacing w:val="-3"/>
                <w:highlight w:val="none"/>
                <w:lang w:eastAsia="zh-CN"/>
              </w:rPr>
              <w:t>□是，退还具体安排：</w:t>
            </w:r>
          </w:p>
        </w:tc>
      </w:tr>
      <w:tr w14:paraId="378129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3" w:hRule="atLeast"/>
        </w:trPr>
        <w:tc>
          <w:tcPr>
            <w:tcW w:w="856" w:type="dxa"/>
          </w:tcPr>
          <w:p w14:paraId="14F75F33">
            <w:pPr>
              <w:spacing w:line="275" w:lineRule="auto"/>
              <w:rPr>
                <w:rFonts w:ascii="Arial"/>
                <w:color w:val="auto"/>
                <w:highlight w:val="none"/>
              </w:rPr>
            </w:pPr>
          </w:p>
          <w:p w14:paraId="231E6EE4">
            <w:pPr>
              <w:spacing w:line="275" w:lineRule="auto"/>
              <w:rPr>
                <w:rFonts w:ascii="Arial"/>
                <w:color w:val="auto"/>
                <w:highlight w:val="none"/>
              </w:rPr>
            </w:pPr>
          </w:p>
          <w:p w14:paraId="4819D2D4">
            <w:pPr>
              <w:pStyle w:val="185"/>
              <w:spacing w:before="68"/>
              <w:ind w:left="177"/>
              <w:rPr>
                <w:color w:val="auto"/>
                <w:highlight w:val="none"/>
              </w:rPr>
            </w:pPr>
            <w:r>
              <w:rPr>
                <w:color w:val="auto"/>
                <w:spacing w:val="-2"/>
                <w:highlight w:val="none"/>
              </w:rPr>
              <w:t>5.1.1</w:t>
            </w:r>
          </w:p>
        </w:tc>
        <w:tc>
          <w:tcPr>
            <w:tcW w:w="2267" w:type="dxa"/>
          </w:tcPr>
          <w:p w14:paraId="591FEC47">
            <w:pPr>
              <w:spacing w:line="275" w:lineRule="auto"/>
              <w:rPr>
                <w:rFonts w:ascii="Arial"/>
                <w:color w:val="auto"/>
                <w:highlight w:val="none"/>
              </w:rPr>
            </w:pPr>
          </w:p>
          <w:p w14:paraId="34F3E6A0">
            <w:pPr>
              <w:spacing w:line="275" w:lineRule="auto"/>
              <w:rPr>
                <w:rFonts w:ascii="Arial"/>
                <w:color w:val="auto"/>
                <w:highlight w:val="none"/>
              </w:rPr>
            </w:pPr>
          </w:p>
          <w:p w14:paraId="1EA2924E">
            <w:pPr>
              <w:pStyle w:val="185"/>
              <w:spacing w:before="69" w:line="221" w:lineRule="auto"/>
              <w:ind w:left="508"/>
              <w:rPr>
                <w:color w:val="auto"/>
                <w:highlight w:val="none"/>
              </w:rPr>
            </w:pPr>
            <w:r>
              <w:rPr>
                <w:color w:val="auto"/>
                <w:spacing w:val="-1"/>
                <w:highlight w:val="none"/>
              </w:rPr>
              <w:t>开标组织方式</w:t>
            </w:r>
          </w:p>
        </w:tc>
        <w:tc>
          <w:tcPr>
            <w:tcW w:w="5465" w:type="dxa"/>
          </w:tcPr>
          <w:p w14:paraId="06BCA48A">
            <w:pPr>
              <w:pStyle w:val="185"/>
              <w:spacing w:before="141" w:line="221" w:lineRule="auto"/>
              <w:ind w:left="135"/>
              <w:rPr>
                <w:color w:val="auto"/>
                <w:highlight w:val="none"/>
                <w:lang w:eastAsia="zh-CN"/>
              </w:rPr>
            </w:pPr>
            <w:r>
              <w:rPr>
                <w:color w:val="auto"/>
                <w:spacing w:val="-4"/>
                <w:highlight w:val="none"/>
                <w:lang w:eastAsia="zh-CN"/>
              </w:rPr>
              <w:t>□现场集中开标</w:t>
            </w:r>
          </w:p>
          <w:p w14:paraId="1F1BED62">
            <w:pPr>
              <w:pStyle w:val="185"/>
              <w:spacing w:before="67" w:line="221" w:lineRule="auto"/>
              <w:ind w:left="135"/>
              <w:rPr>
                <w:color w:val="auto"/>
                <w:highlight w:val="none"/>
                <w:lang w:eastAsia="zh-CN"/>
              </w:rPr>
            </w:pPr>
            <w:r>
              <w:rPr>
                <w:rFonts w:hint="eastAsia"/>
                <w:color w:val="auto"/>
                <w:spacing w:val="-4"/>
                <w:highlight w:val="none"/>
                <w:lang w:eastAsia="zh-CN"/>
              </w:rPr>
              <w:t>☑</w:t>
            </w:r>
            <w:r>
              <w:rPr>
                <w:color w:val="auto"/>
                <w:spacing w:val="-4"/>
                <w:highlight w:val="none"/>
                <w:lang w:eastAsia="zh-CN"/>
              </w:rPr>
              <w:t>远程不见面开标</w:t>
            </w:r>
          </w:p>
          <w:p w14:paraId="19D1AB15">
            <w:pPr>
              <w:pStyle w:val="185"/>
              <w:spacing w:before="70" w:line="251" w:lineRule="auto"/>
              <w:ind w:left="115" w:right="107" w:firstLine="19"/>
              <w:rPr>
                <w:color w:val="auto"/>
                <w:spacing w:val="-3"/>
                <w:highlight w:val="none"/>
                <w:lang w:eastAsia="zh-CN"/>
              </w:rPr>
            </w:pPr>
            <w:r>
              <w:rPr>
                <w:color w:val="auto"/>
                <w:highlight w:val="none"/>
                <w:lang w:eastAsia="zh-CN"/>
              </w:rPr>
              <w:t>□现场集中和远程不见面开标同时进行。投标人自行选</w:t>
            </w:r>
            <w:r>
              <w:rPr>
                <w:color w:val="auto"/>
                <w:spacing w:val="-3"/>
                <w:highlight w:val="none"/>
                <w:lang w:eastAsia="zh-CN"/>
              </w:rPr>
              <w:t>择参与开标的方式。</w:t>
            </w:r>
          </w:p>
          <w:p w14:paraId="3DA99776">
            <w:pPr>
              <w:keepNext w:val="0"/>
              <w:keepLines w:val="0"/>
              <w:widowControl/>
              <w:suppressLineNumbers w:val="0"/>
              <w:ind w:firstLine="210" w:firstLineChars="100"/>
              <w:jc w:val="left"/>
              <w:rPr>
                <w:color w:val="auto"/>
                <w:spacing w:val="-3"/>
                <w:highlight w:val="none"/>
                <w:lang w:eastAsia="zh-CN"/>
              </w:rPr>
            </w:pPr>
            <w:r>
              <w:rPr>
                <w:rFonts w:hint="eastAsia" w:ascii="宋体" w:hAnsi="宋体" w:eastAsia="宋体" w:cs="宋体"/>
                <w:color w:val="auto"/>
                <w:kern w:val="0"/>
                <w:sz w:val="21"/>
                <w:szCs w:val="21"/>
                <w:highlight w:val="none"/>
                <w:lang w:val="en-US" w:eastAsia="zh-CN" w:bidi="ar"/>
              </w:rPr>
              <w:t>开标系统：</w:t>
            </w:r>
            <w:r>
              <w:rPr>
                <w:rFonts w:hint="eastAsia" w:ascii="宋体" w:hAnsi="宋体" w:eastAsia="宋体" w:cs="宋体"/>
                <w:color w:val="auto"/>
                <w:kern w:val="0"/>
                <w:sz w:val="21"/>
                <w:szCs w:val="21"/>
                <w:highlight w:val="none"/>
                <w:u w:val="single"/>
                <w:lang w:val="en-US" w:eastAsia="zh-CN" w:bidi="ar"/>
              </w:rPr>
              <w:t>辽宁省工程建设项目数字化开标评标系统。</w:t>
            </w:r>
          </w:p>
        </w:tc>
      </w:tr>
      <w:tr w14:paraId="192CB6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856" w:type="dxa"/>
            <w:vAlign w:val="center"/>
          </w:tcPr>
          <w:p w14:paraId="0FDBB52F">
            <w:pPr>
              <w:pStyle w:val="185"/>
              <w:spacing w:before="197"/>
              <w:ind w:left="177"/>
              <w:jc w:val="both"/>
              <w:rPr>
                <w:color w:val="auto"/>
                <w:highlight w:val="none"/>
              </w:rPr>
            </w:pPr>
            <w:r>
              <w:rPr>
                <w:color w:val="auto"/>
                <w:spacing w:val="-2"/>
                <w:highlight w:val="none"/>
              </w:rPr>
              <w:t>5.1.2</w:t>
            </w:r>
          </w:p>
        </w:tc>
        <w:tc>
          <w:tcPr>
            <w:tcW w:w="2267" w:type="dxa"/>
            <w:vAlign w:val="center"/>
          </w:tcPr>
          <w:p w14:paraId="5E8C0485">
            <w:pPr>
              <w:pStyle w:val="185"/>
              <w:spacing w:before="198" w:line="221" w:lineRule="auto"/>
              <w:ind w:left="717"/>
              <w:jc w:val="both"/>
              <w:rPr>
                <w:color w:val="auto"/>
                <w:highlight w:val="none"/>
              </w:rPr>
            </w:pPr>
            <w:r>
              <w:rPr>
                <w:color w:val="auto"/>
                <w:spacing w:val="-2"/>
                <w:highlight w:val="none"/>
              </w:rPr>
              <w:t>开标地点</w:t>
            </w:r>
          </w:p>
        </w:tc>
        <w:tc>
          <w:tcPr>
            <w:tcW w:w="5465" w:type="dxa"/>
          </w:tcPr>
          <w:p w14:paraId="4EB71512">
            <w:pPr>
              <w:rPr>
                <w:rFonts w:ascii="宋体" w:hAnsi="宋体" w:cs="宋体"/>
                <w:snapToGrid w:val="0"/>
                <w:color w:val="auto"/>
                <w:kern w:val="0"/>
                <w:szCs w:val="21"/>
                <w:highlight w:val="none"/>
              </w:rPr>
            </w:pPr>
            <w:bookmarkStart w:id="52" w:name="EB787695600633496c8ee21b103bf496cc"/>
            <w:r>
              <w:rPr>
                <w:rFonts w:hint="eastAsia" w:ascii="宋体" w:hAnsi="宋体" w:cs="宋体"/>
                <w:snapToGrid w:val="0"/>
                <w:color w:val="auto"/>
                <w:kern w:val="0"/>
                <w:szCs w:val="21"/>
                <w:highlight w:val="none"/>
                <w:lang w:val="en-US" w:eastAsia="zh-CN"/>
              </w:rPr>
              <w:t>辽宁省营口市鲅鱼圈区公共资源交易中心(营口市鲅鱼圈区青龙山大街南段号房回迁楼C区17号楼)，辽宁省工程建设项目数字化开标评标系统（https://dts.lnzb.com:8888/zjt-bid/)注意：1、本项目采用不见面网络开标，开标程序详见《辽宁省房屋建筑和市政工程招标投标智能监管系统操作手册》,&lt;辽宁省房屋建筑和市政工程数字化全链条监管系统(开评标系统)&gt;开标流程（网址：https://dts.lnzb.com:8888/zjt-bid/）。2、开标前投标单位须登陆辽宁省网联招标投标综合服务平台（http://lnwlzb.com/）完成CA数字证书办理后方可参加开标会，否则按废标处理。3、投标人在投标文件截止时间前需在业务系统完成授权委托人、项目经理的实名认证并完成二次刷卡操作，未完成二次刷卡或二次刷卡未通过的根据招标文件要求，交由评标委员会进行处理。4、请投标单位在开标前根据《辽宁省房屋建筑和市政工程招标投标智能监管系统操作手册（投标人）》完成相对应的本机电脑调试工作，并在投标文件截止时间前完成投标人在线签到，未在投标文件截止时间前完成签到的投标人的投标文件予以退回。5、递交投标文件截止时间止到开标结束后无疑问时间内不准离开开标大厅，否则影响到文件解密、质疑等环节的后果由投标人自行承担。6、在规定时间内完成投标文件解密操作，未在规定时间内完成解密操作或解密失败的退回其投标文件。7、在规定时间内完成在开标记录表中进行确认，不确认视为认同开标结果。</w:t>
            </w:r>
            <w:bookmarkEnd w:id="52"/>
          </w:p>
        </w:tc>
      </w:tr>
      <w:tr w14:paraId="662FB1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7" w:hRule="atLeast"/>
        </w:trPr>
        <w:tc>
          <w:tcPr>
            <w:tcW w:w="856" w:type="dxa"/>
          </w:tcPr>
          <w:p w14:paraId="1284445A">
            <w:pPr>
              <w:spacing w:line="329" w:lineRule="auto"/>
              <w:rPr>
                <w:rFonts w:ascii="Arial"/>
                <w:color w:val="auto"/>
                <w:highlight w:val="none"/>
              </w:rPr>
            </w:pPr>
          </w:p>
          <w:p w14:paraId="0943EE1D">
            <w:pPr>
              <w:pStyle w:val="185"/>
              <w:spacing w:before="68"/>
              <w:ind w:left="177"/>
              <w:rPr>
                <w:rFonts w:hint="default" w:eastAsia="宋体"/>
                <w:color w:val="auto"/>
                <w:highlight w:val="none"/>
                <w:lang w:val="en-US" w:eastAsia="zh-CN"/>
              </w:rPr>
            </w:pPr>
            <w:r>
              <w:rPr>
                <w:rFonts w:hint="eastAsia"/>
                <w:color w:val="auto"/>
                <w:spacing w:val="-2"/>
                <w:highlight w:val="none"/>
                <w:lang w:val="en-US" w:eastAsia="zh-CN"/>
              </w:rPr>
              <w:t>5.2.1（5）</w:t>
            </w:r>
          </w:p>
        </w:tc>
        <w:tc>
          <w:tcPr>
            <w:tcW w:w="2267" w:type="dxa"/>
          </w:tcPr>
          <w:p w14:paraId="03A234B8">
            <w:pPr>
              <w:spacing w:line="329" w:lineRule="auto"/>
              <w:rPr>
                <w:rFonts w:ascii="Arial"/>
                <w:color w:val="auto"/>
                <w:highlight w:val="none"/>
              </w:rPr>
            </w:pPr>
          </w:p>
          <w:p w14:paraId="231F57AA">
            <w:pPr>
              <w:pStyle w:val="185"/>
              <w:spacing w:before="69" w:line="221" w:lineRule="auto"/>
              <w:ind w:left="715"/>
              <w:rPr>
                <w:color w:val="auto"/>
                <w:highlight w:val="none"/>
              </w:rPr>
            </w:pPr>
            <w:r>
              <w:rPr>
                <w:color w:val="auto"/>
                <w:spacing w:val="-1"/>
                <w:highlight w:val="none"/>
              </w:rPr>
              <w:t>解密时间</w:t>
            </w:r>
          </w:p>
        </w:tc>
        <w:tc>
          <w:tcPr>
            <w:tcW w:w="5465" w:type="dxa"/>
          </w:tcPr>
          <w:p w14:paraId="1CE7F5ED">
            <w:pPr>
              <w:pStyle w:val="185"/>
              <w:spacing w:before="79" w:line="257" w:lineRule="auto"/>
              <w:ind w:left="115" w:right="102" w:hanging="1"/>
              <w:rPr>
                <w:color w:val="auto"/>
                <w:highlight w:val="none"/>
                <w:lang w:eastAsia="zh-CN"/>
              </w:rPr>
            </w:pPr>
            <w:r>
              <w:rPr>
                <w:color w:val="auto"/>
                <w:spacing w:val="-1"/>
                <w:highlight w:val="none"/>
                <w:lang w:eastAsia="zh-CN"/>
              </w:rPr>
              <w:t>招标人发出解密提示后</w:t>
            </w:r>
            <w:r>
              <w:rPr>
                <w:rFonts w:hint="eastAsia"/>
                <w:color w:val="auto"/>
                <w:spacing w:val="6"/>
                <w:highlight w:val="none"/>
                <w:u w:val="single"/>
                <w:lang w:eastAsia="zh-CN"/>
              </w:rPr>
              <w:t>30</w:t>
            </w:r>
            <w:r>
              <w:rPr>
                <w:color w:val="auto"/>
                <w:spacing w:val="-1"/>
                <w:highlight w:val="none"/>
                <w:lang w:eastAsia="zh-CN"/>
              </w:rPr>
              <w:t>分钟内。遇到投标人较多或其他特殊情况在</w:t>
            </w:r>
            <w:r>
              <w:rPr>
                <w:rFonts w:hint="eastAsia"/>
                <w:color w:val="auto"/>
                <w:spacing w:val="6"/>
                <w:highlight w:val="none"/>
                <w:u w:val="single"/>
                <w:lang w:eastAsia="zh-CN"/>
              </w:rPr>
              <w:t>30</w:t>
            </w:r>
            <w:r>
              <w:rPr>
                <w:color w:val="auto"/>
                <w:spacing w:val="-1"/>
                <w:highlight w:val="none"/>
                <w:lang w:eastAsia="zh-CN"/>
              </w:rPr>
              <w:t>分钟内无法完成解密的，可报项目行政监督部门适当延长解密时间。</w:t>
            </w:r>
          </w:p>
        </w:tc>
      </w:tr>
      <w:tr w14:paraId="579F42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3" w:hRule="atLeast"/>
        </w:trPr>
        <w:tc>
          <w:tcPr>
            <w:tcW w:w="856" w:type="dxa"/>
          </w:tcPr>
          <w:p w14:paraId="45CC60A7">
            <w:pPr>
              <w:spacing w:line="294" w:lineRule="auto"/>
              <w:rPr>
                <w:rFonts w:ascii="Arial"/>
                <w:color w:val="auto"/>
                <w:highlight w:val="none"/>
              </w:rPr>
            </w:pPr>
          </w:p>
          <w:p w14:paraId="39C5C010">
            <w:pPr>
              <w:spacing w:line="295" w:lineRule="auto"/>
              <w:rPr>
                <w:rFonts w:ascii="Arial"/>
                <w:color w:val="auto"/>
                <w:highlight w:val="none"/>
              </w:rPr>
            </w:pPr>
          </w:p>
          <w:p w14:paraId="1D5A75D0">
            <w:pPr>
              <w:pStyle w:val="185"/>
              <w:spacing w:before="69"/>
              <w:ind w:left="175"/>
              <w:rPr>
                <w:color w:val="auto"/>
                <w:highlight w:val="none"/>
              </w:rPr>
            </w:pPr>
            <w:r>
              <w:rPr>
                <w:color w:val="auto"/>
                <w:spacing w:val="-2"/>
                <w:highlight w:val="none"/>
              </w:rPr>
              <w:t>6.1.1</w:t>
            </w:r>
          </w:p>
        </w:tc>
        <w:tc>
          <w:tcPr>
            <w:tcW w:w="2267" w:type="dxa"/>
          </w:tcPr>
          <w:p w14:paraId="6EDA30E0">
            <w:pPr>
              <w:spacing w:line="294" w:lineRule="auto"/>
              <w:rPr>
                <w:rFonts w:ascii="Arial"/>
                <w:color w:val="auto"/>
                <w:highlight w:val="none"/>
              </w:rPr>
            </w:pPr>
          </w:p>
          <w:p w14:paraId="6FC5692F">
            <w:pPr>
              <w:spacing w:line="295" w:lineRule="auto"/>
              <w:rPr>
                <w:rFonts w:ascii="Arial"/>
                <w:color w:val="auto"/>
                <w:highlight w:val="none"/>
              </w:rPr>
            </w:pPr>
          </w:p>
          <w:p w14:paraId="15201B78">
            <w:pPr>
              <w:pStyle w:val="185"/>
              <w:spacing w:before="68" w:line="220" w:lineRule="auto"/>
              <w:ind w:left="295"/>
              <w:rPr>
                <w:color w:val="auto"/>
                <w:highlight w:val="none"/>
              </w:rPr>
            </w:pPr>
            <w:r>
              <w:rPr>
                <w:color w:val="auto"/>
                <w:spacing w:val="-1"/>
                <w:highlight w:val="none"/>
              </w:rPr>
              <w:t>评标委员会的组建</w:t>
            </w:r>
          </w:p>
        </w:tc>
        <w:tc>
          <w:tcPr>
            <w:tcW w:w="5465" w:type="dxa"/>
          </w:tcPr>
          <w:p w14:paraId="53CF12F7">
            <w:pPr>
              <w:pStyle w:val="185"/>
              <w:spacing w:before="181" w:line="282" w:lineRule="auto"/>
              <w:ind w:left="113" w:right="152" w:hanging="1"/>
              <w:rPr>
                <w:color w:val="auto"/>
                <w:highlight w:val="none"/>
                <w:lang w:eastAsia="zh-CN"/>
              </w:rPr>
            </w:pPr>
            <w:r>
              <w:rPr>
                <w:color w:val="auto"/>
                <w:spacing w:val="-4"/>
                <w:highlight w:val="none"/>
                <w:lang w:eastAsia="zh-CN"/>
              </w:rPr>
              <w:t>评标委员会构成：</w:t>
            </w:r>
            <w:r>
              <w:rPr>
                <w:rFonts w:hint="eastAsia"/>
                <w:color w:val="auto"/>
                <w:spacing w:val="17"/>
                <w:highlight w:val="none"/>
                <w:u w:val="single"/>
                <w:lang w:val="en-US" w:eastAsia="zh-CN"/>
              </w:rPr>
              <w:t>7</w:t>
            </w:r>
            <w:r>
              <w:rPr>
                <w:color w:val="auto"/>
                <w:spacing w:val="-4"/>
                <w:highlight w:val="none"/>
                <w:lang w:eastAsia="zh-CN"/>
              </w:rPr>
              <w:t>人，其中招标人代表</w:t>
            </w:r>
            <w:r>
              <w:rPr>
                <w:rFonts w:hint="eastAsia"/>
                <w:color w:val="auto"/>
                <w:spacing w:val="15"/>
                <w:highlight w:val="none"/>
                <w:u w:val="single"/>
                <w:lang w:val="en-US" w:eastAsia="zh-CN"/>
              </w:rPr>
              <w:t>2</w:t>
            </w:r>
            <w:r>
              <w:rPr>
                <w:color w:val="auto"/>
                <w:spacing w:val="-4"/>
                <w:highlight w:val="none"/>
                <w:lang w:eastAsia="zh-CN"/>
              </w:rPr>
              <w:t>人，</w:t>
            </w:r>
            <w:r>
              <w:rPr>
                <w:color w:val="auto"/>
                <w:spacing w:val="-10"/>
                <w:highlight w:val="none"/>
                <w:lang w:eastAsia="zh-CN"/>
              </w:rPr>
              <w:t>专家</w:t>
            </w:r>
            <w:r>
              <w:rPr>
                <w:rFonts w:hint="eastAsia"/>
                <w:color w:val="auto"/>
                <w:spacing w:val="21"/>
                <w:highlight w:val="none"/>
                <w:u w:val="single"/>
                <w:lang w:val="en-US" w:eastAsia="zh-CN"/>
              </w:rPr>
              <w:t>5</w:t>
            </w:r>
            <w:r>
              <w:rPr>
                <w:color w:val="auto"/>
                <w:spacing w:val="-10"/>
                <w:highlight w:val="none"/>
                <w:lang w:eastAsia="zh-CN"/>
              </w:rPr>
              <w:t>人；</w:t>
            </w:r>
          </w:p>
          <w:p w14:paraId="6D858563">
            <w:pPr>
              <w:pStyle w:val="185"/>
              <w:spacing w:line="282" w:lineRule="auto"/>
              <w:ind w:left="132" w:right="106" w:hanging="20"/>
              <w:rPr>
                <w:color w:val="auto"/>
                <w:highlight w:val="none"/>
                <w:lang w:eastAsia="zh-CN"/>
              </w:rPr>
            </w:pPr>
            <w:r>
              <w:rPr>
                <w:color w:val="auto"/>
                <w:spacing w:val="1"/>
                <w:highlight w:val="none"/>
                <w:lang w:eastAsia="zh-CN"/>
              </w:rPr>
              <w:t>评标专家确定方式：</w:t>
            </w:r>
            <w:r>
              <w:rPr>
                <w:color w:val="auto"/>
                <w:spacing w:val="1"/>
                <w:highlight w:val="none"/>
                <w:u w:val="single"/>
                <w:lang w:eastAsia="zh-CN"/>
              </w:rPr>
              <w:t>从辽宁省综合评标专家库相应专业</w:t>
            </w:r>
            <w:r>
              <w:rPr>
                <w:color w:val="auto"/>
                <w:spacing w:val="-4"/>
                <w:highlight w:val="none"/>
                <w:u w:val="single"/>
                <w:lang w:eastAsia="zh-CN"/>
              </w:rPr>
              <w:t>中随机抽取产生。</w:t>
            </w:r>
          </w:p>
        </w:tc>
      </w:tr>
      <w:tr w14:paraId="75F66F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856" w:type="dxa"/>
            <w:vAlign w:val="center"/>
          </w:tcPr>
          <w:p w14:paraId="463A3D42">
            <w:pPr>
              <w:keepNext w:val="0"/>
              <w:keepLines w:val="0"/>
              <w:suppressLineNumbers w:val="0"/>
              <w:spacing w:before="0" w:beforeAutospacing="0" w:after="0" w:afterAutospacing="0" w:line="320" w:lineRule="exact"/>
              <w:ind w:left="0" w:leftChars="0" w:right="0" w:rightChars="0"/>
              <w:jc w:val="center"/>
              <w:rPr>
                <w:color w:val="auto"/>
                <w:highlight w:val="none"/>
              </w:rPr>
            </w:pPr>
            <w:r>
              <w:rPr>
                <w:rFonts w:hint="eastAsia"/>
                <w:color w:val="auto"/>
                <w:highlight w:val="none"/>
              </w:rPr>
              <w:t>6</w:t>
            </w:r>
            <w:r>
              <w:rPr>
                <w:rFonts w:hint="default"/>
                <w:color w:val="auto"/>
                <w:highlight w:val="none"/>
              </w:rPr>
              <w:t>.3</w:t>
            </w:r>
          </w:p>
        </w:tc>
        <w:tc>
          <w:tcPr>
            <w:tcW w:w="2267" w:type="dxa"/>
            <w:vAlign w:val="center"/>
          </w:tcPr>
          <w:p w14:paraId="40F90DF4">
            <w:pPr>
              <w:keepNext w:val="0"/>
              <w:keepLines w:val="0"/>
              <w:suppressLineNumbers w:val="0"/>
              <w:spacing w:before="0" w:beforeAutospacing="0" w:after="0" w:afterAutospacing="0" w:line="320" w:lineRule="exact"/>
              <w:ind w:left="0" w:leftChars="0" w:right="0" w:rightChars="0"/>
              <w:jc w:val="center"/>
              <w:rPr>
                <w:color w:val="auto"/>
                <w:highlight w:val="none"/>
              </w:rPr>
            </w:pPr>
            <w:r>
              <w:rPr>
                <w:rFonts w:hint="eastAsia"/>
                <w:color w:val="auto"/>
                <w:highlight w:val="none"/>
              </w:rPr>
              <w:t>评标采用方式</w:t>
            </w:r>
          </w:p>
        </w:tc>
        <w:tc>
          <w:tcPr>
            <w:tcW w:w="5465" w:type="dxa"/>
            <w:vAlign w:val="center"/>
          </w:tcPr>
          <w:p w14:paraId="29BB7784">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lang w:eastAsia="zh-CN"/>
              </w:rPr>
              <w:t>评标组织形式：</w:t>
            </w:r>
          </w:p>
          <w:p w14:paraId="17426669">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lang w:eastAsia="zh-CN"/>
              </w:rPr>
              <w:t>☑本地集中评标方式</w:t>
            </w:r>
          </w:p>
          <w:p w14:paraId="00D1A67D">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lang w:eastAsia="zh-CN"/>
              </w:rPr>
              <w:t>□远程异地评标方式</w:t>
            </w:r>
          </w:p>
          <w:p w14:paraId="7CF7D507">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lang w:eastAsia="zh-CN"/>
              </w:rPr>
              <w:t>评标是否采用计算机辅助智能评审：</w:t>
            </w:r>
          </w:p>
          <w:p w14:paraId="78126AE4">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lang w:eastAsia="zh-CN"/>
              </w:rPr>
              <w:t>☑是</w:t>
            </w:r>
          </w:p>
          <w:p w14:paraId="7286086D">
            <w:pPr>
              <w:keepNext w:val="0"/>
              <w:keepLines w:val="0"/>
              <w:suppressLineNumbers w:val="0"/>
              <w:spacing w:before="0" w:beforeAutospacing="0" w:after="0" w:afterAutospacing="0" w:line="320" w:lineRule="exact"/>
              <w:ind w:left="0" w:leftChars="0" w:right="0" w:rightChars="0"/>
              <w:jc w:val="left"/>
              <w:rPr>
                <w:color w:val="auto"/>
                <w:highlight w:val="none"/>
                <w:lang w:eastAsia="zh-CN"/>
              </w:rPr>
            </w:pPr>
            <w:r>
              <w:rPr>
                <w:rFonts w:hint="eastAsia"/>
                <w:color w:val="auto"/>
                <w:highlight w:val="none"/>
                <w:lang w:eastAsia="zh-CN"/>
              </w:rPr>
              <w:t>□否</w:t>
            </w:r>
          </w:p>
        </w:tc>
      </w:tr>
      <w:tr w14:paraId="1BB27A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856" w:type="dxa"/>
            <w:vAlign w:val="center"/>
          </w:tcPr>
          <w:p w14:paraId="4C7DC811">
            <w:pPr>
              <w:keepNext w:val="0"/>
              <w:keepLines w:val="0"/>
              <w:suppressLineNumbers w:val="0"/>
              <w:spacing w:before="0" w:beforeAutospacing="0" w:after="0" w:afterAutospacing="0" w:line="320" w:lineRule="exact"/>
              <w:ind w:left="0" w:leftChars="0" w:right="0" w:rightChars="0"/>
              <w:jc w:val="center"/>
              <w:rPr>
                <w:rFonts w:hint="eastAsia"/>
                <w:color w:val="auto"/>
                <w:highlight w:val="none"/>
              </w:rPr>
            </w:pPr>
            <w:r>
              <w:rPr>
                <w:rFonts w:hint="eastAsia"/>
                <w:color w:val="auto"/>
                <w:highlight w:val="none"/>
              </w:rPr>
              <w:t>6</w:t>
            </w:r>
            <w:r>
              <w:rPr>
                <w:rFonts w:hint="default"/>
                <w:color w:val="auto"/>
                <w:highlight w:val="none"/>
              </w:rPr>
              <w:t>.</w:t>
            </w:r>
            <w:r>
              <w:rPr>
                <w:rFonts w:hint="eastAsia"/>
                <w:color w:val="auto"/>
                <w:highlight w:val="none"/>
              </w:rPr>
              <w:t>4</w:t>
            </w:r>
          </w:p>
        </w:tc>
        <w:tc>
          <w:tcPr>
            <w:tcW w:w="2267" w:type="dxa"/>
            <w:vAlign w:val="center"/>
          </w:tcPr>
          <w:p w14:paraId="44B1A2E6">
            <w:pPr>
              <w:keepNext w:val="0"/>
              <w:keepLines w:val="0"/>
              <w:suppressLineNumbers w:val="0"/>
              <w:spacing w:before="0" w:beforeAutospacing="0" w:after="0" w:afterAutospacing="0" w:line="320" w:lineRule="exact"/>
              <w:ind w:left="0" w:leftChars="0" w:right="0" w:rightChars="0"/>
              <w:jc w:val="center"/>
              <w:rPr>
                <w:rFonts w:hint="eastAsia"/>
                <w:color w:val="auto"/>
                <w:highlight w:val="none"/>
              </w:rPr>
            </w:pPr>
            <w:r>
              <w:rPr>
                <w:rFonts w:hint="eastAsia"/>
                <w:color w:val="auto"/>
                <w:highlight w:val="none"/>
              </w:rPr>
              <w:t>评标结果公示媒介</w:t>
            </w:r>
          </w:p>
        </w:tc>
        <w:tc>
          <w:tcPr>
            <w:tcW w:w="5465" w:type="dxa"/>
            <w:vAlign w:val="center"/>
          </w:tcPr>
          <w:p w14:paraId="47D50052">
            <w:pPr>
              <w:keepNext w:val="0"/>
              <w:keepLines w:val="0"/>
              <w:suppressLineNumbers w:val="0"/>
              <w:spacing w:before="0" w:beforeAutospacing="0" w:after="0" w:afterAutospacing="0" w:line="320" w:lineRule="exact"/>
              <w:ind w:left="0" w:leftChars="0" w:right="0" w:rightChars="0"/>
              <w:jc w:val="left"/>
              <w:rPr>
                <w:rFonts w:hint="eastAsia"/>
                <w:color w:val="auto"/>
                <w:highlight w:val="none"/>
                <w:lang w:eastAsia="zh-CN"/>
              </w:rPr>
            </w:pPr>
            <w:r>
              <w:rPr>
                <w:rFonts w:hint="eastAsia"/>
                <w:color w:val="auto"/>
                <w:highlight w:val="none"/>
                <w:lang w:eastAsia="zh-CN"/>
              </w:rPr>
              <w:t>辽宁建设工程信息网、辽宁省招标投标监管网</w:t>
            </w:r>
          </w:p>
        </w:tc>
      </w:tr>
      <w:tr w14:paraId="3F70B4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856" w:type="dxa"/>
            <w:vAlign w:val="center"/>
          </w:tcPr>
          <w:p w14:paraId="7DF24A06">
            <w:pPr>
              <w:keepNext w:val="0"/>
              <w:keepLines w:val="0"/>
              <w:suppressLineNumbers w:val="0"/>
              <w:spacing w:before="0" w:beforeAutospacing="0" w:after="0" w:afterAutospacing="0" w:line="320" w:lineRule="exact"/>
              <w:ind w:left="0" w:leftChars="0" w:right="0" w:rightChars="0"/>
              <w:jc w:val="center"/>
              <w:rPr>
                <w:color w:val="auto"/>
                <w:highlight w:val="none"/>
              </w:rPr>
            </w:pPr>
            <w:r>
              <w:rPr>
                <w:rFonts w:hint="eastAsia"/>
                <w:color w:val="auto"/>
                <w:highlight w:val="none"/>
              </w:rPr>
              <w:t>7.1</w:t>
            </w:r>
          </w:p>
        </w:tc>
        <w:tc>
          <w:tcPr>
            <w:tcW w:w="2267" w:type="dxa"/>
            <w:vAlign w:val="center"/>
          </w:tcPr>
          <w:p w14:paraId="6D110B6E">
            <w:pPr>
              <w:keepNext w:val="0"/>
              <w:keepLines w:val="0"/>
              <w:suppressLineNumbers w:val="0"/>
              <w:spacing w:before="0" w:beforeAutospacing="0" w:after="0" w:afterAutospacing="0" w:line="320" w:lineRule="exact"/>
              <w:ind w:left="0" w:leftChars="0" w:right="0" w:rightChars="0"/>
              <w:jc w:val="center"/>
              <w:rPr>
                <w:color w:val="auto"/>
                <w:highlight w:val="none"/>
                <w:lang w:eastAsia="zh-CN"/>
              </w:rPr>
            </w:pPr>
            <w:r>
              <w:rPr>
                <w:rFonts w:hint="eastAsia"/>
                <w:color w:val="auto"/>
                <w:highlight w:val="none"/>
              </w:rPr>
              <w:t>定标方式</w:t>
            </w:r>
          </w:p>
        </w:tc>
        <w:tc>
          <w:tcPr>
            <w:tcW w:w="5465" w:type="dxa"/>
            <w:vAlign w:val="center"/>
          </w:tcPr>
          <w:p w14:paraId="6439D9D6">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rPr>
              <w:t>推荐的中标候选人数：</w:t>
            </w:r>
            <w:r>
              <w:rPr>
                <w:rFonts w:hint="default"/>
                <w:color w:val="auto"/>
                <w:highlight w:val="none"/>
              </w:rPr>
              <w:t>不超过</w:t>
            </w:r>
            <w:r>
              <w:rPr>
                <w:rFonts w:hint="default"/>
                <w:color w:val="auto"/>
                <w:highlight w:val="none"/>
                <w:u w:val="single"/>
              </w:rPr>
              <w:t>3</w:t>
            </w:r>
            <w:r>
              <w:rPr>
                <w:rFonts w:hint="default"/>
                <w:color w:val="auto"/>
                <w:highlight w:val="none"/>
              </w:rPr>
              <w:t>名</w:t>
            </w:r>
          </w:p>
          <w:p w14:paraId="44D737D2">
            <w:pPr>
              <w:keepNext w:val="0"/>
              <w:keepLines w:val="0"/>
              <w:suppressLineNumbers w:val="0"/>
              <w:spacing w:before="0" w:beforeAutospacing="0" w:after="0" w:afterAutospacing="0" w:line="320" w:lineRule="exact"/>
              <w:ind w:left="0" w:right="0"/>
              <w:rPr>
                <w:rFonts w:hint="default"/>
                <w:color w:val="auto"/>
                <w:highlight w:val="none"/>
              </w:rPr>
            </w:pPr>
            <w:r>
              <w:rPr>
                <w:rFonts w:hint="eastAsia"/>
                <w:color w:val="auto"/>
                <w:highlight w:val="none"/>
              </w:rPr>
              <w:t>☑招标人授权评标委员会直接确定中标人</w:t>
            </w:r>
          </w:p>
          <w:p w14:paraId="6671C3D4">
            <w:pPr>
              <w:keepNext w:val="0"/>
              <w:keepLines w:val="0"/>
              <w:suppressLineNumbers w:val="0"/>
              <w:spacing w:before="0" w:beforeAutospacing="0" w:after="0" w:afterAutospacing="0" w:line="320" w:lineRule="exact"/>
              <w:ind w:left="0" w:right="0"/>
              <w:rPr>
                <w:rFonts w:hint="default"/>
                <w:color w:val="auto"/>
                <w:highlight w:val="none"/>
              </w:rPr>
            </w:pPr>
            <w:r>
              <w:rPr>
                <w:rFonts w:hint="eastAsia"/>
                <w:color w:val="auto"/>
                <w:highlight w:val="none"/>
              </w:rPr>
              <w:t>□招标人依据评标委员会推荐的中标候选人确定中标人</w:t>
            </w:r>
          </w:p>
          <w:p w14:paraId="56AB04DC">
            <w:pPr>
              <w:keepNext w:val="0"/>
              <w:keepLines w:val="0"/>
              <w:suppressLineNumbers w:val="0"/>
              <w:spacing w:before="0" w:beforeAutospacing="0" w:after="0" w:afterAutospacing="0" w:line="320" w:lineRule="exact"/>
              <w:ind w:left="0" w:leftChars="0" w:right="0" w:rightChars="0"/>
              <w:rPr>
                <w:color w:val="auto"/>
                <w:highlight w:val="none"/>
                <w:lang w:eastAsia="zh-CN"/>
              </w:rPr>
            </w:pPr>
            <w:r>
              <w:rPr>
                <w:rFonts w:hint="eastAsia"/>
                <w:color w:val="auto"/>
                <w:highlight w:val="none"/>
              </w:rPr>
              <w:t>□招标人从评标委员会推荐的中标候选人范围内自主研究确定中标人</w:t>
            </w:r>
            <w:r>
              <w:rPr>
                <w:rFonts w:hint="default"/>
                <w:color w:val="auto"/>
                <w:highlight w:val="none"/>
                <w:u w:val="none"/>
              </w:rPr>
              <w:t>。</w:t>
            </w:r>
          </w:p>
        </w:tc>
      </w:tr>
      <w:tr w14:paraId="7FC72A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9" w:hRule="atLeast"/>
        </w:trPr>
        <w:tc>
          <w:tcPr>
            <w:tcW w:w="856" w:type="dxa"/>
            <w:vAlign w:val="center"/>
          </w:tcPr>
          <w:p w14:paraId="2931F29A">
            <w:pPr>
              <w:spacing w:line="273" w:lineRule="auto"/>
              <w:jc w:val="both"/>
              <w:rPr>
                <w:rFonts w:ascii="Arial"/>
                <w:color w:val="auto"/>
                <w:highlight w:val="none"/>
              </w:rPr>
            </w:pPr>
          </w:p>
          <w:p w14:paraId="4A40BA68">
            <w:pPr>
              <w:spacing w:line="273" w:lineRule="auto"/>
              <w:jc w:val="both"/>
              <w:rPr>
                <w:rFonts w:ascii="Arial"/>
                <w:color w:val="auto"/>
                <w:highlight w:val="none"/>
              </w:rPr>
            </w:pPr>
          </w:p>
          <w:p w14:paraId="682BC68B">
            <w:pPr>
              <w:pStyle w:val="185"/>
              <w:spacing w:before="68"/>
              <w:ind w:left="178"/>
              <w:jc w:val="both"/>
              <w:rPr>
                <w:color w:val="auto"/>
                <w:highlight w:val="none"/>
              </w:rPr>
            </w:pPr>
            <w:r>
              <w:rPr>
                <w:color w:val="auto"/>
                <w:spacing w:val="-3"/>
                <w:highlight w:val="none"/>
              </w:rPr>
              <w:t>7.</w:t>
            </w:r>
            <w:r>
              <w:rPr>
                <w:rFonts w:hint="eastAsia"/>
                <w:color w:val="auto"/>
                <w:spacing w:val="-3"/>
                <w:highlight w:val="none"/>
                <w:lang w:val="en-US" w:eastAsia="zh-CN"/>
              </w:rPr>
              <w:t>3</w:t>
            </w:r>
            <w:r>
              <w:rPr>
                <w:color w:val="auto"/>
                <w:spacing w:val="-3"/>
                <w:highlight w:val="none"/>
              </w:rPr>
              <w:t>.1</w:t>
            </w:r>
          </w:p>
        </w:tc>
        <w:tc>
          <w:tcPr>
            <w:tcW w:w="2267" w:type="dxa"/>
            <w:vAlign w:val="center"/>
          </w:tcPr>
          <w:p w14:paraId="60325DBC">
            <w:pPr>
              <w:spacing w:line="273" w:lineRule="auto"/>
              <w:jc w:val="both"/>
              <w:rPr>
                <w:rFonts w:ascii="Arial"/>
                <w:color w:val="auto"/>
                <w:highlight w:val="none"/>
              </w:rPr>
            </w:pPr>
          </w:p>
          <w:p w14:paraId="393D6DE9">
            <w:pPr>
              <w:spacing w:line="273" w:lineRule="auto"/>
              <w:jc w:val="both"/>
              <w:rPr>
                <w:rFonts w:ascii="Arial"/>
                <w:color w:val="auto"/>
                <w:highlight w:val="none"/>
              </w:rPr>
            </w:pPr>
          </w:p>
          <w:p w14:paraId="01BD4AE8">
            <w:pPr>
              <w:pStyle w:val="185"/>
              <w:spacing w:before="69" w:line="221" w:lineRule="auto"/>
              <w:ind w:left="614"/>
              <w:jc w:val="both"/>
              <w:rPr>
                <w:color w:val="auto"/>
                <w:highlight w:val="none"/>
              </w:rPr>
            </w:pPr>
            <w:r>
              <w:rPr>
                <w:color w:val="auto"/>
                <w:spacing w:val="-2"/>
                <w:highlight w:val="none"/>
              </w:rPr>
              <w:t>履约保证金</w:t>
            </w:r>
          </w:p>
        </w:tc>
        <w:tc>
          <w:tcPr>
            <w:tcW w:w="5465" w:type="dxa"/>
          </w:tcPr>
          <w:p w14:paraId="15584C30">
            <w:pPr>
              <w:pStyle w:val="185"/>
              <w:spacing w:before="138" w:line="221" w:lineRule="auto"/>
              <w:ind w:left="135"/>
              <w:rPr>
                <w:color w:val="auto"/>
                <w:highlight w:val="none"/>
                <w:lang w:eastAsia="zh-CN"/>
              </w:rPr>
            </w:pPr>
            <w:r>
              <w:rPr>
                <w:color w:val="auto"/>
                <w:spacing w:val="-7"/>
                <w:highlight w:val="none"/>
                <w:lang w:eastAsia="zh-CN"/>
              </w:rPr>
              <w:t>□不提交</w:t>
            </w:r>
          </w:p>
          <w:p w14:paraId="472AFC41">
            <w:pPr>
              <w:keepNext w:val="0"/>
              <w:keepLines w:val="0"/>
              <w:suppressLineNumbers w:val="0"/>
              <w:spacing w:before="0" w:beforeAutospacing="0" w:after="0" w:afterAutospacing="0" w:line="320" w:lineRule="exact"/>
              <w:ind w:left="0" w:right="0" w:firstLine="210" w:firstLineChars="100"/>
              <w:jc w:val="left"/>
              <w:rPr>
                <w:rFonts w:hint="eastAsia"/>
                <w:color w:val="auto"/>
                <w:highlight w:val="none"/>
              </w:rPr>
            </w:pPr>
            <w:r>
              <w:rPr>
                <w:rFonts w:hint="eastAsia"/>
                <w:color w:val="auto"/>
                <w:highlight w:val="none"/>
                <w:lang w:eastAsia="zh-CN"/>
              </w:rPr>
              <w:t>☑</w:t>
            </w:r>
            <w:r>
              <w:rPr>
                <w:rFonts w:hint="eastAsia"/>
                <w:color w:val="auto"/>
                <w:highlight w:val="none"/>
              </w:rPr>
              <w:t>提交，履约</w:t>
            </w:r>
            <w:r>
              <w:rPr>
                <w:rFonts w:hint="default"/>
                <w:color w:val="auto"/>
                <w:szCs w:val="21"/>
                <w:highlight w:val="none"/>
              </w:rPr>
              <w:t>保证金</w:t>
            </w:r>
            <w:r>
              <w:rPr>
                <w:rFonts w:hint="eastAsia"/>
                <w:color w:val="auto"/>
                <w:highlight w:val="none"/>
              </w:rPr>
              <w:t>的形式：</w:t>
            </w:r>
          </w:p>
          <w:p w14:paraId="57FC03AE">
            <w:pPr>
              <w:keepNext w:val="0"/>
              <w:keepLines w:val="0"/>
              <w:suppressLineNumbers w:val="0"/>
              <w:spacing w:before="0" w:beforeAutospacing="0" w:after="0" w:afterAutospacing="0" w:line="320" w:lineRule="exact"/>
              <w:ind w:left="0" w:right="0" w:firstLine="420" w:firstLineChars="200"/>
              <w:jc w:val="left"/>
              <w:rPr>
                <w:rFonts w:hint="default"/>
                <w:color w:val="auto"/>
                <w:highlight w:val="none"/>
                <w:u w:val="single"/>
                <w:lang w:val="en-US"/>
              </w:rPr>
            </w:pPr>
            <w:r>
              <w:rPr>
                <w:rFonts w:hint="eastAsia"/>
                <w:color w:val="auto"/>
                <w:highlight w:val="none"/>
                <w:u w:val="none"/>
                <w:lang w:eastAsia="zh-CN"/>
              </w:rPr>
              <w:t>☑</w:t>
            </w:r>
            <w:r>
              <w:rPr>
                <w:rFonts w:hint="eastAsia"/>
                <w:color w:val="auto"/>
                <w:highlight w:val="none"/>
                <w:u w:val="none"/>
                <w:lang w:val="en-US" w:eastAsia="zh-CN"/>
              </w:rPr>
              <w:t>现金  ☑保函（保险）  □其他形式/</w:t>
            </w:r>
          </w:p>
          <w:p w14:paraId="42E178C4">
            <w:pPr>
              <w:spacing w:line="440" w:lineRule="exact"/>
              <w:rPr>
                <w:rFonts w:ascii="Arial"/>
                <w:color w:val="auto"/>
                <w:highlight w:val="none"/>
              </w:rPr>
            </w:pPr>
            <w:r>
              <w:rPr>
                <w:rFonts w:hint="eastAsia"/>
                <w:color w:val="auto"/>
                <w:highlight w:val="none"/>
              </w:rPr>
              <w:t>履约</w:t>
            </w:r>
            <w:r>
              <w:rPr>
                <w:rFonts w:hint="default"/>
                <w:color w:val="auto"/>
                <w:szCs w:val="21"/>
                <w:highlight w:val="none"/>
              </w:rPr>
              <w:t>保证金</w:t>
            </w:r>
            <w:r>
              <w:rPr>
                <w:rFonts w:hint="eastAsia"/>
                <w:color w:val="auto"/>
                <w:highlight w:val="none"/>
              </w:rPr>
              <w:t>的金额：</w:t>
            </w:r>
            <w:r>
              <w:rPr>
                <w:rFonts w:hint="eastAsia"/>
                <w:color w:val="auto"/>
                <w:szCs w:val="21"/>
                <w:highlight w:val="none"/>
              </w:rPr>
              <w:t>合同总价的</w:t>
            </w:r>
            <w:r>
              <w:rPr>
                <w:rFonts w:hint="eastAsia"/>
                <w:color w:val="auto"/>
                <w:szCs w:val="21"/>
                <w:highlight w:val="none"/>
                <w:u w:val="single"/>
                <w:lang w:eastAsia="zh-CN"/>
              </w:rPr>
              <w:t>5</w:t>
            </w:r>
            <w:r>
              <w:rPr>
                <w:rFonts w:hint="eastAsia"/>
                <w:color w:val="auto"/>
                <w:szCs w:val="21"/>
                <w:highlight w:val="none"/>
              </w:rPr>
              <w:t>%</w:t>
            </w:r>
          </w:p>
        </w:tc>
      </w:tr>
      <w:tr w14:paraId="059C2D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856" w:type="dxa"/>
            <w:vAlign w:val="center"/>
          </w:tcPr>
          <w:p w14:paraId="127F7E38">
            <w:pPr>
              <w:keepNext w:val="0"/>
              <w:keepLines w:val="0"/>
              <w:suppressLineNumbers w:val="0"/>
              <w:spacing w:before="0" w:beforeAutospacing="0" w:after="0" w:afterAutospacing="0" w:line="320" w:lineRule="exact"/>
              <w:ind w:left="0" w:leftChars="0" w:right="0" w:rightChars="0"/>
              <w:jc w:val="center"/>
              <w:rPr>
                <w:color w:val="auto"/>
                <w:highlight w:val="none"/>
              </w:rPr>
            </w:pPr>
            <w:r>
              <w:rPr>
                <w:rFonts w:hint="eastAsia"/>
                <w:color w:val="auto"/>
                <w:highlight w:val="none"/>
              </w:rPr>
              <w:t>9</w:t>
            </w:r>
            <w:r>
              <w:rPr>
                <w:rFonts w:hint="default"/>
                <w:color w:val="auto"/>
                <w:highlight w:val="none"/>
              </w:rPr>
              <w:t>.</w:t>
            </w:r>
            <w:r>
              <w:rPr>
                <w:rFonts w:hint="eastAsia"/>
                <w:color w:val="auto"/>
                <w:highlight w:val="none"/>
              </w:rPr>
              <w:t>5</w:t>
            </w:r>
          </w:p>
        </w:tc>
        <w:tc>
          <w:tcPr>
            <w:tcW w:w="2267" w:type="dxa"/>
            <w:vAlign w:val="center"/>
          </w:tcPr>
          <w:p w14:paraId="7293ED1A">
            <w:pPr>
              <w:keepNext w:val="0"/>
              <w:keepLines w:val="0"/>
              <w:suppressLineNumbers w:val="0"/>
              <w:spacing w:before="0" w:beforeAutospacing="0" w:after="0" w:afterAutospacing="0" w:line="320" w:lineRule="exact"/>
              <w:ind w:left="0" w:leftChars="0" w:right="0" w:rightChars="0"/>
              <w:jc w:val="center"/>
              <w:rPr>
                <w:color w:val="auto"/>
                <w:highlight w:val="none"/>
              </w:rPr>
            </w:pPr>
            <w:r>
              <w:rPr>
                <w:rFonts w:hint="eastAsia"/>
                <w:color w:val="auto"/>
                <w:highlight w:val="none"/>
              </w:rPr>
              <w:t>行政监督部门</w:t>
            </w:r>
          </w:p>
        </w:tc>
        <w:tc>
          <w:tcPr>
            <w:tcW w:w="5465" w:type="dxa"/>
            <w:vAlign w:val="center"/>
          </w:tcPr>
          <w:p w14:paraId="5C1531C0">
            <w:pPr>
              <w:keepNext w:val="0"/>
              <w:keepLines w:val="0"/>
              <w:suppressLineNumbers w:val="0"/>
              <w:spacing w:before="0" w:beforeAutospacing="0" w:after="0" w:afterAutospacing="0" w:line="320" w:lineRule="exact"/>
              <w:ind w:left="0" w:right="0"/>
              <w:jc w:val="left"/>
              <w:rPr>
                <w:rFonts w:hint="eastAsia"/>
                <w:color w:val="auto"/>
                <w:szCs w:val="21"/>
                <w:highlight w:val="none"/>
                <w:u w:val="single"/>
              </w:rPr>
            </w:pPr>
            <w:r>
              <w:rPr>
                <w:rFonts w:hint="eastAsia"/>
                <w:color w:val="auto"/>
                <w:szCs w:val="21"/>
                <w:highlight w:val="none"/>
              </w:rPr>
              <w:t>名</w:t>
            </w:r>
            <w:r>
              <w:rPr>
                <w:rFonts w:hint="eastAsia"/>
                <w:color w:val="auto"/>
                <w:szCs w:val="21"/>
                <w:highlight w:val="none"/>
                <w:lang w:val="en-US" w:eastAsia="zh-CN"/>
              </w:rPr>
              <w:t xml:space="preserve">    </w:t>
            </w:r>
            <w:r>
              <w:rPr>
                <w:rFonts w:hint="eastAsia"/>
                <w:color w:val="auto"/>
                <w:szCs w:val="21"/>
                <w:highlight w:val="none"/>
              </w:rPr>
              <w:t>称：</w:t>
            </w:r>
            <w:r>
              <w:rPr>
                <w:rFonts w:hint="eastAsia"/>
                <w:color w:val="auto"/>
                <w:szCs w:val="21"/>
                <w:highlight w:val="none"/>
                <w:u w:val="single"/>
                <w:lang w:eastAsia="zh-CN"/>
              </w:rPr>
              <w:t>营口市鲅鱼圈区城乡建设和公用事业中心</w:t>
            </w:r>
          </w:p>
          <w:p w14:paraId="2B5B7DC2">
            <w:pPr>
              <w:keepNext w:val="0"/>
              <w:keepLines w:val="0"/>
              <w:suppressLineNumbers w:val="0"/>
              <w:spacing w:before="0" w:beforeAutospacing="0" w:after="0" w:afterAutospacing="0" w:line="320" w:lineRule="exact"/>
              <w:ind w:left="0" w:right="0"/>
              <w:jc w:val="left"/>
              <w:rPr>
                <w:rFonts w:hint="eastAsia"/>
                <w:color w:val="auto"/>
                <w:szCs w:val="21"/>
                <w:highlight w:val="none"/>
              </w:rPr>
            </w:pPr>
            <w:r>
              <w:rPr>
                <w:rFonts w:hint="eastAsia"/>
                <w:color w:val="auto"/>
                <w:szCs w:val="21"/>
                <w:highlight w:val="none"/>
              </w:rPr>
              <w:t>地</w:t>
            </w:r>
            <w:r>
              <w:rPr>
                <w:rFonts w:hint="eastAsia"/>
                <w:color w:val="auto"/>
                <w:szCs w:val="21"/>
                <w:highlight w:val="none"/>
                <w:lang w:val="en-US" w:eastAsia="zh-CN"/>
              </w:rPr>
              <w:t xml:space="preserve">    </w:t>
            </w:r>
            <w:r>
              <w:rPr>
                <w:rFonts w:hint="eastAsia"/>
                <w:color w:val="auto"/>
                <w:szCs w:val="21"/>
                <w:highlight w:val="none"/>
              </w:rPr>
              <w:t>址：</w:t>
            </w:r>
            <w:r>
              <w:rPr>
                <w:rFonts w:hint="eastAsia"/>
                <w:color w:val="auto"/>
                <w:szCs w:val="21"/>
                <w:highlight w:val="none"/>
                <w:u w:val="single"/>
                <w:lang w:eastAsia="zh-CN"/>
              </w:rPr>
              <w:t>辽宁省营口市鲅鱼圈区</w:t>
            </w:r>
          </w:p>
          <w:p w14:paraId="22485363">
            <w:pPr>
              <w:keepNext w:val="0"/>
              <w:keepLines w:val="0"/>
              <w:suppressLineNumbers w:val="0"/>
              <w:spacing w:before="0" w:beforeAutospacing="0" w:after="0" w:afterAutospacing="0" w:line="320" w:lineRule="exact"/>
              <w:ind w:left="0" w:right="0"/>
              <w:jc w:val="left"/>
              <w:rPr>
                <w:rFonts w:hint="eastAsia"/>
                <w:color w:val="auto"/>
                <w:szCs w:val="21"/>
                <w:highlight w:val="none"/>
              </w:rPr>
            </w:pPr>
            <w:r>
              <w:rPr>
                <w:rFonts w:hint="eastAsia"/>
                <w:color w:val="auto"/>
                <w:szCs w:val="21"/>
                <w:highlight w:val="none"/>
              </w:rPr>
              <w:t>电</w:t>
            </w:r>
            <w:r>
              <w:rPr>
                <w:rFonts w:hint="eastAsia"/>
                <w:color w:val="auto"/>
                <w:szCs w:val="21"/>
                <w:highlight w:val="none"/>
                <w:lang w:val="en-US" w:eastAsia="zh-CN"/>
              </w:rPr>
              <w:t xml:space="preserve">    </w:t>
            </w:r>
            <w:r>
              <w:rPr>
                <w:rFonts w:hint="eastAsia"/>
                <w:color w:val="auto"/>
                <w:szCs w:val="21"/>
                <w:highlight w:val="none"/>
              </w:rPr>
              <w:t>话：</w:t>
            </w:r>
            <w:r>
              <w:rPr>
                <w:rFonts w:hint="eastAsia"/>
                <w:color w:val="auto"/>
                <w:szCs w:val="21"/>
                <w:highlight w:val="none"/>
                <w:u w:val="single"/>
                <w:lang w:eastAsia="zh-CN"/>
              </w:rPr>
              <w:t>0417-8225249</w:t>
            </w:r>
          </w:p>
          <w:p w14:paraId="5D29DA8B">
            <w:pPr>
              <w:keepNext w:val="0"/>
              <w:keepLines w:val="0"/>
              <w:suppressLineNumbers w:val="0"/>
              <w:spacing w:before="0" w:beforeAutospacing="0" w:after="0" w:afterAutospacing="0" w:line="320" w:lineRule="exact"/>
              <w:ind w:left="0" w:right="0"/>
              <w:jc w:val="left"/>
              <w:rPr>
                <w:rFonts w:hint="eastAsia"/>
                <w:color w:val="auto"/>
                <w:szCs w:val="21"/>
                <w:highlight w:val="none"/>
                <w:u w:val="single"/>
              </w:rPr>
            </w:pPr>
            <w:r>
              <w:rPr>
                <w:rFonts w:hint="eastAsia"/>
                <w:color w:val="auto"/>
                <w:szCs w:val="21"/>
                <w:highlight w:val="none"/>
              </w:rPr>
              <w:t>传</w:t>
            </w:r>
            <w:r>
              <w:rPr>
                <w:rFonts w:hint="default"/>
                <w:color w:val="auto"/>
                <w:szCs w:val="21"/>
                <w:highlight w:val="none"/>
              </w:rPr>
              <w:t xml:space="preserve">    </w:t>
            </w:r>
            <w:r>
              <w:rPr>
                <w:rFonts w:hint="eastAsia"/>
                <w:color w:val="auto"/>
                <w:szCs w:val="21"/>
                <w:highlight w:val="none"/>
              </w:rPr>
              <w:t>真：</w:t>
            </w:r>
            <w:r>
              <w:rPr>
                <w:rFonts w:hint="eastAsia"/>
                <w:color w:val="auto"/>
                <w:szCs w:val="21"/>
                <w:highlight w:val="none"/>
                <w:u w:val="single"/>
                <w:lang w:eastAsia="zh-CN"/>
              </w:rPr>
              <w:t>/</w:t>
            </w:r>
          </w:p>
          <w:p w14:paraId="5BF3D2E9">
            <w:pPr>
              <w:keepNext w:val="0"/>
              <w:keepLines w:val="0"/>
              <w:suppressLineNumbers w:val="0"/>
              <w:spacing w:before="0" w:beforeAutospacing="0" w:after="0" w:afterAutospacing="0" w:line="320" w:lineRule="exact"/>
              <w:ind w:left="0" w:right="0"/>
              <w:jc w:val="left"/>
              <w:rPr>
                <w:rFonts w:hint="eastAsia"/>
                <w:color w:val="auto"/>
                <w:szCs w:val="21"/>
                <w:highlight w:val="none"/>
                <w:u w:val="single"/>
              </w:rPr>
            </w:pPr>
            <w:r>
              <w:rPr>
                <w:rFonts w:hint="eastAsia"/>
                <w:color w:val="auto"/>
                <w:szCs w:val="21"/>
                <w:highlight w:val="none"/>
              </w:rPr>
              <w:t>邮政编码：</w:t>
            </w:r>
            <w:r>
              <w:rPr>
                <w:rFonts w:hint="eastAsia"/>
                <w:color w:val="auto"/>
                <w:szCs w:val="21"/>
                <w:highlight w:val="none"/>
                <w:u w:val="single"/>
                <w:lang w:eastAsia="zh-CN"/>
              </w:rPr>
              <w:t>115007</w:t>
            </w:r>
          </w:p>
          <w:p w14:paraId="64AC140A">
            <w:pPr>
              <w:keepNext w:val="0"/>
              <w:keepLines w:val="0"/>
              <w:suppressLineNumbers w:val="0"/>
              <w:spacing w:before="0" w:beforeAutospacing="0" w:after="0" w:afterAutospacing="0" w:line="320" w:lineRule="exact"/>
              <w:ind w:left="0" w:leftChars="0" w:right="0" w:rightChars="0"/>
              <w:jc w:val="left"/>
              <w:rPr>
                <w:color w:val="auto"/>
                <w:spacing w:val="-9"/>
                <w:highlight w:val="none"/>
              </w:rPr>
            </w:pPr>
            <w:r>
              <w:rPr>
                <w:rFonts w:hint="eastAsia"/>
                <w:color w:val="auto"/>
                <w:szCs w:val="21"/>
                <w:highlight w:val="none"/>
              </w:rPr>
              <w:t>异议投诉渠道：辽宁省工程建设项目招标投标异议投诉处理系统</w:t>
            </w:r>
          </w:p>
        </w:tc>
      </w:tr>
      <w:tr w14:paraId="7185DC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856" w:type="dxa"/>
          </w:tcPr>
          <w:p w14:paraId="51520D5F">
            <w:pPr>
              <w:pStyle w:val="185"/>
              <w:spacing w:before="233" w:line="241" w:lineRule="auto"/>
              <w:ind w:left="345"/>
              <w:rPr>
                <w:color w:val="auto"/>
                <w:highlight w:val="none"/>
              </w:rPr>
            </w:pPr>
            <w:r>
              <w:rPr>
                <w:color w:val="auto"/>
                <w:spacing w:val="-12"/>
                <w:highlight w:val="none"/>
              </w:rPr>
              <w:t>10</w:t>
            </w:r>
          </w:p>
        </w:tc>
        <w:tc>
          <w:tcPr>
            <w:tcW w:w="7732" w:type="dxa"/>
            <w:gridSpan w:val="2"/>
          </w:tcPr>
          <w:p w14:paraId="184E1180">
            <w:pPr>
              <w:pStyle w:val="185"/>
              <w:spacing w:before="233" w:line="221" w:lineRule="auto"/>
              <w:ind w:left="123"/>
              <w:rPr>
                <w:color w:val="auto"/>
                <w:highlight w:val="none"/>
              </w:rPr>
            </w:pPr>
            <w:r>
              <w:rPr>
                <w:b/>
                <w:bCs/>
                <w:color w:val="auto"/>
                <w:spacing w:val="-4"/>
                <w:highlight w:val="none"/>
              </w:rPr>
              <w:t>需要补充的其他内容</w:t>
            </w:r>
          </w:p>
        </w:tc>
      </w:tr>
      <w:tr w14:paraId="64AB53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856" w:type="dxa"/>
          </w:tcPr>
          <w:p w14:paraId="20E684ED">
            <w:pPr>
              <w:pStyle w:val="185"/>
              <w:spacing w:before="190"/>
              <w:ind w:left="242"/>
              <w:rPr>
                <w:color w:val="auto"/>
                <w:highlight w:val="none"/>
              </w:rPr>
            </w:pPr>
            <w:r>
              <w:rPr>
                <w:color w:val="auto"/>
                <w:spacing w:val="-6"/>
                <w:highlight w:val="none"/>
              </w:rPr>
              <w:t>10.1</w:t>
            </w:r>
          </w:p>
        </w:tc>
        <w:tc>
          <w:tcPr>
            <w:tcW w:w="7732" w:type="dxa"/>
            <w:gridSpan w:val="2"/>
          </w:tcPr>
          <w:p w14:paraId="30A25B40">
            <w:pPr>
              <w:pStyle w:val="185"/>
              <w:spacing w:before="190" w:line="221" w:lineRule="auto"/>
              <w:ind w:left="113"/>
              <w:rPr>
                <w:color w:val="auto"/>
                <w:highlight w:val="none"/>
              </w:rPr>
            </w:pPr>
            <w:r>
              <w:rPr>
                <w:b/>
                <w:bCs/>
                <w:color w:val="auto"/>
                <w:spacing w:val="-4"/>
                <w:highlight w:val="none"/>
              </w:rPr>
              <w:t>词语定义</w:t>
            </w:r>
          </w:p>
        </w:tc>
      </w:tr>
      <w:tr w14:paraId="0032D9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856" w:type="dxa"/>
            <w:vAlign w:val="center"/>
          </w:tcPr>
          <w:p w14:paraId="7A094F7F">
            <w:pPr>
              <w:keepNext w:val="0"/>
              <w:keepLines w:val="0"/>
              <w:suppressLineNumbers w:val="0"/>
              <w:spacing w:before="0" w:beforeAutospacing="0" w:after="0" w:afterAutospacing="0" w:line="320" w:lineRule="exact"/>
              <w:ind w:left="0" w:leftChars="0" w:right="0" w:rightChars="0"/>
              <w:jc w:val="center"/>
              <w:rPr>
                <w:color w:val="auto"/>
                <w:highlight w:val="none"/>
              </w:rPr>
            </w:pPr>
            <w:r>
              <w:rPr>
                <w:rFonts w:hint="eastAsia"/>
                <w:color w:val="auto"/>
                <w:szCs w:val="21"/>
                <w:highlight w:val="none"/>
              </w:rPr>
              <w:t>1</w:t>
            </w:r>
            <w:r>
              <w:rPr>
                <w:rFonts w:hint="default"/>
                <w:color w:val="auto"/>
                <w:szCs w:val="21"/>
                <w:highlight w:val="none"/>
              </w:rPr>
              <w:t>0.1.1</w:t>
            </w:r>
          </w:p>
        </w:tc>
        <w:tc>
          <w:tcPr>
            <w:tcW w:w="2267" w:type="dxa"/>
            <w:vAlign w:val="center"/>
          </w:tcPr>
          <w:p w14:paraId="15B57735">
            <w:pPr>
              <w:keepNext w:val="0"/>
              <w:keepLines w:val="0"/>
              <w:suppressLineNumbers w:val="0"/>
              <w:spacing w:before="0" w:beforeAutospacing="0" w:after="0" w:afterAutospacing="0" w:line="320" w:lineRule="exact"/>
              <w:ind w:left="0" w:leftChars="0" w:right="0" w:rightChars="0"/>
              <w:jc w:val="center"/>
              <w:rPr>
                <w:color w:val="auto"/>
                <w:highlight w:val="none"/>
              </w:rPr>
            </w:pPr>
            <w:r>
              <w:rPr>
                <w:rFonts w:hint="eastAsia"/>
                <w:color w:val="auto"/>
                <w:szCs w:val="21"/>
                <w:highlight w:val="none"/>
              </w:rPr>
              <w:t>类似项目</w:t>
            </w:r>
          </w:p>
        </w:tc>
        <w:tc>
          <w:tcPr>
            <w:tcW w:w="5465" w:type="dxa"/>
            <w:vAlign w:val="center"/>
          </w:tcPr>
          <w:p w14:paraId="19969E98">
            <w:pPr>
              <w:keepNext w:val="0"/>
              <w:keepLines w:val="0"/>
              <w:numPr>
                <w:ilvl w:val="0"/>
                <w:numId w:val="0"/>
              </w:numPr>
              <w:suppressLineNumbers w:val="0"/>
              <w:spacing w:before="0" w:beforeAutospacing="0" w:after="0" w:afterAutospacing="0" w:line="320" w:lineRule="exact"/>
              <w:ind w:left="0" w:right="0"/>
              <w:jc w:val="left"/>
              <w:rPr>
                <w:rFonts w:hint="eastAsia" w:ascii="宋体" w:hAnsi="宋体" w:cs="宋体"/>
                <w:color w:val="auto"/>
                <w:highlight w:val="none"/>
              </w:rPr>
            </w:pPr>
            <w:r>
              <w:rPr>
                <w:rFonts w:hint="eastAsia" w:ascii="宋体" w:hAnsi="宋体" w:eastAsia="宋体" w:cs="宋体"/>
                <w:color w:val="auto"/>
                <w:szCs w:val="21"/>
                <w:highlight w:val="none"/>
                <w:lang w:val="en-US" w:eastAsia="zh-CN"/>
              </w:rPr>
              <w:t>（1）类似项目</w:t>
            </w:r>
            <w:r>
              <w:rPr>
                <w:rFonts w:hint="eastAsia" w:ascii="宋体" w:hAnsi="宋体" w:eastAsia="宋体" w:cs="宋体"/>
                <w:color w:val="auto"/>
                <w:szCs w:val="21"/>
                <w:highlight w:val="none"/>
              </w:rPr>
              <w:t>指合同金额大于</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rPr>
              <w:t>万元</w:t>
            </w:r>
            <w:r>
              <w:rPr>
                <w:rFonts w:hint="eastAsia" w:ascii="宋体" w:hAnsi="宋体" w:eastAsia="宋体" w:cs="宋体"/>
                <w:color w:val="auto"/>
                <w:highlight w:val="none"/>
                <w:u w:val="single"/>
                <w:lang w:eastAsia="zh-CN"/>
              </w:rPr>
              <w:t>/</w:t>
            </w:r>
            <w:r>
              <w:rPr>
                <w:rFonts w:hint="eastAsia" w:ascii="宋体" w:hAnsi="宋体" w:eastAsia="宋体" w:cs="宋体"/>
                <w:color w:val="auto"/>
                <w:highlight w:val="none"/>
                <w:u w:val="none"/>
                <w:lang w:val="en-US" w:eastAsia="zh-CN"/>
              </w:rPr>
              <w:t>工程</w:t>
            </w:r>
            <w:r>
              <w:rPr>
                <w:rFonts w:hint="eastAsia" w:ascii="宋体" w:hAnsi="宋体" w:eastAsia="宋体" w:cs="宋体"/>
                <w:color w:val="auto"/>
                <w:highlight w:val="none"/>
              </w:rPr>
              <w:t>，且</w:t>
            </w:r>
            <w:r>
              <w:rPr>
                <w:rFonts w:hint="eastAsia" w:ascii="宋体" w:hAnsi="宋体" w:cs="宋体"/>
                <w:color w:val="auto"/>
                <w:highlight w:val="none"/>
                <w:lang w:val="en-US" w:eastAsia="zh-CN"/>
              </w:rPr>
              <w:t>项目已完成</w:t>
            </w:r>
            <w:r>
              <w:rPr>
                <w:rFonts w:hint="eastAsia" w:ascii="宋体" w:hAnsi="宋体" w:eastAsia="宋体" w:cs="宋体"/>
                <w:color w:val="auto"/>
                <w:highlight w:val="none"/>
              </w:rPr>
              <w:t>。</w:t>
            </w:r>
          </w:p>
          <w:p w14:paraId="6152D66E">
            <w:pPr>
              <w:keepNext w:val="0"/>
              <w:keepLines w:val="0"/>
              <w:numPr>
                <w:ilvl w:val="0"/>
                <w:numId w:val="0"/>
              </w:numPr>
              <w:suppressLineNumbers w:val="0"/>
              <w:spacing w:before="0" w:beforeAutospacing="0" w:after="0" w:afterAutospacing="0" w:line="320" w:lineRule="exact"/>
              <w:ind w:left="0" w:right="0"/>
              <w:jc w:val="left"/>
              <w:rPr>
                <w:rFonts w:hint="eastAsia" w:ascii="宋体" w:hAnsi="宋体" w:cs="宋体"/>
                <w:color w:val="auto"/>
                <w:highlight w:val="none"/>
              </w:rPr>
            </w:pPr>
            <w:r>
              <w:rPr>
                <w:rFonts w:hint="eastAsia" w:ascii="宋体" w:hAnsi="宋体" w:eastAsia="宋体" w:cs="宋体"/>
                <w:color w:val="auto"/>
                <w:highlight w:val="none"/>
                <w:lang w:val="en-US" w:eastAsia="zh-CN"/>
              </w:rPr>
              <w:t>（2）类似项目时间</w:t>
            </w:r>
            <w:r>
              <w:rPr>
                <w:rFonts w:hint="eastAsia" w:ascii="宋体" w:hAnsi="宋体" w:cs="宋体"/>
                <w:color w:val="auto"/>
                <w:highlight w:val="none"/>
                <w:lang w:val="en-US" w:eastAsia="zh-CN"/>
              </w:rPr>
              <w:t>：</w:t>
            </w:r>
          </w:p>
          <w:p w14:paraId="3683D51A">
            <w:pPr>
              <w:keepNext w:val="0"/>
              <w:keepLines w:val="0"/>
              <w:numPr>
                <w:ilvl w:val="0"/>
                <w:numId w:val="0"/>
              </w:numPr>
              <w:suppressLineNumbers w:val="0"/>
              <w:spacing w:before="0" w:beforeAutospacing="0" w:after="0" w:afterAutospacing="0" w:line="320" w:lineRule="exact"/>
              <w:ind w:left="420" w:leftChars="200" w:right="0"/>
              <w:jc w:val="left"/>
              <w:rPr>
                <w:rFonts w:hint="eastAsia" w:ascii="宋体" w:hAnsi="宋体" w:cs="宋体"/>
                <w:color w:val="auto"/>
                <w:highlight w:val="none"/>
              </w:rPr>
            </w:pPr>
            <w:r>
              <w:rPr>
                <w:rFonts w:hint="eastAsia" w:ascii="宋体" w:hAnsi="宋体" w:eastAsia="宋体" w:cs="宋体"/>
                <w:color w:val="auto"/>
                <w:highlight w:val="none"/>
                <w:lang w:val="en-US" w:eastAsia="zh-CN"/>
              </w:rPr>
              <w:t>□合同签订时间为准</w:t>
            </w:r>
          </w:p>
          <w:p w14:paraId="396F57B6">
            <w:pPr>
              <w:keepNext w:val="0"/>
              <w:keepLines w:val="0"/>
              <w:numPr>
                <w:ilvl w:val="0"/>
                <w:numId w:val="0"/>
              </w:numPr>
              <w:suppressLineNumbers w:val="0"/>
              <w:spacing w:before="0" w:beforeAutospacing="0" w:after="0" w:afterAutospacing="0" w:line="320" w:lineRule="exact"/>
              <w:ind w:left="420" w:leftChars="200" w:right="0"/>
              <w:jc w:val="left"/>
              <w:rPr>
                <w:rFonts w:hint="eastAsia" w:ascii="宋体" w:hAnsi="宋体" w:cs="宋体"/>
                <w:color w:val="auto"/>
                <w:highlight w:val="none"/>
              </w:rPr>
            </w:pPr>
            <w:r>
              <w:rPr>
                <w:rFonts w:hint="eastAsia" w:ascii="宋体" w:hAnsi="宋体" w:eastAsia="宋体" w:cs="宋体"/>
                <w:color w:val="auto"/>
                <w:highlight w:val="none"/>
                <w:lang w:val="en-US" w:eastAsia="zh-CN"/>
              </w:rPr>
              <w:t>□竣工验收时间为准</w:t>
            </w:r>
          </w:p>
          <w:p w14:paraId="6170859E">
            <w:pPr>
              <w:keepNext w:val="0"/>
              <w:keepLines w:val="0"/>
              <w:numPr>
                <w:ilvl w:val="0"/>
                <w:numId w:val="0"/>
              </w:numPr>
              <w:suppressLineNumbers w:val="0"/>
              <w:spacing w:before="0" w:beforeAutospacing="0" w:after="0" w:afterAutospacing="0" w:line="320" w:lineRule="exact"/>
              <w:ind w:left="0" w:right="0"/>
              <w:jc w:val="left"/>
              <w:rPr>
                <w:rFonts w:hint="eastAsia" w:ascii="宋体" w:hAnsi="宋体" w:cs="宋体"/>
                <w:color w:val="auto"/>
                <w:highlight w:val="none"/>
              </w:rPr>
            </w:pPr>
            <w:r>
              <w:rPr>
                <w:rFonts w:hint="eastAsia" w:ascii="宋体" w:hAnsi="宋体" w:eastAsia="宋体" w:cs="宋体"/>
                <w:color w:val="auto"/>
                <w:highlight w:val="none"/>
                <w:lang w:val="en-US" w:eastAsia="zh-CN"/>
              </w:rPr>
              <w:t>（3）类似项目类型</w:t>
            </w:r>
          </w:p>
          <w:p w14:paraId="1D7DCC6D">
            <w:pPr>
              <w:keepNext w:val="0"/>
              <w:keepLines w:val="0"/>
              <w:numPr>
                <w:ilvl w:val="0"/>
                <w:numId w:val="0"/>
              </w:numPr>
              <w:suppressLineNumbers w:val="0"/>
              <w:spacing w:before="0" w:beforeAutospacing="0" w:after="0" w:afterAutospacing="0" w:line="320" w:lineRule="exact"/>
              <w:ind w:left="420" w:leftChars="200" w:right="0"/>
              <w:jc w:val="left"/>
              <w:rPr>
                <w:rFonts w:hint="eastAsia" w:ascii="宋体" w:hAnsi="宋体" w:cs="宋体"/>
                <w:color w:val="auto"/>
                <w:highlight w:val="none"/>
              </w:rPr>
            </w:pPr>
            <w:r>
              <w:rPr>
                <w:rFonts w:hint="eastAsia" w:ascii="宋体" w:hAnsi="宋体" w:eastAsia="宋体" w:cs="宋体"/>
                <w:color w:val="auto"/>
                <w:highlight w:val="none"/>
                <w:lang w:val="en-US" w:eastAsia="zh-CN"/>
              </w:rPr>
              <w:t>□A类</w:t>
            </w:r>
          </w:p>
          <w:p w14:paraId="7F1B8014">
            <w:pPr>
              <w:keepNext w:val="0"/>
              <w:keepLines w:val="0"/>
              <w:numPr>
                <w:ilvl w:val="0"/>
                <w:numId w:val="0"/>
              </w:numPr>
              <w:suppressLineNumbers w:val="0"/>
              <w:spacing w:before="0" w:beforeAutospacing="0" w:after="0" w:afterAutospacing="0" w:line="320" w:lineRule="exact"/>
              <w:ind w:left="420" w:leftChars="200" w:right="0"/>
              <w:jc w:val="left"/>
              <w:rPr>
                <w:rFonts w:hint="eastAsia" w:ascii="宋体" w:hAnsi="宋体" w:cs="宋体"/>
                <w:color w:val="auto"/>
                <w:highlight w:val="none"/>
              </w:rPr>
            </w:pPr>
            <w:r>
              <w:rPr>
                <w:rFonts w:hint="eastAsia" w:ascii="宋体" w:hAnsi="宋体" w:eastAsia="宋体" w:cs="宋体"/>
                <w:color w:val="auto"/>
                <w:highlight w:val="none"/>
                <w:lang w:val="en-US" w:eastAsia="zh-CN"/>
              </w:rPr>
              <w:t>☑A+B类</w:t>
            </w:r>
          </w:p>
          <w:p w14:paraId="113C1CE3">
            <w:pPr>
              <w:keepNext w:val="0"/>
              <w:keepLines w:val="0"/>
              <w:numPr>
                <w:ilvl w:val="0"/>
                <w:numId w:val="0"/>
              </w:numPr>
              <w:suppressLineNumbers w:val="0"/>
              <w:spacing w:before="0" w:beforeAutospacing="0" w:after="0" w:afterAutospacing="0" w:line="320" w:lineRule="exact"/>
              <w:ind w:left="0" w:leftChars="0" w:right="0" w:rightChars="0" w:firstLine="0" w:firstLineChars="0"/>
              <w:jc w:val="left"/>
              <w:rPr>
                <w:color w:val="auto"/>
                <w:highlight w:val="none"/>
                <w:lang w:eastAsia="zh-CN"/>
              </w:rPr>
            </w:pPr>
            <w:r>
              <w:rPr>
                <w:rFonts w:hint="eastAsia" w:ascii="宋体" w:hAnsi="宋体" w:eastAsia="宋体" w:cs="宋体"/>
                <w:color w:val="auto"/>
                <w:highlight w:val="none"/>
                <w:lang w:val="en-US" w:eastAsia="zh-CN"/>
              </w:rPr>
              <w:t>（4）其他：</w:t>
            </w:r>
            <w:r>
              <w:rPr>
                <w:rFonts w:hint="eastAsia" w:ascii="宋体" w:hAnsi="宋体" w:eastAsia="宋体" w:cs="宋体"/>
                <w:color w:val="auto"/>
                <w:highlight w:val="none"/>
                <w:u w:val="single"/>
                <w:lang w:val="en-US" w:eastAsia="zh-CN"/>
              </w:rPr>
              <w:t>/</w:t>
            </w:r>
          </w:p>
        </w:tc>
      </w:tr>
      <w:tr w14:paraId="2F70D9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856" w:type="dxa"/>
            <w:vAlign w:val="center"/>
          </w:tcPr>
          <w:p w14:paraId="55D12152">
            <w:pPr>
              <w:keepNext w:val="0"/>
              <w:keepLines w:val="0"/>
              <w:suppressLineNumbers w:val="0"/>
              <w:spacing w:before="0" w:beforeAutospacing="0" w:after="0" w:afterAutospacing="0" w:line="320" w:lineRule="exact"/>
              <w:ind w:left="0" w:leftChars="0" w:right="0" w:rightChars="0"/>
              <w:jc w:val="center"/>
              <w:rPr>
                <w:color w:val="auto"/>
                <w:highlight w:val="none"/>
              </w:rPr>
            </w:pPr>
            <w:r>
              <w:rPr>
                <w:rFonts w:hint="eastAsia"/>
                <w:color w:val="auto"/>
                <w:szCs w:val="21"/>
                <w:highlight w:val="none"/>
              </w:rPr>
              <w:t>1</w:t>
            </w:r>
            <w:r>
              <w:rPr>
                <w:rFonts w:hint="default"/>
                <w:color w:val="auto"/>
                <w:szCs w:val="21"/>
                <w:highlight w:val="none"/>
              </w:rPr>
              <w:t>0.1.</w:t>
            </w:r>
            <w:r>
              <w:rPr>
                <w:rFonts w:hint="eastAsia"/>
                <w:color w:val="auto"/>
                <w:szCs w:val="21"/>
                <w:highlight w:val="none"/>
                <w:lang w:val="en-US" w:eastAsia="zh-CN"/>
              </w:rPr>
              <w:t>2</w:t>
            </w:r>
          </w:p>
        </w:tc>
        <w:tc>
          <w:tcPr>
            <w:tcW w:w="2267" w:type="dxa"/>
            <w:vAlign w:val="center"/>
          </w:tcPr>
          <w:p w14:paraId="2B9153F0">
            <w:pPr>
              <w:keepNext w:val="0"/>
              <w:keepLines w:val="0"/>
              <w:suppressLineNumbers w:val="0"/>
              <w:spacing w:before="0" w:beforeAutospacing="0" w:after="0" w:afterAutospacing="0" w:line="320" w:lineRule="exact"/>
              <w:ind w:left="0" w:leftChars="0" w:right="0" w:rightChars="0"/>
              <w:jc w:val="center"/>
              <w:rPr>
                <w:color w:val="auto"/>
                <w:highlight w:val="none"/>
              </w:rPr>
            </w:pPr>
            <w:r>
              <w:rPr>
                <w:rFonts w:hint="eastAsia"/>
                <w:color w:val="auto"/>
                <w:highlight w:val="none"/>
              </w:rPr>
              <w:t>盖章</w:t>
            </w:r>
          </w:p>
        </w:tc>
        <w:tc>
          <w:tcPr>
            <w:tcW w:w="5465" w:type="dxa"/>
            <w:vAlign w:val="center"/>
          </w:tcPr>
          <w:p w14:paraId="2BE605F5">
            <w:pPr>
              <w:keepNext w:val="0"/>
              <w:keepLines w:val="0"/>
              <w:suppressLineNumbers w:val="0"/>
              <w:spacing w:before="0" w:beforeAutospacing="0" w:after="0" w:afterAutospacing="0" w:line="320" w:lineRule="exact"/>
              <w:ind w:left="0" w:leftChars="0" w:right="0" w:rightChars="0"/>
              <w:rPr>
                <w:color w:val="auto"/>
                <w:highlight w:val="none"/>
                <w:lang w:eastAsia="zh-CN"/>
              </w:rPr>
            </w:pPr>
            <w:r>
              <w:rPr>
                <w:rFonts w:hint="eastAsia"/>
                <w:color w:val="auto"/>
                <w:szCs w:val="21"/>
                <w:highlight w:val="none"/>
              </w:rPr>
              <w:t>盖单位章及签章（个人）均为电子签名法所指的电子签名，即表示数据电文中以电子形式所含、所附用于识别签名单位和签名人身份并表明签名单位和签名人认可其中内容的数据。</w:t>
            </w:r>
          </w:p>
        </w:tc>
      </w:tr>
      <w:tr w14:paraId="682DA6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856" w:type="dxa"/>
            <w:vAlign w:val="center"/>
          </w:tcPr>
          <w:p w14:paraId="1D29C30A">
            <w:pPr>
              <w:keepNext w:val="0"/>
              <w:keepLines w:val="0"/>
              <w:suppressLineNumbers w:val="0"/>
              <w:spacing w:before="0" w:beforeAutospacing="0" w:after="0" w:afterAutospacing="0" w:line="320" w:lineRule="exact"/>
              <w:ind w:left="0" w:leftChars="0" w:right="0" w:rightChars="0"/>
              <w:jc w:val="center"/>
              <w:rPr>
                <w:color w:val="auto"/>
                <w:highlight w:val="none"/>
              </w:rPr>
            </w:pPr>
            <w:r>
              <w:rPr>
                <w:rFonts w:hint="eastAsia"/>
                <w:color w:val="auto"/>
                <w:szCs w:val="21"/>
                <w:highlight w:val="none"/>
              </w:rPr>
              <w:t>1</w:t>
            </w:r>
            <w:r>
              <w:rPr>
                <w:rFonts w:hint="default"/>
                <w:color w:val="auto"/>
                <w:szCs w:val="21"/>
                <w:highlight w:val="none"/>
              </w:rPr>
              <w:t>0.1.</w:t>
            </w:r>
            <w:r>
              <w:rPr>
                <w:rFonts w:hint="eastAsia"/>
                <w:color w:val="auto"/>
                <w:szCs w:val="21"/>
                <w:highlight w:val="none"/>
                <w:lang w:val="en-US" w:eastAsia="zh-CN"/>
              </w:rPr>
              <w:t>3</w:t>
            </w:r>
          </w:p>
        </w:tc>
        <w:tc>
          <w:tcPr>
            <w:tcW w:w="2267" w:type="dxa"/>
            <w:vAlign w:val="center"/>
          </w:tcPr>
          <w:p w14:paraId="62D600C5">
            <w:pPr>
              <w:keepNext w:val="0"/>
              <w:keepLines w:val="0"/>
              <w:suppressLineNumbers w:val="0"/>
              <w:spacing w:before="0" w:beforeAutospacing="0" w:after="0" w:afterAutospacing="0" w:line="320" w:lineRule="exact"/>
              <w:ind w:left="0" w:leftChars="0" w:right="0" w:rightChars="0"/>
              <w:jc w:val="center"/>
              <w:rPr>
                <w:color w:val="auto"/>
                <w:highlight w:val="none"/>
              </w:rPr>
            </w:pPr>
            <w:r>
              <w:rPr>
                <w:rFonts w:hint="eastAsia"/>
                <w:color w:val="auto"/>
                <w:highlight w:val="none"/>
              </w:rPr>
              <w:t>获奖表彰时间</w:t>
            </w:r>
          </w:p>
        </w:tc>
        <w:tc>
          <w:tcPr>
            <w:tcW w:w="5465" w:type="dxa"/>
            <w:vAlign w:val="center"/>
          </w:tcPr>
          <w:p w14:paraId="76CD8635">
            <w:pPr>
              <w:keepNext w:val="0"/>
              <w:keepLines w:val="0"/>
              <w:suppressLineNumbers w:val="0"/>
              <w:spacing w:before="0" w:beforeAutospacing="0" w:after="0" w:afterAutospacing="0" w:line="320" w:lineRule="exact"/>
              <w:ind w:left="0" w:leftChars="0" w:right="0" w:rightChars="0"/>
              <w:jc w:val="left"/>
              <w:rPr>
                <w:color w:val="auto"/>
                <w:highlight w:val="none"/>
                <w:lang w:eastAsia="zh-CN"/>
              </w:rPr>
            </w:pPr>
            <w:r>
              <w:rPr>
                <w:rFonts w:hint="eastAsia"/>
                <w:color w:val="auto"/>
                <w:szCs w:val="21"/>
                <w:highlight w:val="none"/>
              </w:rPr>
              <w:t>以表彰文件、获奖证书的颁发时间为准。</w:t>
            </w:r>
          </w:p>
        </w:tc>
      </w:tr>
      <w:tr w14:paraId="709BA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856" w:type="dxa"/>
            <w:vAlign w:val="center"/>
          </w:tcPr>
          <w:p w14:paraId="4FE80C6E">
            <w:pPr>
              <w:keepNext w:val="0"/>
              <w:keepLines w:val="0"/>
              <w:suppressLineNumbers w:val="0"/>
              <w:spacing w:before="0" w:beforeAutospacing="0" w:after="0" w:afterAutospacing="0" w:line="320" w:lineRule="exact"/>
              <w:ind w:left="0" w:leftChars="0" w:right="0" w:rightChars="0"/>
              <w:jc w:val="center"/>
              <w:rPr>
                <w:rFonts w:hint="eastAsia" w:eastAsia="宋体"/>
                <w:color w:val="auto"/>
                <w:highlight w:val="none"/>
                <w:lang w:val="en-US" w:eastAsia="zh-CN"/>
              </w:rPr>
            </w:pPr>
            <w:r>
              <w:rPr>
                <w:rFonts w:hint="default"/>
                <w:color w:val="auto"/>
                <w:szCs w:val="21"/>
                <w:highlight w:val="none"/>
              </w:rPr>
              <w:t>10.1.</w:t>
            </w:r>
            <w:r>
              <w:rPr>
                <w:rFonts w:hint="eastAsia"/>
                <w:color w:val="auto"/>
                <w:szCs w:val="21"/>
                <w:highlight w:val="none"/>
                <w:lang w:val="en-US" w:eastAsia="zh-CN"/>
              </w:rPr>
              <w:t>4</w:t>
            </w:r>
          </w:p>
        </w:tc>
        <w:tc>
          <w:tcPr>
            <w:tcW w:w="2267" w:type="dxa"/>
            <w:vAlign w:val="center"/>
          </w:tcPr>
          <w:p w14:paraId="08E0D018">
            <w:pPr>
              <w:keepNext w:val="0"/>
              <w:keepLines w:val="0"/>
              <w:suppressLineNumbers w:val="0"/>
              <w:spacing w:before="0" w:beforeAutospacing="0" w:after="0" w:afterAutospacing="0" w:line="320" w:lineRule="exact"/>
              <w:ind w:left="0" w:leftChars="0" w:right="0" w:rightChars="0"/>
              <w:jc w:val="center"/>
              <w:rPr>
                <w:color w:val="auto"/>
                <w:highlight w:val="none"/>
              </w:rPr>
            </w:pPr>
            <w:r>
              <w:rPr>
                <w:rFonts w:hint="eastAsia"/>
                <w:color w:val="auto"/>
                <w:highlight w:val="none"/>
              </w:rPr>
              <w:t>不良行为</w:t>
            </w:r>
          </w:p>
        </w:tc>
        <w:tc>
          <w:tcPr>
            <w:tcW w:w="5465" w:type="dxa"/>
            <w:vAlign w:val="center"/>
          </w:tcPr>
          <w:p w14:paraId="3BF385D2">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rPr>
              <w:t>（1）指投标人须知第1.4.3（10）至（17）</w:t>
            </w:r>
            <w:r>
              <w:rPr>
                <w:rFonts w:hint="eastAsia"/>
                <w:color w:val="auto"/>
                <w:highlight w:val="none"/>
                <w:lang w:val="en-US" w:eastAsia="zh-CN"/>
              </w:rPr>
              <w:t>条</w:t>
            </w:r>
            <w:r>
              <w:rPr>
                <w:rFonts w:hint="eastAsia"/>
                <w:color w:val="auto"/>
                <w:highlight w:val="none"/>
              </w:rPr>
              <w:t>目规定的情形。</w:t>
            </w:r>
          </w:p>
          <w:p w14:paraId="4A842134">
            <w:pPr>
              <w:keepNext w:val="0"/>
              <w:keepLines w:val="0"/>
              <w:suppressLineNumbers w:val="0"/>
              <w:spacing w:before="0" w:beforeAutospacing="0" w:after="0" w:afterAutospacing="0" w:line="320" w:lineRule="exact"/>
              <w:ind w:left="0" w:right="0"/>
              <w:jc w:val="left"/>
              <w:rPr>
                <w:rFonts w:hint="default"/>
                <w:color w:val="auto"/>
                <w:highlight w:val="none"/>
              </w:rPr>
            </w:pPr>
            <w:r>
              <w:rPr>
                <w:rFonts w:hint="eastAsia"/>
                <w:color w:val="auto"/>
                <w:highlight w:val="none"/>
              </w:rPr>
              <w:t>（2）投标人须知第1.4.3（13）</w:t>
            </w:r>
            <w:r>
              <w:rPr>
                <w:rFonts w:hint="eastAsia"/>
                <w:color w:val="auto"/>
                <w:highlight w:val="none"/>
                <w:lang w:val="en-US" w:eastAsia="zh-CN"/>
              </w:rPr>
              <w:t>条</w:t>
            </w:r>
            <w:r>
              <w:rPr>
                <w:rFonts w:hint="eastAsia"/>
                <w:color w:val="auto"/>
                <w:highlight w:val="none"/>
              </w:rPr>
              <w:t>目规定的在最近三年内有骗取中标或严重违约或重大工程质量问题的时间以相关行业主管部门行政处罚决定时间或司法机关出具的法律文书时间为准。</w:t>
            </w:r>
          </w:p>
          <w:p w14:paraId="7A212BFB">
            <w:pPr>
              <w:keepNext w:val="0"/>
              <w:keepLines w:val="0"/>
              <w:suppressLineNumbers w:val="0"/>
              <w:spacing w:before="0" w:beforeAutospacing="0" w:after="0" w:afterAutospacing="0" w:line="320" w:lineRule="exact"/>
              <w:ind w:left="0" w:leftChars="0" w:right="0" w:rightChars="0"/>
              <w:jc w:val="left"/>
              <w:rPr>
                <w:color w:val="auto"/>
                <w:highlight w:val="none"/>
                <w:lang w:eastAsia="zh-CN"/>
              </w:rPr>
            </w:pPr>
            <w:r>
              <w:rPr>
                <w:rFonts w:hint="eastAsia"/>
                <w:color w:val="auto"/>
                <w:highlight w:val="none"/>
              </w:rPr>
              <w:t>特别说明：同一标段项目出现两个（含）以上不同处罚时间（或法律文书时间）均应满足时间要求。</w:t>
            </w:r>
          </w:p>
        </w:tc>
      </w:tr>
      <w:tr w14:paraId="42D92C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856" w:type="dxa"/>
            <w:vAlign w:val="center"/>
          </w:tcPr>
          <w:p w14:paraId="7BC2E082">
            <w:pPr>
              <w:keepNext w:val="0"/>
              <w:keepLines w:val="0"/>
              <w:suppressLineNumbers w:val="0"/>
              <w:spacing w:before="0" w:beforeAutospacing="0" w:after="0" w:afterAutospacing="0" w:line="320" w:lineRule="exact"/>
              <w:ind w:left="0" w:leftChars="0" w:right="0" w:rightChars="0"/>
              <w:jc w:val="center"/>
              <w:rPr>
                <w:color w:val="auto"/>
                <w:highlight w:val="none"/>
              </w:rPr>
            </w:pPr>
            <w:r>
              <w:rPr>
                <w:rFonts w:hint="eastAsia"/>
                <w:color w:val="auto"/>
                <w:szCs w:val="21"/>
                <w:highlight w:val="none"/>
              </w:rPr>
              <w:t>1</w:t>
            </w:r>
            <w:r>
              <w:rPr>
                <w:rFonts w:hint="default"/>
                <w:color w:val="auto"/>
                <w:szCs w:val="21"/>
                <w:highlight w:val="none"/>
              </w:rPr>
              <w:t>0.1.</w:t>
            </w:r>
            <w:r>
              <w:rPr>
                <w:rFonts w:hint="eastAsia"/>
                <w:color w:val="auto"/>
                <w:szCs w:val="21"/>
                <w:highlight w:val="none"/>
                <w:lang w:val="en-US" w:eastAsia="zh-CN"/>
              </w:rPr>
              <w:t>5</w:t>
            </w:r>
          </w:p>
        </w:tc>
        <w:tc>
          <w:tcPr>
            <w:tcW w:w="2267" w:type="dxa"/>
            <w:vAlign w:val="center"/>
          </w:tcPr>
          <w:p w14:paraId="164ABE24">
            <w:pPr>
              <w:keepNext w:val="0"/>
              <w:keepLines w:val="0"/>
              <w:suppressLineNumbers w:val="0"/>
              <w:spacing w:before="0" w:beforeAutospacing="0" w:after="0" w:afterAutospacing="0" w:line="320" w:lineRule="exact"/>
              <w:ind w:left="0" w:leftChars="0" w:right="0" w:rightChars="0"/>
              <w:jc w:val="center"/>
              <w:rPr>
                <w:color w:val="auto"/>
                <w:highlight w:val="none"/>
              </w:rPr>
            </w:pPr>
            <w:r>
              <w:rPr>
                <w:rFonts w:hint="eastAsia"/>
                <w:color w:val="auto"/>
                <w:highlight w:val="none"/>
              </w:rPr>
              <w:t>现金</w:t>
            </w:r>
          </w:p>
        </w:tc>
        <w:tc>
          <w:tcPr>
            <w:tcW w:w="5465" w:type="dxa"/>
            <w:vAlign w:val="center"/>
          </w:tcPr>
          <w:p w14:paraId="4ACCE326">
            <w:pPr>
              <w:keepNext w:val="0"/>
              <w:keepLines w:val="0"/>
              <w:suppressLineNumbers w:val="0"/>
              <w:spacing w:before="0" w:beforeAutospacing="0" w:after="0" w:afterAutospacing="0" w:line="320" w:lineRule="exact"/>
              <w:ind w:left="0" w:leftChars="0" w:right="0" w:rightChars="0"/>
              <w:jc w:val="left"/>
              <w:rPr>
                <w:color w:val="auto"/>
                <w:highlight w:val="none"/>
                <w:lang w:eastAsia="zh-CN"/>
              </w:rPr>
            </w:pPr>
            <w:r>
              <w:rPr>
                <w:rFonts w:hint="eastAsia"/>
                <w:color w:val="auto"/>
                <w:highlight w:val="none"/>
              </w:rPr>
              <w:t>投标保证金、履约</w:t>
            </w:r>
            <w:r>
              <w:rPr>
                <w:rFonts w:hint="default"/>
                <w:color w:val="auto"/>
                <w:szCs w:val="21"/>
                <w:highlight w:val="none"/>
              </w:rPr>
              <w:t>保证金</w:t>
            </w:r>
            <w:r>
              <w:rPr>
                <w:rFonts w:hint="eastAsia"/>
                <w:color w:val="auto"/>
                <w:highlight w:val="none"/>
              </w:rPr>
              <w:t>现金缴纳方式指通过电汇、支票等广义现金方式缴纳而非现金钞票。</w:t>
            </w:r>
          </w:p>
        </w:tc>
      </w:tr>
      <w:tr w14:paraId="4BA8C7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856" w:type="dxa"/>
            <w:vAlign w:val="center"/>
          </w:tcPr>
          <w:p w14:paraId="4ED169B8">
            <w:pPr>
              <w:keepNext w:val="0"/>
              <w:keepLines w:val="0"/>
              <w:suppressLineNumbers w:val="0"/>
              <w:spacing w:before="0" w:beforeAutospacing="0" w:after="0" w:afterAutospacing="0" w:line="320" w:lineRule="exact"/>
              <w:ind w:left="0" w:leftChars="0" w:right="0" w:rightChars="0"/>
              <w:jc w:val="center"/>
              <w:rPr>
                <w:color w:val="auto"/>
                <w:highlight w:val="none"/>
              </w:rPr>
            </w:pPr>
            <w:r>
              <w:rPr>
                <w:rFonts w:hint="eastAsia"/>
                <w:color w:val="auto"/>
                <w:highlight w:val="none"/>
              </w:rPr>
              <w:t>10.</w:t>
            </w:r>
            <w:r>
              <w:rPr>
                <w:rFonts w:hint="default"/>
                <w:color w:val="auto"/>
                <w:highlight w:val="none"/>
              </w:rPr>
              <w:t>2</w:t>
            </w:r>
          </w:p>
        </w:tc>
        <w:tc>
          <w:tcPr>
            <w:tcW w:w="2267" w:type="dxa"/>
            <w:vAlign w:val="center"/>
          </w:tcPr>
          <w:p w14:paraId="7B968F5D">
            <w:pPr>
              <w:keepNext w:val="0"/>
              <w:keepLines w:val="0"/>
              <w:suppressLineNumbers w:val="0"/>
              <w:spacing w:before="0" w:beforeAutospacing="0" w:after="0" w:afterAutospacing="0" w:line="320" w:lineRule="exact"/>
              <w:ind w:left="0" w:right="0"/>
              <w:jc w:val="center"/>
              <w:rPr>
                <w:rFonts w:hint="default" w:ascii="宋体" w:hAnsi="宋体"/>
                <w:color w:val="auto"/>
                <w:szCs w:val="21"/>
                <w:highlight w:val="none"/>
              </w:rPr>
            </w:pPr>
            <w:r>
              <w:rPr>
                <w:rFonts w:hint="eastAsia" w:ascii="宋体" w:hAnsi="宋体"/>
                <w:color w:val="auto"/>
                <w:szCs w:val="21"/>
                <w:highlight w:val="none"/>
              </w:rPr>
              <w:t>中标后须提交的</w:t>
            </w:r>
          </w:p>
          <w:p w14:paraId="46C6E432">
            <w:pPr>
              <w:keepNext w:val="0"/>
              <w:keepLines w:val="0"/>
              <w:suppressLineNumbers w:val="0"/>
              <w:spacing w:before="0" w:beforeAutospacing="0" w:after="0" w:afterAutospacing="0" w:line="320" w:lineRule="exact"/>
              <w:ind w:left="0" w:leftChars="0" w:right="0" w:rightChars="0"/>
              <w:jc w:val="center"/>
              <w:rPr>
                <w:color w:val="auto"/>
                <w:highlight w:val="none"/>
                <w:lang w:eastAsia="zh-CN"/>
              </w:rPr>
            </w:pPr>
            <w:r>
              <w:rPr>
                <w:rFonts w:hint="eastAsia" w:ascii="宋体" w:hAnsi="宋体"/>
                <w:color w:val="auto"/>
                <w:szCs w:val="21"/>
                <w:highlight w:val="none"/>
              </w:rPr>
              <w:t>纸质投标</w:t>
            </w:r>
            <w:r>
              <w:rPr>
                <w:rFonts w:hint="eastAsia"/>
                <w:color w:val="auto"/>
                <w:highlight w:val="none"/>
              </w:rPr>
              <w:t>文件</w:t>
            </w:r>
          </w:p>
        </w:tc>
        <w:tc>
          <w:tcPr>
            <w:tcW w:w="5465" w:type="dxa"/>
            <w:vAlign w:val="center"/>
          </w:tcPr>
          <w:p w14:paraId="7E1F8BFE">
            <w:pPr>
              <w:keepNext w:val="0"/>
              <w:keepLines w:val="0"/>
              <w:suppressLineNumbers w:val="0"/>
              <w:spacing w:before="0" w:beforeAutospacing="0" w:after="0" w:afterAutospacing="0" w:line="320" w:lineRule="exact"/>
              <w:ind w:left="0" w:leftChars="0" w:right="0" w:rightChars="0"/>
              <w:jc w:val="left"/>
              <w:rPr>
                <w:color w:val="auto"/>
                <w:highlight w:val="none"/>
                <w:lang w:eastAsia="zh-CN"/>
              </w:rPr>
            </w:pPr>
            <w:r>
              <w:rPr>
                <w:rFonts w:hint="eastAsia" w:ascii="宋体" w:hAnsi="宋体"/>
                <w:color w:val="auto"/>
                <w:szCs w:val="21"/>
                <w:highlight w:val="none"/>
              </w:rPr>
              <w:t>份数：</w:t>
            </w:r>
            <w:r>
              <w:rPr>
                <w:rFonts w:hint="eastAsia" w:ascii="宋体" w:hAnsi="宋体"/>
                <w:color w:val="auto"/>
                <w:szCs w:val="21"/>
                <w:highlight w:val="none"/>
                <w:u w:val="single"/>
                <w:lang w:eastAsia="zh-CN"/>
              </w:rPr>
              <w:t>4</w:t>
            </w:r>
            <w:r>
              <w:rPr>
                <w:rFonts w:hint="eastAsia" w:ascii="宋体" w:hAnsi="宋体"/>
                <w:color w:val="auto"/>
                <w:szCs w:val="21"/>
                <w:highlight w:val="none"/>
              </w:rPr>
              <w:t>份，中标人提交的纸质投标文件应当与投标时的电子投标文件内容一致。</w:t>
            </w:r>
          </w:p>
        </w:tc>
      </w:tr>
      <w:tr w14:paraId="188EF7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7" w:hRule="atLeast"/>
        </w:trPr>
        <w:tc>
          <w:tcPr>
            <w:tcW w:w="856" w:type="dxa"/>
            <w:vAlign w:val="center"/>
          </w:tcPr>
          <w:p w14:paraId="3789B092">
            <w:pPr>
              <w:keepNext w:val="0"/>
              <w:keepLines w:val="0"/>
              <w:suppressLineNumbers w:val="0"/>
              <w:spacing w:before="0" w:beforeAutospacing="0" w:after="0" w:afterAutospacing="0" w:line="320" w:lineRule="exact"/>
              <w:ind w:left="0" w:leftChars="0" w:right="0" w:rightChars="0"/>
              <w:jc w:val="center"/>
              <w:rPr>
                <w:color w:val="auto"/>
                <w:highlight w:val="none"/>
              </w:rPr>
            </w:pPr>
            <w:r>
              <w:rPr>
                <w:rFonts w:hint="eastAsia"/>
                <w:color w:val="auto"/>
                <w:highlight w:val="none"/>
              </w:rPr>
              <w:t>10.</w:t>
            </w:r>
            <w:r>
              <w:rPr>
                <w:rFonts w:hint="eastAsia"/>
                <w:color w:val="auto"/>
                <w:highlight w:val="none"/>
                <w:lang w:val="en-US" w:eastAsia="zh-CN"/>
              </w:rPr>
              <w:t>6</w:t>
            </w:r>
          </w:p>
        </w:tc>
        <w:tc>
          <w:tcPr>
            <w:tcW w:w="2267" w:type="dxa"/>
            <w:vAlign w:val="center"/>
          </w:tcPr>
          <w:p w14:paraId="35DA970A">
            <w:pPr>
              <w:keepNext w:val="0"/>
              <w:keepLines w:val="0"/>
              <w:suppressLineNumbers w:val="0"/>
              <w:spacing w:before="0" w:beforeAutospacing="0" w:after="0" w:afterAutospacing="0" w:line="320" w:lineRule="exact"/>
              <w:ind w:left="0" w:right="0"/>
              <w:jc w:val="center"/>
              <w:rPr>
                <w:rFonts w:hint="default"/>
                <w:color w:val="auto"/>
                <w:highlight w:val="none"/>
              </w:rPr>
            </w:pPr>
            <w:r>
              <w:rPr>
                <w:rFonts w:hint="eastAsia"/>
                <w:color w:val="auto"/>
                <w:highlight w:val="none"/>
              </w:rPr>
              <w:t>招标人补充的其他</w:t>
            </w:r>
          </w:p>
          <w:p w14:paraId="774C68AA">
            <w:pPr>
              <w:keepNext w:val="0"/>
              <w:keepLines w:val="0"/>
              <w:suppressLineNumbers w:val="0"/>
              <w:spacing w:before="0" w:beforeAutospacing="0" w:after="0" w:afterAutospacing="0" w:line="320" w:lineRule="exact"/>
              <w:ind w:left="0" w:leftChars="0" w:right="0" w:rightChars="0"/>
              <w:jc w:val="center"/>
              <w:rPr>
                <w:color w:val="auto"/>
                <w:highlight w:val="none"/>
                <w:lang w:eastAsia="zh-CN"/>
              </w:rPr>
            </w:pPr>
            <w:r>
              <w:rPr>
                <w:rFonts w:hint="eastAsia"/>
                <w:color w:val="auto"/>
                <w:highlight w:val="none"/>
              </w:rPr>
              <w:t>内容</w:t>
            </w:r>
          </w:p>
        </w:tc>
        <w:tc>
          <w:tcPr>
            <w:tcW w:w="5465" w:type="dxa"/>
          </w:tcPr>
          <w:p w14:paraId="49A82C42">
            <w:pPr>
              <w:pStyle w:val="185"/>
              <w:numPr>
                <w:ilvl w:val="0"/>
                <w:numId w:val="9"/>
              </w:numPr>
              <w:spacing w:before="68" w:line="360" w:lineRule="exact"/>
              <w:rPr>
                <w:rFonts w:hint="eastAsia"/>
                <w:color w:val="auto"/>
                <w:spacing w:val="-6"/>
                <w:kern w:val="0"/>
                <w:highlight w:val="none"/>
                <w:lang w:val="en-US" w:eastAsia="zh-CN"/>
              </w:rPr>
            </w:pPr>
            <w:r>
              <w:rPr>
                <w:rFonts w:hint="eastAsia"/>
                <w:color w:val="auto"/>
                <w:spacing w:val="-6"/>
                <w:kern w:val="0"/>
                <w:highlight w:val="none"/>
                <w:lang w:val="en-US" w:eastAsia="zh-CN"/>
              </w:rPr>
              <w:t>招标代理服务费：</w:t>
            </w:r>
          </w:p>
          <w:p w14:paraId="532CAF5E">
            <w:pPr>
              <w:pStyle w:val="185"/>
              <w:numPr>
                <w:ilvl w:val="0"/>
                <w:numId w:val="0"/>
              </w:numPr>
              <w:spacing w:before="68" w:line="360" w:lineRule="exact"/>
              <w:rPr>
                <w:rFonts w:hint="eastAsia"/>
                <w:color w:val="auto"/>
                <w:spacing w:val="-6"/>
                <w:kern w:val="0"/>
                <w:highlight w:val="none"/>
                <w:lang w:val="en-US" w:eastAsia="zh-CN"/>
              </w:rPr>
            </w:pPr>
            <w:r>
              <w:rPr>
                <w:rFonts w:hint="eastAsia"/>
                <w:color w:val="auto"/>
                <w:spacing w:val="-6"/>
                <w:kern w:val="0"/>
                <w:highlight w:val="none"/>
                <w:lang w:val="en-US" w:eastAsia="zh-CN"/>
              </w:rPr>
              <w:t>1.1招标代理服务费收取标准参照国家发改委“计价格[2002]1980号”文和“发改办价格[2003]857号”文，以中标的EPC总包投标价为计算基数，按工程类标准收取服务费，计费方式为差额定累进制，由中标人支付。</w:t>
            </w:r>
          </w:p>
          <w:p w14:paraId="01D9F59F">
            <w:pPr>
              <w:pStyle w:val="185"/>
              <w:numPr>
                <w:ilvl w:val="0"/>
                <w:numId w:val="0"/>
              </w:numPr>
              <w:spacing w:before="68" w:line="360" w:lineRule="exact"/>
              <w:rPr>
                <w:rFonts w:hint="eastAsia"/>
                <w:color w:val="auto"/>
                <w:spacing w:val="-6"/>
                <w:kern w:val="0"/>
                <w:highlight w:val="none"/>
                <w:lang w:val="en-US" w:eastAsia="zh-CN"/>
              </w:rPr>
            </w:pPr>
            <w:r>
              <w:rPr>
                <w:rFonts w:hint="eastAsia"/>
                <w:color w:val="auto"/>
                <w:spacing w:val="-6"/>
                <w:kern w:val="0"/>
                <w:highlight w:val="none"/>
                <w:lang w:val="en-US" w:eastAsia="zh-CN"/>
              </w:rPr>
              <w:t>1.2招标代理服务费的缴纳形式：在收到《中标通知书》前按以上规定，向招标代理机构一次性缴纳。</w:t>
            </w:r>
          </w:p>
          <w:p w14:paraId="50C6D0DD">
            <w:pPr>
              <w:pStyle w:val="185"/>
              <w:numPr>
                <w:ilvl w:val="0"/>
                <w:numId w:val="9"/>
              </w:numPr>
              <w:spacing w:before="68" w:line="360" w:lineRule="exact"/>
              <w:rPr>
                <w:rFonts w:hint="eastAsia"/>
                <w:color w:val="auto"/>
                <w:spacing w:val="-6"/>
                <w:kern w:val="0"/>
                <w:highlight w:val="none"/>
                <w:lang w:val="en-US" w:eastAsia="zh-CN"/>
              </w:rPr>
            </w:pPr>
            <w:r>
              <w:rPr>
                <w:rFonts w:hint="eastAsia"/>
                <w:color w:val="auto"/>
                <w:spacing w:val="-6"/>
                <w:kern w:val="0"/>
                <w:highlight w:val="none"/>
                <w:lang w:val="en-US" w:eastAsia="zh-CN"/>
              </w:rPr>
              <w:t>交易中心服务费：按辽发改价格[2023]128号文件规定执行。由招标单位承担40%，中标单位承担60%请在投标报价中自行考虑，向营口市鲅鱼圈区公共资源交易中心支付。</w:t>
            </w:r>
          </w:p>
          <w:p w14:paraId="035CDAF0">
            <w:pPr>
              <w:pStyle w:val="185"/>
              <w:numPr>
                <w:ilvl w:val="0"/>
                <w:numId w:val="9"/>
              </w:numPr>
              <w:spacing w:before="68" w:line="360" w:lineRule="exact"/>
              <w:rPr>
                <w:rFonts w:hint="eastAsia"/>
                <w:color w:val="auto"/>
                <w:spacing w:val="-6"/>
                <w:kern w:val="0"/>
                <w:highlight w:val="none"/>
                <w:lang w:val="en-US" w:eastAsia="zh-CN"/>
              </w:rPr>
            </w:pPr>
            <w:r>
              <w:rPr>
                <w:rFonts w:hint="eastAsia"/>
                <w:color w:val="auto"/>
                <w:spacing w:val="-6"/>
                <w:kern w:val="0"/>
                <w:highlight w:val="none"/>
                <w:lang w:val="en-US" w:eastAsia="zh-CN"/>
              </w:rPr>
              <w:t>签约合同价：即投标人投标时填报的EPC总包投标总价，由投标人根据投标时填报的设计费、建筑安装工程费用、预备费、工程建设其他费（招标代理服务费）组成。</w:t>
            </w:r>
          </w:p>
          <w:p w14:paraId="778E167C">
            <w:pPr>
              <w:pStyle w:val="185"/>
              <w:numPr>
                <w:ilvl w:val="0"/>
                <w:numId w:val="9"/>
              </w:numPr>
              <w:spacing w:before="68" w:line="360" w:lineRule="exact"/>
              <w:rPr>
                <w:rFonts w:hint="eastAsia"/>
                <w:color w:val="auto"/>
                <w:spacing w:val="-6"/>
                <w:kern w:val="0"/>
                <w:highlight w:val="none"/>
                <w:lang w:val="en-US" w:eastAsia="zh-CN"/>
              </w:rPr>
            </w:pPr>
            <w:r>
              <w:rPr>
                <w:rFonts w:hint="eastAsia"/>
                <w:color w:val="auto"/>
                <w:spacing w:val="-6"/>
                <w:kern w:val="0"/>
                <w:highlight w:val="none"/>
                <w:lang w:val="en-US" w:eastAsia="zh-CN"/>
              </w:rPr>
              <w:t>付款方式：详见合同专用条款。</w:t>
            </w:r>
          </w:p>
          <w:p w14:paraId="7597A73C">
            <w:pPr>
              <w:pStyle w:val="185"/>
              <w:numPr>
                <w:ilvl w:val="0"/>
                <w:numId w:val="9"/>
              </w:numPr>
              <w:spacing w:before="68" w:line="360" w:lineRule="exact"/>
              <w:rPr>
                <w:rFonts w:hint="eastAsia"/>
                <w:color w:val="auto"/>
                <w:spacing w:val="-6"/>
                <w:kern w:val="0"/>
                <w:highlight w:val="none"/>
                <w:lang w:val="en-US" w:eastAsia="zh-CN"/>
              </w:rPr>
            </w:pPr>
            <w:r>
              <w:rPr>
                <w:rFonts w:hint="eastAsia"/>
                <w:color w:val="auto"/>
                <w:spacing w:val="-6"/>
                <w:kern w:val="0"/>
                <w:highlight w:val="none"/>
                <w:lang w:val="en-US" w:eastAsia="zh-CN"/>
              </w:rPr>
              <w:t>合同方式：本项目为EPC总承包交钥匙工程，合同形式为可调总价合同，实行总价控制，综合单价核算，竣工结算价格不得超过签约合同价。</w:t>
            </w:r>
          </w:p>
          <w:p w14:paraId="349E938C">
            <w:pPr>
              <w:pStyle w:val="185"/>
              <w:numPr>
                <w:ilvl w:val="0"/>
                <w:numId w:val="9"/>
              </w:numPr>
              <w:spacing w:before="68" w:line="360" w:lineRule="exact"/>
              <w:rPr>
                <w:rFonts w:hint="eastAsia"/>
                <w:color w:val="auto"/>
                <w:spacing w:val="-6"/>
                <w:kern w:val="0"/>
                <w:highlight w:val="none"/>
                <w:lang w:val="en-US" w:eastAsia="zh-CN"/>
              </w:rPr>
            </w:pPr>
            <w:r>
              <w:rPr>
                <w:rFonts w:hint="eastAsia"/>
                <w:color w:val="auto"/>
                <w:spacing w:val="-6"/>
                <w:kern w:val="0"/>
                <w:highlight w:val="none"/>
                <w:lang w:val="en-US" w:eastAsia="zh-CN"/>
              </w:rPr>
              <w:t>本次招标采用EPC工程总承包招标，招标人随招标文件提供了本项目的初步设计的批复，投标人需在上述提供资料的基础上，对设计内容进行深化（达到施工图深度），并按深化的设计图纸、利用自身经验、结合自身实际情况，填报EPC总包投标总价。</w:t>
            </w:r>
          </w:p>
          <w:p w14:paraId="755E7180">
            <w:pPr>
              <w:pStyle w:val="185"/>
              <w:numPr>
                <w:ilvl w:val="0"/>
                <w:numId w:val="9"/>
              </w:numPr>
              <w:spacing w:before="68" w:line="360" w:lineRule="exact"/>
              <w:rPr>
                <w:rFonts w:hint="eastAsia"/>
                <w:color w:val="auto"/>
                <w:spacing w:val="-6"/>
                <w:kern w:val="0"/>
                <w:highlight w:val="none"/>
                <w:lang w:val="en-US" w:eastAsia="zh-CN"/>
              </w:rPr>
            </w:pPr>
            <w:r>
              <w:rPr>
                <w:rFonts w:hint="eastAsia"/>
                <w:color w:val="auto"/>
                <w:spacing w:val="-6"/>
                <w:kern w:val="0"/>
                <w:highlight w:val="none"/>
                <w:lang w:val="en-US" w:eastAsia="zh-CN"/>
              </w:rPr>
              <w:t>项目经理二次身份认证要求：</w:t>
            </w:r>
          </w:p>
          <w:p w14:paraId="46FB39DE">
            <w:pPr>
              <w:pStyle w:val="185"/>
              <w:numPr>
                <w:ilvl w:val="0"/>
                <w:numId w:val="0"/>
              </w:numPr>
              <w:spacing w:before="68" w:line="360" w:lineRule="exact"/>
              <w:rPr>
                <w:rFonts w:hint="eastAsia"/>
                <w:color w:val="auto"/>
                <w:spacing w:val="-6"/>
                <w:kern w:val="0"/>
                <w:highlight w:val="none"/>
                <w:lang w:val="en-US" w:eastAsia="zh-CN"/>
              </w:rPr>
            </w:pPr>
            <w:r>
              <w:rPr>
                <w:rFonts w:hint="eastAsia"/>
                <w:color w:val="auto"/>
                <w:spacing w:val="-6"/>
                <w:kern w:val="0"/>
                <w:highlight w:val="none"/>
                <w:lang w:val="en-US" w:eastAsia="zh-CN"/>
              </w:rPr>
              <w:t>7.1投标人在递交投标文件截止时间前须完成授权委托人、项目负责人的实名认证。</w:t>
            </w:r>
          </w:p>
          <w:p w14:paraId="4D297B27">
            <w:pPr>
              <w:pStyle w:val="185"/>
              <w:numPr>
                <w:ilvl w:val="0"/>
                <w:numId w:val="0"/>
              </w:numPr>
              <w:spacing w:before="68" w:line="360" w:lineRule="exact"/>
              <w:rPr>
                <w:rFonts w:hint="eastAsia"/>
                <w:color w:val="auto"/>
                <w:spacing w:val="-6"/>
                <w:kern w:val="0"/>
                <w:highlight w:val="none"/>
                <w:lang w:val="en-US" w:eastAsia="zh-CN"/>
              </w:rPr>
            </w:pPr>
            <w:r>
              <w:rPr>
                <w:rFonts w:hint="eastAsia"/>
                <w:color w:val="auto"/>
                <w:spacing w:val="-6"/>
                <w:kern w:val="0"/>
                <w:highlight w:val="none"/>
                <w:lang w:val="en-US" w:eastAsia="zh-CN"/>
              </w:rPr>
              <w:t>7.2投标人在递交投标文件截止时间前完成项目负责人二次刷卡实名认证，认证未通过，其投标文件属无效投标文件。</w:t>
            </w:r>
          </w:p>
          <w:p w14:paraId="03F40231">
            <w:pPr>
              <w:pStyle w:val="185"/>
              <w:numPr>
                <w:ilvl w:val="0"/>
                <w:numId w:val="9"/>
              </w:numPr>
              <w:spacing w:before="68" w:line="360" w:lineRule="exact"/>
              <w:rPr>
                <w:rFonts w:hint="eastAsia"/>
                <w:color w:val="auto"/>
                <w:spacing w:val="-6"/>
                <w:kern w:val="0"/>
                <w:highlight w:val="none"/>
                <w:lang w:val="en-US" w:eastAsia="zh-CN"/>
              </w:rPr>
            </w:pPr>
            <w:r>
              <w:rPr>
                <w:rFonts w:hint="eastAsia"/>
                <w:color w:val="auto"/>
                <w:spacing w:val="-6"/>
                <w:kern w:val="0"/>
                <w:highlight w:val="none"/>
                <w:lang w:val="en-US" w:eastAsia="zh-CN"/>
              </w:rPr>
              <w:t>承包人对工程竣工验收范围内的设计和施工等工作以及竣工验收资料负总责。</w:t>
            </w:r>
          </w:p>
          <w:p w14:paraId="440CFC10">
            <w:pPr>
              <w:pStyle w:val="185"/>
              <w:numPr>
                <w:ilvl w:val="0"/>
                <w:numId w:val="9"/>
              </w:numPr>
              <w:spacing w:before="68" w:line="360" w:lineRule="exact"/>
              <w:rPr>
                <w:rFonts w:hint="eastAsia"/>
                <w:color w:val="auto"/>
                <w:spacing w:val="-6"/>
                <w:kern w:val="0"/>
                <w:highlight w:val="none"/>
                <w:lang w:val="en-US" w:eastAsia="zh-CN"/>
              </w:rPr>
            </w:pPr>
            <w:r>
              <w:rPr>
                <w:rFonts w:hint="eastAsia"/>
                <w:color w:val="auto"/>
                <w:spacing w:val="-6"/>
                <w:kern w:val="0"/>
                <w:highlight w:val="none"/>
                <w:lang w:val="en-US" w:eastAsia="zh-CN"/>
              </w:rPr>
              <w:t>承包人应当根据合同约定和项目特点，制定项目管理计划和项目实施计划，建立工程管理与协调制度，加强设计、采购与施工的协调，完善和优化设计，改进施工方案，合理调配设计、采购和施工力量，实现对工程总承包项目的有效控制。</w:t>
            </w:r>
          </w:p>
          <w:p w14:paraId="5C127449">
            <w:pPr>
              <w:pStyle w:val="185"/>
              <w:numPr>
                <w:ilvl w:val="0"/>
                <w:numId w:val="9"/>
              </w:numPr>
              <w:spacing w:before="68" w:line="360" w:lineRule="exact"/>
              <w:rPr>
                <w:rFonts w:hint="eastAsia"/>
                <w:color w:val="auto"/>
                <w:spacing w:val="-6"/>
                <w:kern w:val="0"/>
                <w:highlight w:val="none"/>
                <w:lang w:val="en-US" w:eastAsia="zh-CN"/>
              </w:rPr>
            </w:pPr>
            <w:r>
              <w:rPr>
                <w:rFonts w:hint="eastAsia"/>
                <w:color w:val="auto"/>
                <w:spacing w:val="-6"/>
                <w:kern w:val="0"/>
                <w:highlight w:val="none"/>
                <w:lang w:val="en-US" w:eastAsia="zh-CN"/>
              </w:rPr>
              <w:t>承包人必须充分预料施工现场所发生的一切风险，并在投标报价时充分考虑，一旦中标，在合同实施过程中，在承包合同范围内的一律不予签证。</w:t>
            </w:r>
          </w:p>
          <w:p w14:paraId="2C0C9DD0">
            <w:pPr>
              <w:pStyle w:val="185"/>
              <w:numPr>
                <w:ilvl w:val="0"/>
                <w:numId w:val="9"/>
              </w:numPr>
              <w:spacing w:before="68" w:line="360" w:lineRule="exact"/>
              <w:rPr>
                <w:rFonts w:hint="eastAsia"/>
                <w:color w:val="auto"/>
                <w:spacing w:val="-6"/>
                <w:kern w:val="0"/>
                <w:highlight w:val="none"/>
                <w:lang w:val="en-US" w:eastAsia="zh-CN"/>
              </w:rPr>
            </w:pPr>
            <w:r>
              <w:rPr>
                <w:rFonts w:hint="eastAsia"/>
                <w:color w:val="auto"/>
                <w:spacing w:val="-6"/>
                <w:kern w:val="0"/>
                <w:highlight w:val="none"/>
                <w:lang w:val="en-US" w:eastAsia="zh-CN"/>
              </w:rPr>
              <w:t>项目管理人员要求：</w:t>
            </w:r>
          </w:p>
          <w:p w14:paraId="4302EF2D">
            <w:pPr>
              <w:pStyle w:val="185"/>
              <w:numPr>
                <w:ilvl w:val="0"/>
                <w:numId w:val="0"/>
              </w:numPr>
              <w:spacing w:before="68" w:line="360" w:lineRule="exact"/>
              <w:rPr>
                <w:rFonts w:hint="eastAsia"/>
                <w:color w:val="auto"/>
                <w:spacing w:val="-6"/>
                <w:kern w:val="0"/>
                <w:highlight w:val="none"/>
                <w:lang w:val="en-US" w:eastAsia="zh-CN"/>
              </w:rPr>
            </w:pPr>
            <w:r>
              <w:rPr>
                <w:rFonts w:hint="eastAsia"/>
                <w:color w:val="auto"/>
                <w:spacing w:val="-6"/>
                <w:kern w:val="0"/>
                <w:highlight w:val="none"/>
                <w:lang w:val="en-US" w:eastAsia="zh-CN"/>
              </w:rPr>
              <w:t>11.1合同履行期间，项目经理（施工负责人）、设计负责人必须与投标文件中所填报的一致，不得随意更换；项目执行过程中，项目经理（施工负责人）必须长期跟踪；合同履行期间未经招标人书面同意更换项目经理（施工负责人）、设计负责人的，按违约处理，依据合同约定进行处罚；</w:t>
            </w:r>
          </w:p>
          <w:p w14:paraId="23636272">
            <w:pPr>
              <w:pStyle w:val="185"/>
              <w:numPr>
                <w:ilvl w:val="0"/>
                <w:numId w:val="0"/>
              </w:numPr>
              <w:spacing w:before="68" w:line="360" w:lineRule="exact"/>
              <w:rPr>
                <w:rFonts w:hint="eastAsia"/>
                <w:color w:val="auto"/>
                <w:spacing w:val="-6"/>
                <w:kern w:val="0"/>
                <w:highlight w:val="none"/>
                <w:lang w:val="en-US" w:eastAsia="zh-CN"/>
              </w:rPr>
            </w:pPr>
            <w:r>
              <w:rPr>
                <w:rFonts w:hint="eastAsia"/>
                <w:color w:val="auto"/>
                <w:spacing w:val="-6"/>
                <w:kern w:val="0"/>
                <w:highlight w:val="none"/>
                <w:lang w:val="en-US" w:eastAsia="zh-CN"/>
              </w:rPr>
              <w:t>11.2合同履行期间，主要管理人员必须与投标文件中所填报的一致，不得随意更换，未经招标人书面同意更换主要管理人员的，按违约处理，依据合同约定进行处罚；</w:t>
            </w:r>
          </w:p>
          <w:p w14:paraId="667B9CF1">
            <w:pPr>
              <w:pStyle w:val="185"/>
              <w:numPr>
                <w:ilvl w:val="0"/>
                <w:numId w:val="0"/>
              </w:numPr>
              <w:spacing w:before="68" w:line="360" w:lineRule="exact"/>
              <w:rPr>
                <w:rFonts w:hint="eastAsia"/>
                <w:color w:val="auto"/>
                <w:spacing w:val="-6"/>
                <w:kern w:val="0"/>
                <w:highlight w:val="none"/>
                <w:lang w:val="en-US" w:eastAsia="zh-CN"/>
              </w:rPr>
            </w:pPr>
            <w:r>
              <w:rPr>
                <w:rFonts w:hint="eastAsia"/>
                <w:color w:val="auto"/>
                <w:spacing w:val="-6"/>
                <w:kern w:val="0"/>
                <w:highlight w:val="none"/>
                <w:lang w:val="en-US" w:eastAsia="zh-CN"/>
              </w:rPr>
              <w:t>11.3设计负责人须长期提供跟踪服务，不定期进行现场技术指导，以及按发包人要求进行相关服务，否则按违约处理，依据合同约定进行处罚。</w:t>
            </w:r>
          </w:p>
          <w:p w14:paraId="35C70054">
            <w:pPr>
              <w:pStyle w:val="185"/>
              <w:numPr>
                <w:ilvl w:val="0"/>
                <w:numId w:val="0"/>
              </w:numPr>
              <w:spacing w:before="68" w:line="360" w:lineRule="exact"/>
              <w:rPr>
                <w:rFonts w:hint="eastAsia"/>
                <w:color w:val="auto"/>
                <w:spacing w:val="-6"/>
                <w:kern w:val="0"/>
                <w:highlight w:val="none"/>
                <w:lang w:val="en-US" w:eastAsia="zh-CN"/>
              </w:rPr>
            </w:pPr>
            <w:r>
              <w:rPr>
                <w:rFonts w:hint="eastAsia"/>
                <w:color w:val="auto"/>
                <w:spacing w:val="-6"/>
                <w:kern w:val="0"/>
                <w:highlight w:val="none"/>
                <w:lang w:val="en-US" w:eastAsia="zh-CN"/>
              </w:rPr>
              <w:t>11.4项目经理（施工负责人）、施工技术负责人未长期驻施工现场（或发现本工程项目经理（施工负责人）、施工技术负责人兼任其他项目），按违约处理，依据合同约定进行处罚；</w:t>
            </w:r>
          </w:p>
          <w:p w14:paraId="16C87703">
            <w:pPr>
              <w:pStyle w:val="185"/>
              <w:numPr>
                <w:ilvl w:val="0"/>
                <w:numId w:val="0"/>
              </w:numPr>
              <w:spacing w:before="68" w:line="360" w:lineRule="exact"/>
              <w:rPr>
                <w:rFonts w:hint="eastAsia"/>
                <w:color w:val="auto"/>
                <w:spacing w:val="-6"/>
                <w:kern w:val="0"/>
                <w:highlight w:val="none"/>
                <w:lang w:val="en-US" w:eastAsia="zh-CN"/>
              </w:rPr>
            </w:pPr>
            <w:r>
              <w:rPr>
                <w:rFonts w:hint="eastAsia"/>
                <w:color w:val="auto"/>
                <w:spacing w:val="-6"/>
                <w:kern w:val="0"/>
                <w:highlight w:val="none"/>
                <w:lang w:val="en-US" w:eastAsia="zh-CN"/>
              </w:rPr>
              <w:t>11.5相关专业负责人及管理人员未按要求参加工程例会，按违约处理，依据合同约定进行处罚；</w:t>
            </w:r>
          </w:p>
          <w:p w14:paraId="26A32295">
            <w:pPr>
              <w:pStyle w:val="185"/>
              <w:numPr>
                <w:ilvl w:val="0"/>
                <w:numId w:val="0"/>
              </w:numPr>
              <w:spacing w:before="68" w:line="360" w:lineRule="exact"/>
              <w:rPr>
                <w:rFonts w:hint="eastAsia"/>
                <w:color w:val="auto"/>
                <w:spacing w:val="-6"/>
                <w:kern w:val="0"/>
                <w:highlight w:val="none"/>
                <w:lang w:val="en-US" w:eastAsia="zh-CN"/>
              </w:rPr>
            </w:pPr>
            <w:r>
              <w:rPr>
                <w:rFonts w:hint="eastAsia"/>
                <w:color w:val="auto"/>
                <w:spacing w:val="-6"/>
                <w:kern w:val="0"/>
                <w:highlight w:val="none"/>
                <w:lang w:val="en-US" w:eastAsia="zh-CN"/>
              </w:rPr>
              <w:t>11.6施工过程中承包人施工项目管理班子成员未经招标人许可不可随意空缺、更换，按违约处理，依据合同约定进行处罚。</w:t>
            </w:r>
          </w:p>
          <w:p w14:paraId="62BF8325">
            <w:pPr>
              <w:pStyle w:val="185"/>
              <w:numPr>
                <w:ilvl w:val="0"/>
                <w:numId w:val="9"/>
              </w:numPr>
              <w:spacing w:before="68" w:line="360" w:lineRule="exact"/>
              <w:rPr>
                <w:rFonts w:hint="eastAsia"/>
                <w:color w:val="auto"/>
                <w:spacing w:val="-6"/>
                <w:kern w:val="0"/>
                <w:highlight w:val="none"/>
                <w:lang w:val="en-US" w:eastAsia="zh-CN"/>
              </w:rPr>
            </w:pPr>
            <w:r>
              <w:rPr>
                <w:rFonts w:hint="eastAsia"/>
                <w:color w:val="auto"/>
                <w:spacing w:val="-6"/>
                <w:kern w:val="0"/>
                <w:highlight w:val="none"/>
                <w:lang w:val="en-US" w:eastAsia="zh-CN"/>
              </w:rPr>
              <w:t>中标后，中标人提供的施工图必须通过招标人或招标人聘请的专家评审。</w:t>
            </w:r>
          </w:p>
          <w:p w14:paraId="48796747">
            <w:pPr>
              <w:pStyle w:val="185"/>
              <w:numPr>
                <w:ilvl w:val="0"/>
                <w:numId w:val="9"/>
              </w:numPr>
              <w:spacing w:before="68" w:line="360" w:lineRule="exact"/>
              <w:rPr>
                <w:rFonts w:hint="eastAsia"/>
                <w:color w:val="auto"/>
                <w:spacing w:val="-6"/>
                <w:kern w:val="0"/>
                <w:highlight w:val="none"/>
                <w:lang w:val="en-US" w:eastAsia="zh-CN"/>
              </w:rPr>
            </w:pPr>
            <w:r>
              <w:rPr>
                <w:rFonts w:hint="eastAsia"/>
                <w:color w:val="auto"/>
                <w:spacing w:val="-6"/>
                <w:kern w:val="0"/>
                <w:highlight w:val="none"/>
                <w:lang w:val="en-US" w:eastAsia="zh-CN"/>
              </w:rPr>
              <w:t>EPC项目经理可由施工负责人担任。</w:t>
            </w:r>
          </w:p>
          <w:p w14:paraId="30C34DAD">
            <w:pPr>
              <w:pStyle w:val="185"/>
              <w:numPr>
                <w:ilvl w:val="0"/>
                <w:numId w:val="9"/>
              </w:numPr>
              <w:spacing w:before="68" w:line="360" w:lineRule="exact"/>
              <w:rPr>
                <w:rFonts w:hint="default"/>
                <w:color w:val="auto"/>
                <w:spacing w:val="-6"/>
                <w:kern w:val="0"/>
                <w:highlight w:val="none"/>
                <w:lang w:val="en-US" w:eastAsia="zh-CN"/>
              </w:rPr>
            </w:pPr>
            <w:r>
              <w:rPr>
                <w:rFonts w:hint="default"/>
                <w:color w:val="auto"/>
                <w:spacing w:val="-6"/>
                <w:kern w:val="0"/>
                <w:highlight w:val="none"/>
                <w:lang w:val="en-US" w:eastAsia="zh-CN"/>
              </w:rPr>
              <w:t>①、投标人未按要求在规定的时限内下载相关文件，或由于未及时关注补遗、答疑等文件所发布的信息而影响投标的，其责任由投标人自行承担。</w:t>
            </w:r>
          </w:p>
          <w:p w14:paraId="13EA9A08">
            <w:pPr>
              <w:pStyle w:val="185"/>
              <w:numPr>
                <w:ilvl w:val="0"/>
                <w:numId w:val="0"/>
              </w:numPr>
              <w:spacing w:before="68" w:line="360" w:lineRule="exact"/>
              <w:rPr>
                <w:rFonts w:hint="default"/>
                <w:color w:val="auto"/>
                <w:spacing w:val="-6"/>
                <w:kern w:val="0"/>
                <w:highlight w:val="none"/>
                <w:lang w:val="en-US" w:eastAsia="zh-CN"/>
              </w:rPr>
            </w:pPr>
            <w:r>
              <w:rPr>
                <w:rFonts w:hint="default"/>
                <w:color w:val="auto"/>
                <w:spacing w:val="-6"/>
                <w:kern w:val="0"/>
                <w:highlight w:val="none"/>
                <w:lang w:val="en-US" w:eastAsia="zh-CN"/>
              </w:rPr>
              <w:t>②、投标人应按招标文件的要求，编制、提交投标文件。投标人对招标文件有疑问的，须在招标文件规定时限内提出疑问。</w:t>
            </w:r>
          </w:p>
          <w:p w14:paraId="13323E29">
            <w:pPr>
              <w:pStyle w:val="185"/>
              <w:numPr>
                <w:ilvl w:val="0"/>
                <w:numId w:val="0"/>
              </w:numPr>
              <w:spacing w:before="68" w:line="360" w:lineRule="exact"/>
              <w:rPr>
                <w:rFonts w:hint="default"/>
                <w:color w:val="auto"/>
                <w:spacing w:val="-6"/>
                <w:kern w:val="0"/>
                <w:highlight w:val="none"/>
                <w:lang w:val="en-US" w:eastAsia="zh-CN"/>
              </w:rPr>
            </w:pPr>
            <w:r>
              <w:rPr>
                <w:rFonts w:hint="default"/>
                <w:color w:val="auto"/>
                <w:spacing w:val="-6"/>
                <w:kern w:val="0"/>
                <w:highlight w:val="none"/>
                <w:lang w:val="en-US" w:eastAsia="zh-CN"/>
              </w:rPr>
              <w:t>③、投标人应按招标文件约定的时限，随时关注招标人发布的答疑信息，以保证其对招标文件做出正确的响应。</w:t>
            </w:r>
          </w:p>
          <w:p w14:paraId="188F24E2">
            <w:pPr>
              <w:pStyle w:val="185"/>
              <w:numPr>
                <w:ilvl w:val="0"/>
                <w:numId w:val="0"/>
              </w:numPr>
              <w:spacing w:before="68" w:line="360" w:lineRule="exact"/>
              <w:rPr>
                <w:rFonts w:hint="default"/>
                <w:color w:val="auto"/>
                <w:spacing w:val="-6"/>
                <w:kern w:val="0"/>
                <w:highlight w:val="none"/>
                <w:lang w:val="en-US" w:eastAsia="zh-CN"/>
              </w:rPr>
            </w:pPr>
            <w:r>
              <w:rPr>
                <w:rFonts w:hint="default"/>
                <w:color w:val="auto"/>
                <w:spacing w:val="-6"/>
                <w:kern w:val="0"/>
                <w:highlight w:val="none"/>
                <w:lang w:val="en-US" w:eastAsia="zh-CN"/>
              </w:rPr>
              <w:t>④、招标人在中标候选人公示期间，将组织相关人员对中标候选人的信誉、不良记录以及投标文件中所提供的业绩、人员等相关资料进行核查，如发现中标候选人在投标文件中提供虚假资料骗取中标，将取消其中标候选人资格或中标资格，没收其投标保证金，并上报有关部门处理。</w:t>
            </w:r>
          </w:p>
          <w:p w14:paraId="59C70FBD">
            <w:pPr>
              <w:pStyle w:val="185"/>
              <w:numPr>
                <w:ilvl w:val="0"/>
                <w:numId w:val="9"/>
              </w:numPr>
              <w:spacing w:before="68" w:line="360" w:lineRule="exact"/>
              <w:rPr>
                <w:rFonts w:hint="eastAsia"/>
                <w:color w:val="auto"/>
                <w:spacing w:val="-6"/>
                <w:kern w:val="0"/>
                <w:highlight w:val="none"/>
                <w:lang w:val="en-US" w:eastAsia="zh-CN"/>
              </w:rPr>
            </w:pPr>
            <w:r>
              <w:rPr>
                <w:rFonts w:hint="eastAsia"/>
                <w:color w:val="auto"/>
                <w:spacing w:val="-6"/>
                <w:kern w:val="0"/>
                <w:highlight w:val="none"/>
                <w:lang w:val="en-US" w:eastAsia="zh-CN"/>
              </w:rPr>
              <w:t>工程总承包单位应当对其承包的全部建设工程质量负责，分包单位对其分包工程的质量负责，分包不免除工程总承包单位对其承包的全部建设工程所负的质量责任。工程总承包单位、工程总承包项目经理依法承担质量终身责任。</w:t>
            </w:r>
          </w:p>
          <w:p w14:paraId="71204240">
            <w:pPr>
              <w:pStyle w:val="185"/>
              <w:numPr>
                <w:ilvl w:val="0"/>
                <w:numId w:val="9"/>
              </w:numPr>
              <w:spacing w:before="68" w:line="360" w:lineRule="exact"/>
              <w:rPr>
                <w:rFonts w:hint="default"/>
                <w:color w:val="auto"/>
                <w:spacing w:val="-6"/>
                <w:kern w:val="0"/>
                <w:highlight w:val="none"/>
                <w:lang w:val="en-US" w:eastAsia="zh-CN"/>
              </w:rPr>
            </w:pPr>
            <w:r>
              <w:rPr>
                <w:rFonts w:hint="eastAsia"/>
                <w:color w:val="auto"/>
                <w:spacing w:val="-6"/>
                <w:kern w:val="0"/>
                <w:highlight w:val="none"/>
                <w:lang w:val="en-US" w:eastAsia="zh-CN"/>
              </w:rPr>
              <w:t>中标人不得转包，也不得挂靠式承包。若投标人提供虚假业绩，一经查实，取消其中标资格。</w:t>
            </w:r>
          </w:p>
        </w:tc>
      </w:tr>
    </w:tbl>
    <w:p w14:paraId="11B45594">
      <w:pPr>
        <w:rPr>
          <w:color w:val="auto"/>
          <w:highlight w:val="none"/>
        </w:rPr>
      </w:pPr>
    </w:p>
    <w:p w14:paraId="1A6265D6">
      <w:pPr>
        <w:rPr>
          <w:color w:val="auto"/>
          <w:highlight w:val="none"/>
        </w:rPr>
      </w:pPr>
      <w:r>
        <w:rPr>
          <w:color w:val="auto"/>
          <w:highlight w:val="none"/>
        </w:rPr>
        <w:br w:type="page"/>
      </w:r>
    </w:p>
    <w:bookmarkEnd w:id="40"/>
    <w:bookmarkEnd w:id="41"/>
    <w:bookmarkEnd w:id="42"/>
    <w:bookmarkEnd w:id="43"/>
    <w:bookmarkEnd w:id="44"/>
    <w:bookmarkEnd w:id="45"/>
    <w:bookmarkEnd w:id="46"/>
    <w:bookmarkEnd w:id="47"/>
    <w:p w14:paraId="0E675466">
      <w:pPr>
        <w:spacing w:before="55" w:line="219" w:lineRule="auto"/>
        <w:ind w:left="20"/>
        <w:outlineLvl w:val="1"/>
        <w:rPr>
          <w:rFonts w:ascii="黑体" w:hAnsi="黑体" w:eastAsia="黑体" w:cs="黑体"/>
          <w:color w:val="auto"/>
          <w:sz w:val="28"/>
          <w:szCs w:val="28"/>
          <w:highlight w:val="none"/>
        </w:rPr>
      </w:pPr>
      <w:bookmarkStart w:id="53" w:name="_Toc900"/>
      <w:bookmarkStart w:id="54" w:name="_Toc18531"/>
      <w:r>
        <w:rPr>
          <w:rFonts w:ascii="黑体" w:hAnsi="黑体" w:eastAsia="黑体" w:cs="黑体"/>
          <w:color w:val="auto"/>
          <w:spacing w:val="-1"/>
          <w:sz w:val="28"/>
          <w:szCs w:val="28"/>
          <w:highlight w:val="none"/>
        </w:rPr>
        <w:t>投标人须知正文部分</w:t>
      </w:r>
      <w:bookmarkEnd w:id="53"/>
      <w:bookmarkEnd w:id="54"/>
    </w:p>
    <w:p w14:paraId="20E14370">
      <w:pPr>
        <w:spacing w:before="129" w:line="233" w:lineRule="auto"/>
        <w:ind w:left="44"/>
        <w:outlineLvl w:val="1"/>
        <w:rPr>
          <w:rFonts w:ascii="黑体" w:hAnsi="黑体" w:eastAsia="黑体" w:cs="黑体"/>
          <w:color w:val="auto"/>
          <w:sz w:val="28"/>
          <w:szCs w:val="28"/>
          <w:highlight w:val="none"/>
        </w:rPr>
      </w:pPr>
      <w:bookmarkStart w:id="55" w:name="bookmark28"/>
      <w:bookmarkEnd w:id="55"/>
      <w:bookmarkStart w:id="56" w:name="_Toc32183"/>
      <w:bookmarkStart w:id="57" w:name="_Toc269"/>
      <w:r>
        <w:rPr>
          <w:rFonts w:eastAsia="Times New Roman"/>
          <w:color w:val="auto"/>
          <w:spacing w:val="-8"/>
          <w:sz w:val="28"/>
          <w:szCs w:val="28"/>
          <w:highlight w:val="none"/>
        </w:rPr>
        <w:t>1</w:t>
      </w:r>
      <w:r>
        <w:rPr>
          <w:rFonts w:hint="eastAsia"/>
          <w:color w:val="auto"/>
          <w:spacing w:val="-8"/>
          <w:sz w:val="28"/>
          <w:szCs w:val="28"/>
          <w:highlight w:val="none"/>
          <w:lang w:val="en-US" w:eastAsia="zh-CN"/>
        </w:rPr>
        <w:t>.</w:t>
      </w:r>
      <w:r>
        <w:rPr>
          <w:rFonts w:ascii="黑体" w:hAnsi="黑体" w:eastAsia="黑体" w:cs="黑体"/>
          <w:color w:val="auto"/>
          <w:spacing w:val="-8"/>
          <w:sz w:val="28"/>
          <w:szCs w:val="28"/>
          <w:highlight w:val="none"/>
        </w:rPr>
        <w:t>总则</w:t>
      </w:r>
      <w:bookmarkEnd w:id="56"/>
      <w:bookmarkEnd w:id="57"/>
    </w:p>
    <w:p w14:paraId="0CF05386">
      <w:pPr>
        <w:spacing w:before="41" w:line="218" w:lineRule="auto"/>
        <w:ind w:left="151"/>
        <w:outlineLvl w:val="2"/>
        <w:rPr>
          <w:rFonts w:ascii="黑体" w:hAnsi="黑体" w:eastAsia="黑体" w:cs="黑体"/>
          <w:color w:val="auto"/>
          <w:sz w:val="24"/>
          <w:highlight w:val="none"/>
        </w:rPr>
      </w:pPr>
      <w:bookmarkStart w:id="58" w:name="bookmark390"/>
      <w:bookmarkEnd w:id="58"/>
      <w:bookmarkStart w:id="59" w:name="_Toc3759"/>
      <w:r>
        <w:rPr>
          <w:rFonts w:ascii="黑体" w:hAnsi="黑体" w:eastAsia="黑体" w:cs="黑体"/>
          <w:color w:val="auto"/>
          <w:spacing w:val="-5"/>
          <w:sz w:val="24"/>
          <w:highlight w:val="none"/>
        </w:rPr>
        <w:t>1.1项目概况</w:t>
      </w:r>
      <w:bookmarkEnd w:id="59"/>
    </w:p>
    <w:p w14:paraId="28A6A796">
      <w:pPr>
        <w:spacing w:before="133" w:line="286" w:lineRule="auto"/>
        <w:ind w:left="60" w:right="5" w:firstLine="396"/>
        <w:rPr>
          <w:rFonts w:ascii="宋体" w:hAnsi="宋体" w:cs="宋体"/>
          <w:color w:val="auto"/>
          <w:szCs w:val="21"/>
          <w:highlight w:val="none"/>
        </w:rPr>
      </w:pPr>
      <w:r>
        <w:rPr>
          <w:rFonts w:eastAsia="Times New Roman"/>
          <w:color w:val="auto"/>
          <w:szCs w:val="21"/>
          <w:highlight w:val="none"/>
        </w:rPr>
        <w:t xml:space="preserve">1.1.1  </w:t>
      </w:r>
      <w:r>
        <w:rPr>
          <w:rFonts w:ascii="宋体" w:hAnsi="宋体" w:cs="宋体"/>
          <w:color w:val="auto"/>
          <w:szCs w:val="21"/>
          <w:highlight w:val="none"/>
        </w:rPr>
        <w:t>根据《中华人民共和国招标投标法》等有关法律、法规和规章的规定</w:t>
      </w:r>
      <w:r>
        <w:rPr>
          <w:rFonts w:ascii="宋体" w:hAnsi="宋体" w:cs="宋体"/>
          <w:color w:val="auto"/>
          <w:spacing w:val="-1"/>
          <w:szCs w:val="21"/>
          <w:highlight w:val="none"/>
        </w:rPr>
        <w:t>，本招标项</w:t>
      </w:r>
      <w:r>
        <w:rPr>
          <w:rFonts w:ascii="宋体" w:hAnsi="宋体" w:cs="宋体"/>
          <w:color w:val="auto"/>
          <w:spacing w:val="-2"/>
          <w:szCs w:val="21"/>
          <w:highlight w:val="none"/>
        </w:rPr>
        <w:t>目已具备招标条件，现对该项目设计施工进行总承包招标。</w:t>
      </w:r>
    </w:p>
    <w:p w14:paraId="6563C4DB">
      <w:pPr>
        <w:spacing w:before="149" w:line="234" w:lineRule="auto"/>
        <w:ind w:left="456"/>
        <w:rPr>
          <w:rFonts w:ascii="宋体" w:hAnsi="宋体" w:cs="宋体"/>
          <w:color w:val="auto"/>
          <w:szCs w:val="21"/>
          <w:highlight w:val="none"/>
        </w:rPr>
      </w:pPr>
      <w:r>
        <w:rPr>
          <w:rFonts w:eastAsia="Times New Roman"/>
          <w:color w:val="auto"/>
          <w:spacing w:val="-2"/>
          <w:szCs w:val="21"/>
          <w:highlight w:val="none"/>
        </w:rPr>
        <w:t xml:space="preserve">1.1.2  </w:t>
      </w:r>
      <w:r>
        <w:rPr>
          <w:rFonts w:hint="eastAsia" w:eastAsia="Times New Roman"/>
          <w:color w:val="auto"/>
          <w:spacing w:val="-2"/>
          <w:szCs w:val="21"/>
          <w:highlight w:val="none"/>
          <w:lang w:val="en-US" w:eastAsia="zh-CN"/>
        </w:rPr>
        <w:t>本招标项目</w:t>
      </w:r>
      <w:r>
        <w:rPr>
          <w:rFonts w:ascii="宋体" w:hAnsi="宋体" w:cs="宋体"/>
          <w:color w:val="auto"/>
          <w:spacing w:val="-2"/>
          <w:szCs w:val="21"/>
          <w:highlight w:val="none"/>
        </w:rPr>
        <w:t>招标人：见投标人须知前附表。</w:t>
      </w:r>
    </w:p>
    <w:p w14:paraId="611EC4F0">
      <w:pPr>
        <w:spacing w:before="132" w:line="234" w:lineRule="auto"/>
        <w:ind w:left="456"/>
        <w:rPr>
          <w:rFonts w:ascii="宋体" w:hAnsi="宋体" w:cs="宋体"/>
          <w:color w:val="auto"/>
          <w:szCs w:val="21"/>
          <w:highlight w:val="none"/>
        </w:rPr>
      </w:pPr>
      <w:r>
        <w:rPr>
          <w:rFonts w:eastAsia="Times New Roman"/>
          <w:color w:val="auto"/>
          <w:spacing w:val="-1"/>
          <w:szCs w:val="21"/>
          <w:highlight w:val="none"/>
        </w:rPr>
        <w:t xml:space="preserve">1.1.3  </w:t>
      </w:r>
      <w:r>
        <w:rPr>
          <w:rFonts w:hint="eastAsia" w:eastAsia="Times New Roman"/>
          <w:color w:val="auto"/>
          <w:spacing w:val="-1"/>
          <w:szCs w:val="21"/>
          <w:highlight w:val="none"/>
          <w:lang w:val="en-US" w:eastAsia="zh-CN"/>
        </w:rPr>
        <w:t>本标段</w:t>
      </w:r>
      <w:r>
        <w:rPr>
          <w:rFonts w:ascii="宋体" w:hAnsi="宋体" w:cs="宋体"/>
          <w:color w:val="auto"/>
          <w:spacing w:val="-1"/>
          <w:szCs w:val="21"/>
          <w:highlight w:val="none"/>
        </w:rPr>
        <w:t>招标代理机构：见投标人须知前附表。</w:t>
      </w:r>
    </w:p>
    <w:p w14:paraId="177EF8A5">
      <w:pPr>
        <w:spacing w:before="135" w:line="234" w:lineRule="auto"/>
        <w:ind w:left="456"/>
        <w:rPr>
          <w:rFonts w:ascii="宋体" w:hAnsi="宋体" w:cs="宋体"/>
          <w:color w:val="auto"/>
          <w:szCs w:val="21"/>
          <w:highlight w:val="none"/>
        </w:rPr>
      </w:pPr>
      <w:r>
        <w:rPr>
          <w:rFonts w:eastAsia="Times New Roman"/>
          <w:color w:val="auto"/>
          <w:spacing w:val="-1"/>
          <w:szCs w:val="21"/>
          <w:highlight w:val="none"/>
        </w:rPr>
        <w:t xml:space="preserve">1.1.4  </w:t>
      </w:r>
      <w:r>
        <w:rPr>
          <w:rFonts w:hint="eastAsia" w:eastAsia="Times New Roman"/>
          <w:color w:val="auto"/>
          <w:spacing w:val="-1"/>
          <w:szCs w:val="21"/>
          <w:highlight w:val="none"/>
          <w:lang w:val="en-US" w:eastAsia="zh-CN"/>
        </w:rPr>
        <w:t>本标段</w:t>
      </w:r>
      <w:r>
        <w:rPr>
          <w:rFonts w:ascii="宋体" w:hAnsi="宋体" w:cs="宋体"/>
          <w:color w:val="auto"/>
          <w:spacing w:val="-1"/>
          <w:szCs w:val="21"/>
          <w:highlight w:val="none"/>
        </w:rPr>
        <w:t>招标项目名称：见投标人须知前附表。</w:t>
      </w:r>
    </w:p>
    <w:p w14:paraId="142EAE82">
      <w:pPr>
        <w:spacing w:before="135" w:line="234" w:lineRule="auto"/>
        <w:ind w:left="456"/>
        <w:rPr>
          <w:rFonts w:ascii="宋体" w:hAnsi="宋体" w:cs="宋体"/>
          <w:color w:val="auto"/>
          <w:szCs w:val="21"/>
          <w:highlight w:val="none"/>
        </w:rPr>
      </w:pPr>
      <w:r>
        <w:rPr>
          <w:rFonts w:eastAsia="Times New Roman"/>
          <w:color w:val="auto"/>
          <w:spacing w:val="-1"/>
          <w:szCs w:val="21"/>
          <w:highlight w:val="none"/>
        </w:rPr>
        <w:t xml:space="preserve">1.1.5  </w:t>
      </w:r>
      <w:r>
        <w:rPr>
          <w:rFonts w:hint="eastAsia" w:eastAsia="Times New Roman"/>
          <w:color w:val="auto"/>
          <w:spacing w:val="-1"/>
          <w:szCs w:val="21"/>
          <w:highlight w:val="none"/>
          <w:lang w:val="en-US" w:eastAsia="zh-CN"/>
        </w:rPr>
        <w:t>本标段</w:t>
      </w:r>
      <w:r>
        <w:rPr>
          <w:rFonts w:ascii="宋体" w:hAnsi="宋体" w:cs="宋体"/>
          <w:color w:val="auto"/>
          <w:spacing w:val="-1"/>
          <w:szCs w:val="21"/>
          <w:highlight w:val="none"/>
        </w:rPr>
        <w:t>建设地点：见投标人须知前附表。</w:t>
      </w:r>
    </w:p>
    <w:p w14:paraId="551679FC">
      <w:pPr>
        <w:spacing w:before="133" w:line="234" w:lineRule="auto"/>
        <w:ind w:left="456"/>
        <w:rPr>
          <w:rFonts w:ascii="宋体" w:hAnsi="宋体" w:cs="宋体"/>
          <w:color w:val="auto"/>
          <w:szCs w:val="21"/>
          <w:highlight w:val="none"/>
        </w:rPr>
      </w:pPr>
      <w:r>
        <w:rPr>
          <w:rFonts w:eastAsia="Times New Roman"/>
          <w:color w:val="auto"/>
          <w:spacing w:val="-1"/>
          <w:szCs w:val="21"/>
          <w:highlight w:val="none"/>
        </w:rPr>
        <w:t xml:space="preserve">1.1.6  </w:t>
      </w:r>
      <w:r>
        <w:rPr>
          <w:rFonts w:hint="eastAsia" w:eastAsia="宋体"/>
          <w:color w:val="auto"/>
          <w:spacing w:val="-1"/>
          <w:szCs w:val="21"/>
          <w:highlight w:val="none"/>
          <w:lang w:eastAsia="zh-CN"/>
        </w:rPr>
        <w:t>本</w:t>
      </w:r>
      <w:r>
        <w:rPr>
          <w:rFonts w:ascii="宋体" w:hAnsi="宋体" w:cs="宋体"/>
          <w:color w:val="auto"/>
          <w:spacing w:val="-1"/>
          <w:szCs w:val="21"/>
          <w:highlight w:val="none"/>
        </w:rPr>
        <w:t>项目建设规模：见投标人须知前附表。</w:t>
      </w:r>
    </w:p>
    <w:p w14:paraId="1130A294">
      <w:pPr>
        <w:spacing w:before="134" w:line="233" w:lineRule="auto"/>
        <w:ind w:left="456"/>
        <w:rPr>
          <w:rFonts w:ascii="宋体" w:hAnsi="宋体" w:cs="宋体"/>
          <w:color w:val="auto"/>
          <w:szCs w:val="21"/>
          <w:highlight w:val="none"/>
        </w:rPr>
      </w:pPr>
      <w:r>
        <w:rPr>
          <w:rFonts w:eastAsia="Times New Roman"/>
          <w:color w:val="auto"/>
          <w:spacing w:val="-1"/>
          <w:szCs w:val="21"/>
          <w:highlight w:val="none"/>
        </w:rPr>
        <w:t xml:space="preserve">1.1.7  </w:t>
      </w:r>
      <w:r>
        <w:rPr>
          <w:rFonts w:hint="eastAsia" w:eastAsia="Times New Roman"/>
          <w:color w:val="auto"/>
          <w:spacing w:val="-1"/>
          <w:szCs w:val="21"/>
          <w:highlight w:val="none"/>
          <w:lang w:val="en-US" w:eastAsia="zh-CN"/>
        </w:rPr>
        <w:t>本招标</w:t>
      </w:r>
      <w:r>
        <w:rPr>
          <w:rFonts w:ascii="宋体" w:hAnsi="宋体" w:cs="宋体"/>
          <w:color w:val="auto"/>
          <w:spacing w:val="-1"/>
          <w:szCs w:val="21"/>
          <w:highlight w:val="none"/>
        </w:rPr>
        <w:t>项目投资估算：见投标人须知前附表。</w:t>
      </w:r>
    </w:p>
    <w:p w14:paraId="4E7EC2CF">
      <w:pPr>
        <w:spacing w:before="136" w:line="234" w:lineRule="auto"/>
        <w:ind w:left="456"/>
        <w:rPr>
          <w:rFonts w:ascii="宋体" w:hAnsi="宋体" w:cs="宋体"/>
          <w:color w:val="auto"/>
          <w:szCs w:val="21"/>
          <w:highlight w:val="none"/>
        </w:rPr>
      </w:pPr>
      <w:r>
        <w:rPr>
          <w:rFonts w:eastAsia="Times New Roman"/>
          <w:color w:val="auto"/>
          <w:spacing w:val="-1"/>
          <w:szCs w:val="21"/>
          <w:highlight w:val="none"/>
        </w:rPr>
        <w:t xml:space="preserve">1.1.8  </w:t>
      </w:r>
      <w:r>
        <w:rPr>
          <w:rFonts w:ascii="宋体" w:hAnsi="宋体" w:cs="宋体"/>
          <w:color w:val="auto"/>
          <w:spacing w:val="-1"/>
          <w:szCs w:val="21"/>
          <w:highlight w:val="none"/>
        </w:rPr>
        <w:t>本标段采用的电子交易系统名称：见投标人须</w:t>
      </w:r>
      <w:r>
        <w:rPr>
          <w:rFonts w:ascii="宋体" w:hAnsi="宋体" w:cs="宋体"/>
          <w:color w:val="auto"/>
          <w:spacing w:val="-2"/>
          <w:szCs w:val="21"/>
          <w:highlight w:val="none"/>
        </w:rPr>
        <w:t>知前附表。</w:t>
      </w:r>
    </w:p>
    <w:p w14:paraId="752305DC">
      <w:pPr>
        <w:spacing w:before="77" w:line="218" w:lineRule="auto"/>
        <w:ind w:left="151"/>
        <w:outlineLvl w:val="2"/>
        <w:rPr>
          <w:rFonts w:ascii="黑体" w:hAnsi="黑体" w:eastAsia="黑体" w:cs="黑体"/>
          <w:color w:val="auto"/>
          <w:sz w:val="24"/>
          <w:highlight w:val="none"/>
        </w:rPr>
      </w:pPr>
      <w:bookmarkStart w:id="60" w:name="bookmark29"/>
      <w:bookmarkEnd w:id="60"/>
      <w:bookmarkStart w:id="61" w:name="_Toc15712"/>
      <w:r>
        <w:rPr>
          <w:rFonts w:ascii="黑体" w:hAnsi="黑体" w:eastAsia="黑体" w:cs="黑体"/>
          <w:color w:val="auto"/>
          <w:spacing w:val="-2"/>
          <w:sz w:val="24"/>
          <w:highlight w:val="none"/>
        </w:rPr>
        <w:t>1.2 项目的资金来源和落实情况</w:t>
      </w:r>
      <w:bookmarkEnd w:id="61"/>
    </w:p>
    <w:p w14:paraId="24430477">
      <w:pPr>
        <w:spacing w:before="132" w:line="234" w:lineRule="auto"/>
        <w:ind w:left="456"/>
        <w:rPr>
          <w:rFonts w:ascii="宋体" w:hAnsi="宋体" w:cs="宋体"/>
          <w:color w:val="auto"/>
          <w:szCs w:val="21"/>
          <w:highlight w:val="none"/>
        </w:rPr>
      </w:pPr>
      <w:r>
        <w:rPr>
          <w:rFonts w:eastAsia="Times New Roman"/>
          <w:color w:val="auto"/>
          <w:spacing w:val="-2"/>
          <w:szCs w:val="21"/>
          <w:highlight w:val="none"/>
        </w:rPr>
        <w:t xml:space="preserve">1.2.1  </w:t>
      </w:r>
      <w:r>
        <w:rPr>
          <w:rFonts w:hint="eastAsia" w:eastAsia="Times New Roman"/>
          <w:color w:val="auto"/>
          <w:spacing w:val="-2"/>
          <w:szCs w:val="21"/>
          <w:highlight w:val="none"/>
          <w:lang w:val="en-US" w:eastAsia="zh-CN"/>
        </w:rPr>
        <w:t>本招标项目的</w:t>
      </w:r>
      <w:r>
        <w:rPr>
          <w:rFonts w:ascii="宋体" w:hAnsi="宋体" w:cs="宋体"/>
          <w:color w:val="auto"/>
          <w:spacing w:val="-2"/>
          <w:szCs w:val="21"/>
          <w:highlight w:val="none"/>
        </w:rPr>
        <w:t>资金来源及比例：见投标人须知前附表。</w:t>
      </w:r>
    </w:p>
    <w:p w14:paraId="4C6654AE">
      <w:pPr>
        <w:spacing w:before="134" w:line="234" w:lineRule="auto"/>
        <w:ind w:left="456"/>
        <w:rPr>
          <w:rFonts w:ascii="宋体" w:hAnsi="宋体" w:cs="宋体"/>
          <w:color w:val="auto"/>
          <w:spacing w:val="-1"/>
          <w:szCs w:val="21"/>
          <w:highlight w:val="none"/>
        </w:rPr>
      </w:pPr>
      <w:r>
        <w:rPr>
          <w:rFonts w:eastAsia="Times New Roman"/>
          <w:color w:val="auto"/>
          <w:spacing w:val="-1"/>
          <w:szCs w:val="21"/>
          <w:highlight w:val="none"/>
        </w:rPr>
        <w:t xml:space="preserve">1.2.2 </w:t>
      </w:r>
      <w:r>
        <w:rPr>
          <w:rFonts w:hint="eastAsia" w:eastAsia="宋体"/>
          <w:color w:val="auto"/>
          <w:spacing w:val="-1"/>
          <w:szCs w:val="21"/>
          <w:highlight w:val="none"/>
          <w:lang w:val="en-US" w:eastAsia="zh-CN"/>
        </w:rPr>
        <w:t xml:space="preserve"> </w:t>
      </w:r>
      <w:r>
        <w:rPr>
          <w:rFonts w:ascii="宋体" w:hAnsi="宋体" w:cs="宋体"/>
          <w:color w:val="auto"/>
          <w:spacing w:val="-1"/>
          <w:szCs w:val="21"/>
          <w:highlight w:val="none"/>
        </w:rPr>
        <w:t>本标段资金落实情况：见投标人须知前附表。</w:t>
      </w:r>
    </w:p>
    <w:p w14:paraId="1B67DB35">
      <w:pPr>
        <w:spacing w:before="134" w:line="234" w:lineRule="auto"/>
        <w:ind w:left="456"/>
        <w:rPr>
          <w:rFonts w:ascii="宋体" w:hAnsi="宋体" w:cs="宋体"/>
          <w:color w:val="auto"/>
          <w:spacing w:val="-1"/>
          <w:szCs w:val="21"/>
          <w:highlight w:val="none"/>
        </w:rPr>
      </w:pPr>
      <w:r>
        <w:rPr>
          <w:rFonts w:eastAsia="Times New Roman"/>
          <w:color w:val="auto"/>
          <w:spacing w:val="-1"/>
          <w:szCs w:val="21"/>
          <w:highlight w:val="none"/>
        </w:rPr>
        <w:t>1.2.</w:t>
      </w:r>
      <w:r>
        <w:rPr>
          <w:rFonts w:hint="eastAsia" w:eastAsia="宋体"/>
          <w:color w:val="auto"/>
          <w:spacing w:val="-1"/>
          <w:szCs w:val="21"/>
          <w:highlight w:val="none"/>
          <w:lang w:val="en-US" w:eastAsia="zh-CN"/>
        </w:rPr>
        <w:t>3</w:t>
      </w:r>
      <w:r>
        <w:rPr>
          <w:rFonts w:eastAsia="Times New Roman"/>
          <w:color w:val="auto"/>
          <w:spacing w:val="-1"/>
          <w:szCs w:val="21"/>
          <w:highlight w:val="none"/>
        </w:rPr>
        <w:t xml:space="preserve"> </w:t>
      </w:r>
      <w:r>
        <w:rPr>
          <w:rFonts w:hint="eastAsia" w:eastAsia="宋体"/>
          <w:color w:val="auto"/>
          <w:spacing w:val="-1"/>
          <w:szCs w:val="21"/>
          <w:highlight w:val="none"/>
          <w:lang w:val="en-US" w:eastAsia="zh-CN"/>
        </w:rPr>
        <w:t xml:space="preserve"> 本标段资金落实情况：见投标人须知前附表。</w:t>
      </w:r>
    </w:p>
    <w:p w14:paraId="6670E523">
      <w:pPr>
        <w:spacing w:before="76" w:line="220" w:lineRule="auto"/>
        <w:ind w:left="151"/>
        <w:outlineLvl w:val="2"/>
        <w:rPr>
          <w:rFonts w:ascii="黑体" w:hAnsi="黑体" w:eastAsia="黑体" w:cs="黑体"/>
          <w:color w:val="auto"/>
          <w:sz w:val="24"/>
          <w:highlight w:val="none"/>
        </w:rPr>
      </w:pPr>
      <w:bookmarkStart w:id="62" w:name="bookmark30"/>
      <w:bookmarkEnd w:id="62"/>
      <w:bookmarkStart w:id="63" w:name="_Toc28465"/>
      <w:r>
        <w:rPr>
          <w:rFonts w:ascii="黑体" w:hAnsi="黑体" w:eastAsia="黑体" w:cs="黑体"/>
          <w:color w:val="auto"/>
          <w:spacing w:val="-2"/>
          <w:sz w:val="24"/>
          <w:highlight w:val="none"/>
        </w:rPr>
        <w:t>1.3 招标范围、计划工期和质量标准</w:t>
      </w:r>
      <w:bookmarkEnd w:id="63"/>
    </w:p>
    <w:p w14:paraId="79737D0C">
      <w:pPr>
        <w:spacing w:before="133" w:line="234" w:lineRule="auto"/>
        <w:ind w:left="456"/>
        <w:rPr>
          <w:rFonts w:ascii="宋体" w:hAnsi="宋体" w:cs="宋体"/>
          <w:color w:val="auto"/>
          <w:szCs w:val="21"/>
          <w:highlight w:val="none"/>
        </w:rPr>
      </w:pPr>
      <w:r>
        <w:rPr>
          <w:rFonts w:eastAsia="Times New Roman"/>
          <w:color w:val="auto"/>
          <w:spacing w:val="-1"/>
          <w:szCs w:val="21"/>
          <w:highlight w:val="none"/>
        </w:rPr>
        <w:t xml:space="preserve">1.3.1  </w:t>
      </w:r>
      <w:r>
        <w:rPr>
          <w:rFonts w:ascii="宋体" w:hAnsi="宋体" w:cs="宋体"/>
          <w:color w:val="auto"/>
          <w:spacing w:val="-1"/>
          <w:szCs w:val="21"/>
          <w:highlight w:val="none"/>
        </w:rPr>
        <w:t>招标范围：见投标人须知前附表。</w:t>
      </w:r>
    </w:p>
    <w:p w14:paraId="43F669E1">
      <w:pPr>
        <w:spacing w:before="133" w:line="234" w:lineRule="auto"/>
        <w:ind w:left="456"/>
        <w:rPr>
          <w:rFonts w:ascii="宋体" w:hAnsi="宋体" w:cs="宋体"/>
          <w:color w:val="auto"/>
          <w:szCs w:val="21"/>
          <w:highlight w:val="none"/>
        </w:rPr>
      </w:pPr>
      <w:r>
        <w:rPr>
          <w:rFonts w:eastAsia="Times New Roman"/>
          <w:color w:val="auto"/>
          <w:spacing w:val="-1"/>
          <w:szCs w:val="21"/>
          <w:highlight w:val="none"/>
        </w:rPr>
        <w:t xml:space="preserve">1.3.2  </w:t>
      </w:r>
      <w:r>
        <w:rPr>
          <w:rFonts w:ascii="宋体" w:hAnsi="宋体" w:cs="宋体"/>
          <w:color w:val="auto"/>
          <w:spacing w:val="-1"/>
          <w:szCs w:val="21"/>
          <w:highlight w:val="none"/>
        </w:rPr>
        <w:t>计划工期：见投标人须知前附表。</w:t>
      </w:r>
    </w:p>
    <w:p w14:paraId="5362FFB7">
      <w:pPr>
        <w:spacing w:before="134" w:line="234" w:lineRule="auto"/>
        <w:ind w:left="456"/>
        <w:rPr>
          <w:rFonts w:ascii="宋体" w:hAnsi="宋体" w:cs="宋体"/>
          <w:color w:val="auto"/>
          <w:szCs w:val="21"/>
          <w:highlight w:val="none"/>
        </w:rPr>
      </w:pPr>
      <w:r>
        <w:rPr>
          <w:rFonts w:eastAsia="Times New Roman"/>
          <w:color w:val="auto"/>
          <w:spacing w:val="-1"/>
          <w:szCs w:val="21"/>
          <w:highlight w:val="none"/>
        </w:rPr>
        <w:t xml:space="preserve">1.3.3  </w:t>
      </w:r>
      <w:r>
        <w:rPr>
          <w:rFonts w:ascii="宋体" w:hAnsi="宋体" w:cs="宋体"/>
          <w:color w:val="auto"/>
          <w:spacing w:val="-1"/>
          <w:szCs w:val="21"/>
          <w:highlight w:val="none"/>
        </w:rPr>
        <w:t>质量标准：见投标人须知前附表。</w:t>
      </w:r>
    </w:p>
    <w:p w14:paraId="0725AEF7">
      <w:pPr>
        <w:spacing w:before="76" w:line="219" w:lineRule="auto"/>
        <w:ind w:left="151"/>
        <w:outlineLvl w:val="2"/>
        <w:rPr>
          <w:rFonts w:ascii="黑体" w:hAnsi="黑体" w:eastAsia="黑体" w:cs="黑体"/>
          <w:color w:val="auto"/>
          <w:sz w:val="24"/>
          <w:highlight w:val="none"/>
        </w:rPr>
      </w:pPr>
      <w:bookmarkStart w:id="64" w:name="bookmark31"/>
      <w:bookmarkEnd w:id="64"/>
      <w:bookmarkStart w:id="65" w:name="_Toc14334"/>
      <w:r>
        <w:rPr>
          <w:rFonts w:ascii="黑体" w:hAnsi="黑体" w:eastAsia="黑体" w:cs="黑体"/>
          <w:color w:val="auto"/>
          <w:spacing w:val="-2"/>
          <w:sz w:val="24"/>
          <w:highlight w:val="none"/>
        </w:rPr>
        <w:t>1.4 投标人资格要求（适用于已进行资格预审的）</w:t>
      </w:r>
      <w:bookmarkEnd w:id="65"/>
    </w:p>
    <w:p w14:paraId="0A9555FB">
      <w:pPr>
        <w:spacing w:before="134" w:line="220" w:lineRule="auto"/>
        <w:ind w:left="442"/>
        <w:rPr>
          <w:rFonts w:ascii="宋体" w:hAnsi="宋体" w:cs="宋体"/>
          <w:color w:val="auto"/>
          <w:szCs w:val="21"/>
          <w:highlight w:val="none"/>
        </w:rPr>
      </w:pPr>
      <w:r>
        <w:rPr>
          <w:rFonts w:ascii="宋体" w:hAnsi="宋体" w:cs="宋体"/>
          <w:color w:val="auto"/>
          <w:spacing w:val="-1"/>
          <w:szCs w:val="21"/>
          <w:highlight w:val="none"/>
        </w:rPr>
        <w:t>投标人应是收到招标人发出投标邀请书的单位。</w:t>
      </w:r>
    </w:p>
    <w:p w14:paraId="3D75909D">
      <w:pPr>
        <w:spacing w:before="92" w:line="219" w:lineRule="auto"/>
        <w:ind w:left="151"/>
        <w:outlineLvl w:val="2"/>
        <w:rPr>
          <w:rFonts w:ascii="黑体" w:hAnsi="黑体" w:eastAsia="黑体" w:cs="黑体"/>
          <w:color w:val="auto"/>
          <w:sz w:val="24"/>
          <w:highlight w:val="none"/>
        </w:rPr>
      </w:pPr>
      <w:bookmarkStart w:id="66" w:name="bookmark32"/>
      <w:bookmarkEnd w:id="66"/>
      <w:bookmarkStart w:id="67" w:name="_Toc15110"/>
      <w:r>
        <w:rPr>
          <w:rFonts w:ascii="黑体" w:hAnsi="黑体" w:eastAsia="黑体" w:cs="黑体"/>
          <w:color w:val="auto"/>
          <w:spacing w:val="-2"/>
          <w:sz w:val="24"/>
          <w:highlight w:val="none"/>
        </w:rPr>
        <w:t>1.4 投标人资格要求（适用于未进行资格预审的）</w:t>
      </w:r>
      <w:bookmarkEnd w:id="67"/>
    </w:p>
    <w:p w14:paraId="3070E650">
      <w:pPr>
        <w:spacing w:before="132" w:line="234" w:lineRule="auto"/>
        <w:ind w:left="456"/>
        <w:rPr>
          <w:rFonts w:ascii="宋体" w:hAnsi="宋体" w:cs="宋体"/>
          <w:color w:val="auto"/>
          <w:szCs w:val="21"/>
          <w:highlight w:val="none"/>
        </w:rPr>
      </w:pPr>
      <w:r>
        <w:rPr>
          <w:rFonts w:eastAsia="Times New Roman"/>
          <w:color w:val="auto"/>
          <w:spacing w:val="-1"/>
          <w:szCs w:val="21"/>
          <w:highlight w:val="none"/>
        </w:rPr>
        <w:t xml:space="preserve">1.4.1  </w:t>
      </w:r>
      <w:r>
        <w:rPr>
          <w:rFonts w:ascii="宋体" w:hAnsi="宋体" w:cs="宋体"/>
          <w:color w:val="auto"/>
          <w:spacing w:val="-1"/>
          <w:szCs w:val="21"/>
          <w:highlight w:val="none"/>
        </w:rPr>
        <w:t>投标人应具备承担本招标项目资质条件、能力和信誉。</w:t>
      </w:r>
    </w:p>
    <w:p w14:paraId="0E2A5EB3">
      <w:pPr>
        <w:spacing w:before="134" w:line="234" w:lineRule="auto"/>
        <w:ind w:left="340"/>
        <w:rPr>
          <w:rFonts w:ascii="宋体" w:hAnsi="宋体" w:cs="宋体"/>
          <w:color w:val="auto"/>
          <w:szCs w:val="21"/>
          <w:highlight w:val="none"/>
        </w:rPr>
      </w:pPr>
      <w:r>
        <w:rPr>
          <w:rFonts w:ascii="宋体" w:hAnsi="宋体" w:cs="宋体"/>
          <w:color w:val="auto"/>
          <w:spacing w:val="-1"/>
          <w:szCs w:val="21"/>
          <w:highlight w:val="none"/>
        </w:rPr>
        <w:t>（</w:t>
      </w:r>
      <w:r>
        <w:rPr>
          <w:rFonts w:eastAsia="Times New Roman"/>
          <w:color w:val="auto"/>
          <w:spacing w:val="-1"/>
          <w:szCs w:val="21"/>
          <w:highlight w:val="none"/>
        </w:rPr>
        <w:t>1</w:t>
      </w:r>
      <w:r>
        <w:rPr>
          <w:rFonts w:ascii="宋体" w:hAnsi="宋体" w:cs="宋体"/>
          <w:color w:val="auto"/>
          <w:spacing w:val="-1"/>
          <w:szCs w:val="21"/>
          <w:highlight w:val="none"/>
        </w:rPr>
        <w:t>）资质要求：见投标人须知前附表；</w:t>
      </w:r>
    </w:p>
    <w:p w14:paraId="2EE3BF78">
      <w:pPr>
        <w:spacing w:before="135" w:line="234" w:lineRule="auto"/>
        <w:ind w:left="340"/>
        <w:rPr>
          <w:rFonts w:ascii="宋体" w:hAnsi="宋体" w:cs="宋体"/>
          <w:color w:val="auto"/>
          <w:szCs w:val="21"/>
          <w:highlight w:val="none"/>
        </w:rPr>
      </w:pPr>
      <w:r>
        <w:rPr>
          <w:rFonts w:ascii="宋体" w:hAnsi="宋体" w:cs="宋体"/>
          <w:color w:val="auto"/>
          <w:spacing w:val="-4"/>
          <w:szCs w:val="21"/>
          <w:highlight w:val="none"/>
        </w:rPr>
        <w:t>（</w:t>
      </w:r>
      <w:r>
        <w:rPr>
          <w:rFonts w:eastAsia="Times New Roman"/>
          <w:color w:val="auto"/>
          <w:spacing w:val="-4"/>
          <w:szCs w:val="21"/>
          <w:highlight w:val="none"/>
        </w:rPr>
        <w:t>2</w:t>
      </w:r>
      <w:r>
        <w:rPr>
          <w:rFonts w:ascii="宋体" w:hAnsi="宋体" w:cs="宋体"/>
          <w:color w:val="auto"/>
          <w:spacing w:val="-4"/>
          <w:szCs w:val="21"/>
          <w:highlight w:val="none"/>
        </w:rPr>
        <w:t>）财务要求：见投标人须知前附表（如有</w:t>
      </w:r>
      <w:r>
        <w:rPr>
          <w:rFonts w:ascii="宋体" w:hAnsi="宋体" w:cs="宋体"/>
          <w:color w:val="auto"/>
          <w:spacing w:val="-26"/>
          <w:szCs w:val="21"/>
          <w:highlight w:val="none"/>
        </w:rPr>
        <w:t>）；</w:t>
      </w:r>
    </w:p>
    <w:p w14:paraId="35F9D568">
      <w:pPr>
        <w:spacing w:before="133" w:line="234" w:lineRule="auto"/>
        <w:ind w:left="340"/>
        <w:rPr>
          <w:rFonts w:ascii="宋体" w:hAnsi="宋体" w:cs="宋体"/>
          <w:color w:val="auto"/>
          <w:szCs w:val="21"/>
          <w:highlight w:val="none"/>
        </w:rPr>
      </w:pPr>
      <w:r>
        <w:rPr>
          <w:rFonts w:ascii="宋体" w:hAnsi="宋体" w:cs="宋体"/>
          <w:color w:val="auto"/>
          <w:spacing w:val="-4"/>
          <w:szCs w:val="21"/>
          <w:highlight w:val="none"/>
        </w:rPr>
        <w:t>（</w:t>
      </w:r>
      <w:r>
        <w:rPr>
          <w:rFonts w:eastAsia="Times New Roman"/>
          <w:color w:val="auto"/>
          <w:spacing w:val="-4"/>
          <w:szCs w:val="21"/>
          <w:highlight w:val="none"/>
        </w:rPr>
        <w:t>3</w:t>
      </w:r>
      <w:r>
        <w:rPr>
          <w:rFonts w:ascii="宋体" w:hAnsi="宋体" w:cs="宋体"/>
          <w:color w:val="auto"/>
          <w:spacing w:val="-4"/>
          <w:szCs w:val="21"/>
          <w:highlight w:val="none"/>
        </w:rPr>
        <w:t>）业绩要求：见投标人须知前附表（如有</w:t>
      </w:r>
      <w:r>
        <w:rPr>
          <w:rFonts w:ascii="宋体" w:hAnsi="宋体" w:cs="宋体"/>
          <w:color w:val="auto"/>
          <w:spacing w:val="-26"/>
          <w:szCs w:val="21"/>
          <w:highlight w:val="none"/>
        </w:rPr>
        <w:t>）；</w:t>
      </w:r>
    </w:p>
    <w:p w14:paraId="14A33EAC">
      <w:pPr>
        <w:spacing w:before="134" w:line="234" w:lineRule="auto"/>
        <w:ind w:left="340"/>
        <w:rPr>
          <w:rFonts w:ascii="宋体" w:hAnsi="宋体" w:cs="宋体"/>
          <w:color w:val="auto"/>
          <w:szCs w:val="21"/>
          <w:highlight w:val="none"/>
        </w:rPr>
      </w:pPr>
      <w:r>
        <w:rPr>
          <w:rFonts w:ascii="宋体" w:hAnsi="宋体" w:cs="宋体"/>
          <w:color w:val="auto"/>
          <w:spacing w:val="-1"/>
          <w:szCs w:val="21"/>
          <w:highlight w:val="none"/>
        </w:rPr>
        <w:t>（</w:t>
      </w:r>
      <w:r>
        <w:rPr>
          <w:rFonts w:eastAsia="Times New Roman"/>
          <w:color w:val="auto"/>
          <w:spacing w:val="-1"/>
          <w:szCs w:val="21"/>
          <w:highlight w:val="none"/>
        </w:rPr>
        <w:t>4</w:t>
      </w:r>
      <w:r>
        <w:rPr>
          <w:rFonts w:ascii="宋体" w:hAnsi="宋体" w:cs="宋体"/>
          <w:color w:val="auto"/>
          <w:spacing w:val="-1"/>
          <w:szCs w:val="21"/>
          <w:highlight w:val="none"/>
        </w:rPr>
        <w:t>）信誉要求：见投标人须知前附表；</w:t>
      </w:r>
    </w:p>
    <w:p w14:paraId="69D61AB1">
      <w:pPr>
        <w:spacing w:before="135" w:line="285" w:lineRule="auto"/>
        <w:ind w:left="22" w:right="16" w:firstLine="318"/>
        <w:rPr>
          <w:rFonts w:ascii="宋体" w:hAnsi="宋体" w:cs="宋体"/>
          <w:color w:val="auto"/>
          <w:szCs w:val="21"/>
          <w:highlight w:val="none"/>
        </w:rPr>
      </w:pPr>
      <w:r>
        <w:rPr>
          <w:rFonts w:ascii="宋体" w:hAnsi="宋体" w:cs="宋体"/>
          <w:color w:val="auto"/>
          <w:spacing w:val="1"/>
          <w:szCs w:val="21"/>
          <w:highlight w:val="none"/>
        </w:rPr>
        <w:t>（</w:t>
      </w:r>
      <w:r>
        <w:rPr>
          <w:rFonts w:eastAsia="Times New Roman"/>
          <w:color w:val="auto"/>
          <w:spacing w:val="1"/>
          <w:szCs w:val="21"/>
          <w:highlight w:val="none"/>
        </w:rPr>
        <w:t>5</w:t>
      </w:r>
      <w:r>
        <w:rPr>
          <w:rFonts w:ascii="宋体" w:hAnsi="宋体" w:cs="宋体"/>
          <w:color w:val="auto"/>
          <w:spacing w:val="1"/>
          <w:szCs w:val="21"/>
          <w:highlight w:val="none"/>
        </w:rPr>
        <w:t>）项目经理资格要求：应当具备工程设计类或者工程施工类注册执业资格，具体要</w:t>
      </w:r>
      <w:r>
        <w:rPr>
          <w:rFonts w:ascii="宋体" w:hAnsi="宋体" w:cs="宋体"/>
          <w:color w:val="auto"/>
          <w:spacing w:val="-3"/>
          <w:szCs w:val="21"/>
          <w:highlight w:val="none"/>
        </w:rPr>
        <w:t>求见投标人须知前附表；</w:t>
      </w:r>
    </w:p>
    <w:p w14:paraId="38787DDE">
      <w:pPr>
        <w:spacing w:before="151" w:line="286" w:lineRule="auto"/>
        <w:ind w:left="24" w:right="16" w:firstLine="316"/>
        <w:rPr>
          <w:rFonts w:ascii="宋体" w:hAnsi="宋体" w:cs="宋体"/>
          <w:color w:val="auto"/>
          <w:szCs w:val="21"/>
          <w:highlight w:val="none"/>
        </w:rPr>
      </w:pPr>
      <w:r>
        <w:rPr>
          <w:rFonts w:ascii="宋体" w:hAnsi="宋体" w:cs="宋体"/>
          <w:color w:val="auto"/>
          <w:spacing w:val="3"/>
          <w:szCs w:val="21"/>
          <w:highlight w:val="none"/>
        </w:rPr>
        <w:t>（</w:t>
      </w:r>
      <w:r>
        <w:rPr>
          <w:rFonts w:eastAsia="Times New Roman"/>
          <w:color w:val="auto"/>
          <w:spacing w:val="3"/>
          <w:szCs w:val="21"/>
          <w:highlight w:val="none"/>
        </w:rPr>
        <w:t>6</w:t>
      </w:r>
      <w:r>
        <w:rPr>
          <w:rFonts w:ascii="宋体" w:hAnsi="宋体" w:cs="宋体"/>
          <w:color w:val="auto"/>
          <w:spacing w:val="3"/>
          <w:szCs w:val="21"/>
          <w:highlight w:val="none"/>
        </w:rPr>
        <w:t>）施工负责人资格要求：应当具备工程施工类注册</w:t>
      </w:r>
      <w:r>
        <w:rPr>
          <w:rFonts w:ascii="宋体" w:hAnsi="宋体" w:cs="宋体"/>
          <w:color w:val="auto"/>
          <w:spacing w:val="2"/>
          <w:szCs w:val="21"/>
          <w:highlight w:val="none"/>
        </w:rPr>
        <w:t>执业资格，具体要求见投标人须</w:t>
      </w:r>
      <w:r>
        <w:rPr>
          <w:rFonts w:ascii="宋体" w:hAnsi="宋体" w:cs="宋体"/>
          <w:color w:val="auto"/>
          <w:spacing w:val="-7"/>
          <w:szCs w:val="21"/>
          <w:highlight w:val="none"/>
        </w:rPr>
        <w:t>知前附表；</w:t>
      </w:r>
    </w:p>
    <w:p w14:paraId="4AA1F415">
      <w:pPr>
        <w:spacing w:before="149" w:line="286" w:lineRule="auto"/>
        <w:ind w:left="24" w:right="16" w:firstLine="316"/>
        <w:rPr>
          <w:rFonts w:ascii="宋体" w:hAnsi="宋体" w:cs="宋体"/>
          <w:color w:val="auto"/>
          <w:szCs w:val="21"/>
          <w:highlight w:val="none"/>
        </w:rPr>
      </w:pPr>
      <w:r>
        <w:rPr>
          <w:rFonts w:ascii="宋体" w:hAnsi="宋体" w:cs="宋体"/>
          <w:color w:val="auto"/>
          <w:spacing w:val="3"/>
          <w:szCs w:val="21"/>
          <w:highlight w:val="none"/>
        </w:rPr>
        <w:t>（</w:t>
      </w:r>
      <w:r>
        <w:rPr>
          <w:rFonts w:eastAsia="Times New Roman"/>
          <w:color w:val="auto"/>
          <w:spacing w:val="3"/>
          <w:szCs w:val="21"/>
          <w:highlight w:val="none"/>
        </w:rPr>
        <w:t>7</w:t>
      </w:r>
      <w:r>
        <w:rPr>
          <w:rFonts w:ascii="宋体" w:hAnsi="宋体" w:cs="宋体"/>
          <w:color w:val="auto"/>
          <w:spacing w:val="3"/>
          <w:szCs w:val="21"/>
          <w:highlight w:val="none"/>
        </w:rPr>
        <w:t>）设计负责人资格要求：应当具备工程设计类注册</w:t>
      </w:r>
      <w:r>
        <w:rPr>
          <w:rFonts w:ascii="宋体" w:hAnsi="宋体" w:cs="宋体"/>
          <w:color w:val="auto"/>
          <w:spacing w:val="2"/>
          <w:szCs w:val="21"/>
          <w:highlight w:val="none"/>
        </w:rPr>
        <w:t>执业资格，具体要求见投标人须</w:t>
      </w:r>
      <w:r>
        <w:rPr>
          <w:rFonts w:ascii="宋体" w:hAnsi="宋体" w:cs="宋体"/>
          <w:color w:val="auto"/>
          <w:spacing w:val="-7"/>
          <w:szCs w:val="21"/>
          <w:highlight w:val="none"/>
        </w:rPr>
        <w:t>知前附表；</w:t>
      </w:r>
    </w:p>
    <w:p w14:paraId="27D796D4">
      <w:pPr>
        <w:spacing w:before="151" w:line="234" w:lineRule="auto"/>
        <w:ind w:left="340"/>
        <w:rPr>
          <w:rFonts w:ascii="宋体" w:hAnsi="宋体" w:cs="宋体"/>
          <w:color w:val="auto"/>
          <w:szCs w:val="21"/>
          <w:highlight w:val="none"/>
        </w:rPr>
      </w:pPr>
      <w:r>
        <w:rPr>
          <w:rFonts w:ascii="宋体" w:hAnsi="宋体" w:cs="宋体"/>
          <w:color w:val="auto"/>
          <w:spacing w:val="-1"/>
          <w:szCs w:val="21"/>
          <w:highlight w:val="none"/>
        </w:rPr>
        <w:t>（</w:t>
      </w:r>
      <w:r>
        <w:rPr>
          <w:rFonts w:eastAsia="Times New Roman"/>
          <w:color w:val="auto"/>
          <w:spacing w:val="-1"/>
          <w:szCs w:val="21"/>
          <w:highlight w:val="none"/>
        </w:rPr>
        <w:t>8</w:t>
      </w:r>
      <w:r>
        <w:rPr>
          <w:rFonts w:ascii="宋体" w:hAnsi="宋体" w:cs="宋体"/>
          <w:color w:val="auto"/>
          <w:spacing w:val="-1"/>
          <w:szCs w:val="21"/>
          <w:highlight w:val="none"/>
        </w:rPr>
        <w:t>）施工机械设备要求：见投标人须知前附表；</w:t>
      </w:r>
    </w:p>
    <w:p w14:paraId="79D7C500">
      <w:pPr>
        <w:spacing w:before="132" w:line="234" w:lineRule="auto"/>
        <w:ind w:left="340"/>
        <w:rPr>
          <w:rFonts w:ascii="宋体" w:hAnsi="宋体" w:cs="宋体"/>
          <w:color w:val="auto"/>
          <w:szCs w:val="21"/>
          <w:highlight w:val="none"/>
        </w:rPr>
      </w:pPr>
      <w:r>
        <w:rPr>
          <w:rFonts w:ascii="宋体" w:hAnsi="宋体" w:cs="宋体"/>
          <w:color w:val="auto"/>
          <w:spacing w:val="-2"/>
          <w:szCs w:val="21"/>
          <w:highlight w:val="none"/>
        </w:rPr>
        <w:t>（</w:t>
      </w:r>
      <w:r>
        <w:rPr>
          <w:rFonts w:eastAsia="Times New Roman"/>
          <w:color w:val="auto"/>
          <w:spacing w:val="-2"/>
          <w:szCs w:val="21"/>
          <w:highlight w:val="none"/>
        </w:rPr>
        <w:t>9</w:t>
      </w:r>
      <w:r>
        <w:rPr>
          <w:rFonts w:ascii="宋体" w:hAnsi="宋体" w:cs="宋体"/>
          <w:color w:val="auto"/>
          <w:spacing w:val="-2"/>
          <w:szCs w:val="21"/>
          <w:highlight w:val="none"/>
        </w:rPr>
        <w:t>）项目管理机构主要人员要求：见投标人须知前附表；</w:t>
      </w:r>
    </w:p>
    <w:p w14:paraId="359CD54E">
      <w:pPr>
        <w:spacing w:line="234" w:lineRule="auto"/>
        <w:rPr>
          <w:rFonts w:ascii="宋体" w:hAnsi="宋体" w:cs="宋体"/>
          <w:color w:val="auto"/>
          <w:szCs w:val="21"/>
          <w:highlight w:val="none"/>
        </w:rPr>
        <w:sectPr>
          <w:footerReference r:id="rId4" w:type="default"/>
          <w:pgSz w:w="11907" w:h="16839"/>
          <w:pgMar w:top="1431" w:right="1785" w:bottom="1154" w:left="1785" w:header="0" w:footer="951" w:gutter="0"/>
          <w:pgNumType w:fmt="decimal" w:start="1"/>
          <w:cols w:space="720" w:num="1"/>
        </w:sectPr>
      </w:pPr>
    </w:p>
    <w:p w14:paraId="5851F10C">
      <w:pPr>
        <w:spacing w:before="149" w:line="234" w:lineRule="auto"/>
        <w:ind w:left="340"/>
        <w:rPr>
          <w:rFonts w:ascii="宋体" w:hAnsi="宋体" w:cs="宋体"/>
          <w:color w:val="auto"/>
          <w:szCs w:val="21"/>
          <w:highlight w:val="none"/>
        </w:rPr>
      </w:pPr>
      <w:r>
        <w:rPr>
          <w:rFonts w:ascii="宋体" w:hAnsi="宋体" w:cs="宋体"/>
          <w:color w:val="auto"/>
          <w:spacing w:val="-2"/>
          <w:szCs w:val="21"/>
          <w:highlight w:val="none"/>
        </w:rPr>
        <w:t>（</w:t>
      </w:r>
      <w:r>
        <w:rPr>
          <w:rFonts w:eastAsia="Times New Roman"/>
          <w:color w:val="auto"/>
          <w:spacing w:val="-2"/>
          <w:szCs w:val="21"/>
          <w:highlight w:val="none"/>
        </w:rPr>
        <w:t>10</w:t>
      </w:r>
      <w:r>
        <w:rPr>
          <w:rFonts w:ascii="宋体" w:hAnsi="宋体" w:cs="宋体"/>
          <w:color w:val="auto"/>
          <w:spacing w:val="-2"/>
          <w:szCs w:val="21"/>
          <w:highlight w:val="none"/>
        </w:rPr>
        <w:t>）其他要求：见投标人须知前附表。</w:t>
      </w:r>
    </w:p>
    <w:p w14:paraId="688E3268">
      <w:pPr>
        <w:spacing w:before="132" w:line="344" w:lineRule="auto"/>
        <w:ind w:left="24" w:right="102" w:firstLine="432"/>
        <w:rPr>
          <w:rFonts w:ascii="宋体" w:hAnsi="宋体" w:cs="宋体"/>
          <w:color w:val="auto"/>
          <w:szCs w:val="21"/>
          <w:highlight w:val="none"/>
        </w:rPr>
      </w:pPr>
      <w:r>
        <w:rPr>
          <w:rFonts w:eastAsia="Times New Roman"/>
          <w:color w:val="auto"/>
          <w:szCs w:val="21"/>
          <w:highlight w:val="none"/>
        </w:rPr>
        <w:t xml:space="preserve">1.4.2  </w:t>
      </w:r>
      <w:r>
        <w:rPr>
          <w:rFonts w:ascii="宋体" w:hAnsi="宋体" w:cs="宋体"/>
          <w:color w:val="auto"/>
          <w:szCs w:val="21"/>
          <w:highlight w:val="none"/>
        </w:rPr>
        <w:t xml:space="preserve">投标人须知前附表规定接受联合体投标的，除应符合本章第 </w:t>
      </w:r>
      <w:r>
        <w:rPr>
          <w:rFonts w:eastAsia="Times New Roman"/>
          <w:color w:val="auto"/>
          <w:szCs w:val="21"/>
          <w:highlight w:val="none"/>
        </w:rPr>
        <w:t xml:space="preserve">1.4.1  </w:t>
      </w:r>
      <w:r>
        <w:rPr>
          <w:rFonts w:ascii="宋体" w:hAnsi="宋体" w:cs="宋体"/>
          <w:color w:val="auto"/>
          <w:spacing w:val="-1"/>
          <w:szCs w:val="21"/>
          <w:highlight w:val="none"/>
        </w:rPr>
        <w:t>项和投标人须</w:t>
      </w:r>
      <w:r>
        <w:rPr>
          <w:rFonts w:ascii="宋体" w:hAnsi="宋体" w:cs="宋体"/>
          <w:color w:val="auto"/>
          <w:spacing w:val="-2"/>
          <w:szCs w:val="21"/>
          <w:highlight w:val="none"/>
        </w:rPr>
        <w:t>知前附表的要求外，还应遵守以下规定：</w:t>
      </w:r>
    </w:p>
    <w:p w14:paraId="5A6A158D">
      <w:pPr>
        <w:spacing w:before="20" w:line="285" w:lineRule="auto"/>
        <w:ind w:left="21" w:right="111" w:firstLine="319"/>
        <w:rPr>
          <w:rFonts w:ascii="宋体" w:hAnsi="宋体" w:cs="宋体"/>
          <w:color w:val="auto"/>
          <w:szCs w:val="21"/>
          <w:highlight w:val="none"/>
        </w:rPr>
      </w:pPr>
      <w:r>
        <w:rPr>
          <w:rFonts w:ascii="宋体" w:hAnsi="宋体" w:cs="宋体"/>
          <w:color w:val="auto"/>
          <w:spacing w:val="3"/>
          <w:szCs w:val="21"/>
          <w:highlight w:val="none"/>
        </w:rPr>
        <w:t>（</w:t>
      </w:r>
      <w:r>
        <w:rPr>
          <w:rFonts w:eastAsia="Times New Roman"/>
          <w:color w:val="auto"/>
          <w:spacing w:val="3"/>
          <w:szCs w:val="21"/>
          <w:highlight w:val="none"/>
        </w:rPr>
        <w:t>1</w:t>
      </w:r>
      <w:r>
        <w:rPr>
          <w:rFonts w:ascii="宋体" w:hAnsi="宋体" w:cs="宋体"/>
          <w:color w:val="auto"/>
          <w:spacing w:val="3"/>
          <w:szCs w:val="21"/>
          <w:highlight w:val="none"/>
        </w:rPr>
        <w:t>）联合体各方应按招标文件提供的格式签订联合体协</w:t>
      </w:r>
      <w:r>
        <w:rPr>
          <w:rFonts w:ascii="宋体" w:hAnsi="宋体" w:cs="宋体"/>
          <w:color w:val="auto"/>
          <w:spacing w:val="2"/>
          <w:szCs w:val="21"/>
          <w:highlight w:val="none"/>
        </w:rPr>
        <w:t>议书，明确联合体牵头人和各</w:t>
      </w:r>
      <w:r>
        <w:rPr>
          <w:rFonts w:ascii="宋体" w:hAnsi="宋体" w:cs="宋体"/>
          <w:color w:val="auto"/>
          <w:spacing w:val="-1"/>
          <w:szCs w:val="21"/>
          <w:highlight w:val="none"/>
        </w:rPr>
        <w:t>方权利义务；</w:t>
      </w:r>
    </w:p>
    <w:p w14:paraId="4CDFC48F">
      <w:pPr>
        <w:spacing w:before="150" w:line="234" w:lineRule="auto"/>
        <w:ind w:left="340"/>
        <w:rPr>
          <w:rFonts w:ascii="宋体" w:hAnsi="宋体" w:cs="宋体"/>
          <w:color w:val="auto"/>
          <w:szCs w:val="21"/>
          <w:highlight w:val="none"/>
        </w:rPr>
      </w:pPr>
      <w:r>
        <w:rPr>
          <w:rFonts w:ascii="宋体" w:hAnsi="宋体" w:cs="宋体"/>
          <w:color w:val="auto"/>
          <w:spacing w:val="-1"/>
          <w:szCs w:val="21"/>
          <w:highlight w:val="none"/>
        </w:rPr>
        <w:t>（</w:t>
      </w:r>
      <w:r>
        <w:rPr>
          <w:rFonts w:eastAsia="Times New Roman"/>
          <w:color w:val="auto"/>
          <w:spacing w:val="-1"/>
          <w:szCs w:val="21"/>
          <w:highlight w:val="none"/>
        </w:rPr>
        <w:t>2</w:t>
      </w:r>
      <w:r>
        <w:rPr>
          <w:rFonts w:ascii="宋体" w:hAnsi="宋体" w:cs="宋体"/>
          <w:color w:val="auto"/>
          <w:spacing w:val="-1"/>
          <w:szCs w:val="21"/>
          <w:highlight w:val="none"/>
        </w:rPr>
        <w:t>）由同一专业的单位组成的联合体，按照资质等级较低的单位确定资质等级；</w:t>
      </w:r>
    </w:p>
    <w:p w14:paraId="7FD023FC">
      <w:pPr>
        <w:spacing w:before="133" w:line="286" w:lineRule="auto"/>
        <w:ind w:left="22" w:right="119" w:firstLine="318"/>
        <w:rPr>
          <w:rFonts w:ascii="宋体" w:hAnsi="宋体" w:cs="宋体"/>
          <w:color w:val="auto"/>
          <w:szCs w:val="21"/>
          <w:highlight w:val="none"/>
        </w:rPr>
      </w:pPr>
      <w:r>
        <w:rPr>
          <w:rFonts w:ascii="宋体" w:hAnsi="宋体" w:cs="宋体"/>
          <w:color w:val="auto"/>
          <w:spacing w:val="2"/>
          <w:szCs w:val="21"/>
          <w:highlight w:val="none"/>
        </w:rPr>
        <w:t>（</w:t>
      </w:r>
      <w:r>
        <w:rPr>
          <w:rFonts w:eastAsia="Times New Roman"/>
          <w:color w:val="auto"/>
          <w:spacing w:val="2"/>
          <w:szCs w:val="21"/>
          <w:highlight w:val="none"/>
        </w:rPr>
        <w:t>3</w:t>
      </w:r>
      <w:r>
        <w:rPr>
          <w:rFonts w:ascii="宋体" w:hAnsi="宋体" w:cs="宋体"/>
          <w:color w:val="auto"/>
          <w:spacing w:val="2"/>
          <w:szCs w:val="21"/>
          <w:highlight w:val="none"/>
        </w:rPr>
        <w:t>）联合体各方不得再以自己名义单独或参加其他联合体在本招标项目中投标，否则</w:t>
      </w:r>
      <w:r>
        <w:rPr>
          <w:rFonts w:ascii="宋体" w:hAnsi="宋体" w:cs="宋体"/>
          <w:color w:val="auto"/>
          <w:spacing w:val="-3"/>
          <w:szCs w:val="21"/>
          <w:highlight w:val="none"/>
        </w:rPr>
        <w:t>各相关投标均无效。</w:t>
      </w:r>
    </w:p>
    <w:p w14:paraId="734CF2CD">
      <w:pPr>
        <w:spacing w:before="150" w:line="234" w:lineRule="auto"/>
        <w:ind w:left="456"/>
        <w:rPr>
          <w:rFonts w:ascii="宋体" w:hAnsi="宋体" w:cs="宋体"/>
          <w:color w:val="auto"/>
          <w:szCs w:val="21"/>
          <w:highlight w:val="none"/>
        </w:rPr>
      </w:pPr>
      <w:r>
        <w:rPr>
          <w:rFonts w:eastAsia="Times New Roman"/>
          <w:color w:val="auto"/>
          <w:spacing w:val="-2"/>
          <w:szCs w:val="21"/>
          <w:highlight w:val="none"/>
        </w:rPr>
        <w:t xml:space="preserve">1.4.3  </w:t>
      </w:r>
      <w:r>
        <w:rPr>
          <w:rFonts w:ascii="宋体" w:hAnsi="宋体" w:cs="宋体"/>
          <w:color w:val="auto"/>
          <w:spacing w:val="-2"/>
          <w:szCs w:val="21"/>
          <w:highlight w:val="none"/>
        </w:rPr>
        <w:t>投标人不得存在下列情形之一：</w:t>
      </w:r>
    </w:p>
    <w:p w14:paraId="5F27EEA4">
      <w:pPr>
        <w:spacing w:before="133" w:line="234" w:lineRule="auto"/>
        <w:ind w:left="340"/>
        <w:rPr>
          <w:rFonts w:ascii="宋体" w:hAnsi="宋体" w:cs="宋体"/>
          <w:color w:val="auto"/>
          <w:szCs w:val="21"/>
          <w:highlight w:val="none"/>
        </w:rPr>
      </w:pPr>
      <w:r>
        <w:rPr>
          <w:rFonts w:ascii="宋体" w:hAnsi="宋体" w:cs="宋体"/>
          <w:color w:val="auto"/>
          <w:spacing w:val="-3"/>
          <w:szCs w:val="21"/>
          <w:highlight w:val="none"/>
        </w:rPr>
        <w:t>（</w:t>
      </w:r>
      <w:r>
        <w:rPr>
          <w:rFonts w:eastAsia="Times New Roman"/>
          <w:color w:val="auto"/>
          <w:spacing w:val="-3"/>
          <w:szCs w:val="21"/>
          <w:highlight w:val="none"/>
        </w:rPr>
        <w:t>1</w:t>
      </w:r>
      <w:r>
        <w:rPr>
          <w:rFonts w:ascii="宋体" w:hAnsi="宋体" w:cs="宋体"/>
          <w:color w:val="auto"/>
          <w:spacing w:val="-3"/>
          <w:szCs w:val="21"/>
          <w:highlight w:val="none"/>
        </w:rPr>
        <w:t>）为招标人不具有独立法人资格的附属</w:t>
      </w:r>
      <w:r>
        <w:rPr>
          <w:rFonts w:ascii="宋体" w:hAnsi="宋体" w:cs="宋体"/>
          <w:color w:val="auto"/>
          <w:spacing w:val="-4"/>
          <w:szCs w:val="21"/>
          <w:highlight w:val="none"/>
        </w:rPr>
        <w:t>机构（单位</w:t>
      </w:r>
      <w:r>
        <w:rPr>
          <w:rFonts w:ascii="宋体" w:hAnsi="宋体" w:cs="宋体"/>
          <w:color w:val="auto"/>
          <w:spacing w:val="-28"/>
          <w:szCs w:val="21"/>
          <w:highlight w:val="none"/>
        </w:rPr>
        <w:t>）；</w:t>
      </w:r>
    </w:p>
    <w:p w14:paraId="74F9136E">
      <w:pPr>
        <w:spacing w:before="133" w:line="234" w:lineRule="auto"/>
        <w:ind w:left="340"/>
        <w:rPr>
          <w:rFonts w:ascii="宋体" w:hAnsi="宋体" w:cs="宋体"/>
          <w:color w:val="auto"/>
          <w:szCs w:val="21"/>
          <w:highlight w:val="none"/>
        </w:rPr>
      </w:pPr>
      <w:r>
        <w:rPr>
          <w:rFonts w:ascii="宋体" w:hAnsi="宋体" w:cs="宋体"/>
          <w:color w:val="auto"/>
          <w:spacing w:val="-2"/>
          <w:szCs w:val="21"/>
          <w:highlight w:val="none"/>
        </w:rPr>
        <w:t>（</w:t>
      </w:r>
      <w:r>
        <w:rPr>
          <w:rFonts w:eastAsia="Times New Roman"/>
          <w:color w:val="auto"/>
          <w:spacing w:val="-2"/>
          <w:szCs w:val="21"/>
          <w:highlight w:val="none"/>
        </w:rPr>
        <w:t>2</w:t>
      </w:r>
      <w:r>
        <w:rPr>
          <w:rFonts w:ascii="宋体" w:hAnsi="宋体" w:cs="宋体"/>
          <w:color w:val="auto"/>
          <w:spacing w:val="-2"/>
          <w:szCs w:val="21"/>
          <w:highlight w:val="none"/>
        </w:rPr>
        <w:t>）</w:t>
      </w:r>
      <w:r>
        <w:rPr>
          <w:rFonts w:ascii="宋体" w:hAnsi="宋体" w:cs="宋体"/>
          <w:color w:val="auto"/>
          <w:spacing w:val="-1"/>
          <w:szCs w:val="21"/>
          <w:highlight w:val="none"/>
        </w:rPr>
        <w:t>为本招标项目前期准备提供设计或咨询服务的</w:t>
      </w:r>
      <w:r>
        <w:rPr>
          <w:rFonts w:hint="eastAsia" w:ascii="宋体" w:hAnsi="宋体" w:cs="宋体"/>
          <w:color w:val="auto"/>
          <w:spacing w:val="-1"/>
          <w:szCs w:val="21"/>
          <w:highlight w:val="none"/>
          <w:lang w:val="en-US" w:eastAsia="zh-CN"/>
        </w:rPr>
        <w:t>（招标文件另有规定的情形除外）；</w:t>
      </w:r>
    </w:p>
    <w:p w14:paraId="2AFA3AA3">
      <w:pPr>
        <w:spacing w:before="134" w:line="234" w:lineRule="auto"/>
        <w:ind w:left="340"/>
        <w:rPr>
          <w:rFonts w:ascii="宋体" w:hAnsi="宋体" w:cs="宋体"/>
          <w:color w:val="auto"/>
          <w:szCs w:val="21"/>
          <w:highlight w:val="none"/>
        </w:rPr>
      </w:pPr>
      <w:r>
        <w:rPr>
          <w:rFonts w:ascii="宋体" w:hAnsi="宋体" w:cs="宋体"/>
          <w:color w:val="auto"/>
          <w:spacing w:val="-1"/>
          <w:szCs w:val="21"/>
          <w:highlight w:val="none"/>
        </w:rPr>
        <w:t>（</w:t>
      </w:r>
      <w:r>
        <w:rPr>
          <w:rFonts w:eastAsia="Times New Roman"/>
          <w:color w:val="auto"/>
          <w:spacing w:val="-1"/>
          <w:szCs w:val="21"/>
          <w:highlight w:val="none"/>
        </w:rPr>
        <w:t>3</w:t>
      </w:r>
      <w:r>
        <w:rPr>
          <w:rFonts w:ascii="宋体" w:hAnsi="宋体" w:cs="宋体"/>
          <w:color w:val="auto"/>
          <w:spacing w:val="-1"/>
          <w:szCs w:val="21"/>
          <w:highlight w:val="none"/>
        </w:rPr>
        <w:t>）</w:t>
      </w:r>
      <w:r>
        <w:rPr>
          <w:rFonts w:ascii="宋体" w:hAnsi="宋体" w:cs="宋体"/>
          <w:color w:val="auto"/>
          <w:spacing w:val="-3"/>
          <w:szCs w:val="21"/>
          <w:highlight w:val="none"/>
        </w:rPr>
        <w:t>为本招标项目的监理人</w:t>
      </w:r>
      <w:r>
        <w:rPr>
          <w:rFonts w:ascii="宋体" w:hAnsi="宋体" w:cs="宋体"/>
          <w:color w:val="auto"/>
          <w:spacing w:val="-1"/>
          <w:szCs w:val="21"/>
          <w:highlight w:val="none"/>
        </w:rPr>
        <w:t>；</w:t>
      </w:r>
    </w:p>
    <w:p w14:paraId="459475B4">
      <w:pPr>
        <w:spacing w:before="134" w:line="234" w:lineRule="auto"/>
        <w:ind w:left="340"/>
        <w:rPr>
          <w:rFonts w:ascii="宋体" w:hAnsi="宋体" w:cs="宋体"/>
          <w:color w:val="auto"/>
          <w:szCs w:val="21"/>
          <w:highlight w:val="none"/>
        </w:rPr>
      </w:pPr>
      <w:r>
        <w:rPr>
          <w:rFonts w:ascii="宋体" w:hAnsi="宋体" w:cs="宋体"/>
          <w:color w:val="auto"/>
          <w:spacing w:val="-3"/>
          <w:szCs w:val="21"/>
          <w:highlight w:val="none"/>
        </w:rPr>
        <w:t>（</w:t>
      </w:r>
      <w:r>
        <w:rPr>
          <w:rFonts w:eastAsia="Times New Roman"/>
          <w:color w:val="auto"/>
          <w:spacing w:val="-3"/>
          <w:szCs w:val="21"/>
          <w:highlight w:val="none"/>
        </w:rPr>
        <w:t>4</w:t>
      </w:r>
      <w:r>
        <w:rPr>
          <w:rFonts w:ascii="宋体" w:hAnsi="宋体" w:cs="宋体"/>
          <w:color w:val="auto"/>
          <w:spacing w:val="-3"/>
          <w:szCs w:val="21"/>
          <w:highlight w:val="none"/>
        </w:rPr>
        <w:t>）为本招标项目的代建人；</w:t>
      </w:r>
    </w:p>
    <w:p w14:paraId="57A2358E">
      <w:pPr>
        <w:spacing w:before="133" w:line="234" w:lineRule="auto"/>
        <w:ind w:left="340"/>
        <w:rPr>
          <w:rFonts w:ascii="宋体" w:hAnsi="宋体" w:cs="宋体"/>
          <w:color w:val="auto"/>
          <w:szCs w:val="21"/>
          <w:highlight w:val="none"/>
        </w:rPr>
      </w:pPr>
      <w:r>
        <w:rPr>
          <w:rFonts w:ascii="宋体" w:hAnsi="宋体" w:cs="宋体"/>
          <w:color w:val="auto"/>
          <w:spacing w:val="-3"/>
          <w:szCs w:val="21"/>
          <w:highlight w:val="none"/>
        </w:rPr>
        <w:t>（</w:t>
      </w:r>
      <w:r>
        <w:rPr>
          <w:rFonts w:eastAsia="Times New Roman"/>
          <w:color w:val="auto"/>
          <w:spacing w:val="-3"/>
          <w:szCs w:val="21"/>
          <w:highlight w:val="none"/>
        </w:rPr>
        <w:t>5</w:t>
      </w:r>
      <w:r>
        <w:rPr>
          <w:rFonts w:ascii="宋体" w:hAnsi="宋体" w:cs="宋体"/>
          <w:color w:val="auto"/>
          <w:spacing w:val="-3"/>
          <w:szCs w:val="21"/>
          <w:highlight w:val="none"/>
        </w:rPr>
        <w:t>）</w:t>
      </w:r>
      <w:r>
        <w:rPr>
          <w:rFonts w:ascii="宋体" w:hAnsi="宋体" w:cs="宋体"/>
          <w:color w:val="auto"/>
          <w:spacing w:val="-2"/>
          <w:szCs w:val="21"/>
          <w:highlight w:val="none"/>
        </w:rPr>
        <w:t>为本招标项目提供招标代理服务的；</w:t>
      </w:r>
    </w:p>
    <w:p w14:paraId="49CC03E2">
      <w:pPr>
        <w:spacing w:before="134" w:line="287" w:lineRule="auto"/>
        <w:ind w:left="22" w:right="101" w:firstLine="318"/>
        <w:rPr>
          <w:rFonts w:ascii="宋体" w:hAnsi="宋体" w:cs="宋体"/>
          <w:color w:val="auto"/>
          <w:szCs w:val="21"/>
          <w:highlight w:val="none"/>
        </w:rPr>
      </w:pPr>
      <w:r>
        <w:rPr>
          <w:rFonts w:ascii="宋体" w:hAnsi="宋体" w:cs="宋体"/>
          <w:color w:val="auto"/>
          <w:spacing w:val="-2"/>
          <w:szCs w:val="21"/>
          <w:highlight w:val="none"/>
        </w:rPr>
        <w:t>（</w:t>
      </w:r>
      <w:r>
        <w:rPr>
          <w:rFonts w:eastAsia="Times New Roman"/>
          <w:color w:val="auto"/>
          <w:spacing w:val="-2"/>
          <w:szCs w:val="21"/>
          <w:highlight w:val="none"/>
        </w:rPr>
        <w:t>6</w:t>
      </w:r>
      <w:r>
        <w:rPr>
          <w:rFonts w:ascii="宋体" w:hAnsi="宋体" w:cs="宋体"/>
          <w:color w:val="auto"/>
          <w:spacing w:val="-2"/>
          <w:szCs w:val="21"/>
          <w:highlight w:val="none"/>
        </w:rPr>
        <w:t>）</w:t>
      </w:r>
      <w:r>
        <w:rPr>
          <w:rFonts w:ascii="宋体" w:hAnsi="宋体" w:cs="宋体"/>
          <w:color w:val="auto"/>
          <w:spacing w:val="3"/>
          <w:szCs w:val="21"/>
          <w:highlight w:val="none"/>
        </w:rPr>
        <w:t>与本招标项目的监理人或代建人或招标代理机构同为一个法定代表人或单</w:t>
      </w:r>
      <w:r>
        <w:rPr>
          <w:rFonts w:ascii="宋体" w:hAnsi="宋体" w:cs="宋体"/>
          <w:color w:val="auto"/>
          <w:spacing w:val="2"/>
          <w:szCs w:val="21"/>
          <w:highlight w:val="none"/>
        </w:rPr>
        <w:t>位负责</w:t>
      </w:r>
      <w:r>
        <w:rPr>
          <w:rFonts w:ascii="宋体" w:hAnsi="宋体" w:cs="宋体"/>
          <w:color w:val="auto"/>
          <w:spacing w:val="-15"/>
          <w:szCs w:val="21"/>
          <w:highlight w:val="none"/>
        </w:rPr>
        <w:t>人；</w:t>
      </w:r>
    </w:p>
    <w:p w14:paraId="02E4D431">
      <w:pPr>
        <w:spacing w:before="148" w:line="234" w:lineRule="auto"/>
        <w:ind w:left="340"/>
        <w:rPr>
          <w:rFonts w:ascii="宋体" w:hAnsi="宋体" w:cs="宋体"/>
          <w:color w:val="auto"/>
          <w:szCs w:val="21"/>
          <w:highlight w:val="none"/>
        </w:rPr>
      </w:pPr>
      <w:r>
        <w:rPr>
          <w:rFonts w:ascii="宋体" w:hAnsi="宋体" w:cs="宋体"/>
          <w:color w:val="auto"/>
          <w:spacing w:val="3"/>
          <w:szCs w:val="21"/>
          <w:highlight w:val="none"/>
        </w:rPr>
        <w:t>（</w:t>
      </w:r>
      <w:r>
        <w:rPr>
          <w:rFonts w:eastAsia="Times New Roman"/>
          <w:color w:val="auto"/>
          <w:spacing w:val="3"/>
          <w:szCs w:val="21"/>
          <w:highlight w:val="none"/>
        </w:rPr>
        <w:t>7</w:t>
      </w:r>
      <w:r>
        <w:rPr>
          <w:rFonts w:ascii="宋体" w:hAnsi="宋体" w:cs="宋体"/>
          <w:color w:val="auto"/>
          <w:spacing w:val="3"/>
          <w:szCs w:val="21"/>
          <w:highlight w:val="none"/>
        </w:rPr>
        <w:t>）</w:t>
      </w:r>
      <w:r>
        <w:rPr>
          <w:rFonts w:ascii="宋体" w:hAnsi="宋体" w:cs="宋体"/>
          <w:color w:val="auto"/>
          <w:szCs w:val="21"/>
          <w:highlight w:val="none"/>
        </w:rPr>
        <w:t>与本招标项目的监理人或代建人或招标代理</w:t>
      </w:r>
      <w:r>
        <w:rPr>
          <w:rFonts w:ascii="宋体" w:hAnsi="宋体" w:cs="宋体"/>
          <w:color w:val="auto"/>
          <w:spacing w:val="-1"/>
          <w:szCs w:val="21"/>
          <w:highlight w:val="none"/>
        </w:rPr>
        <w:t>机构相互控股或参股的；</w:t>
      </w:r>
    </w:p>
    <w:p w14:paraId="51E46EA9">
      <w:pPr>
        <w:spacing w:before="148" w:line="234" w:lineRule="auto"/>
        <w:ind w:left="340"/>
        <w:rPr>
          <w:rFonts w:ascii="宋体" w:hAnsi="宋体" w:cs="宋体"/>
          <w:color w:val="auto"/>
          <w:szCs w:val="21"/>
          <w:highlight w:val="none"/>
        </w:rPr>
      </w:pPr>
      <w:r>
        <w:rPr>
          <w:rFonts w:ascii="宋体" w:hAnsi="宋体" w:cs="宋体"/>
          <w:color w:val="auto"/>
          <w:szCs w:val="21"/>
          <w:highlight w:val="none"/>
        </w:rPr>
        <w:t>（</w:t>
      </w:r>
      <w:r>
        <w:rPr>
          <w:rFonts w:eastAsia="Times New Roman"/>
          <w:color w:val="auto"/>
          <w:szCs w:val="21"/>
          <w:highlight w:val="none"/>
        </w:rPr>
        <w:t>8</w:t>
      </w:r>
      <w:r>
        <w:rPr>
          <w:rFonts w:ascii="宋体" w:hAnsi="宋体" w:cs="宋体"/>
          <w:color w:val="auto"/>
          <w:szCs w:val="21"/>
          <w:highlight w:val="none"/>
        </w:rPr>
        <w:t>）</w:t>
      </w:r>
      <w:r>
        <w:rPr>
          <w:rFonts w:ascii="宋体" w:hAnsi="宋体" w:cs="宋体"/>
          <w:color w:val="auto"/>
          <w:spacing w:val="3"/>
          <w:szCs w:val="21"/>
          <w:highlight w:val="none"/>
        </w:rPr>
        <w:t>与本招标项目的监理人或代建人或招标代理机构法定</w:t>
      </w:r>
      <w:r>
        <w:rPr>
          <w:rFonts w:ascii="宋体" w:hAnsi="宋体" w:cs="宋体"/>
          <w:color w:val="auto"/>
          <w:spacing w:val="2"/>
          <w:szCs w:val="21"/>
          <w:highlight w:val="none"/>
        </w:rPr>
        <w:t>代表人或单位负责人相互任</w:t>
      </w:r>
      <w:r>
        <w:rPr>
          <w:rFonts w:ascii="宋体" w:hAnsi="宋体" w:cs="宋体"/>
          <w:color w:val="auto"/>
          <w:spacing w:val="-7"/>
          <w:szCs w:val="21"/>
          <w:highlight w:val="none"/>
        </w:rPr>
        <w:t>职或工作；</w:t>
      </w:r>
    </w:p>
    <w:p w14:paraId="79735377">
      <w:pPr>
        <w:spacing w:before="148" w:line="288" w:lineRule="auto"/>
        <w:ind w:left="37" w:right="100" w:firstLine="303"/>
        <w:rPr>
          <w:rFonts w:ascii="宋体" w:hAnsi="宋体" w:cs="宋体"/>
          <w:color w:val="auto"/>
          <w:szCs w:val="21"/>
          <w:highlight w:val="none"/>
        </w:rPr>
      </w:pPr>
      <w:r>
        <w:rPr>
          <w:rFonts w:ascii="宋体" w:hAnsi="宋体" w:cs="宋体"/>
          <w:color w:val="auto"/>
          <w:spacing w:val="3"/>
          <w:szCs w:val="21"/>
          <w:highlight w:val="none"/>
        </w:rPr>
        <w:t>（</w:t>
      </w:r>
      <w:r>
        <w:rPr>
          <w:rFonts w:eastAsia="Times New Roman"/>
          <w:color w:val="auto"/>
          <w:spacing w:val="3"/>
          <w:szCs w:val="21"/>
          <w:highlight w:val="none"/>
        </w:rPr>
        <w:t>9</w:t>
      </w:r>
      <w:r>
        <w:rPr>
          <w:rFonts w:ascii="宋体" w:hAnsi="宋体" w:cs="宋体"/>
          <w:color w:val="auto"/>
          <w:spacing w:val="3"/>
          <w:szCs w:val="21"/>
          <w:highlight w:val="none"/>
        </w:rPr>
        <w:t>）</w:t>
      </w:r>
      <w:r>
        <w:rPr>
          <w:rFonts w:ascii="宋体" w:hAnsi="宋体" w:cs="宋体"/>
          <w:color w:val="auto"/>
          <w:szCs w:val="21"/>
          <w:highlight w:val="none"/>
        </w:rPr>
        <w:t>单位负责人为同一人或者存在控股、管理关系的不同单位，同时参加本标段投标</w:t>
      </w:r>
      <w:r>
        <w:rPr>
          <w:rFonts w:ascii="宋体" w:hAnsi="宋体" w:cs="宋体"/>
          <w:color w:val="auto"/>
          <w:spacing w:val="-19"/>
          <w:szCs w:val="21"/>
          <w:highlight w:val="none"/>
        </w:rPr>
        <w:t>的；</w:t>
      </w:r>
    </w:p>
    <w:p w14:paraId="5979C286">
      <w:pPr>
        <w:spacing w:before="134" w:line="308" w:lineRule="auto"/>
        <w:ind w:left="25" w:right="103" w:firstLine="315"/>
        <w:rPr>
          <w:rFonts w:ascii="宋体" w:hAnsi="宋体" w:cs="宋体"/>
          <w:color w:val="auto"/>
          <w:szCs w:val="21"/>
          <w:highlight w:val="none"/>
        </w:rPr>
      </w:pPr>
      <w:r>
        <w:rPr>
          <w:rFonts w:ascii="宋体" w:hAnsi="宋体" w:cs="宋体"/>
          <w:color w:val="auto"/>
          <w:szCs w:val="21"/>
          <w:highlight w:val="none"/>
        </w:rPr>
        <w:t>（</w:t>
      </w:r>
      <w:r>
        <w:rPr>
          <w:rFonts w:eastAsia="Times New Roman"/>
          <w:color w:val="auto"/>
          <w:szCs w:val="21"/>
          <w:highlight w:val="none"/>
        </w:rPr>
        <w:t>10</w:t>
      </w:r>
      <w:r>
        <w:rPr>
          <w:rFonts w:ascii="宋体" w:hAnsi="宋体" w:cs="宋体"/>
          <w:color w:val="auto"/>
          <w:szCs w:val="21"/>
          <w:highlight w:val="none"/>
        </w:rPr>
        <w:t>）被依法暂停或取消投标资格（指被本招标项目所在地县级及以上住房城乡建设主</w:t>
      </w:r>
      <w:r>
        <w:rPr>
          <w:rFonts w:ascii="宋体" w:hAnsi="宋体" w:cs="宋体"/>
          <w:color w:val="auto"/>
          <w:spacing w:val="3"/>
          <w:szCs w:val="21"/>
          <w:highlight w:val="none"/>
        </w:rPr>
        <w:t>管部门或其他行政主管部门暂停或取消投标资格或禁止进入该区域建设</w:t>
      </w:r>
      <w:r>
        <w:rPr>
          <w:rFonts w:ascii="宋体" w:hAnsi="宋体" w:cs="宋体"/>
          <w:color w:val="auto"/>
          <w:spacing w:val="2"/>
          <w:szCs w:val="21"/>
          <w:highlight w:val="none"/>
        </w:rPr>
        <w:t>市场且处于有效期</w:t>
      </w:r>
      <w:r>
        <w:rPr>
          <w:rFonts w:ascii="宋体" w:hAnsi="宋体" w:cs="宋体"/>
          <w:color w:val="auto"/>
          <w:spacing w:val="-54"/>
          <w:w w:val="94"/>
          <w:szCs w:val="21"/>
          <w:highlight w:val="none"/>
        </w:rPr>
        <w:t>内</w:t>
      </w:r>
      <w:r>
        <w:rPr>
          <w:rFonts w:ascii="宋体" w:hAnsi="宋体" w:cs="宋体"/>
          <w:color w:val="auto"/>
          <w:spacing w:val="-33"/>
          <w:szCs w:val="21"/>
          <w:highlight w:val="none"/>
        </w:rPr>
        <w:t>）；</w:t>
      </w:r>
    </w:p>
    <w:p w14:paraId="187F34E1">
      <w:pPr>
        <w:spacing w:before="145" w:line="234" w:lineRule="auto"/>
        <w:ind w:left="340"/>
        <w:rPr>
          <w:rFonts w:ascii="宋体" w:hAnsi="宋体" w:cs="宋体"/>
          <w:color w:val="auto"/>
          <w:szCs w:val="21"/>
          <w:highlight w:val="none"/>
        </w:rPr>
      </w:pPr>
      <w:r>
        <w:rPr>
          <w:rFonts w:ascii="宋体" w:hAnsi="宋体" w:cs="宋体"/>
          <w:color w:val="auto"/>
          <w:spacing w:val="-1"/>
          <w:szCs w:val="21"/>
          <w:highlight w:val="none"/>
        </w:rPr>
        <w:t>（</w:t>
      </w:r>
      <w:r>
        <w:rPr>
          <w:rFonts w:eastAsia="Times New Roman"/>
          <w:color w:val="auto"/>
          <w:spacing w:val="-1"/>
          <w:szCs w:val="21"/>
          <w:highlight w:val="none"/>
        </w:rPr>
        <w:t>11</w:t>
      </w:r>
      <w:r>
        <w:rPr>
          <w:rFonts w:ascii="宋体" w:hAnsi="宋体" w:cs="宋体"/>
          <w:color w:val="auto"/>
          <w:spacing w:val="-1"/>
          <w:szCs w:val="21"/>
          <w:highlight w:val="none"/>
        </w:rPr>
        <w:t>）被责令停产停业、暂扣或者吊销许可证、暂扣或者吊销执照；</w:t>
      </w:r>
    </w:p>
    <w:p w14:paraId="208103C6">
      <w:pPr>
        <w:spacing w:before="134" w:line="308" w:lineRule="auto"/>
        <w:ind w:left="25" w:right="103" w:firstLine="315"/>
        <w:rPr>
          <w:rFonts w:ascii="宋体" w:hAnsi="宋体" w:cs="宋体"/>
          <w:color w:val="auto"/>
          <w:szCs w:val="21"/>
          <w:highlight w:val="none"/>
        </w:rPr>
      </w:pPr>
      <w:r>
        <w:rPr>
          <w:rFonts w:ascii="宋体" w:hAnsi="宋体" w:cs="宋体"/>
          <w:color w:val="auto"/>
          <w:szCs w:val="21"/>
          <w:highlight w:val="none"/>
        </w:rPr>
        <w:t>（</w:t>
      </w:r>
      <w:r>
        <w:rPr>
          <w:rFonts w:eastAsia="Times New Roman"/>
          <w:color w:val="auto"/>
          <w:szCs w:val="21"/>
          <w:highlight w:val="none"/>
        </w:rPr>
        <w:t>12</w:t>
      </w:r>
      <w:r>
        <w:rPr>
          <w:rFonts w:ascii="宋体" w:hAnsi="宋体" w:cs="宋体"/>
          <w:color w:val="auto"/>
          <w:szCs w:val="21"/>
          <w:highlight w:val="none"/>
        </w:rPr>
        <w:t>）进入清算程序，或被宣告破产，或其他丧</w:t>
      </w:r>
      <w:r>
        <w:rPr>
          <w:rFonts w:ascii="宋体" w:hAnsi="宋体" w:cs="宋体"/>
          <w:color w:val="auto"/>
          <w:spacing w:val="-1"/>
          <w:szCs w:val="21"/>
          <w:highlight w:val="none"/>
        </w:rPr>
        <w:t>失履约能力的情形；</w:t>
      </w:r>
    </w:p>
    <w:p w14:paraId="46B9C541">
      <w:pPr>
        <w:spacing w:before="150" w:line="233" w:lineRule="auto"/>
        <w:ind w:left="340"/>
        <w:rPr>
          <w:rFonts w:hint="eastAsia" w:ascii="宋体" w:hAnsi="宋体" w:eastAsia="宋体" w:cs="宋体"/>
          <w:color w:val="auto"/>
          <w:szCs w:val="21"/>
          <w:highlight w:val="none"/>
          <w:lang w:eastAsia="zh-CN"/>
        </w:rPr>
      </w:pPr>
      <w:r>
        <w:rPr>
          <w:rFonts w:ascii="宋体" w:hAnsi="宋体" w:cs="宋体"/>
          <w:color w:val="auto"/>
          <w:szCs w:val="21"/>
          <w:highlight w:val="none"/>
        </w:rPr>
        <w:t>（</w:t>
      </w:r>
      <w:r>
        <w:rPr>
          <w:rFonts w:eastAsia="Times New Roman"/>
          <w:color w:val="auto"/>
          <w:szCs w:val="21"/>
          <w:highlight w:val="none"/>
        </w:rPr>
        <w:t>13</w:t>
      </w:r>
      <w:r>
        <w:rPr>
          <w:rFonts w:ascii="宋体" w:hAnsi="宋体" w:cs="宋体"/>
          <w:color w:val="auto"/>
          <w:szCs w:val="21"/>
          <w:highlight w:val="none"/>
        </w:rPr>
        <w:t>）</w:t>
      </w:r>
      <w:r>
        <w:rPr>
          <w:rFonts w:ascii="宋体" w:hAnsi="宋体" w:cs="宋体"/>
          <w:color w:val="auto"/>
          <w:spacing w:val="3"/>
          <w:szCs w:val="21"/>
          <w:highlight w:val="none"/>
        </w:rPr>
        <w:t>在最近三年内有骗取中标或严重违约</w:t>
      </w:r>
      <w:r>
        <w:rPr>
          <w:rFonts w:ascii="宋体" w:hAnsi="宋体" w:cs="宋体"/>
          <w:color w:val="auto"/>
          <w:spacing w:val="2"/>
          <w:szCs w:val="21"/>
          <w:highlight w:val="none"/>
        </w:rPr>
        <w:t>或重大工程质量问题的 （以相关行业主管</w:t>
      </w:r>
      <w:r>
        <w:rPr>
          <w:rFonts w:ascii="宋体" w:hAnsi="宋体" w:cs="宋体"/>
          <w:color w:val="auto"/>
          <w:szCs w:val="21"/>
          <w:highlight w:val="none"/>
        </w:rPr>
        <w:t xml:space="preserve"> 部门的行政处罚决定或司法机关出具的有关</w:t>
      </w:r>
      <w:r>
        <w:rPr>
          <w:rFonts w:ascii="宋体" w:hAnsi="宋体" w:cs="宋体"/>
          <w:color w:val="auto"/>
          <w:spacing w:val="-1"/>
          <w:szCs w:val="21"/>
          <w:highlight w:val="none"/>
        </w:rPr>
        <w:t>法律文书为准</w:t>
      </w:r>
      <w:r>
        <w:rPr>
          <w:rFonts w:ascii="宋体" w:hAnsi="宋体" w:cs="宋体"/>
          <w:color w:val="auto"/>
          <w:spacing w:val="-54"/>
          <w:w w:val="97"/>
          <w:szCs w:val="21"/>
          <w:highlight w:val="none"/>
        </w:rPr>
        <w:t>）</w:t>
      </w:r>
      <w:r>
        <w:rPr>
          <w:rFonts w:hint="eastAsia" w:ascii="宋体" w:hAnsi="宋体" w:cs="宋体"/>
          <w:color w:val="auto"/>
          <w:spacing w:val="-54"/>
          <w:w w:val="97"/>
          <w:szCs w:val="21"/>
          <w:highlight w:val="none"/>
          <w:lang w:eastAsia="zh-CN"/>
        </w:rPr>
        <w:t>；</w:t>
      </w:r>
    </w:p>
    <w:p w14:paraId="4765FEF4">
      <w:pPr>
        <w:spacing w:before="150" w:line="287" w:lineRule="auto"/>
        <w:ind w:left="19" w:right="114" w:firstLine="321"/>
        <w:rPr>
          <w:rFonts w:ascii="宋体" w:hAnsi="宋体" w:cs="宋体"/>
          <w:color w:val="auto"/>
          <w:szCs w:val="21"/>
          <w:highlight w:val="none"/>
        </w:rPr>
      </w:pPr>
      <w:r>
        <w:rPr>
          <w:rFonts w:ascii="宋体" w:hAnsi="宋体" w:cs="宋体"/>
          <w:color w:val="auto"/>
          <w:spacing w:val="3"/>
          <w:szCs w:val="21"/>
          <w:highlight w:val="none"/>
        </w:rPr>
        <w:t>（</w:t>
      </w:r>
      <w:r>
        <w:rPr>
          <w:rFonts w:eastAsia="Times New Roman"/>
          <w:color w:val="auto"/>
          <w:spacing w:val="3"/>
          <w:szCs w:val="21"/>
          <w:highlight w:val="none"/>
        </w:rPr>
        <w:t>14</w:t>
      </w:r>
      <w:r>
        <w:rPr>
          <w:rFonts w:ascii="宋体" w:hAnsi="宋体" w:cs="宋体"/>
          <w:color w:val="auto"/>
          <w:spacing w:val="3"/>
          <w:szCs w:val="21"/>
          <w:highlight w:val="none"/>
        </w:rPr>
        <w:t>）</w:t>
      </w:r>
      <w:r>
        <w:rPr>
          <w:rFonts w:ascii="宋体" w:hAnsi="宋体" w:cs="宋体"/>
          <w:color w:val="auto"/>
          <w:spacing w:val="-1"/>
          <w:szCs w:val="21"/>
          <w:highlight w:val="none"/>
        </w:rPr>
        <w:t>在“国家企业信用信息公示系统”（</w:t>
      </w:r>
      <w:r>
        <w:rPr>
          <w:color w:val="auto"/>
          <w:highlight w:val="none"/>
        </w:rPr>
        <w:fldChar w:fldCharType="begin"/>
      </w:r>
      <w:r>
        <w:rPr>
          <w:color w:val="auto"/>
          <w:highlight w:val="none"/>
        </w:rPr>
        <w:instrText xml:space="preserve"> HYPERLINK "https://www.gsxt.gov.cn" </w:instrText>
      </w:r>
      <w:r>
        <w:rPr>
          <w:color w:val="auto"/>
          <w:highlight w:val="none"/>
        </w:rPr>
        <w:fldChar w:fldCharType="separate"/>
      </w:r>
      <w:r>
        <w:rPr>
          <w:rFonts w:eastAsia="Times New Roman"/>
          <w:color w:val="auto"/>
          <w:spacing w:val="-1"/>
          <w:szCs w:val="21"/>
          <w:highlight w:val="none"/>
        </w:rPr>
        <w:t>www.gsxt.gov.cn</w:t>
      </w:r>
      <w:r>
        <w:rPr>
          <w:rFonts w:eastAsia="Times New Roman"/>
          <w:color w:val="auto"/>
          <w:spacing w:val="-1"/>
          <w:szCs w:val="21"/>
          <w:highlight w:val="none"/>
        </w:rPr>
        <w:fldChar w:fldCharType="end"/>
      </w:r>
      <w:r>
        <w:rPr>
          <w:rFonts w:ascii="宋体" w:hAnsi="宋体" w:cs="宋体"/>
          <w:color w:val="auto"/>
          <w:spacing w:val="-1"/>
          <w:szCs w:val="21"/>
          <w:highlight w:val="none"/>
        </w:rPr>
        <w:t>）中被列入严重违法失信企业名单；</w:t>
      </w:r>
    </w:p>
    <w:p w14:paraId="736F9595">
      <w:pPr>
        <w:spacing w:before="147" w:line="283" w:lineRule="auto"/>
        <w:ind w:left="26" w:firstLine="314"/>
        <w:rPr>
          <w:rFonts w:ascii="宋体" w:hAnsi="宋体" w:cs="宋体"/>
          <w:color w:val="auto"/>
          <w:szCs w:val="21"/>
          <w:highlight w:val="none"/>
        </w:rPr>
      </w:pPr>
      <w:r>
        <w:rPr>
          <w:rFonts w:ascii="宋体" w:hAnsi="宋体" w:cs="宋体"/>
          <w:color w:val="auto"/>
          <w:spacing w:val="-1"/>
          <w:szCs w:val="21"/>
          <w:highlight w:val="none"/>
        </w:rPr>
        <w:t>（</w:t>
      </w:r>
      <w:r>
        <w:rPr>
          <w:rFonts w:eastAsia="Times New Roman"/>
          <w:color w:val="auto"/>
          <w:spacing w:val="-1"/>
          <w:szCs w:val="21"/>
          <w:highlight w:val="none"/>
        </w:rPr>
        <w:t>15</w:t>
      </w:r>
      <w:r>
        <w:rPr>
          <w:rFonts w:ascii="宋体" w:hAnsi="宋体" w:cs="宋体"/>
          <w:color w:val="auto"/>
          <w:spacing w:val="-1"/>
          <w:szCs w:val="21"/>
          <w:highlight w:val="none"/>
        </w:rPr>
        <w:t>）</w:t>
      </w:r>
      <w:r>
        <w:rPr>
          <w:rFonts w:ascii="宋体" w:hAnsi="宋体" w:cs="宋体"/>
          <w:color w:val="auto"/>
          <w:spacing w:val="15"/>
          <w:szCs w:val="21"/>
          <w:highlight w:val="none"/>
        </w:rPr>
        <w:t>在“信用中国”网站（</w:t>
      </w:r>
      <w:r>
        <w:rPr>
          <w:color w:val="auto"/>
          <w:highlight w:val="none"/>
        </w:rPr>
        <w:fldChar w:fldCharType="begin"/>
      </w:r>
      <w:r>
        <w:rPr>
          <w:color w:val="auto"/>
          <w:highlight w:val="none"/>
        </w:rPr>
        <w:instrText xml:space="preserve"> HYPERLINK "https://www.creditchina.gov.cn" </w:instrText>
      </w:r>
      <w:r>
        <w:rPr>
          <w:color w:val="auto"/>
          <w:highlight w:val="none"/>
        </w:rPr>
        <w:fldChar w:fldCharType="separate"/>
      </w:r>
      <w:r>
        <w:rPr>
          <w:rFonts w:eastAsia="Times New Roman"/>
          <w:color w:val="auto"/>
          <w:szCs w:val="21"/>
          <w:highlight w:val="none"/>
        </w:rPr>
        <w:t>www</w:t>
      </w:r>
      <w:r>
        <w:rPr>
          <w:rFonts w:eastAsia="Times New Roman"/>
          <w:color w:val="auto"/>
          <w:spacing w:val="15"/>
          <w:szCs w:val="21"/>
          <w:highlight w:val="none"/>
        </w:rPr>
        <w:t>.</w:t>
      </w:r>
      <w:r>
        <w:rPr>
          <w:rFonts w:eastAsia="Times New Roman"/>
          <w:color w:val="auto"/>
          <w:szCs w:val="21"/>
          <w:highlight w:val="none"/>
        </w:rPr>
        <w:t>creditchina</w:t>
      </w:r>
      <w:r>
        <w:rPr>
          <w:rFonts w:eastAsia="Times New Roman"/>
          <w:color w:val="auto"/>
          <w:spacing w:val="15"/>
          <w:szCs w:val="21"/>
          <w:highlight w:val="none"/>
        </w:rPr>
        <w:t>.</w:t>
      </w:r>
      <w:r>
        <w:rPr>
          <w:rFonts w:eastAsia="Times New Roman"/>
          <w:color w:val="auto"/>
          <w:szCs w:val="21"/>
          <w:highlight w:val="none"/>
        </w:rPr>
        <w:t>gov</w:t>
      </w:r>
      <w:r>
        <w:rPr>
          <w:rFonts w:eastAsia="Times New Roman"/>
          <w:color w:val="auto"/>
          <w:spacing w:val="15"/>
          <w:szCs w:val="21"/>
          <w:highlight w:val="none"/>
        </w:rPr>
        <w:t>.</w:t>
      </w:r>
      <w:r>
        <w:rPr>
          <w:rFonts w:eastAsia="Times New Roman"/>
          <w:color w:val="auto"/>
          <w:szCs w:val="21"/>
          <w:highlight w:val="none"/>
        </w:rPr>
        <w:t>cn</w:t>
      </w:r>
      <w:r>
        <w:rPr>
          <w:rFonts w:eastAsia="Times New Roman"/>
          <w:color w:val="auto"/>
          <w:szCs w:val="21"/>
          <w:highlight w:val="none"/>
        </w:rPr>
        <w:fldChar w:fldCharType="end"/>
      </w:r>
      <w:r>
        <w:rPr>
          <w:rFonts w:ascii="宋体" w:hAnsi="宋体" w:cs="宋体"/>
          <w:color w:val="auto"/>
          <w:spacing w:val="15"/>
          <w:szCs w:val="21"/>
          <w:highlight w:val="none"/>
        </w:rPr>
        <w:t>）或“中国执行信息公开网”</w:t>
      </w:r>
      <w:r>
        <w:rPr>
          <w:rFonts w:ascii="宋体" w:hAnsi="宋体" w:cs="宋体"/>
          <w:color w:val="auto"/>
          <w:szCs w:val="21"/>
          <w:highlight w:val="none"/>
        </w:rPr>
        <w:t xml:space="preserve"> （</w:t>
      </w:r>
      <w:r>
        <w:rPr>
          <w:color w:val="auto"/>
          <w:highlight w:val="none"/>
        </w:rPr>
        <w:fldChar w:fldCharType="begin"/>
      </w:r>
      <w:r>
        <w:rPr>
          <w:color w:val="auto"/>
          <w:highlight w:val="none"/>
        </w:rPr>
        <w:instrText xml:space="preserve"> HYPERLINK "http://zxgk.court.gov.cn/shixin/" </w:instrText>
      </w:r>
      <w:r>
        <w:rPr>
          <w:color w:val="auto"/>
          <w:highlight w:val="none"/>
        </w:rPr>
        <w:fldChar w:fldCharType="separate"/>
      </w:r>
      <w:r>
        <w:rPr>
          <w:rFonts w:eastAsia="Times New Roman"/>
          <w:color w:val="auto"/>
          <w:szCs w:val="21"/>
          <w:highlight w:val="none"/>
        </w:rPr>
        <w:t>http://zxgk.court.g</w:t>
      </w:r>
      <w:r>
        <w:rPr>
          <w:rFonts w:eastAsia="Times New Roman"/>
          <w:color w:val="auto"/>
          <w:spacing w:val="-1"/>
          <w:szCs w:val="21"/>
          <w:highlight w:val="none"/>
        </w:rPr>
        <w:t>ov.cn/shixin/</w:t>
      </w:r>
      <w:r>
        <w:rPr>
          <w:rFonts w:eastAsia="Times New Roman"/>
          <w:color w:val="auto"/>
          <w:spacing w:val="-1"/>
          <w:szCs w:val="21"/>
          <w:highlight w:val="none"/>
        </w:rPr>
        <w:fldChar w:fldCharType="end"/>
      </w:r>
      <w:r>
        <w:rPr>
          <w:rFonts w:ascii="宋体" w:hAnsi="宋体" w:cs="宋体"/>
          <w:color w:val="auto"/>
          <w:spacing w:val="-1"/>
          <w:szCs w:val="21"/>
          <w:highlight w:val="none"/>
        </w:rPr>
        <w:t>）被列入失信被执行人名单；</w:t>
      </w:r>
    </w:p>
    <w:p w14:paraId="42AB92F8">
      <w:pPr>
        <w:spacing w:before="159" w:line="234" w:lineRule="auto"/>
        <w:ind w:left="340"/>
        <w:rPr>
          <w:rFonts w:ascii="宋体" w:hAnsi="宋体" w:cs="宋体"/>
          <w:color w:val="auto"/>
          <w:szCs w:val="21"/>
          <w:highlight w:val="none"/>
        </w:rPr>
      </w:pPr>
      <w:r>
        <w:rPr>
          <w:rFonts w:ascii="宋体" w:hAnsi="宋体" w:cs="宋体"/>
          <w:color w:val="auto"/>
          <w:spacing w:val="15"/>
          <w:szCs w:val="21"/>
          <w:highlight w:val="none"/>
        </w:rPr>
        <w:t>（</w:t>
      </w:r>
      <w:r>
        <w:rPr>
          <w:rFonts w:eastAsia="Times New Roman"/>
          <w:color w:val="auto"/>
          <w:spacing w:val="15"/>
          <w:szCs w:val="21"/>
          <w:highlight w:val="none"/>
        </w:rPr>
        <w:t>16</w:t>
      </w:r>
      <w:r>
        <w:rPr>
          <w:rFonts w:ascii="宋体" w:hAnsi="宋体" w:cs="宋体"/>
          <w:color w:val="auto"/>
          <w:spacing w:val="15"/>
          <w:szCs w:val="21"/>
          <w:highlight w:val="none"/>
        </w:rPr>
        <w:t>）</w:t>
      </w:r>
      <w:r>
        <w:rPr>
          <w:rFonts w:ascii="宋体" w:hAnsi="宋体" w:cs="宋体"/>
          <w:color w:val="auto"/>
          <w:spacing w:val="4"/>
          <w:szCs w:val="21"/>
          <w:highlight w:val="none"/>
        </w:rPr>
        <w:t>在辽宁省建设工程招投标监督平台</w:t>
      </w:r>
      <w:r>
        <w:rPr>
          <w:rFonts w:eastAsia="Times New Roman"/>
          <w:color w:val="auto"/>
          <w:spacing w:val="4"/>
          <w:szCs w:val="21"/>
          <w:highlight w:val="none"/>
        </w:rPr>
        <w:t>-</w:t>
      </w:r>
      <w:r>
        <w:rPr>
          <w:rFonts w:ascii="宋体" w:hAnsi="宋体" w:cs="宋体"/>
          <w:color w:val="auto"/>
          <w:spacing w:val="4"/>
          <w:szCs w:val="21"/>
          <w:highlight w:val="none"/>
        </w:rPr>
        <w:t>辽宁</w:t>
      </w:r>
      <w:r>
        <w:rPr>
          <w:rFonts w:ascii="宋体" w:hAnsi="宋体" w:cs="宋体"/>
          <w:color w:val="auto"/>
          <w:spacing w:val="3"/>
          <w:szCs w:val="21"/>
          <w:highlight w:val="none"/>
        </w:rPr>
        <w:t>建设工程信息网上被列入不良行为记录</w:t>
      </w:r>
    </w:p>
    <w:p w14:paraId="3D7BA725">
      <w:pPr>
        <w:spacing w:line="234" w:lineRule="auto"/>
        <w:rPr>
          <w:rFonts w:ascii="宋体" w:hAnsi="宋体" w:cs="宋体"/>
          <w:color w:val="auto"/>
          <w:szCs w:val="21"/>
          <w:highlight w:val="none"/>
        </w:rPr>
        <w:sectPr>
          <w:footerReference r:id="rId5" w:type="default"/>
          <w:pgSz w:w="11907" w:h="16839"/>
          <w:pgMar w:top="1431" w:right="1690" w:bottom="1154" w:left="1785" w:header="0" w:footer="953" w:gutter="0"/>
          <w:pgNumType w:fmt="decimal"/>
          <w:cols w:space="720" w:num="1"/>
        </w:sectPr>
      </w:pPr>
    </w:p>
    <w:p w14:paraId="3AB4F8FC">
      <w:pPr>
        <w:spacing w:before="149" w:line="220" w:lineRule="auto"/>
        <w:ind w:left="20"/>
        <w:rPr>
          <w:rFonts w:ascii="宋体" w:hAnsi="宋体" w:cs="宋体"/>
          <w:color w:val="auto"/>
          <w:szCs w:val="21"/>
          <w:highlight w:val="none"/>
        </w:rPr>
      </w:pPr>
      <w:r>
        <w:rPr>
          <w:rFonts w:ascii="宋体" w:hAnsi="宋体" w:cs="宋体"/>
          <w:color w:val="auto"/>
          <w:spacing w:val="-1"/>
          <w:szCs w:val="21"/>
          <w:highlight w:val="none"/>
        </w:rPr>
        <w:t>且在公布期内的；</w:t>
      </w:r>
    </w:p>
    <w:p w14:paraId="4151AEA9">
      <w:pPr>
        <w:spacing w:before="149" w:line="220" w:lineRule="auto"/>
        <w:ind w:left="20"/>
        <w:rPr>
          <w:rFonts w:ascii="宋体" w:hAnsi="宋体" w:cs="宋体"/>
          <w:color w:val="auto"/>
          <w:szCs w:val="21"/>
          <w:highlight w:val="none"/>
        </w:rPr>
      </w:pPr>
      <w:r>
        <w:rPr>
          <w:rFonts w:ascii="宋体" w:hAnsi="宋体" w:cs="宋体"/>
          <w:color w:val="auto"/>
          <w:spacing w:val="4"/>
          <w:szCs w:val="21"/>
          <w:highlight w:val="none"/>
        </w:rPr>
        <w:t>（</w:t>
      </w:r>
      <w:r>
        <w:rPr>
          <w:rFonts w:eastAsia="Times New Roman"/>
          <w:color w:val="auto"/>
          <w:spacing w:val="4"/>
          <w:szCs w:val="21"/>
          <w:highlight w:val="none"/>
        </w:rPr>
        <w:t>17</w:t>
      </w:r>
      <w:r>
        <w:rPr>
          <w:rFonts w:ascii="宋体" w:hAnsi="宋体" w:cs="宋体"/>
          <w:color w:val="auto"/>
          <w:spacing w:val="4"/>
          <w:szCs w:val="21"/>
          <w:highlight w:val="none"/>
        </w:rPr>
        <w:t>）</w:t>
      </w:r>
      <w:r>
        <w:rPr>
          <w:rFonts w:ascii="宋体" w:hAnsi="宋体" w:cs="宋体"/>
          <w:color w:val="auto"/>
          <w:spacing w:val="-1"/>
          <w:szCs w:val="21"/>
          <w:highlight w:val="none"/>
        </w:rPr>
        <w:t>法律法规规定的其他情形。</w:t>
      </w:r>
    </w:p>
    <w:p w14:paraId="2CF6DE4F">
      <w:pPr>
        <w:spacing w:before="75" w:line="219" w:lineRule="auto"/>
        <w:ind w:left="151"/>
        <w:outlineLvl w:val="2"/>
        <w:rPr>
          <w:rFonts w:ascii="黑体" w:hAnsi="黑体" w:eastAsia="黑体" w:cs="黑体"/>
          <w:color w:val="auto"/>
          <w:sz w:val="24"/>
          <w:highlight w:val="none"/>
        </w:rPr>
      </w:pPr>
      <w:bookmarkStart w:id="68" w:name="bookmark33"/>
      <w:bookmarkEnd w:id="68"/>
      <w:bookmarkStart w:id="69" w:name="_Toc28945"/>
      <w:r>
        <w:rPr>
          <w:rFonts w:ascii="黑体" w:hAnsi="黑体" w:eastAsia="黑体" w:cs="黑体"/>
          <w:color w:val="auto"/>
          <w:spacing w:val="-2"/>
          <w:sz w:val="24"/>
          <w:highlight w:val="none"/>
        </w:rPr>
        <w:t>1.5 费用承担和设计成果补偿</w:t>
      </w:r>
      <w:bookmarkEnd w:id="69"/>
    </w:p>
    <w:p w14:paraId="278FD532">
      <w:pPr>
        <w:spacing w:before="134" w:line="235" w:lineRule="auto"/>
        <w:ind w:left="456"/>
        <w:rPr>
          <w:rFonts w:ascii="宋体" w:hAnsi="宋体" w:cs="宋体"/>
          <w:color w:val="auto"/>
          <w:szCs w:val="21"/>
          <w:highlight w:val="none"/>
        </w:rPr>
      </w:pPr>
      <w:r>
        <w:rPr>
          <w:rFonts w:eastAsia="Times New Roman"/>
          <w:color w:val="auto"/>
          <w:spacing w:val="-2"/>
          <w:szCs w:val="21"/>
          <w:highlight w:val="none"/>
        </w:rPr>
        <w:t xml:space="preserve">1.5.1  </w:t>
      </w:r>
      <w:r>
        <w:rPr>
          <w:rFonts w:ascii="宋体" w:hAnsi="宋体" w:cs="宋体"/>
          <w:color w:val="auto"/>
          <w:spacing w:val="-2"/>
          <w:szCs w:val="21"/>
          <w:highlight w:val="none"/>
        </w:rPr>
        <w:t>投标人准备和参加投标活动发生的费用自理。</w:t>
      </w:r>
    </w:p>
    <w:p w14:paraId="54F077C3">
      <w:pPr>
        <w:spacing w:before="133" w:line="285" w:lineRule="auto"/>
        <w:ind w:left="36" w:right="177" w:firstLine="419"/>
        <w:rPr>
          <w:rFonts w:ascii="宋体" w:hAnsi="宋体" w:cs="宋体"/>
          <w:color w:val="auto"/>
          <w:szCs w:val="21"/>
          <w:highlight w:val="none"/>
        </w:rPr>
      </w:pPr>
      <w:r>
        <w:rPr>
          <w:rFonts w:eastAsia="Times New Roman"/>
          <w:color w:val="auto"/>
          <w:szCs w:val="21"/>
          <w:highlight w:val="none"/>
        </w:rPr>
        <w:t xml:space="preserve">1.5.2  </w:t>
      </w:r>
      <w:r>
        <w:rPr>
          <w:rFonts w:ascii="宋体" w:hAnsi="宋体" w:cs="宋体"/>
          <w:color w:val="auto"/>
          <w:szCs w:val="21"/>
          <w:highlight w:val="none"/>
        </w:rPr>
        <w:t>招标人对符合招标文件规定的未中标人的设计成果进行补偿的，按投</w:t>
      </w:r>
      <w:r>
        <w:rPr>
          <w:rFonts w:ascii="宋体" w:hAnsi="宋体" w:cs="宋体"/>
          <w:color w:val="auto"/>
          <w:spacing w:val="-1"/>
          <w:szCs w:val="21"/>
          <w:highlight w:val="none"/>
        </w:rPr>
        <w:t>标人须知前</w:t>
      </w:r>
      <w:r>
        <w:rPr>
          <w:rFonts w:ascii="宋体" w:hAnsi="宋体" w:cs="宋体"/>
          <w:color w:val="auto"/>
          <w:spacing w:val="-2"/>
          <w:szCs w:val="21"/>
          <w:highlight w:val="none"/>
        </w:rPr>
        <w:t>附表规定给予补偿，并有权免费使用未中标人设计成果。</w:t>
      </w:r>
    </w:p>
    <w:p w14:paraId="6A383619">
      <w:pPr>
        <w:spacing w:before="92" w:line="218" w:lineRule="auto"/>
        <w:ind w:left="151"/>
        <w:outlineLvl w:val="2"/>
        <w:rPr>
          <w:rFonts w:ascii="黑体" w:hAnsi="黑体" w:eastAsia="黑体" w:cs="黑体"/>
          <w:color w:val="auto"/>
          <w:sz w:val="24"/>
          <w:highlight w:val="none"/>
        </w:rPr>
      </w:pPr>
      <w:bookmarkStart w:id="70" w:name="bookmark34"/>
      <w:bookmarkEnd w:id="70"/>
      <w:bookmarkStart w:id="71" w:name="_Toc19258"/>
      <w:r>
        <w:rPr>
          <w:rFonts w:ascii="黑体" w:hAnsi="黑体" w:eastAsia="黑体" w:cs="黑体"/>
          <w:color w:val="auto"/>
          <w:spacing w:val="-6"/>
          <w:sz w:val="24"/>
          <w:highlight w:val="none"/>
        </w:rPr>
        <w:t>1.6保密</w:t>
      </w:r>
      <w:bookmarkEnd w:id="71"/>
    </w:p>
    <w:p w14:paraId="68CC7731">
      <w:pPr>
        <w:spacing w:before="135" w:line="327" w:lineRule="auto"/>
        <w:ind w:left="20" w:right="180" w:firstLine="421"/>
        <w:rPr>
          <w:rFonts w:ascii="宋体" w:hAnsi="宋体" w:cs="宋体"/>
          <w:color w:val="auto"/>
          <w:szCs w:val="21"/>
          <w:highlight w:val="none"/>
        </w:rPr>
      </w:pPr>
      <w:r>
        <w:rPr>
          <w:rFonts w:ascii="宋体" w:hAnsi="宋体" w:cs="宋体"/>
          <w:color w:val="auto"/>
          <w:spacing w:val="3"/>
          <w:szCs w:val="21"/>
          <w:highlight w:val="none"/>
        </w:rPr>
        <w:t>参与招标投标活动的各方应对招标文件和投标文件中的商业和技术等秘密保密，否则</w:t>
      </w:r>
      <w:r>
        <w:rPr>
          <w:rFonts w:ascii="宋体" w:hAnsi="宋体" w:cs="宋体"/>
          <w:color w:val="auto"/>
          <w:spacing w:val="-2"/>
          <w:szCs w:val="21"/>
          <w:highlight w:val="none"/>
        </w:rPr>
        <w:t>应承担相应的法律责任。</w:t>
      </w:r>
    </w:p>
    <w:p w14:paraId="395A0267">
      <w:pPr>
        <w:spacing w:before="1" w:line="218" w:lineRule="auto"/>
        <w:ind w:left="151"/>
        <w:outlineLvl w:val="2"/>
        <w:rPr>
          <w:rFonts w:ascii="黑体" w:hAnsi="黑体" w:eastAsia="黑体" w:cs="黑体"/>
          <w:color w:val="auto"/>
          <w:sz w:val="24"/>
          <w:highlight w:val="none"/>
        </w:rPr>
      </w:pPr>
      <w:bookmarkStart w:id="72" w:name="bookmark35"/>
      <w:bookmarkEnd w:id="72"/>
      <w:bookmarkStart w:id="73" w:name="_Toc23253"/>
      <w:r>
        <w:rPr>
          <w:rFonts w:ascii="黑体" w:hAnsi="黑体" w:eastAsia="黑体" w:cs="黑体"/>
          <w:color w:val="auto"/>
          <w:spacing w:val="-3"/>
          <w:sz w:val="24"/>
          <w:highlight w:val="none"/>
        </w:rPr>
        <w:t>1.7 语言文字</w:t>
      </w:r>
      <w:bookmarkEnd w:id="73"/>
    </w:p>
    <w:p w14:paraId="109001FF">
      <w:pPr>
        <w:spacing w:before="131" w:line="220" w:lineRule="auto"/>
        <w:ind w:left="441"/>
        <w:rPr>
          <w:rFonts w:ascii="宋体" w:hAnsi="宋体" w:cs="宋体"/>
          <w:color w:val="auto"/>
          <w:szCs w:val="21"/>
          <w:highlight w:val="none"/>
        </w:rPr>
      </w:pPr>
      <w:r>
        <w:rPr>
          <w:rFonts w:ascii="宋体" w:hAnsi="宋体" w:cs="宋体"/>
          <w:color w:val="auto"/>
          <w:spacing w:val="-1"/>
          <w:szCs w:val="21"/>
          <w:highlight w:val="none"/>
        </w:rPr>
        <w:t>招标投标文件使用的语言文字为中文。专用术语使用外文的，应附有中文注释。</w:t>
      </w:r>
    </w:p>
    <w:p w14:paraId="55B41154">
      <w:pPr>
        <w:spacing w:before="92" w:line="220" w:lineRule="auto"/>
        <w:ind w:left="151"/>
        <w:outlineLvl w:val="2"/>
        <w:rPr>
          <w:rFonts w:ascii="黑体" w:hAnsi="黑体" w:eastAsia="黑体" w:cs="黑体"/>
          <w:color w:val="auto"/>
          <w:sz w:val="24"/>
          <w:highlight w:val="none"/>
        </w:rPr>
      </w:pPr>
      <w:bookmarkStart w:id="74" w:name="bookmark36"/>
      <w:bookmarkEnd w:id="74"/>
      <w:bookmarkStart w:id="75" w:name="_Toc22764"/>
      <w:r>
        <w:rPr>
          <w:rFonts w:ascii="黑体" w:hAnsi="黑体" w:eastAsia="黑体" w:cs="黑体"/>
          <w:color w:val="auto"/>
          <w:spacing w:val="-3"/>
          <w:sz w:val="24"/>
          <w:highlight w:val="none"/>
        </w:rPr>
        <w:t>1.8 计量单位</w:t>
      </w:r>
      <w:bookmarkEnd w:id="75"/>
    </w:p>
    <w:p w14:paraId="7B7E2B0D">
      <w:pPr>
        <w:spacing w:before="133" w:line="220" w:lineRule="auto"/>
        <w:ind w:left="440"/>
        <w:rPr>
          <w:rFonts w:ascii="宋体" w:hAnsi="宋体" w:cs="宋体"/>
          <w:color w:val="auto"/>
          <w:szCs w:val="21"/>
          <w:highlight w:val="none"/>
        </w:rPr>
      </w:pPr>
      <w:r>
        <w:rPr>
          <w:rFonts w:ascii="宋体" w:hAnsi="宋体" w:cs="宋体"/>
          <w:color w:val="auto"/>
          <w:spacing w:val="-1"/>
          <w:szCs w:val="21"/>
          <w:highlight w:val="none"/>
        </w:rPr>
        <w:t>所有计量均采用中华人民共和国法定计量单位。</w:t>
      </w:r>
    </w:p>
    <w:p w14:paraId="7E519ED9">
      <w:pPr>
        <w:spacing w:before="92" w:line="219" w:lineRule="auto"/>
        <w:ind w:left="151"/>
        <w:outlineLvl w:val="2"/>
        <w:rPr>
          <w:rFonts w:ascii="黑体" w:hAnsi="黑体" w:eastAsia="黑体" w:cs="黑体"/>
          <w:color w:val="auto"/>
          <w:sz w:val="24"/>
          <w:highlight w:val="none"/>
        </w:rPr>
      </w:pPr>
      <w:bookmarkStart w:id="76" w:name="bookmark37"/>
      <w:bookmarkEnd w:id="76"/>
      <w:bookmarkStart w:id="77" w:name="_Toc608"/>
      <w:r>
        <w:rPr>
          <w:rFonts w:ascii="黑体" w:hAnsi="黑体" w:eastAsia="黑体" w:cs="黑体"/>
          <w:color w:val="auto"/>
          <w:spacing w:val="-3"/>
          <w:sz w:val="24"/>
          <w:highlight w:val="none"/>
        </w:rPr>
        <w:t>1.9 踏勘现场</w:t>
      </w:r>
      <w:bookmarkEnd w:id="77"/>
    </w:p>
    <w:p w14:paraId="417065D6">
      <w:pPr>
        <w:spacing w:before="135" w:line="285" w:lineRule="auto"/>
        <w:ind w:left="20" w:firstLine="436"/>
        <w:rPr>
          <w:rFonts w:ascii="宋体" w:hAnsi="宋体" w:cs="宋体"/>
          <w:color w:val="auto"/>
          <w:szCs w:val="21"/>
          <w:highlight w:val="none"/>
        </w:rPr>
      </w:pPr>
      <w:r>
        <w:rPr>
          <w:rFonts w:eastAsia="Times New Roman"/>
          <w:color w:val="auto"/>
          <w:spacing w:val="-1"/>
          <w:szCs w:val="21"/>
          <w:highlight w:val="none"/>
        </w:rPr>
        <w:t xml:space="preserve">1.9.1  </w:t>
      </w:r>
      <w:r>
        <w:rPr>
          <w:rFonts w:ascii="宋体" w:hAnsi="宋体" w:cs="宋体"/>
          <w:color w:val="auto"/>
          <w:spacing w:val="-1"/>
          <w:szCs w:val="21"/>
          <w:highlight w:val="none"/>
        </w:rPr>
        <w:t>投标人须知前附表规定组织踏勘现场的，招标人按投标人须知前附表规定的时间、</w:t>
      </w:r>
      <w:r>
        <w:rPr>
          <w:rFonts w:ascii="宋体" w:hAnsi="宋体" w:cs="宋体"/>
          <w:color w:val="auto"/>
          <w:spacing w:val="-2"/>
          <w:szCs w:val="21"/>
          <w:highlight w:val="none"/>
        </w:rPr>
        <w:t>地点组织投标人踏勘项目现场。</w:t>
      </w:r>
    </w:p>
    <w:p w14:paraId="7DC423DF">
      <w:pPr>
        <w:spacing w:before="150" w:line="234" w:lineRule="auto"/>
        <w:ind w:left="456"/>
        <w:rPr>
          <w:rFonts w:ascii="宋体" w:hAnsi="宋体" w:cs="宋体"/>
          <w:color w:val="auto"/>
          <w:szCs w:val="21"/>
          <w:highlight w:val="none"/>
        </w:rPr>
      </w:pPr>
      <w:r>
        <w:rPr>
          <w:rFonts w:eastAsia="Times New Roman"/>
          <w:color w:val="auto"/>
          <w:spacing w:val="-1"/>
          <w:szCs w:val="21"/>
          <w:highlight w:val="none"/>
        </w:rPr>
        <w:t xml:space="preserve">1.9.2  </w:t>
      </w:r>
      <w:r>
        <w:rPr>
          <w:rFonts w:ascii="宋体" w:hAnsi="宋体" w:cs="宋体"/>
          <w:color w:val="auto"/>
          <w:spacing w:val="-1"/>
          <w:szCs w:val="21"/>
          <w:highlight w:val="none"/>
        </w:rPr>
        <w:t>投标人踏勘现场发生的费用自理。</w:t>
      </w:r>
    </w:p>
    <w:p w14:paraId="23C4477E">
      <w:pPr>
        <w:spacing w:before="135" w:line="234" w:lineRule="auto"/>
        <w:jc w:val="right"/>
        <w:rPr>
          <w:rFonts w:ascii="宋体" w:hAnsi="宋体" w:cs="宋体"/>
          <w:color w:val="auto"/>
          <w:szCs w:val="21"/>
          <w:highlight w:val="none"/>
        </w:rPr>
      </w:pPr>
      <w:r>
        <w:rPr>
          <w:rFonts w:eastAsia="Times New Roman"/>
          <w:color w:val="auto"/>
          <w:spacing w:val="-1"/>
          <w:szCs w:val="21"/>
          <w:highlight w:val="none"/>
        </w:rPr>
        <w:t xml:space="preserve">1.9.3  </w:t>
      </w:r>
      <w:r>
        <w:rPr>
          <w:rFonts w:ascii="宋体" w:hAnsi="宋体" w:cs="宋体"/>
          <w:color w:val="auto"/>
          <w:spacing w:val="-1"/>
          <w:szCs w:val="21"/>
          <w:highlight w:val="none"/>
        </w:rPr>
        <w:t>除招标人的原因外，投标人自行负责在踏勘现场中所发生的人员伤亡和财产损失。</w:t>
      </w:r>
    </w:p>
    <w:p w14:paraId="08769E79">
      <w:pPr>
        <w:spacing w:before="133" w:line="286" w:lineRule="auto"/>
        <w:ind w:left="21" w:right="177" w:firstLine="435"/>
        <w:rPr>
          <w:rFonts w:ascii="宋体" w:hAnsi="宋体" w:cs="宋体"/>
          <w:color w:val="auto"/>
          <w:szCs w:val="21"/>
          <w:highlight w:val="none"/>
        </w:rPr>
      </w:pPr>
      <w:r>
        <w:rPr>
          <w:rFonts w:eastAsia="Times New Roman"/>
          <w:color w:val="auto"/>
          <w:szCs w:val="21"/>
          <w:highlight w:val="none"/>
        </w:rPr>
        <w:t xml:space="preserve">1.9.4  </w:t>
      </w:r>
      <w:r>
        <w:rPr>
          <w:rFonts w:ascii="宋体" w:hAnsi="宋体" w:cs="宋体"/>
          <w:color w:val="auto"/>
          <w:szCs w:val="21"/>
          <w:highlight w:val="none"/>
        </w:rPr>
        <w:t>招标人在踏勘现场中介绍的工程场地和相关的周边环境情况，供投标</w:t>
      </w:r>
      <w:r>
        <w:rPr>
          <w:rFonts w:ascii="宋体" w:hAnsi="宋体" w:cs="宋体"/>
          <w:color w:val="auto"/>
          <w:spacing w:val="-1"/>
          <w:szCs w:val="21"/>
          <w:highlight w:val="none"/>
        </w:rPr>
        <w:t>人在编制投</w:t>
      </w:r>
      <w:r>
        <w:rPr>
          <w:rFonts w:ascii="宋体" w:hAnsi="宋体" w:cs="宋体"/>
          <w:color w:val="auto"/>
          <w:szCs w:val="21"/>
          <w:highlight w:val="none"/>
        </w:rPr>
        <w:t xml:space="preserve"> 标文件时参考，招标人不对投标人据此作出的判断和决</w:t>
      </w:r>
      <w:r>
        <w:rPr>
          <w:rFonts w:ascii="宋体" w:hAnsi="宋体" w:cs="宋体"/>
          <w:color w:val="auto"/>
          <w:spacing w:val="-1"/>
          <w:szCs w:val="21"/>
          <w:highlight w:val="none"/>
        </w:rPr>
        <w:t>策负责。</w:t>
      </w:r>
    </w:p>
    <w:p w14:paraId="4D96EB2D">
      <w:pPr>
        <w:spacing w:before="91" w:line="219" w:lineRule="auto"/>
        <w:ind w:left="151"/>
        <w:outlineLvl w:val="2"/>
        <w:rPr>
          <w:rFonts w:ascii="黑体" w:hAnsi="黑体" w:eastAsia="黑体" w:cs="黑体"/>
          <w:color w:val="auto"/>
          <w:sz w:val="24"/>
          <w:highlight w:val="none"/>
        </w:rPr>
      </w:pPr>
      <w:bookmarkStart w:id="78" w:name="bookmark38"/>
      <w:bookmarkEnd w:id="78"/>
      <w:bookmarkStart w:id="79" w:name="_Toc23435"/>
      <w:r>
        <w:rPr>
          <w:rFonts w:ascii="黑体" w:hAnsi="黑体" w:eastAsia="黑体" w:cs="黑体"/>
          <w:color w:val="auto"/>
          <w:spacing w:val="-3"/>
          <w:sz w:val="24"/>
          <w:highlight w:val="none"/>
        </w:rPr>
        <w:t>1.10 投标预备会</w:t>
      </w:r>
      <w:bookmarkEnd w:id="79"/>
    </w:p>
    <w:p w14:paraId="16FDFE77">
      <w:pPr>
        <w:spacing w:before="134" w:line="285" w:lineRule="auto"/>
        <w:ind w:left="30" w:right="181" w:firstLine="426"/>
        <w:rPr>
          <w:rFonts w:ascii="宋体" w:hAnsi="宋体" w:cs="宋体"/>
          <w:color w:val="auto"/>
          <w:szCs w:val="21"/>
          <w:highlight w:val="none"/>
        </w:rPr>
      </w:pPr>
      <w:r>
        <w:rPr>
          <w:rFonts w:eastAsia="Times New Roman"/>
          <w:color w:val="auto"/>
          <w:spacing w:val="2"/>
          <w:szCs w:val="21"/>
          <w:highlight w:val="none"/>
        </w:rPr>
        <w:t xml:space="preserve">1.10.1  </w:t>
      </w:r>
      <w:r>
        <w:rPr>
          <w:rFonts w:ascii="宋体" w:hAnsi="宋体" w:cs="宋体"/>
          <w:color w:val="auto"/>
          <w:spacing w:val="2"/>
          <w:szCs w:val="21"/>
          <w:highlight w:val="none"/>
        </w:rPr>
        <w:t>投标人须知前附表规定召开投标预备会的，招标人按投标人须知前附表规定的</w:t>
      </w:r>
      <w:r>
        <w:rPr>
          <w:rFonts w:ascii="宋体" w:hAnsi="宋体" w:cs="宋体"/>
          <w:color w:val="auto"/>
          <w:spacing w:val="-2"/>
          <w:szCs w:val="21"/>
          <w:highlight w:val="none"/>
        </w:rPr>
        <w:t>时间和地点召开投标预备会，澄清投标人提出的问题。</w:t>
      </w:r>
    </w:p>
    <w:p w14:paraId="0B73D25A">
      <w:pPr>
        <w:spacing w:before="151" w:line="286" w:lineRule="auto"/>
        <w:ind w:left="21" w:right="181" w:firstLine="435"/>
        <w:rPr>
          <w:rFonts w:ascii="宋体" w:hAnsi="宋体" w:cs="宋体"/>
          <w:color w:val="auto"/>
          <w:szCs w:val="21"/>
          <w:highlight w:val="none"/>
        </w:rPr>
      </w:pPr>
      <w:r>
        <w:rPr>
          <w:rFonts w:eastAsia="Times New Roman"/>
          <w:color w:val="auto"/>
          <w:spacing w:val="2"/>
          <w:szCs w:val="21"/>
          <w:highlight w:val="none"/>
        </w:rPr>
        <w:t xml:space="preserve">1.10.2  </w:t>
      </w:r>
      <w:r>
        <w:rPr>
          <w:rFonts w:ascii="宋体" w:hAnsi="宋体" w:cs="宋体"/>
          <w:color w:val="auto"/>
          <w:spacing w:val="2"/>
          <w:szCs w:val="21"/>
          <w:highlight w:val="none"/>
        </w:rPr>
        <w:t>在投标人须知前附表规定的时间前，投标人应通过电子交易系统以书面形式将</w:t>
      </w:r>
      <w:r>
        <w:rPr>
          <w:rFonts w:ascii="宋体" w:hAnsi="宋体" w:cs="宋体"/>
          <w:color w:val="auto"/>
          <w:spacing w:val="-1"/>
          <w:szCs w:val="21"/>
          <w:highlight w:val="none"/>
        </w:rPr>
        <w:t>提出的问题送达招标人，以便招标人在会议期间澄清。</w:t>
      </w:r>
    </w:p>
    <w:p w14:paraId="2B8DBF45">
      <w:pPr>
        <w:spacing w:before="150" w:line="308" w:lineRule="auto"/>
        <w:ind w:left="21" w:right="180" w:firstLine="435"/>
        <w:rPr>
          <w:rFonts w:ascii="宋体" w:hAnsi="宋体" w:cs="宋体"/>
          <w:color w:val="auto"/>
          <w:szCs w:val="21"/>
          <w:highlight w:val="none"/>
        </w:rPr>
      </w:pPr>
      <w:r>
        <w:rPr>
          <w:rFonts w:eastAsia="Times New Roman"/>
          <w:color w:val="auto"/>
          <w:spacing w:val="2"/>
          <w:szCs w:val="21"/>
          <w:highlight w:val="none"/>
        </w:rPr>
        <w:t xml:space="preserve">1.10.3  </w:t>
      </w:r>
      <w:r>
        <w:rPr>
          <w:rFonts w:ascii="宋体" w:hAnsi="宋体" w:cs="宋体"/>
          <w:color w:val="auto"/>
          <w:spacing w:val="2"/>
          <w:szCs w:val="21"/>
          <w:highlight w:val="none"/>
        </w:rPr>
        <w:t>投标预备会后，招标人将对投标人所提问题的澄清，以投标人须知前附表规定</w:t>
      </w:r>
      <w:r>
        <w:rPr>
          <w:rFonts w:ascii="宋体" w:hAnsi="宋体" w:cs="宋体"/>
          <w:color w:val="auto"/>
          <w:spacing w:val="3"/>
          <w:szCs w:val="21"/>
          <w:highlight w:val="none"/>
        </w:rPr>
        <w:t>的时间内以书面形式通过法定公告公示信息发布媒介、电子交易系统等渠道通知</w:t>
      </w:r>
      <w:r>
        <w:rPr>
          <w:rFonts w:ascii="宋体" w:hAnsi="宋体" w:cs="宋体"/>
          <w:color w:val="auto"/>
          <w:spacing w:val="2"/>
          <w:szCs w:val="21"/>
          <w:highlight w:val="none"/>
        </w:rPr>
        <w:t>所有下载</w:t>
      </w:r>
      <w:r>
        <w:rPr>
          <w:rFonts w:ascii="宋体" w:hAnsi="宋体" w:cs="宋体"/>
          <w:color w:val="auto"/>
          <w:spacing w:val="-1"/>
          <w:szCs w:val="21"/>
          <w:highlight w:val="none"/>
        </w:rPr>
        <w:t>招标文件的投标人。该澄清内容为招标文件的组成部分。</w:t>
      </w:r>
    </w:p>
    <w:p w14:paraId="7551807D">
      <w:pPr>
        <w:spacing w:before="91" w:line="220" w:lineRule="auto"/>
        <w:ind w:left="151"/>
        <w:outlineLvl w:val="2"/>
        <w:rPr>
          <w:rFonts w:ascii="黑体" w:hAnsi="黑体" w:eastAsia="黑体" w:cs="黑体"/>
          <w:color w:val="auto"/>
          <w:sz w:val="24"/>
          <w:highlight w:val="none"/>
        </w:rPr>
      </w:pPr>
      <w:bookmarkStart w:id="80" w:name="bookmark39"/>
      <w:bookmarkEnd w:id="80"/>
      <w:bookmarkStart w:id="81" w:name="_Toc19813"/>
      <w:r>
        <w:rPr>
          <w:rFonts w:ascii="黑体" w:hAnsi="黑体" w:eastAsia="黑体" w:cs="黑体"/>
          <w:color w:val="auto"/>
          <w:spacing w:val="-5"/>
          <w:sz w:val="24"/>
          <w:highlight w:val="none"/>
        </w:rPr>
        <w:t>1.11分包</w:t>
      </w:r>
      <w:bookmarkEnd w:id="81"/>
    </w:p>
    <w:p w14:paraId="3B9D56CB">
      <w:pPr>
        <w:spacing w:before="131" w:line="286" w:lineRule="auto"/>
        <w:ind w:left="20" w:right="180" w:firstLine="582"/>
        <w:rPr>
          <w:rFonts w:ascii="宋体" w:hAnsi="宋体" w:cs="宋体"/>
          <w:color w:val="auto"/>
          <w:szCs w:val="21"/>
          <w:highlight w:val="none"/>
        </w:rPr>
      </w:pPr>
      <w:r>
        <w:rPr>
          <w:rFonts w:eastAsia="Times New Roman"/>
          <w:color w:val="auto"/>
          <w:spacing w:val="4"/>
          <w:szCs w:val="21"/>
          <w:highlight w:val="none"/>
        </w:rPr>
        <w:t xml:space="preserve">1.11.1  </w:t>
      </w:r>
      <w:r>
        <w:rPr>
          <w:rFonts w:ascii="宋体" w:hAnsi="宋体" w:cs="宋体"/>
          <w:color w:val="auto"/>
          <w:spacing w:val="4"/>
          <w:szCs w:val="21"/>
          <w:highlight w:val="none"/>
        </w:rPr>
        <w:t>投标人须知前附表规定应当由分包人实施的非主体、非关键性工作，</w:t>
      </w:r>
      <w:r>
        <w:rPr>
          <w:rFonts w:ascii="宋体" w:hAnsi="宋体" w:cs="宋体"/>
          <w:color w:val="auto"/>
          <w:spacing w:val="3"/>
          <w:szCs w:val="21"/>
          <w:highlight w:val="none"/>
        </w:rPr>
        <w:t>投标人</w:t>
      </w:r>
      <w:r>
        <w:rPr>
          <w:rFonts w:ascii="宋体" w:hAnsi="宋体" w:cs="宋体"/>
          <w:color w:val="auto"/>
          <w:spacing w:val="-1"/>
          <w:szCs w:val="21"/>
          <w:highlight w:val="none"/>
        </w:rPr>
        <w:t>应当按照第五章“发包人要求”的规定提供分包</w:t>
      </w:r>
      <w:r>
        <w:rPr>
          <w:rFonts w:hint="eastAsia" w:ascii="宋体" w:hAnsi="宋体" w:cs="宋体"/>
          <w:color w:val="auto"/>
          <w:spacing w:val="-1"/>
          <w:szCs w:val="21"/>
          <w:highlight w:val="none"/>
          <w:lang w:eastAsia="zh-CN"/>
        </w:rPr>
        <w:t>候</w:t>
      </w:r>
      <w:r>
        <w:rPr>
          <w:rFonts w:ascii="宋体" w:hAnsi="宋体" w:cs="宋体"/>
          <w:color w:val="auto"/>
          <w:spacing w:val="-1"/>
          <w:szCs w:val="21"/>
          <w:highlight w:val="none"/>
        </w:rPr>
        <w:t>选名单及其相应资料。</w:t>
      </w:r>
    </w:p>
    <w:p w14:paraId="1553B6FA">
      <w:pPr>
        <w:spacing w:before="151" w:line="285" w:lineRule="auto"/>
        <w:ind w:left="22" w:right="180" w:firstLine="581"/>
        <w:rPr>
          <w:rFonts w:ascii="宋体" w:hAnsi="宋体" w:cs="宋体"/>
          <w:color w:val="auto"/>
          <w:szCs w:val="21"/>
          <w:highlight w:val="none"/>
        </w:rPr>
      </w:pPr>
      <w:r>
        <w:rPr>
          <w:rFonts w:eastAsia="Times New Roman"/>
          <w:color w:val="auto"/>
          <w:spacing w:val="4"/>
          <w:szCs w:val="21"/>
          <w:highlight w:val="none"/>
        </w:rPr>
        <w:t xml:space="preserve">1.11.2  </w:t>
      </w:r>
      <w:r>
        <w:rPr>
          <w:rFonts w:ascii="宋体" w:hAnsi="宋体" w:cs="宋体"/>
          <w:color w:val="auto"/>
          <w:spacing w:val="4"/>
          <w:szCs w:val="21"/>
          <w:highlight w:val="none"/>
        </w:rPr>
        <w:t>投标人拟在中标后将中标项目的部分非主体、非关键性工作进行分包</w:t>
      </w:r>
      <w:r>
        <w:rPr>
          <w:rFonts w:ascii="宋体" w:hAnsi="宋体" w:cs="宋体"/>
          <w:color w:val="auto"/>
          <w:spacing w:val="3"/>
          <w:szCs w:val="21"/>
          <w:highlight w:val="none"/>
        </w:rPr>
        <w:t>的，应</w:t>
      </w:r>
      <w:r>
        <w:rPr>
          <w:rFonts w:ascii="宋体" w:hAnsi="宋体" w:cs="宋体"/>
          <w:color w:val="auto"/>
          <w:szCs w:val="21"/>
          <w:highlight w:val="none"/>
        </w:rPr>
        <w:t xml:space="preserve"> 符合投标人须知前附表规定的分包内容、分包金额和资质要求等限制</w:t>
      </w:r>
      <w:r>
        <w:rPr>
          <w:rFonts w:ascii="宋体" w:hAnsi="宋体" w:cs="宋体"/>
          <w:color w:val="auto"/>
          <w:spacing w:val="-1"/>
          <w:szCs w:val="21"/>
          <w:highlight w:val="none"/>
        </w:rPr>
        <w:t>性条件。</w:t>
      </w:r>
    </w:p>
    <w:p w14:paraId="627E63F8">
      <w:pPr>
        <w:spacing w:before="92" w:line="220" w:lineRule="auto"/>
        <w:ind w:left="151"/>
        <w:outlineLvl w:val="2"/>
        <w:rPr>
          <w:rFonts w:ascii="黑体" w:hAnsi="黑体" w:eastAsia="黑体" w:cs="黑体"/>
          <w:color w:val="auto"/>
          <w:sz w:val="24"/>
          <w:highlight w:val="none"/>
        </w:rPr>
      </w:pPr>
      <w:bookmarkStart w:id="82" w:name="bookmark40"/>
      <w:bookmarkEnd w:id="82"/>
      <w:bookmarkStart w:id="83" w:name="_Toc17907"/>
      <w:r>
        <w:rPr>
          <w:rFonts w:ascii="黑体" w:hAnsi="黑体" w:eastAsia="黑体" w:cs="黑体"/>
          <w:color w:val="auto"/>
          <w:spacing w:val="-5"/>
          <w:sz w:val="24"/>
          <w:highlight w:val="none"/>
        </w:rPr>
        <w:t>1.12偏离</w:t>
      </w:r>
      <w:bookmarkEnd w:id="83"/>
    </w:p>
    <w:p w14:paraId="49C796C5">
      <w:pPr>
        <w:spacing w:before="133" w:line="220" w:lineRule="auto"/>
        <w:ind w:left="382"/>
        <w:rPr>
          <w:rFonts w:ascii="宋体" w:hAnsi="宋体" w:cs="宋体"/>
          <w:color w:val="auto"/>
          <w:szCs w:val="21"/>
          <w:highlight w:val="none"/>
        </w:rPr>
      </w:pPr>
      <w:r>
        <w:rPr>
          <w:rFonts w:ascii="宋体" w:hAnsi="宋体" w:cs="宋体"/>
          <w:color w:val="auto"/>
          <w:spacing w:val="4"/>
          <w:szCs w:val="21"/>
          <w:highlight w:val="none"/>
        </w:rPr>
        <w:t>投标人须知前附表允许投标文件偏离招标文件某些要求的，偏离应当符合招标文件规</w:t>
      </w:r>
    </w:p>
    <w:p w14:paraId="179912AC">
      <w:pPr>
        <w:spacing w:line="220" w:lineRule="auto"/>
        <w:rPr>
          <w:rFonts w:ascii="宋体" w:hAnsi="宋体" w:cs="宋体"/>
          <w:color w:val="auto"/>
          <w:szCs w:val="21"/>
          <w:highlight w:val="none"/>
        </w:rPr>
        <w:sectPr>
          <w:footerReference r:id="rId6" w:type="default"/>
          <w:pgSz w:w="11907" w:h="16839"/>
          <w:pgMar w:top="1431" w:right="1614" w:bottom="1154" w:left="1785" w:header="0" w:footer="953" w:gutter="0"/>
          <w:pgNumType w:fmt="decimal"/>
          <w:cols w:space="720" w:num="1"/>
        </w:sectPr>
      </w:pPr>
    </w:p>
    <w:p w14:paraId="5F1B183E">
      <w:pPr>
        <w:spacing w:before="149" w:line="219" w:lineRule="auto"/>
        <w:ind w:left="25"/>
        <w:rPr>
          <w:rFonts w:ascii="宋体" w:hAnsi="宋体" w:cs="宋体"/>
          <w:color w:val="auto"/>
          <w:szCs w:val="21"/>
          <w:highlight w:val="none"/>
        </w:rPr>
      </w:pPr>
      <w:r>
        <w:rPr>
          <w:rFonts w:ascii="宋体" w:hAnsi="宋体" w:cs="宋体"/>
          <w:color w:val="auto"/>
          <w:spacing w:val="-1"/>
          <w:szCs w:val="21"/>
          <w:highlight w:val="none"/>
        </w:rPr>
        <w:t>定的偏离范围和幅度。</w:t>
      </w:r>
    </w:p>
    <w:p w14:paraId="7D1392FC">
      <w:pPr>
        <w:spacing w:before="156" w:line="233" w:lineRule="auto"/>
        <w:ind w:left="18"/>
        <w:outlineLvl w:val="1"/>
        <w:rPr>
          <w:rFonts w:ascii="黑体" w:hAnsi="黑体" w:eastAsia="黑体" w:cs="黑体"/>
          <w:color w:val="auto"/>
          <w:sz w:val="28"/>
          <w:szCs w:val="28"/>
          <w:highlight w:val="none"/>
        </w:rPr>
      </w:pPr>
      <w:bookmarkStart w:id="84" w:name="bookmark41"/>
      <w:bookmarkEnd w:id="84"/>
      <w:bookmarkStart w:id="85" w:name="bookmark42"/>
      <w:bookmarkEnd w:id="85"/>
      <w:bookmarkStart w:id="86" w:name="_Toc24420"/>
      <w:bookmarkStart w:id="87" w:name="_Toc26755"/>
      <w:r>
        <w:rPr>
          <w:rFonts w:eastAsia="Times New Roman"/>
          <w:color w:val="auto"/>
          <w:spacing w:val="-1"/>
          <w:sz w:val="28"/>
          <w:szCs w:val="28"/>
          <w:highlight w:val="none"/>
        </w:rPr>
        <w:t xml:space="preserve">2.  </w:t>
      </w:r>
      <w:r>
        <w:rPr>
          <w:rFonts w:ascii="黑体" w:hAnsi="黑体" w:eastAsia="黑体" w:cs="黑体"/>
          <w:color w:val="auto"/>
          <w:spacing w:val="-1"/>
          <w:sz w:val="28"/>
          <w:szCs w:val="28"/>
          <w:highlight w:val="none"/>
        </w:rPr>
        <w:t>招标文件</w:t>
      </w:r>
      <w:bookmarkEnd w:id="86"/>
      <w:bookmarkEnd w:id="87"/>
    </w:p>
    <w:p w14:paraId="5E94064D">
      <w:pPr>
        <w:spacing w:before="41" w:line="219" w:lineRule="auto"/>
        <w:ind w:left="137"/>
        <w:outlineLvl w:val="2"/>
        <w:rPr>
          <w:rFonts w:ascii="黑体" w:hAnsi="黑体" w:eastAsia="黑体" w:cs="黑体"/>
          <w:color w:val="auto"/>
          <w:sz w:val="24"/>
          <w:highlight w:val="none"/>
        </w:rPr>
      </w:pPr>
      <w:bookmarkStart w:id="88" w:name="bookmark391"/>
      <w:bookmarkEnd w:id="88"/>
      <w:bookmarkStart w:id="89" w:name="_Toc371"/>
      <w:r>
        <w:rPr>
          <w:rFonts w:ascii="黑体" w:hAnsi="黑体" w:eastAsia="黑体" w:cs="黑体"/>
          <w:color w:val="auto"/>
          <w:spacing w:val="-1"/>
          <w:sz w:val="24"/>
          <w:highlight w:val="none"/>
        </w:rPr>
        <w:t>2.1 招标文件的组成</w:t>
      </w:r>
      <w:bookmarkEnd w:id="89"/>
    </w:p>
    <w:p w14:paraId="39150F00">
      <w:pPr>
        <w:spacing w:before="133" w:line="220" w:lineRule="auto"/>
        <w:ind w:left="443"/>
        <w:rPr>
          <w:rFonts w:ascii="宋体" w:hAnsi="宋体" w:cs="宋体"/>
          <w:color w:val="auto"/>
          <w:szCs w:val="21"/>
          <w:highlight w:val="none"/>
        </w:rPr>
      </w:pPr>
      <w:r>
        <w:rPr>
          <w:rFonts w:ascii="宋体" w:hAnsi="宋体" w:cs="宋体"/>
          <w:color w:val="auto"/>
          <w:spacing w:val="-1"/>
          <w:szCs w:val="21"/>
          <w:highlight w:val="none"/>
        </w:rPr>
        <w:t>本招标文件包括：</w:t>
      </w:r>
    </w:p>
    <w:p w14:paraId="12809E1B">
      <w:pPr>
        <w:spacing w:before="150" w:line="233" w:lineRule="auto"/>
        <w:ind w:left="386"/>
        <w:rPr>
          <w:rFonts w:ascii="宋体" w:hAnsi="宋体" w:cs="宋体"/>
          <w:color w:val="auto"/>
          <w:szCs w:val="21"/>
          <w:highlight w:val="none"/>
        </w:rPr>
      </w:pPr>
      <w:r>
        <w:rPr>
          <w:rFonts w:ascii="宋体" w:hAnsi="宋体" w:cs="宋体"/>
          <w:color w:val="auto"/>
          <w:spacing w:val="-7"/>
          <w:szCs w:val="21"/>
          <w:highlight w:val="none"/>
        </w:rPr>
        <w:t>（</w:t>
      </w:r>
      <w:r>
        <w:rPr>
          <w:rFonts w:eastAsia="Times New Roman"/>
          <w:color w:val="auto"/>
          <w:spacing w:val="-7"/>
          <w:szCs w:val="21"/>
          <w:highlight w:val="none"/>
        </w:rPr>
        <w:t>1</w:t>
      </w:r>
      <w:r>
        <w:rPr>
          <w:rFonts w:ascii="宋体" w:hAnsi="宋体" w:cs="宋体"/>
          <w:color w:val="auto"/>
          <w:spacing w:val="-7"/>
          <w:szCs w:val="21"/>
          <w:highlight w:val="none"/>
        </w:rPr>
        <w:t>）招标公告（或投标邀请书</w:t>
      </w:r>
      <w:r>
        <w:rPr>
          <w:rFonts w:ascii="宋体" w:hAnsi="宋体" w:cs="宋体"/>
          <w:color w:val="auto"/>
          <w:spacing w:val="-17"/>
          <w:szCs w:val="21"/>
          <w:highlight w:val="none"/>
        </w:rPr>
        <w:t>）；</w:t>
      </w:r>
    </w:p>
    <w:p w14:paraId="4168DC7F">
      <w:pPr>
        <w:spacing w:before="134" w:line="235" w:lineRule="auto"/>
        <w:ind w:left="386"/>
        <w:rPr>
          <w:rFonts w:ascii="宋体" w:hAnsi="宋体" w:cs="宋体"/>
          <w:color w:val="auto"/>
          <w:szCs w:val="21"/>
          <w:highlight w:val="none"/>
        </w:rPr>
      </w:pPr>
      <w:r>
        <w:rPr>
          <w:rFonts w:ascii="宋体" w:hAnsi="宋体" w:cs="宋体"/>
          <w:color w:val="auto"/>
          <w:spacing w:val="-5"/>
          <w:szCs w:val="21"/>
          <w:highlight w:val="none"/>
        </w:rPr>
        <w:t>（</w:t>
      </w:r>
      <w:r>
        <w:rPr>
          <w:rFonts w:eastAsia="Times New Roman"/>
          <w:color w:val="auto"/>
          <w:spacing w:val="-5"/>
          <w:szCs w:val="21"/>
          <w:highlight w:val="none"/>
        </w:rPr>
        <w:t>2</w:t>
      </w:r>
      <w:r>
        <w:rPr>
          <w:rFonts w:ascii="宋体" w:hAnsi="宋体" w:cs="宋体"/>
          <w:color w:val="auto"/>
          <w:spacing w:val="-5"/>
          <w:szCs w:val="21"/>
          <w:highlight w:val="none"/>
        </w:rPr>
        <w:t>）投标人须知；</w:t>
      </w:r>
    </w:p>
    <w:p w14:paraId="6C472597">
      <w:pPr>
        <w:spacing w:before="134" w:line="234" w:lineRule="auto"/>
        <w:ind w:left="386"/>
        <w:rPr>
          <w:rFonts w:ascii="宋体" w:hAnsi="宋体" w:cs="宋体"/>
          <w:color w:val="auto"/>
          <w:szCs w:val="21"/>
          <w:highlight w:val="none"/>
        </w:rPr>
      </w:pPr>
      <w:r>
        <w:rPr>
          <w:rFonts w:ascii="宋体" w:hAnsi="宋体" w:cs="宋体"/>
          <w:color w:val="auto"/>
          <w:spacing w:val="-2"/>
          <w:szCs w:val="21"/>
          <w:highlight w:val="none"/>
        </w:rPr>
        <w:t>（</w:t>
      </w:r>
      <w:r>
        <w:rPr>
          <w:rFonts w:eastAsia="Times New Roman"/>
          <w:color w:val="auto"/>
          <w:spacing w:val="-2"/>
          <w:szCs w:val="21"/>
          <w:highlight w:val="none"/>
        </w:rPr>
        <w:t>3</w:t>
      </w:r>
      <w:r>
        <w:rPr>
          <w:rFonts w:ascii="宋体" w:hAnsi="宋体" w:cs="宋体"/>
          <w:color w:val="auto"/>
          <w:spacing w:val="-2"/>
          <w:szCs w:val="21"/>
          <w:highlight w:val="none"/>
        </w:rPr>
        <w:t>）评标办法；</w:t>
      </w:r>
    </w:p>
    <w:p w14:paraId="3D234B02">
      <w:pPr>
        <w:spacing w:before="134" w:line="234" w:lineRule="auto"/>
        <w:ind w:left="386"/>
        <w:rPr>
          <w:rFonts w:ascii="宋体" w:hAnsi="宋体" w:cs="宋体"/>
          <w:color w:val="auto"/>
          <w:szCs w:val="21"/>
          <w:highlight w:val="none"/>
        </w:rPr>
      </w:pPr>
      <w:r>
        <w:rPr>
          <w:rFonts w:ascii="宋体" w:hAnsi="宋体" w:cs="宋体"/>
          <w:color w:val="auto"/>
          <w:spacing w:val="-4"/>
          <w:szCs w:val="21"/>
          <w:highlight w:val="none"/>
        </w:rPr>
        <w:t>（</w:t>
      </w:r>
      <w:r>
        <w:rPr>
          <w:rFonts w:eastAsia="Times New Roman"/>
          <w:color w:val="auto"/>
          <w:spacing w:val="-4"/>
          <w:szCs w:val="21"/>
          <w:highlight w:val="none"/>
        </w:rPr>
        <w:t>4</w:t>
      </w:r>
      <w:r>
        <w:rPr>
          <w:rFonts w:ascii="宋体" w:hAnsi="宋体" w:cs="宋体"/>
          <w:color w:val="auto"/>
          <w:spacing w:val="-4"/>
          <w:szCs w:val="21"/>
          <w:highlight w:val="none"/>
        </w:rPr>
        <w:t>）合同条款及格式；</w:t>
      </w:r>
    </w:p>
    <w:p w14:paraId="4086A72A">
      <w:pPr>
        <w:spacing w:before="133" w:line="235" w:lineRule="auto"/>
        <w:ind w:left="386"/>
        <w:rPr>
          <w:rFonts w:ascii="宋体" w:hAnsi="宋体" w:cs="宋体"/>
          <w:color w:val="auto"/>
          <w:szCs w:val="21"/>
          <w:highlight w:val="none"/>
        </w:rPr>
      </w:pPr>
      <w:r>
        <w:rPr>
          <w:rFonts w:ascii="宋体" w:hAnsi="宋体" w:cs="宋体"/>
          <w:color w:val="auto"/>
          <w:spacing w:val="-5"/>
          <w:szCs w:val="21"/>
          <w:highlight w:val="none"/>
        </w:rPr>
        <w:t>（</w:t>
      </w:r>
      <w:r>
        <w:rPr>
          <w:rFonts w:eastAsia="Times New Roman"/>
          <w:color w:val="auto"/>
          <w:spacing w:val="-5"/>
          <w:szCs w:val="21"/>
          <w:highlight w:val="none"/>
        </w:rPr>
        <w:t>5</w:t>
      </w:r>
      <w:r>
        <w:rPr>
          <w:rFonts w:ascii="宋体" w:hAnsi="宋体" w:cs="宋体"/>
          <w:color w:val="auto"/>
          <w:spacing w:val="-5"/>
          <w:szCs w:val="21"/>
          <w:highlight w:val="none"/>
        </w:rPr>
        <w:t>）发包人要求；</w:t>
      </w:r>
    </w:p>
    <w:p w14:paraId="3D6ECBAC">
      <w:pPr>
        <w:spacing w:before="133" w:line="234" w:lineRule="auto"/>
        <w:ind w:left="386"/>
        <w:rPr>
          <w:rFonts w:ascii="宋体" w:hAnsi="宋体" w:cs="宋体"/>
          <w:color w:val="auto"/>
          <w:szCs w:val="21"/>
          <w:highlight w:val="none"/>
        </w:rPr>
      </w:pPr>
      <w:r>
        <w:rPr>
          <w:rFonts w:ascii="宋体" w:hAnsi="宋体" w:cs="宋体"/>
          <w:color w:val="auto"/>
          <w:spacing w:val="-1"/>
          <w:szCs w:val="21"/>
          <w:highlight w:val="none"/>
        </w:rPr>
        <w:t>（</w:t>
      </w:r>
      <w:r>
        <w:rPr>
          <w:rFonts w:eastAsia="Times New Roman"/>
          <w:color w:val="auto"/>
          <w:spacing w:val="-1"/>
          <w:szCs w:val="21"/>
          <w:highlight w:val="none"/>
        </w:rPr>
        <w:t>6</w:t>
      </w:r>
      <w:r>
        <w:rPr>
          <w:rFonts w:ascii="宋体" w:hAnsi="宋体" w:cs="宋体"/>
          <w:color w:val="auto"/>
          <w:spacing w:val="-1"/>
          <w:szCs w:val="21"/>
          <w:highlight w:val="none"/>
        </w:rPr>
        <w:t>）发包人提供的资料；</w:t>
      </w:r>
    </w:p>
    <w:p w14:paraId="560DBADB">
      <w:pPr>
        <w:spacing w:before="135" w:line="234" w:lineRule="auto"/>
        <w:ind w:left="386"/>
        <w:rPr>
          <w:rFonts w:ascii="宋体" w:hAnsi="宋体" w:cs="宋体"/>
          <w:color w:val="auto"/>
          <w:szCs w:val="21"/>
          <w:highlight w:val="none"/>
        </w:rPr>
      </w:pPr>
      <w:r>
        <w:rPr>
          <w:rFonts w:ascii="宋体" w:hAnsi="宋体" w:cs="宋体"/>
          <w:color w:val="auto"/>
          <w:spacing w:val="-2"/>
          <w:szCs w:val="21"/>
          <w:highlight w:val="none"/>
        </w:rPr>
        <w:t>（</w:t>
      </w:r>
      <w:r>
        <w:rPr>
          <w:rFonts w:eastAsia="Times New Roman"/>
          <w:color w:val="auto"/>
          <w:spacing w:val="-2"/>
          <w:szCs w:val="21"/>
          <w:highlight w:val="none"/>
        </w:rPr>
        <w:t>7</w:t>
      </w:r>
      <w:r>
        <w:rPr>
          <w:rFonts w:ascii="宋体" w:hAnsi="宋体" w:cs="宋体"/>
          <w:color w:val="auto"/>
          <w:spacing w:val="-2"/>
          <w:szCs w:val="21"/>
          <w:highlight w:val="none"/>
        </w:rPr>
        <w:t>）投标文件格式；</w:t>
      </w:r>
    </w:p>
    <w:p w14:paraId="0430E12F">
      <w:pPr>
        <w:spacing w:before="132" w:line="234" w:lineRule="auto"/>
        <w:ind w:left="386"/>
        <w:rPr>
          <w:rFonts w:ascii="宋体" w:hAnsi="宋体" w:cs="宋体"/>
          <w:color w:val="auto"/>
          <w:szCs w:val="21"/>
          <w:highlight w:val="none"/>
        </w:rPr>
      </w:pPr>
      <w:r>
        <w:rPr>
          <w:rFonts w:ascii="宋体" w:hAnsi="宋体" w:cs="宋体"/>
          <w:color w:val="auto"/>
          <w:spacing w:val="-2"/>
          <w:szCs w:val="21"/>
          <w:highlight w:val="none"/>
        </w:rPr>
        <w:t>（</w:t>
      </w:r>
      <w:r>
        <w:rPr>
          <w:rFonts w:eastAsia="Times New Roman"/>
          <w:color w:val="auto"/>
          <w:spacing w:val="-2"/>
          <w:szCs w:val="21"/>
          <w:highlight w:val="none"/>
        </w:rPr>
        <w:t>8</w:t>
      </w:r>
      <w:r>
        <w:rPr>
          <w:rFonts w:ascii="宋体" w:hAnsi="宋体" w:cs="宋体"/>
          <w:color w:val="auto"/>
          <w:spacing w:val="-2"/>
          <w:szCs w:val="21"/>
          <w:highlight w:val="none"/>
        </w:rPr>
        <w:t>）投标人须知前附表规定的其他资料。</w:t>
      </w:r>
    </w:p>
    <w:p w14:paraId="795474DA">
      <w:pPr>
        <w:spacing w:before="134" w:line="327" w:lineRule="auto"/>
        <w:ind w:left="37" w:right="161" w:firstLine="402"/>
        <w:rPr>
          <w:rFonts w:ascii="宋体" w:hAnsi="宋体" w:cs="宋体"/>
          <w:color w:val="auto"/>
          <w:szCs w:val="21"/>
          <w:highlight w:val="none"/>
        </w:rPr>
      </w:pPr>
      <w:r>
        <w:rPr>
          <w:rFonts w:ascii="宋体" w:hAnsi="宋体" w:cs="宋体"/>
          <w:color w:val="auto"/>
          <w:spacing w:val="-1"/>
          <w:szCs w:val="21"/>
          <w:highlight w:val="none"/>
        </w:rPr>
        <w:t>根据本章第</w:t>
      </w:r>
      <w:r>
        <w:rPr>
          <w:rFonts w:eastAsia="Times New Roman"/>
          <w:color w:val="auto"/>
          <w:spacing w:val="-1"/>
          <w:szCs w:val="21"/>
          <w:highlight w:val="none"/>
        </w:rPr>
        <w:t xml:space="preserve">1.10 </w:t>
      </w:r>
      <w:r>
        <w:rPr>
          <w:rFonts w:ascii="宋体" w:hAnsi="宋体" w:cs="宋体"/>
          <w:color w:val="auto"/>
          <w:spacing w:val="-1"/>
          <w:szCs w:val="21"/>
          <w:highlight w:val="none"/>
        </w:rPr>
        <w:t>款、第</w:t>
      </w:r>
      <w:r>
        <w:rPr>
          <w:rFonts w:eastAsia="Times New Roman"/>
          <w:color w:val="auto"/>
          <w:spacing w:val="-1"/>
          <w:szCs w:val="21"/>
          <w:highlight w:val="none"/>
        </w:rPr>
        <w:t xml:space="preserve">2.2 </w:t>
      </w:r>
      <w:r>
        <w:rPr>
          <w:rFonts w:ascii="宋体" w:hAnsi="宋体" w:cs="宋体"/>
          <w:color w:val="auto"/>
          <w:spacing w:val="-1"/>
          <w:szCs w:val="21"/>
          <w:highlight w:val="none"/>
        </w:rPr>
        <w:t>款和第</w:t>
      </w:r>
      <w:r>
        <w:rPr>
          <w:rFonts w:eastAsia="Times New Roman"/>
          <w:color w:val="auto"/>
          <w:spacing w:val="-1"/>
          <w:szCs w:val="21"/>
          <w:highlight w:val="none"/>
        </w:rPr>
        <w:t xml:space="preserve">2.3 </w:t>
      </w:r>
      <w:r>
        <w:rPr>
          <w:rFonts w:ascii="宋体" w:hAnsi="宋体" w:cs="宋体"/>
          <w:color w:val="auto"/>
          <w:spacing w:val="-1"/>
          <w:szCs w:val="21"/>
          <w:highlight w:val="none"/>
        </w:rPr>
        <w:t>款对招标文件所作的澄清、修</w:t>
      </w:r>
      <w:r>
        <w:rPr>
          <w:rFonts w:ascii="宋体" w:hAnsi="宋体" w:cs="宋体"/>
          <w:color w:val="auto"/>
          <w:spacing w:val="-2"/>
          <w:szCs w:val="21"/>
          <w:highlight w:val="none"/>
        </w:rPr>
        <w:t>改，构成招标文件</w:t>
      </w:r>
      <w:r>
        <w:rPr>
          <w:rFonts w:ascii="宋体" w:hAnsi="宋体" w:cs="宋体"/>
          <w:color w:val="auto"/>
          <w:spacing w:val="-4"/>
          <w:szCs w:val="21"/>
          <w:highlight w:val="none"/>
        </w:rPr>
        <w:t>的组成部分。</w:t>
      </w:r>
    </w:p>
    <w:p w14:paraId="23A919F6">
      <w:pPr>
        <w:spacing w:before="1" w:line="218" w:lineRule="auto"/>
        <w:ind w:left="137"/>
        <w:outlineLvl w:val="2"/>
        <w:rPr>
          <w:rFonts w:ascii="黑体" w:hAnsi="黑体" w:eastAsia="黑体" w:cs="黑体"/>
          <w:color w:val="auto"/>
          <w:sz w:val="24"/>
          <w:highlight w:val="none"/>
        </w:rPr>
      </w:pPr>
      <w:bookmarkStart w:id="90" w:name="bookmark43"/>
      <w:bookmarkEnd w:id="90"/>
      <w:bookmarkStart w:id="91" w:name="_Toc10513"/>
      <w:r>
        <w:rPr>
          <w:rFonts w:ascii="黑体" w:hAnsi="黑体" w:eastAsia="黑体" w:cs="黑体"/>
          <w:color w:val="auto"/>
          <w:spacing w:val="-1"/>
          <w:sz w:val="24"/>
          <w:highlight w:val="none"/>
        </w:rPr>
        <w:t>2.2 招标文件的澄清</w:t>
      </w:r>
      <w:bookmarkEnd w:id="91"/>
    </w:p>
    <w:p w14:paraId="26769335">
      <w:pPr>
        <w:spacing w:before="132" w:line="308" w:lineRule="auto"/>
        <w:ind w:left="25" w:right="174" w:firstLine="411"/>
        <w:rPr>
          <w:rFonts w:ascii="宋体" w:hAnsi="宋体" w:cs="宋体"/>
          <w:color w:val="auto"/>
          <w:szCs w:val="21"/>
          <w:highlight w:val="none"/>
        </w:rPr>
      </w:pPr>
      <w:r>
        <w:rPr>
          <w:rFonts w:eastAsia="Times New Roman"/>
          <w:color w:val="auto"/>
          <w:szCs w:val="21"/>
          <w:highlight w:val="none"/>
        </w:rPr>
        <w:t xml:space="preserve">2.2.1  </w:t>
      </w:r>
      <w:r>
        <w:rPr>
          <w:rFonts w:ascii="宋体" w:hAnsi="宋体" w:cs="宋体"/>
          <w:color w:val="auto"/>
          <w:szCs w:val="21"/>
          <w:highlight w:val="none"/>
        </w:rPr>
        <w:t>投标人应仔细阅读和检查招标文件的全部内容。如发现缺页或附件不全，应及时</w:t>
      </w:r>
      <w:r>
        <w:rPr>
          <w:rFonts w:ascii="宋体" w:hAnsi="宋体" w:cs="宋体"/>
          <w:color w:val="auto"/>
          <w:spacing w:val="3"/>
          <w:szCs w:val="21"/>
          <w:highlight w:val="none"/>
        </w:rPr>
        <w:t>向招标人提出，以便补齐。如有疑问，应在</w:t>
      </w:r>
      <w:r>
        <w:rPr>
          <w:rFonts w:ascii="宋体" w:hAnsi="宋体" w:cs="宋体"/>
          <w:color w:val="auto"/>
          <w:spacing w:val="2"/>
          <w:szCs w:val="21"/>
          <w:highlight w:val="none"/>
        </w:rPr>
        <w:t>投标人须知前附表规定的时间前，通过法定公</w:t>
      </w:r>
      <w:r>
        <w:rPr>
          <w:rFonts w:ascii="宋体" w:hAnsi="宋体" w:cs="宋体"/>
          <w:color w:val="auto"/>
          <w:szCs w:val="21"/>
          <w:highlight w:val="none"/>
        </w:rPr>
        <w:t xml:space="preserve"> 告公示信息发布媒介、电子交易系统等渠道以书面形式要求招标人对招标文</w:t>
      </w:r>
      <w:r>
        <w:rPr>
          <w:rFonts w:ascii="宋体" w:hAnsi="宋体" w:cs="宋体"/>
          <w:color w:val="auto"/>
          <w:spacing w:val="-1"/>
          <w:szCs w:val="21"/>
          <w:highlight w:val="none"/>
        </w:rPr>
        <w:t>件予以澄清。</w:t>
      </w:r>
    </w:p>
    <w:p w14:paraId="27CF1AF7">
      <w:pPr>
        <w:spacing w:before="148" w:line="319" w:lineRule="auto"/>
        <w:ind w:left="18" w:firstLine="417"/>
        <w:rPr>
          <w:rFonts w:ascii="宋体" w:hAnsi="宋体" w:cs="宋体"/>
          <w:color w:val="auto"/>
          <w:szCs w:val="21"/>
          <w:highlight w:val="none"/>
        </w:rPr>
      </w:pPr>
      <w:r>
        <w:rPr>
          <w:rFonts w:eastAsia="Times New Roman"/>
          <w:color w:val="auto"/>
          <w:szCs w:val="21"/>
          <w:highlight w:val="none"/>
        </w:rPr>
        <w:t xml:space="preserve">2.2.2  </w:t>
      </w:r>
      <w:r>
        <w:rPr>
          <w:rFonts w:ascii="宋体" w:hAnsi="宋体" w:cs="宋体"/>
          <w:color w:val="auto"/>
          <w:szCs w:val="21"/>
          <w:highlight w:val="none"/>
        </w:rPr>
        <w:t>招标人对招标文件的澄清通过法定公告公示信息发布媒介、电子交易系统等渠道</w:t>
      </w:r>
      <w:r>
        <w:rPr>
          <w:rFonts w:ascii="宋体" w:hAnsi="宋体" w:cs="宋体"/>
          <w:color w:val="auto"/>
          <w:spacing w:val="3"/>
          <w:szCs w:val="21"/>
          <w:highlight w:val="none"/>
        </w:rPr>
        <w:t>以书面形式发给所有下载招标文件的投标人，但不指明澄清问题的来源。澄清发出的时间</w:t>
      </w:r>
      <w:r>
        <w:rPr>
          <w:rFonts w:ascii="宋体" w:hAnsi="宋体" w:cs="宋体"/>
          <w:color w:val="auto"/>
          <w:spacing w:val="-2"/>
          <w:szCs w:val="21"/>
          <w:highlight w:val="none"/>
        </w:rPr>
        <w:t>距投标人须知前附表规定的投标截止时间不足</w:t>
      </w:r>
      <w:r>
        <w:rPr>
          <w:rFonts w:eastAsia="Times New Roman"/>
          <w:color w:val="auto"/>
          <w:spacing w:val="-2"/>
          <w:szCs w:val="21"/>
          <w:highlight w:val="none"/>
        </w:rPr>
        <w:t>15</w:t>
      </w:r>
      <w:r>
        <w:rPr>
          <w:rFonts w:ascii="宋体" w:hAnsi="宋体" w:cs="宋体"/>
          <w:color w:val="auto"/>
          <w:spacing w:val="-2"/>
          <w:szCs w:val="21"/>
          <w:highlight w:val="none"/>
        </w:rPr>
        <w:t>天的，并且澄清内容影响投标文件编制</w:t>
      </w:r>
      <w:r>
        <w:rPr>
          <w:rFonts w:ascii="宋体" w:hAnsi="宋体" w:cs="宋体"/>
          <w:color w:val="auto"/>
          <w:spacing w:val="-3"/>
          <w:szCs w:val="21"/>
          <w:highlight w:val="none"/>
        </w:rPr>
        <w:t>的，</w:t>
      </w:r>
      <w:r>
        <w:rPr>
          <w:rFonts w:ascii="宋体" w:hAnsi="宋体" w:cs="宋体"/>
          <w:color w:val="auto"/>
          <w:spacing w:val="-1"/>
          <w:szCs w:val="21"/>
          <w:highlight w:val="none"/>
        </w:rPr>
        <w:t>将相应延长投标截止时间。</w:t>
      </w:r>
    </w:p>
    <w:p w14:paraId="7F2BC750">
      <w:pPr>
        <w:spacing w:before="151" w:line="308" w:lineRule="auto"/>
        <w:ind w:left="21" w:right="162" w:firstLine="415"/>
        <w:rPr>
          <w:rFonts w:ascii="宋体" w:hAnsi="宋体" w:cs="宋体"/>
          <w:color w:val="auto"/>
          <w:szCs w:val="21"/>
          <w:highlight w:val="none"/>
        </w:rPr>
      </w:pPr>
      <w:r>
        <w:rPr>
          <w:rFonts w:eastAsia="Times New Roman"/>
          <w:color w:val="auto"/>
          <w:szCs w:val="21"/>
          <w:highlight w:val="none"/>
        </w:rPr>
        <w:t xml:space="preserve">2.2.3  </w:t>
      </w:r>
      <w:r>
        <w:rPr>
          <w:rFonts w:ascii="宋体" w:hAnsi="宋体" w:cs="宋体"/>
          <w:color w:val="auto"/>
          <w:szCs w:val="21"/>
          <w:highlight w:val="none"/>
        </w:rPr>
        <w:t>投标人应实时自行关注法定公告公示信息发布媒介、电子交易系统等渠道上发出</w:t>
      </w:r>
      <w:r>
        <w:rPr>
          <w:rFonts w:ascii="宋体" w:hAnsi="宋体" w:cs="宋体"/>
          <w:color w:val="auto"/>
          <w:spacing w:val="3"/>
          <w:szCs w:val="21"/>
          <w:highlight w:val="none"/>
        </w:rPr>
        <w:t>的澄清通知，因投标人自身原因未及时获知澄清内容而导致的任何后果将由投标</w:t>
      </w:r>
      <w:r>
        <w:rPr>
          <w:rFonts w:ascii="宋体" w:hAnsi="宋体" w:cs="宋体"/>
          <w:color w:val="auto"/>
          <w:spacing w:val="2"/>
          <w:szCs w:val="21"/>
          <w:highlight w:val="none"/>
        </w:rPr>
        <w:t>人自行承</w:t>
      </w:r>
      <w:r>
        <w:rPr>
          <w:rFonts w:ascii="宋体" w:hAnsi="宋体" w:cs="宋体"/>
          <w:color w:val="auto"/>
          <w:spacing w:val="-10"/>
          <w:szCs w:val="21"/>
          <w:highlight w:val="none"/>
        </w:rPr>
        <w:t>担。</w:t>
      </w:r>
    </w:p>
    <w:p w14:paraId="282C6506">
      <w:pPr>
        <w:spacing w:before="90" w:line="219" w:lineRule="auto"/>
        <w:ind w:left="137"/>
        <w:outlineLvl w:val="2"/>
        <w:rPr>
          <w:rFonts w:ascii="黑体" w:hAnsi="黑体" w:eastAsia="黑体" w:cs="黑体"/>
          <w:color w:val="auto"/>
          <w:sz w:val="24"/>
          <w:highlight w:val="none"/>
        </w:rPr>
      </w:pPr>
      <w:bookmarkStart w:id="92" w:name="bookmark44"/>
      <w:bookmarkEnd w:id="92"/>
      <w:bookmarkStart w:id="93" w:name="_Toc15875"/>
      <w:r>
        <w:rPr>
          <w:rFonts w:ascii="黑体" w:hAnsi="黑体" w:eastAsia="黑体" w:cs="黑体"/>
          <w:color w:val="auto"/>
          <w:spacing w:val="-1"/>
          <w:sz w:val="24"/>
          <w:highlight w:val="none"/>
        </w:rPr>
        <w:t>2.3 招标文件的修改</w:t>
      </w:r>
      <w:bookmarkEnd w:id="93"/>
    </w:p>
    <w:p w14:paraId="7F03C856">
      <w:pPr>
        <w:spacing w:before="134" w:line="319" w:lineRule="auto"/>
        <w:ind w:left="19" w:right="161" w:firstLine="416"/>
        <w:rPr>
          <w:rFonts w:ascii="宋体" w:hAnsi="宋体" w:cs="宋体"/>
          <w:color w:val="auto"/>
          <w:szCs w:val="21"/>
          <w:highlight w:val="none"/>
        </w:rPr>
      </w:pPr>
      <w:r>
        <w:rPr>
          <w:rFonts w:eastAsia="Times New Roman"/>
          <w:color w:val="auto"/>
          <w:szCs w:val="21"/>
          <w:highlight w:val="none"/>
        </w:rPr>
        <w:t xml:space="preserve">2.3.1  </w:t>
      </w:r>
      <w:r>
        <w:rPr>
          <w:rFonts w:ascii="宋体" w:hAnsi="宋体" w:cs="宋体"/>
          <w:color w:val="auto"/>
          <w:szCs w:val="21"/>
          <w:highlight w:val="none"/>
        </w:rPr>
        <w:t>招标人可以书面形式修改招标文件，并通过法定公告公示信息发布媒介、电子交</w:t>
      </w:r>
      <w:r>
        <w:rPr>
          <w:rFonts w:ascii="宋体" w:hAnsi="宋体" w:cs="宋体"/>
          <w:color w:val="auto"/>
          <w:spacing w:val="3"/>
          <w:szCs w:val="21"/>
          <w:highlight w:val="none"/>
        </w:rPr>
        <w:t>易系统等渠道通知所有已下载招标文件的投标人。修改招标文件的时间距投标人须知前附</w:t>
      </w:r>
      <w:r>
        <w:rPr>
          <w:rFonts w:ascii="宋体" w:hAnsi="宋体" w:cs="宋体"/>
          <w:color w:val="auto"/>
          <w:spacing w:val="-1"/>
          <w:szCs w:val="21"/>
          <w:highlight w:val="none"/>
        </w:rPr>
        <w:t>表规定的投标截止时间不足</w:t>
      </w:r>
      <w:r>
        <w:rPr>
          <w:rFonts w:eastAsia="Times New Roman"/>
          <w:color w:val="auto"/>
          <w:spacing w:val="-1"/>
          <w:szCs w:val="21"/>
          <w:highlight w:val="none"/>
        </w:rPr>
        <w:t>15</w:t>
      </w:r>
      <w:r>
        <w:rPr>
          <w:rFonts w:ascii="宋体" w:hAnsi="宋体" w:cs="宋体"/>
          <w:color w:val="auto"/>
          <w:spacing w:val="-1"/>
          <w:szCs w:val="21"/>
          <w:highlight w:val="none"/>
        </w:rPr>
        <w:t>天的，并且澄清内容影响投标文件编制的，将相应延长投标</w:t>
      </w:r>
      <w:r>
        <w:rPr>
          <w:rFonts w:ascii="宋体" w:hAnsi="宋体" w:cs="宋体"/>
          <w:color w:val="auto"/>
          <w:spacing w:val="-4"/>
          <w:szCs w:val="21"/>
          <w:highlight w:val="none"/>
        </w:rPr>
        <w:t>截止时间。</w:t>
      </w:r>
    </w:p>
    <w:p w14:paraId="235B4281">
      <w:pPr>
        <w:spacing w:before="149" w:line="308" w:lineRule="auto"/>
        <w:ind w:left="21" w:right="162" w:firstLine="415"/>
        <w:rPr>
          <w:rFonts w:ascii="宋体" w:hAnsi="宋体" w:cs="宋体"/>
          <w:color w:val="auto"/>
          <w:szCs w:val="21"/>
          <w:highlight w:val="none"/>
        </w:rPr>
      </w:pPr>
      <w:r>
        <w:rPr>
          <w:rFonts w:eastAsia="Times New Roman"/>
          <w:color w:val="auto"/>
          <w:szCs w:val="21"/>
          <w:highlight w:val="none"/>
        </w:rPr>
        <w:t xml:space="preserve">2.3.2  </w:t>
      </w:r>
      <w:r>
        <w:rPr>
          <w:rFonts w:ascii="宋体" w:hAnsi="宋体" w:cs="宋体"/>
          <w:color w:val="auto"/>
          <w:szCs w:val="21"/>
          <w:highlight w:val="none"/>
        </w:rPr>
        <w:t>投标人应实时自行关注法定公告公示信息发布媒介、电子交易系统等渠道上发出</w:t>
      </w:r>
      <w:r>
        <w:rPr>
          <w:rFonts w:ascii="宋体" w:hAnsi="宋体" w:cs="宋体"/>
          <w:color w:val="auto"/>
          <w:spacing w:val="3"/>
          <w:szCs w:val="21"/>
          <w:highlight w:val="none"/>
        </w:rPr>
        <w:t>的修改通知，因投标人自身原因未及时获知修改内容而导致的任何后果将由投标</w:t>
      </w:r>
      <w:r>
        <w:rPr>
          <w:rFonts w:ascii="宋体" w:hAnsi="宋体" w:cs="宋体"/>
          <w:color w:val="auto"/>
          <w:spacing w:val="2"/>
          <w:szCs w:val="21"/>
          <w:highlight w:val="none"/>
        </w:rPr>
        <w:t>人自行承</w:t>
      </w:r>
      <w:r>
        <w:rPr>
          <w:rFonts w:ascii="宋体" w:hAnsi="宋体" w:cs="宋体"/>
          <w:color w:val="auto"/>
          <w:spacing w:val="-10"/>
          <w:szCs w:val="21"/>
          <w:highlight w:val="none"/>
        </w:rPr>
        <w:t>担。</w:t>
      </w:r>
    </w:p>
    <w:p w14:paraId="1998B6EE">
      <w:pPr>
        <w:spacing w:before="91" w:line="219" w:lineRule="auto"/>
        <w:ind w:left="137"/>
        <w:outlineLvl w:val="2"/>
        <w:rPr>
          <w:rFonts w:ascii="黑体" w:hAnsi="黑体" w:eastAsia="黑体" w:cs="黑体"/>
          <w:color w:val="auto"/>
          <w:sz w:val="24"/>
          <w:highlight w:val="none"/>
        </w:rPr>
      </w:pPr>
      <w:bookmarkStart w:id="94" w:name="bookmark45"/>
      <w:bookmarkEnd w:id="94"/>
      <w:bookmarkStart w:id="95" w:name="_Toc31798"/>
      <w:r>
        <w:rPr>
          <w:rFonts w:ascii="黑体" w:hAnsi="黑体" w:eastAsia="黑体" w:cs="黑体"/>
          <w:color w:val="auto"/>
          <w:spacing w:val="-1"/>
          <w:sz w:val="24"/>
          <w:highlight w:val="none"/>
        </w:rPr>
        <w:t>2.4 招标文件的异议</w:t>
      </w:r>
      <w:bookmarkEnd w:id="95"/>
    </w:p>
    <w:p w14:paraId="3EF54AA4">
      <w:pPr>
        <w:spacing w:before="100" w:line="234" w:lineRule="auto"/>
        <w:ind w:left="442"/>
        <w:rPr>
          <w:rFonts w:ascii="宋体" w:hAnsi="宋体" w:cs="宋体"/>
          <w:color w:val="auto"/>
          <w:szCs w:val="21"/>
          <w:highlight w:val="none"/>
        </w:rPr>
      </w:pPr>
      <w:r>
        <w:rPr>
          <w:rFonts w:hint="eastAsia" w:ascii="宋体" w:hAnsi="宋体" w:cs="宋体"/>
          <w:color w:val="auto"/>
          <w:spacing w:val="1"/>
          <w:szCs w:val="21"/>
          <w:highlight w:val="none"/>
          <w:lang w:val="en-US" w:eastAsia="zh-CN"/>
        </w:rPr>
        <w:t>2.4.1</w:t>
      </w:r>
      <w:r>
        <w:rPr>
          <w:rFonts w:ascii="宋体" w:hAnsi="宋体" w:cs="宋体"/>
          <w:color w:val="auto"/>
          <w:spacing w:val="1"/>
          <w:szCs w:val="21"/>
          <w:highlight w:val="none"/>
        </w:rPr>
        <w:t>投标人或者其他利害关系人对招标文件有异议的，应当在投标截止时间</w:t>
      </w:r>
      <w:r>
        <w:rPr>
          <w:rFonts w:eastAsia="Times New Roman"/>
          <w:color w:val="auto"/>
          <w:spacing w:val="1"/>
          <w:szCs w:val="21"/>
          <w:highlight w:val="none"/>
        </w:rPr>
        <w:t>10</w:t>
      </w:r>
      <w:r>
        <w:rPr>
          <w:rFonts w:ascii="宋体" w:hAnsi="宋体" w:cs="宋体"/>
          <w:color w:val="auto"/>
          <w:spacing w:val="1"/>
          <w:szCs w:val="21"/>
          <w:highlight w:val="none"/>
        </w:rPr>
        <w:t>日前以书</w:t>
      </w:r>
    </w:p>
    <w:p w14:paraId="35EAC573">
      <w:pPr>
        <w:spacing w:line="234" w:lineRule="auto"/>
        <w:rPr>
          <w:rFonts w:ascii="宋体" w:hAnsi="宋体" w:cs="宋体"/>
          <w:color w:val="auto"/>
          <w:szCs w:val="21"/>
          <w:highlight w:val="none"/>
        </w:rPr>
        <w:sectPr>
          <w:footerReference r:id="rId7" w:type="default"/>
          <w:pgSz w:w="11907" w:h="16839"/>
          <w:pgMar w:top="1431" w:right="1629" w:bottom="1154" w:left="1785" w:header="0" w:footer="954" w:gutter="0"/>
          <w:pgNumType w:fmt="decimal"/>
          <w:cols w:space="720" w:num="1"/>
        </w:sectPr>
      </w:pPr>
    </w:p>
    <w:p w14:paraId="7E6E2F89">
      <w:pPr>
        <w:spacing w:before="116" w:line="309" w:lineRule="auto"/>
        <w:ind w:left="23" w:hanging="2"/>
        <w:rPr>
          <w:rFonts w:ascii="宋体" w:hAnsi="宋体" w:cs="宋体"/>
          <w:color w:val="auto"/>
          <w:szCs w:val="21"/>
          <w:highlight w:val="none"/>
        </w:rPr>
      </w:pPr>
      <w:r>
        <w:rPr>
          <w:rFonts w:ascii="宋体" w:hAnsi="宋体" w:cs="宋体"/>
          <w:color w:val="auto"/>
          <w:spacing w:val="-1"/>
          <w:szCs w:val="21"/>
          <w:highlight w:val="none"/>
        </w:rPr>
        <w:t xml:space="preserve">面形式提出。招标人将在收到异议之日起 </w:t>
      </w:r>
      <w:r>
        <w:rPr>
          <w:rFonts w:eastAsia="Times New Roman"/>
          <w:color w:val="auto"/>
          <w:spacing w:val="-1"/>
          <w:szCs w:val="21"/>
          <w:highlight w:val="none"/>
        </w:rPr>
        <w:t xml:space="preserve">3   </w:t>
      </w:r>
      <w:r>
        <w:rPr>
          <w:rFonts w:ascii="宋体" w:hAnsi="宋体" w:cs="宋体"/>
          <w:color w:val="auto"/>
          <w:spacing w:val="-1"/>
          <w:szCs w:val="21"/>
          <w:highlight w:val="none"/>
        </w:rPr>
        <w:t>日内作出答复；作出答复前，将暂停招标投标</w:t>
      </w:r>
      <w:r>
        <w:rPr>
          <w:rFonts w:ascii="宋体" w:hAnsi="宋体" w:cs="宋体"/>
          <w:color w:val="auto"/>
          <w:spacing w:val="2"/>
          <w:szCs w:val="21"/>
          <w:highlight w:val="none"/>
        </w:rPr>
        <w:t>活动。逾期提出的，招标人可不予受理。异议与答复应通过电子交易系统</w:t>
      </w:r>
      <w:r>
        <w:rPr>
          <w:rFonts w:ascii="宋体" w:hAnsi="宋体" w:cs="宋体"/>
          <w:color w:val="auto"/>
          <w:spacing w:val="1"/>
          <w:szCs w:val="21"/>
          <w:highlight w:val="none"/>
        </w:rPr>
        <w:t>以书面形式进行。</w:t>
      </w:r>
    </w:p>
    <w:p w14:paraId="1575AFD3">
      <w:pPr>
        <w:spacing w:before="17" w:line="316" w:lineRule="auto"/>
        <w:ind w:left="21" w:right="171" w:firstLine="419"/>
        <w:rPr>
          <w:rFonts w:ascii="宋体" w:hAnsi="宋体" w:cs="宋体"/>
          <w:color w:val="auto"/>
          <w:szCs w:val="21"/>
          <w:highlight w:val="none"/>
        </w:rPr>
      </w:pPr>
      <w:r>
        <w:rPr>
          <w:rFonts w:ascii="宋体" w:hAnsi="宋体" w:cs="宋体"/>
          <w:color w:val="auto"/>
          <w:spacing w:val="2"/>
          <w:szCs w:val="21"/>
          <w:highlight w:val="none"/>
        </w:rPr>
        <w:t>本</w:t>
      </w:r>
      <w:r>
        <w:rPr>
          <w:rFonts w:hint="eastAsia" w:ascii="宋体" w:hAnsi="宋体" w:cs="宋体"/>
          <w:color w:val="auto"/>
          <w:spacing w:val="2"/>
          <w:szCs w:val="21"/>
          <w:highlight w:val="none"/>
          <w:lang w:eastAsia="zh-CN"/>
        </w:rPr>
        <w:t>条</w:t>
      </w:r>
      <w:r>
        <w:rPr>
          <w:rFonts w:ascii="宋体" w:hAnsi="宋体" w:cs="宋体"/>
          <w:color w:val="auto"/>
          <w:spacing w:val="2"/>
          <w:szCs w:val="21"/>
          <w:highlight w:val="none"/>
        </w:rPr>
        <w:t>所称异议是指投标人或者其他利害关系人认为招标文件的内容违反法律、法规、</w:t>
      </w:r>
      <w:r>
        <w:rPr>
          <w:rFonts w:ascii="宋体" w:hAnsi="宋体" w:cs="宋体"/>
          <w:color w:val="auto"/>
          <w:spacing w:val="3"/>
          <w:szCs w:val="21"/>
          <w:highlight w:val="none"/>
        </w:rPr>
        <w:t>规章的强制性规定，违反公开、公平、公正和诚实信用原则，影响投标人投标而</w:t>
      </w:r>
      <w:r>
        <w:rPr>
          <w:rFonts w:ascii="宋体" w:hAnsi="宋体" w:cs="宋体"/>
          <w:color w:val="auto"/>
          <w:spacing w:val="2"/>
          <w:szCs w:val="21"/>
          <w:highlight w:val="none"/>
        </w:rPr>
        <w:t>向招标人</w:t>
      </w:r>
      <w:r>
        <w:rPr>
          <w:rFonts w:ascii="宋体" w:hAnsi="宋体" w:cs="宋体"/>
          <w:color w:val="auto"/>
          <w:szCs w:val="21"/>
          <w:highlight w:val="none"/>
        </w:rPr>
        <w:t xml:space="preserve"> 提出的质疑。未在法定时间期限内未提出异议视为投标人权</w:t>
      </w:r>
      <w:r>
        <w:rPr>
          <w:rFonts w:ascii="宋体" w:hAnsi="宋体" w:cs="宋体"/>
          <w:color w:val="auto"/>
          <w:spacing w:val="-1"/>
          <w:szCs w:val="21"/>
          <w:highlight w:val="none"/>
        </w:rPr>
        <w:t>利灭失。</w:t>
      </w:r>
    </w:p>
    <w:p w14:paraId="4EED78EA">
      <w:pPr>
        <w:spacing w:line="219" w:lineRule="auto"/>
        <w:ind w:left="441"/>
        <w:rPr>
          <w:rFonts w:ascii="宋体" w:hAnsi="宋体" w:cs="宋体"/>
          <w:color w:val="auto"/>
          <w:spacing w:val="-1"/>
          <w:szCs w:val="21"/>
          <w:highlight w:val="none"/>
        </w:rPr>
      </w:pPr>
      <w:r>
        <w:rPr>
          <w:rFonts w:ascii="宋体" w:hAnsi="宋体" w:cs="宋体"/>
          <w:color w:val="auto"/>
          <w:spacing w:val="-1"/>
          <w:szCs w:val="21"/>
          <w:highlight w:val="none"/>
        </w:rPr>
        <w:t>有关异议受理部门及联系方式见投标人须知前附表。</w:t>
      </w:r>
    </w:p>
    <w:p w14:paraId="2F7ADE1A">
      <w:pPr>
        <w:keepNext w:val="0"/>
        <w:keepLines w:val="0"/>
        <w:pageBreakBefore w:val="0"/>
        <w:widowControl w:val="0"/>
        <w:kinsoku/>
        <w:wordWrap/>
        <w:overflowPunct/>
        <w:topLinePunct w:val="0"/>
        <w:autoSpaceDE/>
        <w:autoSpaceDN/>
        <w:bidi w:val="0"/>
        <w:adjustRightInd/>
        <w:snapToGrid/>
        <w:spacing w:line="360" w:lineRule="auto"/>
        <w:ind w:left="0" w:firstLine="416" w:firstLineChars="200"/>
        <w:textAlignment w:val="auto"/>
        <w:rPr>
          <w:rFonts w:ascii="宋体" w:hAnsi="宋体" w:cs="宋体"/>
          <w:color w:val="auto"/>
          <w:spacing w:val="-1"/>
          <w:szCs w:val="21"/>
          <w:highlight w:val="none"/>
        </w:rPr>
      </w:pPr>
      <w:r>
        <w:rPr>
          <w:rFonts w:hint="default" w:ascii="宋体" w:hAnsi="宋体" w:cs="宋体"/>
          <w:color w:val="auto"/>
          <w:spacing w:val="-1"/>
          <w:szCs w:val="21"/>
          <w:highlight w:val="none"/>
          <w:lang w:val="en-US" w:eastAsia="zh-CN"/>
        </w:rPr>
        <w:t xml:space="preserve">2.4.2 </w:t>
      </w:r>
      <w:r>
        <w:rPr>
          <w:rFonts w:hint="eastAsia" w:ascii="宋体" w:hAnsi="宋体" w:cs="宋体"/>
          <w:color w:val="auto"/>
          <w:spacing w:val="-1"/>
          <w:szCs w:val="21"/>
          <w:highlight w:val="none"/>
          <w:lang w:val="en-US" w:eastAsia="zh-CN"/>
        </w:rPr>
        <w:t xml:space="preserve">招标人对异议的答复构成对招标文件澄清或者修改的，招标人将按照本章第 </w:t>
      </w:r>
      <w:r>
        <w:rPr>
          <w:rFonts w:hint="default" w:ascii="宋体" w:hAnsi="宋体" w:cs="宋体"/>
          <w:color w:val="auto"/>
          <w:spacing w:val="-1"/>
          <w:szCs w:val="21"/>
          <w:highlight w:val="none"/>
          <w:lang w:val="en-US" w:eastAsia="zh-CN"/>
        </w:rPr>
        <w:t>2.2</w:t>
      </w:r>
      <w:r>
        <w:rPr>
          <w:rFonts w:hint="eastAsia" w:ascii="宋体" w:hAnsi="宋体" w:cs="宋体"/>
          <w:color w:val="auto"/>
          <w:spacing w:val="-1"/>
          <w:szCs w:val="21"/>
          <w:highlight w:val="none"/>
          <w:lang w:val="en-US" w:eastAsia="zh-CN"/>
        </w:rPr>
        <w:t xml:space="preserve">款、第 </w:t>
      </w:r>
      <w:r>
        <w:rPr>
          <w:rFonts w:hint="default" w:ascii="宋体" w:hAnsi="宋体" w:cs="宋体"/>
          <w:color w:val="auto"/>
          <w:spacing w:val="-1"/>
          <w:szCs w:val="21"/>
          <w:highlight w:val="none"/>
          <w:lang w:val="en-US" w:eastAsia="zh-CN"/>
        </w:rPr>
        <w:t xml:space="preserve">2.3 </w:t>
      </w:r>
      <w:r>
        <w:rPr>
          <w:rFonts w:hint="eastAsia" w:ascii="宋体" w:hAnsi="宋体" w:cs="宋体"/>
          <w:color w:val="auto"/>
          <w:spacing w:val="-1"/>
          <w:szCs w:val="21"/>
          <w:highlight w:val="none"/>
          <w:lang w:val="en-US" w:eastAsia="zh-CN"/>
        </w:rPr>
        <w:t>款规定办理。</w:t>
      </w:r>
    </w:p>
    <w:p w14:paraId="6A1FDA89">
      <w:pPr>
        <w:spacing w:before="151" w:line="233" w:lineRule="auto"/>
        <w:ind w:left="23"/>
        <w:outlineLvl w:val="1"/>
        <w:rPr>
          <w:rFonts w:ascii="黑体" w:hAnsi="黑体" w:eastAsia="黑体" w:cs="黑体"/>
          <w:color w:val="auto"/>
          <w:sz w:val="28"/>
          <w:szCs w:val="28"/>
          <w:highlight w:val="none"/>
        </w:rPr>
      </w:pPr>
      <w:bookmarkStart w:id="96" w:name="bookmark47"/>
      <w:bookmarkEnd w:id="96"/>
      <w:bookmarkStart w:id="97" w:name="bookmark46"/>
      <w:bookmarkEnd w:id="97"/>
      <w:bookmarkStart w:id="98" w:name="_Toc3930"/>
      <w:bookmarkStart w:id="99" w:name="_Toc21182"/>
      <w:r>
        <w:rPr>
          <w:rFonts w:eastAsia="Times New Roman"/>
          <w:color w:val="auto"/>
          <w:spacing w:val="-1"/>
          <w:sz w:val="28"/>
          <w:szCs w:val="28"/>
          <w:highlight w:val="none"/>
        </w:rPr>
        <w:t xml:space="preserve">3.  </w:t>
      </w:r>
      <w:r>
        <w:rPr>
          <w:rFonts w:ascii="黑体" w:hAnsi="黑体" w:eastAsia="黑体" w:cs="黑体"/>
          <w:color w:val="auto"/>
          <w:spacing w:val="-1"/>
          <w:sz w:val="28"/>
          <w:szCs w:val="28"/>
          <w:highlight w:val="none"/>
        </w:rPr>
        <w:t>投标文件</w:t>
      </w:r>
      <w:bookmarkEnd w:id="98"/>
      <w:bookmarkEnd w:id="99"/>
    </w:p>
    <w:p w14:paraId="7B91D9D9">
      <w:pPr>
        <w:spacing w:before="41" w:line="219" w:lineRule="auto"/>
        <w:ind w:left="139"/>
        <w:outlineLvl w:val="2"/>
        <w:rPr>
          <w:rFonts w:ascii="黑体" w:hAnsi="黑体" w:eastAsia="黑体" w:cs="黑体"/>
          <w:color w:val="auto"/>
          <w:sz w:val="24"/>
          <w:highlight w:val="none"/>
        </w:rPr>
      </w:pPr>
      <w:bookmarkStart w:id="100" w:name="bookmark392"/>
      <w:bookmarkEnd w:id="100"/>
      <w:bookmarkStart w:id="101" w:name="_Toc27053"/>
      <w:r>
        <w:rPr>
          <w:rFonts w:ascii="黑体" w:hAnsi="黑体" w:eastAsia="黑体" w:cs="黑体"/>
          <w:color w:val="auto"/>
          <w:spacing w:val="-1"/>
          <w:sz w:val="24"/>
          <w:highlight w:val="none"/>
        </w:rPr>
        <w:t>3.1 投标文件的组成</w:t>
      </w:r>
      <w:bookmarkEnd w:id="101"/>
    </w:p>
    <w:p w14:paraId="3A5C579C">
      <w:pPr>
        <w:spacing w:before="132" w:line="234" w:lineRule="auto"/>
        <w:ind w:left="443"/>
        <w:rPr>
          <w:rFonts w:ascii="宋体" w:hAnsi="宋体" w:cs="宋体"/>
          <w:color w:val="auto"/>
          <w:szCs w:val="21"/>
          <w:highlight w:val="none"/>
        </w:rPr>
      </w:pPr>
      <w:r>
        <w:rPr>
          <w:rFonts w:eastAsia="Times New Roman"/>
          <w:color w:val="auto"/>
          <w:spacing w:val="-2"/>
          <w:szCs w:val="21"/>
          <w:highlight w:val="none"/>
        </w:rPr>
        <w:t xml:space="preserve">3.1.1  </w:t>
      </w:r>
      <w:r>
        <w:rPr>
          <w:rFonts w:ascii="宋体" w:hAnsi="宋体" w:cs="宋体"/>
          <w:color w:val="auto"/>
          <w:spacing w:val="-2"/>
          <w:szCs w:val="21"/>
          <w:highlight w:val="none"/>
        </w:rPr>
        <w:t>投标文件应包括下列内容：</w:t>
      </w:r>
    </w:p>
    <w:p w14:paraId="5782F87E">
      <w:pPr>
        <w:spacing w:before="135" w:line="234" w:lineRule="auto"/>
        <w:ind w:left="386"/>
        <w:rPr>
          <w:rFonts w:ascii="宋体" w:hAnsi="宋体" w:cs="宋体"/>
          <w:color w:val="auto"/>
          <w:szCs w:val="21"/>
          <w:highlight w:val="none"/>
        </w:rPr>
      </w:pPr>
      <w:r>
        <w:rPr>
          <w:rFonts w:ascii="宋体" w:hAnsi="宋体" w:cs="宋体"/>
          <w:color w:val="auto"/>
          <w:spacing w:val="-1"/>
          <w:szCs w:val="21"/>
          <w:highlight w:val="none"/>
        </w:rPr>
        <w:t>（</w:t>
      </w:r>
      <w:r>
        <w:rPr>
          <w:rFonts w:eastAsia="Times New Roman"/>
          <w:color w:val="auto"/>
          <w:spacing w:val="-1"/>
          <w:szCs w:val="21"/>
          <w:highlight w:val="none"/>
        </w:rPr>
        <w:t>1</w:t>
      </w:r>
      <w:r>
        <w:rPr>
          <w:rFonts w:ascii="宋体" w:hAnsi="宋体" w:cs="宋体"/>
          <w:color w:val="auto"/>
          <w:spacing w:val="-1"/>
          <w:szCs w:val="21"/>
          <w:highlight w:val="none"/>
        </w:rPr>
        <w:t>）投标函及投标函附录等；</w:t>
      </w:r>
    </w:p>
    <w:p w14:paraId="09781D9D">
      <w:pPr>
        <w:spacing w:before="134" w:line="234" w:lineRule="auto"/>
        <w:ind w:left="386"/>
        <w:rPr>
          <w:rFonts w:ascii="宋体" w:hAnsi="宋体" w:cs="宋体"/>
          <w:color w:val="auto"/>
          <w:szCs w:val="21"/>
          <w:highlight w:val="none"/>
        </w:rPr>
      </w:pPr>
      <w:r>
        <w:rPr>
          <w:rFonts w:ascii="宋体" w:hAnsi="宋体" w:cs="宋体"/>
          <w:color w:val="auto"/>
          <w:szCs w:val="21"/>
          <w:highlight w:val="none"/>
        </w:rPr>
        <w:t>（</w:t>
      </w:r>
      <w:r>
        <w:rPr>
          <w:rFonts w:eastAsia="Times New Roman"/>
          <w:color w:val="auto"/>
          <w:szCs w:val="21"/>
          <w:highlight w:val="none"/>
        </w:rPr>
        <w:t>2</w:t>
      </w:r>
      <w:r>
        <w:rPr>
          <w:rFonts w:ascii="宋体" w:hAnsi="宋体" w:cs="宋体"/>
          <w:color w:val="auto"/>
          <w:szCs w:val="21"/>
          <w:highlight w:val="none"/>
        </w:rPr>
        <w:t>）法定代表人身份证明或附有法定代表人</w:t>
      </w:r>
      <w:r>
        <w:rPr>
          <w:rFonts w:ascii="宋体" w:hAnsi="宋体" w:cs="宋体"/>
          <w:color w:val="auto"/>
          <w:spacing w:val="-1"/>
          <w:szCs w:val="21"/>
          <w:highlight w:val="none"/>
        </w:rPr>
        <w:t>身份证明的授权委托书；</w:t>
      </w:r>
    </w:p>
    <w:p w14:paraId="04A02738">
      <w:pPr>
        <w:spacing w:before="133" w:line="235" w:lineRule="auto"/>
        <w:ind w:left="386"/>
        <w:rPr>
          <w:rFonts w:ascii="宋体" w:hAnsi="宋体" w:cs="宋体"/>
          <w:color w:val="auto"/>
          <w:szCs w:val="21"/>
          <w:highlight w:val="none"/>
        </w:rPr>
      </w:pPr>
      <w:r>
        <w:rPr>
          <w:rFonts w:ascii="宋体" w:hAnsi="宋体" w:cs="宋体"/>
          <w:color w:val="auto"/>
          <w:spacing w:val="-2"/>
          <w:szCs w:val="21"/>
          <w:highlight w:val="none"/>
        </w:rPr>
        <w:t>（</w:t>
      </w:r>
      <w:r>
        <w:rPr>
          <w:rFonts w:eastAsia="Times New Roman"/>
          <w:color w:val="auto"/>
          <w:spacing w:val="-2"/>
          <w:szCs w:val="21"/>
          <w:highlight w:val="none"/>
        </w:rPr>
        <w:t>3</w:t>
      </w:r>
      <w:r>
        <w:rPr>
          <w:rFonts w:ascii="宋体" w:hAnsi="宋体" w:cs="宋体"/>
          <w:color w:val="auto"/>
          <w:spacing w:val="-2"/>
          <w:szCs w:val="21"/>
          <w:highlight w:val="none"/>
        </w:rPr>
        <w:t>）投标保证金；</w:t>
      </w:r>
    </w:p>
    <w:p w14:paraId="1E017004">
      <w:pPr>
        <w:spacing w:before="133" w:line="234" w:lineRule="auto"/>
        <w:ind w:left="386"/>
        <w:rPr>
          <w:rFonts w:ascii="宋体" w:hAnsi="宋体" w:cs="宋体"/>
          <w:color w:val="auto"/>
          <w:szCs w:val="21"/>
          <w:highlight w:val="none"/>
        </w:rPr>
      </w:pPr>
      <w:r>
        <w:rPr>
          <w:rFonts w:ascii="宋体" w:hAnsi="宋体" w:cs="宋体"/>
          <w:color w:val="auto"/>
          <w:spacing w:val="-2"/>
          <w:szCs w:val="21"/>
          <w:highlight w:val="none"/>
        </w:rPr>
        <w:t>（</w:t>
      </w:r>
      <w:r>
        <w:rPr>
          <w:rFonts w:eastAsia="Times New Roman"/>
          <w:color w:val="auto"/>
          <w:spacing w:val="-2"/>
          <w:szCs w:val="21"/>
          <w:highlight w:val="none"/>
        </w:rPr>
        <w:t>4</w:t>
      </w:r>
      <w:r>
        <w:rPr>
          <w:rFonts w:ascii="宋体" w:hAnsi="宋体" w:cs="宋体"/>
          <w:color w:val="auto"/>
          <w:spacing w:val="-2"/>
          <w:szCs w:val="21"/>
          <w:highlight w:val="none"/>
        </w:rPr>
        <w:t>）联合体协议书；</w:t>
      </w:r>
    </w:p>
    <w:p w14:paraId="75708997">
      <w:pPr>
        <w:spacing w:before="135" w:line="233" w:lineRule="auto"/>
        <w:ind w:left="386"/>
        <w:rPr>
          <w:rFonts w:ascii="宋体" w:hAnsi="宋体" w:cs="宋体"/>
          <w:color w:val="auto"/>
          <w:szCs w:val="21"/>
          <w:highlight w:val="none"/>
        </w:rPr>
      </w:pPr>
      <w:r>
        <w:rPr>
          <w:rFonts w:ascii="宋体" w:hAnsi="宋体" w:cs="宋体"/>
          <w:color w:val="auto"/>
          <w:spacing w:val="-2"/>
          <w:szCs w:val="21"/>
          <w:highlight w:val="none"/>
        </w:rPr>
        <w:t>（</w:t>
      </w:r>
      <w:r>
        <w:rPr>
          <w:rFonts w:eastAsia="Times New Roman"/>
          <w:color w:val="auto"/>
          <w:spacing w:val="-2"/>
          <w:szCs w:val="21"/>
          <w:highlight w:val="none"/>
        </w:rPr>
        <w:t>5</w:t>
      </w:r>
      <w:r>
        <w:rPr>
          <w:rFonts w:ascii="宋体" w:hAnsi="宋体" w:cs="宋体"/>
          <w:color w:val="auto"/>
          <w:spacing w:val="-2"/>
          <w:szCs w:val="21"/>
          <w:highlight w:val="none"/>
        </w:rPr>
        <w:t>）价格清单；</w:t>
      </w:r>
    </w:p>
    <w:p w14:paraId="6F895D7A">
      <w:pPr>
        <w:spacing w:before="133" w:line="234" w:lineRule="auto"/>
        <w:ind w:left="386"/>
        <w:rPr>
          <w:rFonts w:ascii="宋体" w:hAnsi="宋体" w:cs="宋体"/>
          <w:color w:val="auto"/>
          <w:szCs w:val="21"/>
          <w:highlight w:val="none"/>
        </w:rPr>
      </w:pPr>
      <w:r>
        <w:rPr>
          <w:rFonts w:ascii="宋体" w:hAnsi="宋体" w:cs="宋体"/>
          <w:color w:val="auto"/>
          <w:spacing w:val="-2"/>
          <w:szCs w:val="21"/>
          <w:highlight w:val="none"/>
        </w:rPr>
        <w:t>（</w:t>
      </w:r>
      <w:r>
        <w:rPr>
          <w:rFonts w:eastAsia="Times New Roman"/>
          <w:color w:val="auto"/>
          <w:spacing w:val="-2"/>
          <w:szCs w:val="21"/>
          <w:highlight w:val="none"/>
        </w:rPr>
        <w:t>6</w:t>
      </w:r>
      <w:r>
        <w:rPr>
          <w:rFonts w:ascii="宋体" w:hAnsi="宋体" w:cs="宋体"/>
          <w:color w:val="auto"/>
          <w:spacing w:val="-2"/>
          <w:szCs w:val="21"/>
          <w:highlight w:val="none"/>
        </w:rPr>
        <w:t>）承包人建议书；</w:t>
      </w:r>
    </w:p>
    <w:p w14:paraId="33848C19">
      <w:pPr>
        <w:spacing w:before="135" w:line="234" w:lineRule="auto"/>
        <w:ind w:left="386"/>
        <w:rPr>
          <w:rFonts w:ascii="宋体" w:hAnsi="宋体" w:cs="宋体"/>
          <w:color w:val="auto"/>
          <w:szCs w:val="21"/>
          <w:highlight w:val="none"/>
        </w:rPr>
      </w:pPr>
      <w:r>
        <w:rPr>
          <w:rFonts w:ascii="宋体" w:hAnsi="宋体" w:cs="宋体"/>
          <w:color w:val="auto"/>
          <w:spacing w:val="-4"/>
          <w:szCs w:val="21"/>
          <w:highlight w:val="none"/>
        </w:rPr>
        <w:t>（</w:t>
      </w:r>
      <w:r>
        <w:rPr>
          <w:rFonts w:eastAsia="Times New Roman"/>
          <w:color w:val="auto"/>
          <w:spacing w:val="-4"/>
          <w:szCs w:val="21"/>
          <w:highlight w:val="none"/>
        </w:rPr>
        <w:t>7</w:t>
      </w:r>
      <w:r>
        <w:rPr>
          <w:rFonts w:ascii="宋体" w:hAnsi="宋体" w:cs="宋体"/>
          <w:color w:val="auto"/>
          <w:spacing w:val="-4"/>
          <w:szCs w:val="21"/>
          <w:highlight w:val="none"/>
        </w:rPr>
        <w:t>）承包人实施方案；</w:t>
      </w:r>
    </w:p>
    <w:p w14:paraId="1D1C465B">
      <w:pPr>
        <w:spacing w:before="135" w:line="234" w:lineRule="auto"/>
        <w:ind w:left="386"/>
        <w:rPr>
          <w:rFonts w:ascii="宋体" w:hAnsi="宋体" w:cs="宋体"/>
          <w:color w:val="auto"/>
          <w:szCs w:val="21"/>
          <w:highlight w:val="none"/>
        </w:rPr>
      </w:pPr>
      <w:r>
        <w:rPr>
          <w:rFonts w:ascii="宋体" w:hAnsi="宋体" w:cs="宋体"/>
          <w:color w:val="auto"/>
          <w:spacing w:val="-2"/>
          <w:szCs w:val="21"/>
          <w:highlight w:val="none"/>
        </w:rPr>
        <w:t>（</w:t>
      </w:r>
      <w:r>
        <w:rPr>
          <w:rFonts w:eastAsia="Times New Roman"/>
          <w:color w:val="auto"/>
          <w:spacing w:val="-2"/>
          <w:szCs w:val="21"/>
          <w:highlight w:val="none"/>
        </w:rPr>
        <w:t>8</w:t>
      </w:r>
      <w:r>
        <w:rPr>
          <w:rFonts w:ascii="宋体" w:hAnsi="宋体" w:cs="宋体"/>
          <w:color w:val="auto"/>
          <w:spacing w:val="-2"/>
          <w:szCs w:val="21"/>
          <w:highlight w:val="none"/>
        </w:rPr>
        <w:t>）资格审查资料；</w:t>
      </w:r>
    </w:p>
    <w:p w14:paraId="7A3C1E95">
      <w:pPr>
        <w:spacing w:before="132" w:line="234" w:lineRule="auto"/>
        <w:ind w:left="386"/>
        <w:rPr>
          <w:rFonts w:ascii="宋体" w:hAnsi="宋体" w:cs="宋体"/>
          <w:color w:val="auto"/>
          <w:szCs w:val="21"/>
          <w:highlight w:val="none"/>
        </w:rPr>
      </w:pPr>
      <w:r>
        <w:rPr>
          <w:rFonts w:ascii="宋体" w:hAnsi="宋体" w:cs="宋体"/>
          <w:color w:val="auto"/>
          <w:spacing w:val="-2"/>
          <w:szCs w:val="21"/>
          <w:highlight w:val="none"/>
        </w:rPr>
        <w:t>（</w:t>
      </w:r>
      <w:r>
        <w:rPr>
          <w:rFonts w:eastAsia="Times New Roman"/>
          <w:color w:val="auto"/>
          <w:spacing w:val="-2"/>
          <w:szCs w:val="21"/>
          <w:highlight w:val="none"/>
        </w:rPr>
        <w:t>9</w:t>
      </w:r>
      <w:r>
        <w:rPr>
          <w:rFonts w:ascii="宋体" w:hAnsi="宋体" w:cs="宋体"/>
          <w:color w:val="auto"/>
          <w:spacing w:val="-2"/>
          <w:szCs w:val="21"/>
          <w:highlight w:val="none"/>
        </w:rPr>
        <w:t>）投标人须知前附表规定的其他资料。</w:t>
      </w:r>
    </w:p>
    <w:p w14:paraId="026D4159">
      <w:pPr>
        <w:spacing w:before="134" w:line="327" w:lineRule="auto"/>
        <w:ind w:left="22" w:right="173" w:firstLine="358"/>
        <w:rPr>
          <w:rFonts w:ascii="宋体" w:hAnsi="宋体" w:cs="宋体"/>
          <w:color w:val="auto"/>
          <w:szCs w:val="21"/>
          <w:highlight w:val="none"/>
        </w:rPr>
      </w:pPr>
      <w:r>
        <w:rPr>
          <w:rFonts w:eastAsia="Times New Roman"/>
          <w:color w:val="auto"/>
          <w:spacing w:val="2"/>
          <w:szCs w:val="21"/>
          <w:highlight w:val="none"/>
        </w:rPr>
        <w:t xml:space="preserve">3.1.2  </w:t>
      </w:r>
      <w:r>
        <w:rPr>
          <w:rFonts w:ascii="宋体" w:hAnsi="宋体" w:cs="宋体"/>
          <w:color w:val="auto"/>
          <w:spacing w:val="2"/>
          <w:szCs w:val="21"/>
          <w:highlight w:val="none"/>
        </w:rPr>
        <w:t>投标人须知前附表规定不接受联合体投</w:t>
      </w:r>
      <w:r>
        <w:rPr>
          <w:rFonts w:ascii="宋体" w:hAnsi="宋体" w:cs="宋体"/>
          <w:color w:val="auto"/>
          <w:spacing w:val="1"/>
          <w:szCs w:val="21"/>
          <w:highlight w:val="none"/>
        </w:rPr>
        <w:t>标的，或投标人没有组成联合体的，投标</w:t>
      </w:r>
      <w:r>
        <w:rPr>
          <w:rFonts w:ascii="宋体" w:hAnsi="宋体" w:cs="宋体"/>
          <w:color w:val="auto"/>
          <w:spacing w:val="-1"/>
          <w:szCs w:val="21"/>
          <w:highlight w:val="none"/>
        </w:rPr>
        <w:t>文件不包括本章第</w:t>
      </w:r>
      <w:r>
        <w:rPr>
          <w:rFonts w:eastAsia="Times New Roman"/>
          <w:color w:val="auto"/>
          <w:spacing w:val="-1"/>
          <w:szCs w:val="21"/>
          <w:highlight w:val="none"/>
        </w:rPr>
        <w:t>3.1.1</w:t>
      </w:r>
      <w:r>
        <w:rPr>
          <w:rFonts w:ascii="宋体" w:hAnsi="宋体" w:cs="宋体"/>
          <w:color w:val="auto"/>
          <w:spacing w:val="-1"/>
          <w:szCs w:val="21"/>
          <w:highlight w:val="none"/>
        </w:rPr>
        <w:t>（</w:t>
      </w:r>
      <w:r>
        <w:rPr>
          <w:rFonts w:eastAsia="Times New Roman"/>
          <w:color w:val="auto"/>
          <w:spacing w:val="-1"/>
          <w:szCs w:val="21"/>
          <w:highlight w:val="none"/>
        </w:rPr>
        <w:t>4</w:t>
      </w:r>
      <w:r>
        <w:rPr>
          <w:rFonts w:ascii="宋体" w:hAnsi="宋体" w:cs="宋体"/>
          <w:color w:val="auto"/>
          <w:spacing w:val="-1"/>
          <w:szCs w:val="21"/>
          <w:highlight w:val="none"/>
        </w:rPr>
        <w:t>）目所指的联合体协议书。</w:t>
      </w:r>
    </w:p>
    <w:p w14:paraId="2CFF6BBC">
      <w:pPr>
        <w:spacing w:before="1" w:line="218" w:lineRule="auto"/>
        <w:ind w:left="139"/>
        <w:outlineLvl w:val="2"/>
        <w:rPr>
          <w:rFonts w:ascii="黑体" w:hAnsi="黑体" w:eastAsia="黑体" w:cs="黑体"/>
          <w:color w:val="auto"/>
          <w:sz w:val="24"/>
          <w:highlight w:val="none"/>
        </w:rPr>
      </w:pPr>
      <w:bookmarkStart w:id="102" w:name="bookmark48"/>
      <w:bookmarkEnd w:id="102"/>
      <w:bookmarkStart w:id="103" w:name="_Toc30709"/>
      <w:r>
        <w:rPr>
          <w:rFonts w:ascii="黑体" w:hAnsi="黑体" w:eastAsia="黑体" w:cs="黑体"/>
          <w:color w:val="auto"/>
          <w:spacing w:val="-1"/>
          <w:sz w:val="24"/>
          <w:highlight w:val="none"/>
        </w:rPr>
        <w:t>3.2 投标报价</w:t>
      </w:r>
      <w:bookmarkEnd w:id="103"/>
    </w:p>
    <w:p w14:paraId="6FA6DD0B">
      <w:pPr>
        <w:spacing w:before="132" w:line="233" w:lineRule="auto"/>
        <w:ind w:left="440"/>
        <w:rPr>
          <w:rFonts w:ascii="宋体" w:hAnsi="宋体" w:cs="宋体"/>
          <w:color w:val="auto"/>
          <w:szCs w:val="21"/>
          <w:highlight w:val="none"/>
        </w:rPr>
      </w:pPr>
      <w:r>
        <w:rPr>
          <w:rFonts w:eastAsia="Times New Roman"/>
          <w:color w:val="auto"/>
          <w:szCs w:val="21"/>
          <w:highlight w:val="none"/>
        </w:rPr>
        <w:t xml:space="preserve">3.2.1  </w:t>
      </w:r>
      <w:r>
        <w:rPr>
          <w:rFonts w:ascii="宋体" w:hAnsi="宋体" w:cs="宋体"/>
          <w:color w:val="auto"/>
          <w:szCs w:val="21"/>
          <w:highlight w:val="none"/>
        </w:rPr>
        <w:t>投标人应按第七章“投标文件格式”的要求填写</w:t>
      </w:r>
      <w:r>
        <w:rPr>
          <w:rFonts w:ascii="宋体" w:hAnsi="宋体" w:cs="宋体"/>
          <w:color w:val="auto"/>
          <w:spacing w:val="-1"/>
          <w:szCs w:val="21"/>
          <w:highlight w:val="none"/>
        </w:rPr>
        <w:t>价格清单。</w:t>
      </w:r>
    </w:p>
    <w:p w14:paraId="6F8C8369">
      <w:pPr>
        <w:spacing w:before="166" w:line="304" w:lineRule="auto"/>
        <w:ind w:left="19" w:right="167" w:firstLine="421"/>
        <w:rPr>
          <w:rFonts w:ascii="宋体" w:hAnsi="宋体" w:cs="宋体"/>
          <w:color w:val="auto"/>
          <w:szCs w:val="21"/>
          <w:highlight w:val="none"/>
        </w:rPr>
      </w:pPr>
      <w:r>
        <w:rPr>
          <w:rFonts w:eastAsia="Times New Roman"/>
          <w:color w:val="auto"/>
          <w:szCs w:val="21"/>
          <w:highlight w:val="none"/>
        </w:rPr>
        <w:t xml:space="preserve">3.2.2  </w:t>
      </w:r>
      <w:r>
        <w:rPr>
          <w:rFonts w:ascii="宋体" w:hAnsi="宋体" w:cs="宋体"/>
          <w:color w:val="auto"/>
          <w:szCs w:val="21"/>
          <w:highlight w:val="none"/>
        </w:rPr>
        <w:t>投标人应充分了解施工场地的位置、周边环境、道路、装卸、保管、安装限制以</w:t>
      </w:r>
      <w:r>
        <w:rPr>
          <w:rFonts w:ascii="宋体" w:hAnsi="宋体" w:cs="宋体"/>
          <w:color w:val="auto"/>
          <w:spacing w:val="-1"/>
          <w:szCs w:val="21"/>
          <w:highlight w:val="none"/>
        </w:rPr>
        <w:t>及影响投标报价的其他要素。投标人根据投标设计，结合市场情况进行投标报价。</w:t>
      </w:r>
    </w:p>
    <w:p w14:paraId="2A245F8C">
      <w:pPr>
        <w:spacing w:before="158" w:line="292" w:lineRule="auto"/>
        <w:ind w:left="6" w:right="167" w:firstLine="434"/>
        <w:rPr>
          <w:rFonts w:ascii="宋体" w:hAnsi="宋体" w:cs="宋体"/>
          <w:color w:val="auto"/>
          <w:szCs w:val="21"/>
          <w:highlight w:val="none"/>
        </w:rPr>
      </w:pPr>
      <w:r>
        <w:rPr>
          <w:rFonts w:eastAsia="Times New Roman"/>
          <w:color w:val="auto"/>
          <w:spacing w:val="5"/>
          <w:szCs w:val="21"/>
          <w:highlight w:val="none"/>
        </w:rPr>
        <w:t xml:space="preserve">3.2.3  </w:t>
      </w:r>
      <w:r>
        <w:rPr>
          <w:rFonts w:ascii="宋体" w:hAnsi="宋体" w:cs="宋体"/>
          <w:color w:val="auto"/>
          <w:spacing w:val="5"/>
          <w:szCs w:val="21"/>
          <w:highlight w:val="none"/>
        </w:rPr>
        <w:t>投标人在投标截止时间前修改投标函中的投标报价总额，应同时修改投标文件</w:t>
      </w:r>
      <w:r>
        <w:rPr>
          <w:rFonts w:ascii="宋体" w:hAnsi="宋体" w:cs="宋体"/>
          <w:color w:val="auto"/>
          <w:spacing w:val="1"/>
          <w:szCs w:val="21"/>
          <w:highlight w:val="none"/>
        </w:rPr>
        <w:t>“价格清单”中的相应报价，投标报价总额为各分项金额之和。此修改须符合本章第</w:t>
      </w:r>
      <w:r>
        <w:rPr>
          <w:rFonts w:eastAsia="Times New Roman"/>
          <w:color w:val="auto"/>
          <w:spacing w:val="1"/>
          <w:szCs w:val="21"/>
          <w:highlight w:val="none"/>
        </w:rPr>
        <w:t>4.</w:t>
      </w:r>
      <w:r>
        <w:rPr>
          <w:rFonts w:eastAsia="Times New Roman"/>
          <w:color w:val="auto"/>
          <w:szCs w:val="21"/>
          <w:highlight w:val="none"/>
        </w:rPr>
        <w:t>3</w:t>
      </w:r>
      <w:r>
        <w:rPr>
          <w:rFonts w:ascii="宋体" w:hAnsi="宋体" w:cs="宋体"/>
          <w:color w:val="auto"/>
          <w:szCs w:val="21"/>
          <w:highlight w:val="none"/>
        </w:rPr>
        <w:t>款</w:t>
      </w:r>
    </w:p>
    <w:p w14:paraId="78493E26">
      <w:pPr>
        <w:spacing w:before="136" w:line="221" w:lineRule="auto"/>
        <w:ind w:left="37"/>
        <w:rPr>
          <w:rFonts w:ascii="宋体" w:hAnsi="宋体" w:cs="宋体"/>
          <w:color w:val="auto"/>
          <w:szCs w:val="21"/>
          <w:highlight w:val="none"/>
        </w:rPr>
      </w:pPr>
      <w:r>
        <w:rPr>
          <w:rFonts w:ascii="宋体" w:hAnsi="宋体" w:cs="宋体"/>
          <w:color w:val="auto"/>
          <w:spacing w:val="-4"/>
          <w:szCs w:val="21"/>
          <w:highlight w:val="none"/>
        </w:rPr>
        <w:t>的有关要求。</w:t>
      </w:r>
    </w:p>
    <w:p w14:paraId="01A1D400">
      <w:pPr>
        <w:spacing w:before="149" w:line="285" w:lineRule="auto"/>
        <w:ind w:left="21" w:right="177" w:firstLine="419"/>
        <w:rPr>
          <w:rFonts w:ascii="宋体" w:hAnsi="宋体" w:cs="宋体"/>
          <w:color w:val="auto"/>
          <w:szCs w:val="21"/>
          <w:highlight w:val="none"/>
        </w:rPr>
      </w:pPr>
      <w:r>
        <w:rPr>
          <w:rFonts w:eastAsia="Times New Roman"/>
          <w:color w:val="auto"/>
          <w:szCs w:val="21"/>
          <w:highlight w:val="none"/>
        </w:rPr>
        <w:t xml:space="preserve">3.2.4  </w:t>
      </w:r>
      <w:r>
        <w:rPr>
          <w:rFonts w:ascii="宋体" w:hAnsi="宋体" w:cs="宋体"/>
          <w:color w:val="auto"/>
          <w:szCs w:val="21"/>
          <w:highlight w:val="none"/>
        </w:rPr>
        <w:t>招标人设有最高投标限价的，投标人的投标报价不得超过最高投标限价，最高投</w:t>
      </w:r>
      <w:r>
        <w:rPr>
          <w:rFonts w:ascii="宋体" w:hAnsi="宋体" w:cs="宋体"/>
          <w:color w:val="auto"/>
          <w:spacing w:val="-1"/>
          <w:szCs w:val="21"/>
          <w:highlight w:val="none"/>
        </w:rPr>
        <w:t>标限价或其计算方法在投标人须知前附表中载明。</w:t>
      </w:r>
    </w:p>
    <w:p w14:paraId="06433DFB">
      <w:pPr>
        <w:spacing w:before="151" w:line="233" w:lineRule="auto"/>
        <w:ind w:left="440"/>
        <w:rPr>
          <w:rFonts w:ascii="宋体" w:hAnsi="宋体" w:cs="宋体"/>
          <w:color w:val="auto"/>
          <w:szCs w:val="21"/>
          <w:highlight w:val="none"/>
        </w:rPr>
      </w:pPr>
      <w:r>
        <w:rPr>
          <w:rFonts w:eastAsia="Times New Roman"/>
          <w:color w:val="auto"/>
          <w:szCs w:val="21"/>
          <w:highlight w:val="none"/>
        </w:rPr>
        <w:t xml:space="preserve">3.2.5  </w:t>
      </w:r>
      <w:r>
        <w:rPr>
          <w:rFonts w:ascii="宋体" w:hAnsi="宋体" w:cs="宋体"/>
          <w:color w:val="auto"/>
          <w:szCs w:val="21"/>
          <w:highlight w:val="none"/>
        </w:rPr>
        <w:t>投标报价的其他要求见投标</w:t>
      </w:r>
      <w:r>
        <w:rPr>
          <w:rFonts w:ascii="宋体" w:hAnsi="宋体" w:cs="宋体"/>
          <w:color w:val="auto"/>
          <w:spacing w:val="-1"/>
          <w:szCs w:val="21"/>
          <w:highlight w:val="none"/>
        </w:rPr>
        <w:t>人须知前附表。</w:t>
      </w:r>
    </w:p>
    <w:p w14:paraId="66AB4AD3">
      <w:pPr>
        <w:spacing w:before="78" w:line="218" w:lineRule="auto"/>
        <w:ind w:left="139"/>
        <w:outlineLvl w:val="2"/>
        <w:rPr>
          <w:rFonts w:ascii="黑体" w:hAnsi="黑体" w:eastAsia="黑体" w:cs="黑体"/>
          <w:color w:val="auto"/>
          <w:sz w:val="24"/>
          <w:highlight w:val="none"/>
        </w:rPr>
      </w:pPr>
      <w:bookmarkStart w:id="104" w:name="bookmark49"/>
      <w:bookmarkEnd w:id="104"/>
      <w:bookmarkStart w:id="105" w:name="_Toc27399"/>
      <w:r>
        <w:rPr>
          <w:rFonts w:ascii="黑体" w:hAnsi="黑体" w:eastAsia="黑体" w:cs="黑体"/>
          <w:color w:val="auto"/>
          <w:spacing w:val="-1"/>
          <w:sz w:val="24"/>
          <w:highlight w:val="none"/>
        </w:rPr>
        <w:t>3.3 投标有效期</w:t>
      </w:r>
      <w:bookmarkEnd w:id="105"/>
    </w:p>
    <w:p w14:paraId="4AC7E35B">
      <w:pPr>
        <w:spacing w:before="136" w:line="285" w:lineRule="auto"/>
        <w:ind w:left="19" w:right="168" w:firstLine="421"/>
        <w:rPr>
          <w:rFonts w:ascii="宋体" w:hAnsi="宋体" w:cs="宋体"/>
          <w:color w:val="auto"/>
          <w:szCs w:val="21"/>
          <w:highlight w:val="none"/>
        </w:rPr>
      </w:pPr>
      <w:r>
        <w:rPr>
          <w:rFonts w:eastAsia="Times New Roman"/>
          <w:color w:val="auto"/>
          <w:szCs w:val="21"/>
          <w:highlight w:val="none"/>
        </w:rPr>
        <w:t xml:space="preserve">3.3.1  </w:t>
      </w:r>
      <w:r>
        <w:rPr>
          <w:rFonts w:ascii="宋体" w:hAnsi="宋体" w:cs="宋体"/>
          <w:color w:val="auto"/>
          <w:szCs w:val="21"/>
          <w:highlight w:val="none"/>
        </w:rPr>
        <w:t>在投标人须知前附表规定的投标有效期内，投标人不得要求撤销或修改其投标文</w:t>
      </w:r>
      <w:r>
        <w:rPr>
          <w:rFonts w:ascii="宋体" w:hAnsi="宋体" w:cs="宋体"/>
          <w:color w:val="auto"/>
          <w:spacing w:val="-10"/>
          <w:szCs w:val="21"/>
          <w:highlight w:val="none"/>
        </w:rPr>
        <w:t>件。</w:t>
      </w:r>
    </w:p>
    <w:p w14:paraId="3B267F86">
      <w:pPr>
        <w:spacing w:before="148" w:line="326" w:lineRule="auto"/>
        <w:ind w:left="21" w:right="180" w:hanging="1"/>
        <w:rPr>
          <w:rFonts w:ascii="宋体" w:hAnsi="宋体" w:cs="宋体"/>
          <w:color w:val="auto"/>
          <w:szCs w:val="21"/>
          <w:highlight w:val="none"/>
        </w:rPr>
      </w:pPr>
      <w:r>
        <w:rPr>
          <w:rFonts w:eastAsia="Times New Roman"/>
          <w:color w:val="auto"/>
          <w:szCs w:val="21"/>
          <w:highlight w:val="none"/>
        </w:rPr>
        <w:t xml:space="preserve">3.3.2  </w:t>
      </w:r>
      <w:r>
        <w:rPr>
          <w:rFonts w:ascii="宋体" w:hAnsi="宋体" w:cs="宋体"/>
          <w:color w:val="auto"/>
          <w:szCs w:val="21"/>
          <w:highlight w:val="none"/>
        </w:rPr>
        <w:t>出现特殊情况需要延长投标有效期的，招标人以书面形式通知所有投标人延长投</w:t>
      </w:r>
      <w:r>
        <w:rPr>
          <w:rFonts w:ascii="宋体" w:hAnsi="宋体" w:cs="宋体"/>
          <w:color w:val="auto"/>
          <w:spacing w:val="3"/>
          <w:szCs w:val="21"/>
          <w:highlight w:val="none"/>
        </w:rPr>
        <w:t>标有效期。投标人同意延长的，应相应延长其投标保证金的有效期，但不得要求</w:t>
      </w:r>
      <w:r>
        <w:rPr>
          <w:rFonts w:ascii="宋体" w:hAnsi="宋体" w:cs="宋体"/>
          <w:color w:val="auto"/>
          <w:spacing w:val="2"/>
          <w:szCs w:val="21"/>
          <w:highlight w:val="none"/>
        </w:rPr>
        <w:t>或被允许</w:t>
      </w:r>
      <w:r>
        <w:rPr>
          <w:rFonts w:ascii="宋体" w:hAnsi="宋体" w:cs="宋体"/>
          <w:color w:val="auto"/>
          <w:spacing w:val="3"/>
          <w:szCs w:val="21"/>
          <w:highlight w:val="none"/>
        </w:rPr>
        <w:t>修改或撤销其投标文件；投标人拒绝延长的，其投标失效，但投标人有权收回其投</w:t>
      </w:r>
      <w:r>
        <w:rPr>
          <w:rFonts w:ascii="宋体" w:hAnsi="宋体" w:cs="宋体"/>
          <w:color w:val="auto"/>
          <w:spacing w:val="2"/>
          <w:szCs w:val="21"/>
          <w:highlight w:val="none"/>
        </w:rPr>
        <w:t>标保证</w:t>
      </w:r>
      <w:r>
        <w:rPr>
          <w:rFonts w:ascii="宋体" w:hAnsi="宋体" w:cs="宋体"/>
          <w:color w:val="auto"/>
          <w:spacing w:val="-10"/>
          <w:szCs w:val="21"/>
          <w:highlight w:val="none"/>
        </w:rPr>
        <w:t>金。</w:t>
      </w:r>
    </w:p>
    <w:p w14:paraId="3B37F7C5">
      <w:pPr>
        <w:spacing w:line="219" w:lineRule="auto"/>
        <w:ind w:left="139"/>
        <w:outlineLvl w:val="2"/>
        <w:rPr>
          <w:rFonts w:ascii="黑体" w:hAnsi="黑体" w:eastAsia="黑体" w:cs="黑体"/>
          <w:color w:val="auto"/>
          <w:sz w:val="24"/>
          <w:highlight w:val="none"/>
        </w:rPr>
      </w:pPr>
      <w:bookmarkStart w:id="106" w:name="bookmark50"/>
      <w:bookmarkEnd w:id="106"/>
      <w:bookmarkStart w:id="107" w:name="_Toc5887"/>
      <w:r>
        <w:rPr>
          <w:rFonts w:ascii="黑体" w:hAnsi="黑体" w:eastAsia="黑体" w:cs="黑体"/>
          <w:color w:val="auto"/>
          <w:spacing w:val="-1"/>
          <w:sz w:val="24"/>
          <w:highlight w:val="none"/>
        </w:rPr>
        <w:t>3.4 投标保证金</w:t>
      </w:r>
      <w:bookmarkEnd w:id="107"/>
    </w:p>
    <w:p w14:paraId="07261C8F">
      <w:pPr>
        <w:spacing w:before="134" w:line="349" w:lineRule="auto"/>
        <w:ind w:left="20" w:right="9" w:firstLine="420"/>
        <w:rPr>
          <w:rFonts w:ascii="宋体" w:hAnsi="宋体" w:cs="宋体"/>
          <w:color w:val="auto"/>
          <w:szCs w:val="21"/>
          <w:highlight w:val="none"/>
        </w:rPr>
      </w:pPr>
      <w:r>
        <w:rPr>
          <w:rFonts w:eastAsia="Times New Roman"/>
          <w:color w:val="auto"/>
          <w:szCs w:val="21"/>
          <w:highlight w:val="none"/>
        </w:rPr>
        <w:t xml:space="preserve">3.4.1  </w:t>
      </w:r>
      <w:r>
        <w:rPr>
          <w:rFonts w:ascii="宋体" w:hAnsi="宋体" w:cs="宋体"/>
          <w:color w:val="auto"/>
          <w:szCs w:val="21"/>
          <w:highlight w:val="none"/>
        </w:rPr>
        <w:t>投标人在递交投标文件的同时，应按投标人须知前附表规定的金额、担保形式和</w:t>
      </w:r>
      <w:r>
        <w:rPr>
          <w:rFonts w:ascii="宋体" w:hAnsi="宋体" w:cs="宋体"/>
          <w:color w:val="auto"/>
          <w:spacing w:val="3"/>
          <w:szCs w:val="21"/>
          <w:highlight w:val="none"/>
        </w:rPr>
        <w:t>第七章“投标文件格式”规定的投标保证金格式递交投标保证金，并作为其投标文</w:t>
      </w:r>
      <w:r>
        <w:rPr>
          <w:rFonts w:ascii="宋体" w:hAnsi="宋体" w:cs="宋体"/>
          <w:color w:val="auto"/>
          <w:spacing w:val="2"/>
          <w:szCs w:val="21"/>
          <w:highlight w:val="none"/>
        </w:rPr>
        <w:t>件的组成部分。联合体投标的，其投标保证金由牵头人递交，并应符合投标人须知前附</w:t>
      </w:r>
      <w:r>
        <w:rPr>
          <w:rFonts w:ascii="宋体" w:hAnsi="宋体" w:cs="宋体"/>
          <w:color w:val="auto"/>
          <w:spacing w:val="1"/>
          <w:szCs w:val="21"/>
          <w:highlight w:val="none"/>
        </w:rPr>
        <w:t>表的规定。</w:t>
      </w:r>
    </w:p>
    <w:p w14:paraId="74E47F4F">
      <w:pPr>
        <w:spacing w:before="7" w:line="234" w:lineRule="auto"/>
        <w:ind w:left="440"/>
        <w:rPr>
          <w:rFonts w:ascii="宋体" w:hAnsi="宋体" w:cs="宋体"/>
          <w:color w:val="auto"/>
          <w:szCs w:val="21"/>
          <w:highlight w:val="none"/>
        </w:rPr>
      </w:pPr>
      <w:r>
        <w:rPr>
          <w:rFonts w:eastAsia="Times New Roman"/>
          <w:color w:val="auto"/>
          <w:spacing w:val="-1"/>
          <w:szCs w:val="21"/>
          <w:highlight w:val="none"/>
        </w:rPr>
        <w:t xml:space="preserve">3.4.2  </w:t>
      </w:r>
      <w:r>
        <w:rPr>
          <w:rFonts w:ascii="宋体" w:hAnsi="宋体" w:cs="宋体"/>
          <w:color w:val="auto"/>
          <w:spacing w:val="-1"/>
          <w:szCs w:val="21"/>
          <w:highlight w:val="none"/>
        </w:rPr>
        <w:t>投标人不按本章第</w:t>
      </w:r>
      <w:r>
        <w:rPr>
          <w:rFonts w:eastAsia="Times New Roman"/>
          <w:color w:val="auto"/>
          <w:spacing w:val="-1"/>
          <w:szCs w:val="21"/>
          <w:highlight w:val="none"/>
        </w:rPr>
        <w:t xml:space="preserve">3.4.1 </w:t>
      </w:r>
      <w:r>
        <w:rPr>
          <w:rFonts w:ascii="宋体" w:hAnsi="宋体" w:cs="宋体"/>
          <w:color w:val="auto"/>
          <w:spacing w:val="-1"/>
          <w:szCs w:val="21"/>
          <w:highlight w:val="none"/>
        </w:rPr>
        <w:t>项要求提交投标保证金的，评标委员会将否决其投标。</w:t>
      </w:r>
    </w:p>
    <w:p w14:paraId="34AA6573">
      <w:pPr>
        <w:spacing w:before="133" w:line="308" w:lineRule="auto"/>
        <w:ind w:left="21" w:right="177" w:firstLine="419"/>
        <w:rPr>
          <w:rFonts w:ascii="宋体" w:hAnsi="宋体" w:cs="宋体"/>
          <w:color w:val="auto"/>
          <w:szCs w:val="21"/>
          <w:highlight w:val="none"/>
        </w:rPr>
      </w:pPr>
      <w:r>
        <w:rPr>
          <w:rFonts w:eastAsia="Times New Roman"/>
          <w:color w:val="auto"/>
          <w:spacing w:val="-1"/>
          <w:szCs w:val="21"/>
          <w:highlight w:val="none"/>
        </w:rPr>
        <w:t xml:space="preserve">3.4.3  </w:t>
      </w:r>
      <w:r>
        <w:rPr>
          <w:rFonts w:ascii="宋体" w:hAnsi="宋体" w:cs="宋体"/>
          <w:color w:val="auto"/>
          <w:spacing w:val="-1"/>
          <w:szCs w:val="21"/>
          <w:highlight w:val="none"/>
        </w:rPr>
        <w:t>招标人最迟将在中标人签订合同后</w:t>
      </w:r>
      <w:r>
        <w:rPr>
          <w:rFonts w:eastAsia="Times New Roman"/>
          <w:color w:val="auto"/>
          <w:spacing w:val="-1"/>
          <w:szCs w:val="21"/>
          <w:highlight w:val="none"/>
        </w:rPr>
        <w:t xml:space="preserve">5  </w:t>
      </w:r>
      <w:r>
        <w:rPr>
          <w:rFonts w:ascii="宋体" w:hAnsi="宋体" w:cs="宋体"/>
          <w:color w:val="auto"/>
          <w:spacing w:val="-1"/>
          <w:szCs w:val="21"/>
          <w:highlight w:val="none"/>
        </w:rPr>
        <w:t>日内，向未</w:t>
      </w:r>
      <w:r>
        <w:rPr>
          <w:rFonts w:ascii="宋体" w:hAnsi="宋体" w:cs="宋体"/>
          <w:color w:val="auto"/>
          <w:spacing w:val="-2"/>
          <w:szCs w:val="21"/>
          <w:highlight w:val="none"/>
        </w:rPr>
        <w:t>中标的投标人和中标人退还投标</w:t>
      </w:r>
      <w:r>
        <w:rPr>
          <w:rFonts w:ascii="宋体" w:hAnsi="宋体" w:cs="宋体"/>
          <w:color w:val="auto"/>
          <w:spacing w:val="3"/>
          <w:szCs w:val="21"/>
          <w:highlight w:val="none"/>
        </w:rPr>
        <w:t>保证金。投标保证金以现金或者支票形式递交的，还应退还银行同期存款利息。投标</w:t>
      </w:r>
      <w:r>
        <w:rPr>
          <w:rFonts w:ascii="宋体" w:hAnsi="宋体" w:cs="宋体"/>
          <w:color w:val="auto"/>
          <w:spacing w:val="2"/>
          <w:szCs w:val="21"/>
          <w:highlight w:val="none"/>
        </w:rPr>
        <w:t>保证</w:t>
      </w:r>
      <w:r>
        <w:rPr>
          <w:rFonts w:ascii="宋体" w:hAnsi="宋体" w:cs="宋体"/>
          <w:color w:val="auto"/>
          <w:spacing w:val="-1"/>
          <w:szCs w:val="21"/>
          <w:highlight w:val="none"/>
        </w:rPr>
        <w:t>金及利息的计息标准和退还方式见投标人须知前附表。</w:t>
      </w:r>
    </w:p>
    <w:p w14:paraId="3EF208C1">
      <w:pPr>
        <w:spacing w:before="151" w:line="234" w:lineRule="auto"/>
        <w:ind w:left="440"/>
        <w:rPr>
          <w:rFonts w:ascii="宋体" w:hAnsi="宋体" w:cs="宋体"/>
          <w:color w:val="auto"/>
          <w:szCs w:val="21"/>
          <w:highlight w:val="none"/>
        </w:rPr>
      </w:pPr>
      <w:r>
        <w:rPr>
          <w:rFonts w:eastAsia="Times New Roman"/>
          <w:color w:val="auto"/>
          <w:spacing w:val="-1"/>
          <w:szCs w:val="21"/>
          <w:highlight w:val="none"/>
        </w:rPr>
        <w:t xml:space="preserve">3.4.4  </w:t>
      </w:r>
      <w:r>
        <w:rPr>
          <w:rFonts w:ascii="宋体" w:hAnsi="宋体" w:cs="宋体"/>
          <w:color w:val="auto"/>
          <w:spacing w:val="-1"/>
          <w:szCs w:val="21"/>
          <w:highlight w:val="none"/>
        </w:rPr>
        <w:t>有下列情形之一的，投标保证金将不</w:t>
      </w:r>
      <w:r>
        <w:rPr>
          <w:rFonts w:ascii="宋体" w:hAnsi="宋体" w:cs="宋体"/>
          <w:color w:val="auto"/>
          <w:spacing w:val="-2"/>
          <w:szCs w:val="21"/>
          <w:highlight w:val="none"/>
        </w:rPr>
        <w:t>予退还：</w:t>
      </w:r>
    </w:p>
    <w:p w14:paraId="4B01E899">
      <w:pPr>
        <w:spacing w:before="133" w:line="308" w:lineRule="auto"/>
        <w:ind w:left="21" w:right="177" w:firstLine="419"/>
        <w:rPr>
          <w:rFonts w:ascii="宋体" w:hAnsi="宋体" w:cs="宋体"/>
          <w:color w:val="auto"/>
          <w:spacing w:val="3"/>
          <w:szCs w:val="21"/>
          <w:highlight w:val="none"/>
        </w:rPr>
      </w:pPr>
      <w:r>
        <w:rPr>
          <w:rFonts w:ascii="宋体" w:hAnsi="宋体" w:cs="宋体"/>
          <w:color w:val="auto"/>
          <w:spacing w:val="3"/>
          <w:szCs w:val="21"/>
          <w:highlight w:val="none"/>
        </w:rPr>
        <w:t>（1）投标人在规定的投标有效期内撤销或修改其投标文件；</w:t>
      </w:r>
    </w:p>
    <w:p w14:paraId="048B0910">
      <w:pPr>
        <w:spacing w:before="133" w:line="308" w:lineRule="auto"/>
        <w:ind w:left="21" w:right="177" w:firstLine="419"/>
        <w:rPr>
          <w:rFonts w:ascii="宋体" w:hAnsi="宋体" w:cs="宋体"/>
          <w:color w:val="auto"/>
          <w:spacing w:val="3"/>
          <w:szCs w:val="21"/>
          <w:highlight w:val="none"/>
        </w:rPr>
      </w:pPr>
      <w:r>
        <w:rPr>
          <w:rFonts w:ascii="宋体" w:hAnsi="宋体" w:cs="宋体"/>
          <w:color w:val="auto"/>
          <w:spacing w:val="3"/>
          <w:szCs w:val="21"/>
          <w:highlight w:val="none"/>
        </w:rPr>
        <w:t>（2）中标人在收到中标通知书后，无正当理由拒签合同、在签订合同时向招标人提出附加条件或未按招标文件规定提交履约保证金。</w:t>
      </w:r>
    </w:p>
    <w:p w14:paraId="256657CF">
      <w:pPr>
        <w:spacing w:before="93" w:line="219" w:lineRule="auto"/>
        <w:ind w:left="139"/>
        <w:outlineLvl w:val="2"/>
        <w:rPr>
          <w:rFonts w:ascii="黑体" w:hAnsi="黑体" w:eastAsia="黑体" w:cs="黑体"/>
          <w:color w:val="auto"/>
          <w:sz w:val="24"/>
          <w:highlight w:val="none"/>
        </w:rPr>
      </w:pPr>
      <w:bookmarkStart w:id="108" w:name="bookmark51"/>
      <w:bookmarkEnd w:id="108"/>
      <w:bookmarkStart w:id="109" w:name="_Toc9915"/>
      <w:r>
        <w:rPr>
          <w:rFonts w:ascii="黑体" w:hAnsi="黑体" w:eastAsia="黑体" w:cs="黑体"/>
          <w:color w:val="auto"/>
          <w:spacing w:val="-2"/>
          <w:sz w:val="24"/>
          <w:highlight w:val="none"/>
        </w:rPr>
        <w:t>3.5 资格审查资料（适用于已进行资格预审的）</w:t>
      </w:r>
      <w:bookmarkEnd w:id="109"/>
    </w:p>
    <w:p w14:paraId="16A6BCA0">
      <w:pPr>
        <w:spacing w:before="132" w:line="335" w:lineRule="auto"/>
        <w:ind w:left="20" w:right="180" w:firstLine="422"/>
        <w:rPr>
          <w:rFonts w:ascii="宋体" w:hAnsi="宋体" w:cs="宋体"/>
          <w:color w:val="auto"/>
          <w:szCs w:val="21"/>
          <w:highlight w:val="none"/>
        </w:rPr>
      </w:pPr>
      <w:r>
        <w:rPr>
          <w:rFonts w:ascii="宋体" w:hAnsi="宋体" w:cs="宋体"/>
          <w:color w:val="auto"/>
          <w:spacing w:val="3"/>
          <w:szCs w:val="21"/>
          <w:highlight w:val="none"/>
        </w:rPr>
        <w:t>投标人在递交投标文件前，发生可能影响其投标资格的新情况的，应更新或补充其在</w:t>
      </w:r>
      <w:r>
        <w:rPr>
          <w:rFonts w:ascii="宋体" w:hAnsi="宋体" w:cs="宋体"/>
          <w:color w:val="auto"/>
          <w:spacing w:val="2"/>
          <w:szCs w:val="21"/>
          <w:highlight w:val="none"/>
        </w:rPr>
        <w:t>申请资格预审时提供的资料，以证实其各项资格条件仍能继续满</w:t>
      </w:r>
      <w:r>
        <w:rPr>
          <w:rFonts w:ascii="宋体" w:hAnsi="宋体" w:cs="宋体"/>
          <w:color w:val="auto"/>
          <w:spacing w:val="1"/>
          <w:szCs w:val="21"/>
          <w:highlight w:val="none"/>
        </w:rPr>
        <w:t>足资格预审文件的要求，</w:t>
      </w:r>
      <w:r>
        <w:rPr>
          <w:rFonts w:ascii="宋体" w:hAnsi="宋体" w:cs="宋体"/>
          <w:color w:val="auto"/>
          <w:spacing w:val="-3"/>
          <w:szCs w:val="21"/>
          <w:highlight w:val="none"/>
        </w:rPr>
        <w:t>且没有实质性降低。</w:t>
      </w:r>
    </w:p>
    <w:p w14:paraId="09649EC6">
      <w:pPr>
        <w:spacing w:before="1" w:line="218" w:lineRule="auto"/>
        <w:ind w:left="139"/>
        <w:outlineLvl w:val="2"/>
        <w:rPr>
          <w:rFonts w:ascii="黑体" w:hAnsi="黑体" w:eastAsia="黑体" w:cs="黑体"/>
          <w:color w:val="auto"/>
          <w:sz w:val="24"/>
          <w:highlight w:val="none"/>
        </w:rPr>
      </w:pPr>
      <w:bookmarkStart w:id="110" w:name="bookmark52"/>
      <w:bookmarkEnd w:id="110"/>
      <w:bookmarkStart w:id="111" w:name="_Toc4877"/>
      <w:r>
        <w:rPr>
          <w:rFonts w:ascii="黑体" w:hAnsi="黑体" w:eastAsia="黑体" w:cs="黑体"/>
          <w:color w:val="auto"/>
          <w:spacing w:val="-2"/>
          <w:sz w:val="24"/>
          <w:highlight w:val="none"/>
        </w:rPr>
        <w:t>3.5 资格审查资料（适用于未进行资格预审的）</w:t>
      </w:r>
      <w:bookmarkEnd w:id="111"/>
    </w:p>
    <w:p w14:paraId="07D8E050">
      <w:pPr>
        <w:spacing w:before="134" w:line="234" w:lineRule="auto"/>
        <w:jc w:val="right"/>
        <w:rPr>
          <w:rFonts w:ascii="宋体" w:hAnsi="宋体" w:cs="宋体"/>
          <w:color w:val="auto"/>
          <w:szCs w:val="21"/>
          <w:highlight w:val="none"/>
        </w:rPr>
      </w:pPr>
      <w:r>
        <w:rPr>
          <w:rFonts w:eastAsia="Times New Roman"/>
          <w:color w:val="auto"/>
          <w:szCs w:val="21"/>
          <w:highlight w:val="none"/>
        </w:rPr>
        <w:t xml:space="preserve">3.5.1  </w:t>
      </w:r>
      <w:r>
        <w:rPr>
          <w:rFonts w:ascii="宋体" w:hAnsi="宋体" w:cs="宋体"/>
          <w:color w:val="auto"/>
          <w:szCs w:val="21"/>
          <w:highlight w:val="none"/>
        </w:rPr>
        <w:t>“投标人基本情况表”应附投标人</w:t>
      </w:r>
      <w:r>
        <w:rPr>
          <w:rFonts w:ascii="宋体" w:hAnsi="宋体" w:cs="宋体"/>
          <w:color w:val="auto"/>
          <w:spacing w:val="-1"/>
          <w:szCs w:val="21"/>
          <w:highlight w:val="none"/>
        </w:rPr>
        <w:t>营业执照、资质证书和安全生产许可证等材料。</w:t>
      </w:r>
    </w:p>
    <w:p w14:paraId="72BDA891">
      <w:pPr>
        <w:spacing w:before="135" w:line="285" w:lineRule="auto"/>
        <w:ind w:left="21" w:right="177" w:firstLine="419"/>
        <w:rPr>
          <w:rFonts w:ascii="宋体" w:hAnsi="宋体" w:cs="宋体"/>
          <w:color w:val="auto"/>
          <w:szCs w:val="21"/>
          <w:highlight w:val="none"/>
        </w:rPr>
      </w:pPr>
      <w:r>
        <w:rPr>
          <w:rFonts w:eastAsia="Times New Roman"/>
          <w:color w:val="auto"/>
          <w:szCs w:val="21"/>
          <w:highlight w:val="none"/>
        </w:rPr>
        <w:t xml:space="preserve">3.5.2  </w:t>
      </w:r>
      <w:r>
        <w:rPr>
          <w:rFonts w:ascii="宋体" w:hAnsi="宋体" w:cs="宋体"/>
          <w:color w:val="auto"/>
          <w:szCs w:val="21"/>
          <w:highlight w:val="none"/>
        </w:rPr>
        <w:t>“近年财务状况表”应附经会计师事务所或审计机构审计的财务会计报表，具体</w:t>
      </w:r>
      <w:r>
        <w:rPr>
          <w:rFonts w:ascii="宋体" w:hAnsi="宋体" w:cs="宋体"/>
          <w:color w:val="auto"/>
          <w:spacing w:val="-2"/>
          <w:szCs w:val="21"/>
          <w:highlight w:val="none"/>
        </w:rPr>
        <w:t>年份要求见投标人须知前附表。</w:t>
      </w:r>
    </w:p>
    <w:p w14:paraId="282E9828">
      <w:pPr>
        <w:spacing w:before="151" w:line="330" w:lineRule="auto"/>
        <w:ind w:left="19" w:right="177" w:firstLine="421"/>
        <w:rPr>
          <w:rFonts w:ascii="宋体" w:hAnsi="宋体" w:cs="宋体"/>
          <w:color w:val="auto"/>
          <w:szCs w:val="21"/>
          <w:highlight w:val="none"/>
        </w:rPr>
      </w:pPr>
      <w:r>
        <w:rPr>
          <w:rFonts w:eastAsia="Times New Roman"/>
          <w:color w:val="auto"/>
          <w:szCs w:val="21"/>
          <w:highlight w:val="none"/>
        </w:rPr>
        <w:t xml:space="preserve">3.5.3  </w:t>
      </w:r>
      <w:r>
        <w:rPr>
          <w:rFonts w:ascii="宋体" w:hAnsi="宋体" w:cs="宋体"/>
          <w:color w:val="auto"/>
          <w:szCs w:val="21"/>
          <w:highlight w:val="none"/>
        </w:rPr>
        <w:t xml:space="preserve">“近年完成的类似设计施工总承包项目情况表”应附中标通知书和（或）合同协 </w:t>
      </w:r>
      <w:r>
        <w:rPr>
          <w:rFonts w:ascii="宋体" w:hAnsi="宋体" w:cs="宋体"/>
          <w:color w:val="auto"/>
          <w:spacing w:val="3"/>
          <w:szCs w:val="21"/>
          <w:highlight w:val="none"/>
        </w:rPr>
        <w:t>议书、工程接收证书（工程竣工验收证书）等材料；或“近年完成的类似工程设计项</w:t>
      </w:r>
      <w:r>
        <w:rPr>
          <w:rFonts w:ascii="宋体" w:hAnsi="宋体" w:cs="宋体"/>
          <w:color w:val="auto"/>
          <w:spacing w:val="2"/>
          <w:szCs w:val="21"/>
          <w:highlight w:val="none"/>
        </w:rPr>
        <w:t>目情</w:t>
      </w:r>
      <w:r>
        <w:rPr>
          <w:rFonts w:ascii="宋体" w:hAnsi="宋体" w:cs="宋体"/>
          <w:color w:val="auto"/>
          <w:spacing w:val="-2"/>
          <w:szCs w:val="21"/>
          <w:highlight w:val="none"/>
        </w:rPr>
        <w:t>况表”应附中标通知书和（或）合同协议书、发包人出具的证明</w:t>
      </w:r>
      <w:r>
        <w:rPr>
          <w:rFonts w:ascii="宋体" w:hAnsi="宋体" w:cs="宋体"/>
          <w:color w:val="auto"/>
          <w:spacing w:val="-3"/>
          <w:szCs w:val="21"/>
          <w:highlight w:val="none"/>
        </w:rPr>
        <w:t>文件等材料；“近年完成的</w:t>
      </w:r>
      <w:r>
        <w:rPr>
          <w:rFonts w:ascii="宋体" w:hAnsi="宋体" w:cs="宋体"/>
          <w:color w:val="auto"/>
          <w:spacing w:val="3"/>
          <w:szCs w:val="21"/>
          <w:highlight w:val="none"/>
        </w:rPr>
        <w:t>类似施工项目情况表”应附中标通知书和（或）合同协议书、工</w:t>
      </w:r>
      <w:r>
        <w:rPr>
          <w:rFonts w:ascii="宋体" w:hAnsi="宋体" w:cs="宋体"/>
          <w:color w:val="auto"/>
          <w:spacing w:val="2"/>
          <w:szCs w:val="21"/>
          <w:highlight w:val="none"/>
        </w:rPr>
        <w:t>程接收证书（工程竣工验</w:t>
      </w:r>
      <w:r>
        <w:rPr>
          <w:rFonts w:ascii="宋体" w:hAnsi="宋体" w:cs="宋体"/>
          <w:color w:val="auto"/>
          <w:spacing w:val="3"/>
          <w:szCs w:val="21"/>
          <w:highlight w:val="none"/>
        </w:rPr>
        <w:t>收证书）等材料。具体年份要求见投标人须知前附表，每张表格只填写一个项目，并</w:t>
      </w:r>
      <w:r>
        <w:rPr>
          <w:rFonts w:ascii="宋体" w:hAnsi="宋体" w:cs="宋体"/>
          <w:color w:val="auto"/>
          <w:spacing w:val="2"/>
          <w:szCs w:val="21"/>
          <w:highlight w:val="none"/>
        </w:rPr>
        <w:t>标明</w:t>
      </w:r>
      <w:r>
        <w:rPr>
          <w:rFonts w:ascii="宋体" w:hAnsi="宋体" w:cs="宋体"/>
          <w:color w:val="auto"/>
          <w:spacing w:val="-8"/>
          <w:szCs w:val="21"/>
          <w:highlight w:val="none"/>
        </w:rPr>
        <w:t>序号。</w:t>
      </w:r>
    </w:p>
    <w:p w14:paraId="19CC3879">
      <w:pPr>
        <w:spacing w:before="149" w:line="286" w:lineRule="auto"/>
        <w:ind w:left="20" w:firstLine="420"/>
        <w:rPr>
          <w:rFonts w:ascii="宋体" w:hAnsi="宋体" w:cs="宋体"/>
          <w:color w:val="auto"/>
          <w:szCs w:val="21"/>
          <w:highlight w:val="none"/>
        </w:rPr>
      </w:pPr>
      <w:r>
        <w:rPr>
          <w:rFonts w:eastAsia="Times New Roman"/>
          <w:color w:val="auto"/>
          <w:szCs w:val="21"/>
          <w:highlight w:val="none"/>
        </w:rPr>
        <w:t xml:space="preserve">3.5.4  </w:t>
      </w:r>
      <w:r>
        <w:rPr>
          <w:rFonts w:ascii="宋体" w:hAnsi="宋体" w:cs="宋体"/>
          <w:color w:val="auto"/>
          <w:szCs w:val="21"/>
          <w:highlight w:val="none"/>
        </w:rPr>
        <w:t>“正在实施和新承接的项目情况表</w:t>
      </w:r>
      <w:r>
        <w:rPr>
          <w:rFonts w:ascii="宋体" w:hAnsi="宋体" w:cs="宋体"/>
          <w:color w:val="auto"/>
          <w:spacing w:val="-1"/>
          <w:szCs w:val="21"/>
          <w:highlight w:val="none"/>
        </w:rPr>
        <w:t>”应附中标通知书和（或）合同协议书等材料。</w:t>
      </w:r>
      <w:r>
        <w:rPr>
          <w:rFonts w:ascii="宋体" w:hAnsi="宋体" w:cs="宋体"/>
          <w:color w:val="auto"/>
          <w:spacing w:val="-2"/>
          <w:szCs w:val="21"/>
          <w:highlight w:val="none"/>
        </w:rPr>
        <w:t>每张表格只填写一个项目，并标明序号。</w:t>
      </w:r>
    </w:p>
    <w:p w14:paraId="70FD8235">
      <w:pPr>
        <w:spacing w:before="148" w:line="286" w:lineRule="auto"/>
        <w:ind w:left="37" w:right="177" w:firstLine="403"/>
        <w:rPr>
          <w:rFonts w:ascii="宋体" w:hAnsi="宋体" w:cs="宋体"/>
          <w:color w:val="auto"/>
          <w:szCs w:val="21"/>
          <w:highlight w:val="none"/>
        </w:rPr>
      </w:pPr>
      <w:r>
        <w:rPr>
          <w:rFonts w:eastAsia="Times New Roman"/>
          <w:color w:val="auto"/>
          <w:szCs w:val="21"/>
          <w:highlight w:val="none"/>
        </w:rPr>
        <w:t xml:space="preserve">3.5.5  </w:t>
      </w:r>
      <w:r>
        <w:rPr>
          <w:rFonts w:ascii="宋体" w:hAnsi="宋体" w:cs="宋体"/>
          <w:color w:val="auto"/>
          <w:szCs w:val="21"/>
          <w:highlight w:val="none"/>
        </w:rPr>
        <w:t>“近年发生的重大诉讼及仲裁情况”应说明相关情况，并附法院或仲裁机构作出</w:t>
      </w:r>
      <w:r>
        <w:rPr>
          <w:rFonts w:ascii="宋体" w:hAnsi="宋体" w:cs="宋体"/>
          <w:color w:val="auto"/>
          <w:spacing w:val="-1"/>
          <w:szCs w:val="21"/>
          <w:highlight w:val="none"/>
        </w:rPr>
        <w:t>的判决、裁决等有关法律文书的材料，具体年份要求见投标人须知前</w:t>
      </w:r>
      <w:r>
        <w:rPr>
          <w:rFonts w:ascii="宋体" w:hAnsi="宋体" w:cs="宋体"/>
          <w:color w:val="auto"/>
          <w:spacing w:val="-2"/>
          <w:szCs w:val="21"/>
          <w:highlight w:val="none"/>
        </w:rPr>
        <w:t>附表。</w:t>
      </w:r>
    </w:p>
    <w:p w14:paraId="33989496">
      <w:pPr>
        <w:spacing w:before="152" w:line="285" w:lineRule="auto"/>
        <w:ind w:left="20" w:right="176" w:firstLine="420"/>
        <w:rPr>
          <w:rFonts w:ascii="宋体" w:hAnsi="宋体" w:cs="宋体"/>
          <w:color w:val="auto"/>
          <w:spacing w:val="-1"/>
          <w:szCs w:val="21"/>
          <w:highlight w:val="none"/>
        </w:rPr>
      </w:pPr>
      <w:r>
        <w:rPr>
          <w:rFonts w:eastAsia="Times New Roman"/>
          <w:color w:val="auto"/>
          <w:spacing w:val="-1"/>
          <w:szCs w:val="21"/>
          <w:highlight w:val="none"/>
        </w:rPr>
        <w:t xml:space="preserve">3.5.6  </w:t>
      </w:r>
      <w:r>
        <w:rPr>
          <w:rFonts w:ascii="宋体" w:hAnsi="宋体" w:cs="宋体"/>
          <w:color w:val="auto"/>
          <w:spacing w:val="-1"/>
          <w:szCs w:val="21"/>
          <w:highlight w:val="none"/>
        </w:rPr>
        <w:t>投标人须知前附表规定接受联合体投标的，本章第</w:t>
      </w:r>
      <w:r>
        <w:rPr>
          <w:rFonts w:eastAsia="Times New Roman"/>
          <w:color w:val="auto"/>
          <w:spacing w:val="-1"/>
          <w:szCs w:val="21"/>
          <w:highlight w:val="none"/>
        </w:rPr>
        <w:t>3.5.1</w:t>
      </w:r>
      <w:r>
        <w:rPr>
          <w:rFonts w:ascii="宋体" w:hAnsi="宋体" w:cs="宋体"/>
          <w:color w:val="auto"/>
          <w:spacing w:val="-1"/>
          <w:szCs w:val="21"/>
          <w:highlight w:val="none"/>
        </w:rPr>
        <w:t>项至第</w:t>
      </w:r>
      <w:r>
        <w:rPr>
          <w:rFonts w:eastAsia="Times New Roman"/>
          <w:color w:val="auto"/>
          <w:spacing w:val="-1"/>
          <w:szCs w:val="21"/>
          <w:highlight w:val="none"/>
        </w:rPr>
        <w:t>3.5.5</w:t>
      </w:r>
      <w:r>
        <w:rPr>
          <w:rFonts w:ascii="宋体" w:hAnsi="宋体" w:cs="宋体"/>
          <w:color w:val="auto"/>
          <w:spacing w:val="-1"/>
          <w:szCs w:val="21"/>
          <w:highlight w:val="none"/>
        </w:rPr>
        <w:t>项规定的表格和资料应包括联合体各方相关情况。</w:t>
      </w:r>
    </w:p>
    <w:p w14:paraId="5AD02C70">
      <w:pPr>
        <w:spacing w:before="152" w:line="285" w:lineRule="auto"/>
        <w:ind w:left="20" w:right="176" w:firstLine="420"/>
        <w:rPr>
          <w:rFonts w:ascii="宋体" w:hAnsi="宋体" w:cs="宋体"/>
          <w:color w:val="auto"/>
          <w:spacing w:val="-1"/>
          <w:szCs w:val="21"/>
          <w:highlight w:val="none"/>
        </w:rPr>
      </w:pPr>
    </w:p>
    <w:p w14:paraId="3B409A49">
      <w:pPr>
        <w:spacing w:before="152" w:line="285" w:lineRule="auto"/>
        <w:ind w:left="20" w:right="176" w:firstLine="420"/>
        <w:rPr>
          <w:rFonts w:ascii="宋体" w:hAnsi="宋体" w:cs="宋体"/>
          <w:color w:val="auto"/>
          <w:spacing w:val="-1"/>
          <w:szCs w:val="21"/>
          <w:highlight w:val="none"/>
        </w:rPr>
      </w:pPr>
      <w:r>
        <w:rPr>
          <w:rFonts w:hint="default" w:ascii="宋体" w:hAnsi="宋体" w:cs="宋体"/>
          <w:color w:val="auto"/>
          <w:spacing w:val="-1"/>
          <w:szCs w:val="21"/>
          <w:highlight w:val="none"/>
          <w:lang w:val="en-US" w:eastAsia="zh-CN"/>
        </w:rPr>
        <w:t xml:space="preserve">3.5.7 </w:t>
      </w:r>
      <w:r>
        <w:rPr>
          <w:rFonts w:hint="eastAsia" w:ascii="宋体" w:hAnsi="宋体" w:cs="宋体"/>
          <w:color w:val="auto"/>
          <w:spacing w:val="-1"/>
          <w:szCs w:val="21"/>
          <w:highlight w:val="none"/>
          <w:lang w:val="en-US" w:eastAsia="zh-CN"/>
        </w:rPr>
        <w:t>投标人应按招标文件第七章</w:t>
      </w:r>
      <w:r>
        <w:rPr>
          <w:rFonts w:hint="default" w:ascii="宋体" w:hAnsi="宋体" w:cs="宋体"/>
          <w:color w:val="auto"/>
          <w:spacing w:val="-1"/>
          <w:szCs w:val="21"/>
          <w:highlight w:val="none"/>
          <w:lang w:val="en-US" w:eastAsia="zh-CN"/>
        </w:rPr>
        <w:t>“</w:t>
      </w:r>
      <w:r>
        <w:rPr>
          <w:rFonts w:hint="eastAsia" w:ascii="宋体" w:hAnsi="宋体" w:cs="宋体"/>
          <w:color w:val="auto"/>
          <w:spacing w:val="-1"/>
          <w:szCs w:val="21"/>
          <w:highlight w:val="none"/>
          <w:lang w:val="en-US" w:eastAsia="zh-CN"/>
        </w:rPr>
        <w:t>投标文件格式</w:t>
      </w:r>
      <w:r>
        <w:rPr>
          <w:rFonts w:hint="default" w:ascii="宋体" w:hAnsi="宋体" w:cs="宋体"/>
          <w:color w:val="auto"/>
          <w:spacing w:val="-1"/>
          <w:szCs w:val="21"/>
          <w:highlight w:val="none"/>
          <w:lang w:val="en-US" w:eastAsia="zh-CN"/>
        </w:rPr>
        <w:t>”</w:t>
      </w:r>
      <w:r>
        <w:rPr>
          <w:rFonts w:hint="eastAsia" w:ascii="宋体" w:hAnsi="宋体" w:cs="宋体"/>
          <w:color w:val="auto"/>
          <w:spacing w:val="-1"/>
          <w:szCs w:val="21"/>
          <w:highlight w:val="none"/>
          <w:lang w:val="en-US" w:eastAsia="zh-CN"/>
        </w:rPr>
        <w:t xml:space="preserve">中规定的表格内容填写资格审查表，并按各资格审查表的具体要求提供相关证件及证明材料。 </w:t>
      </w:r>
    </w:p>
    <w:p w14:paraId="6CEF7FCD">
      <w:pPr>
        <w:spacing w:before="152" w:line="285" w:lineRule="auto"/>
        <w:ind w:left="20" w:right="176" w:firstLine="420"/>
        <w:rPr>
          <w:rFonts w:ascii="宋体" w:hAnsi="宋体" w:cs="宋体"/>
          <w:color w:val="auto"/>
          <w:spacing w:val="-1"/>
          <w:szCs w:val="21"/>
          <w:highlight w:val="none"/>
        </w:rPr>
      </w:pPr>
      <w:r>
        <w:rPr>
          <w:rFonts w:hint="default" w:ascii="宋体" w:hAnsi="宋体" w:cs="宋体"/>
          <w:color w:val="auto"/>
          <w:spacing w:val="-1"/>
          <w:szCs w:val="21"/>
          <w:highlight w:val="none"/>
          <w:lang w:val="en-US" w:eastAsia="zh-CN"/>
        </w:rPr>
        <w:t xml:space="preserve">3.5.8 </w:t>
      </w:r>
      <w:r>
        <w:rPr>
          <w:rFonts w:hint="eastAsia" w:ascii="宋体" w:hAnsi="宋体" w:cs="宋体"/>
          <w:color w:val="auto"/>
          <w:spacing w:val="-1"/>
          <w:szCs w:val="21"/>
          <w:highlight w:val="none"/>
          <w:lang w:val="en-US" w:eastAsia="zh-CN"/>
        </w:rPr>
        <w:t>本招标文件中</w:t>
      </w:r>
      <w:r>
        <w:rPr>
          <w:rFonts w:hint="default" w:ascii="宋体" w:hAnsi="宋体" w:cs="宋体"/>
          <w:color w:val="auto"/>
          <w:spacing w:val="-1"/>
          <w:szCs w:val="21"/>
          <w:highlight w:val="none"/>
          <w:lang w:val="en-US" w:eastAsia="zh-CN"/>
        </w:rPr>
        <w:t>“</w:t>
      </w:r>
      <w:r>
        <w:rPr>
          <w:rFonts w:hint="eastAsia" w:ascii="宋体" w:hAnsi="宋体" w:cs="宋体"/>
          <w:color w:val="auto"/>
          <w:spacing w:val="-1"/>
          <w:szCs w:val="21"/>
          <w:highlight w:val="none"/>
          <w:lang w:val="en-US" w:eastAsia="zh-CN"/>
        </w:rPr>
        <w:t>类似项目</w:t>
      </w:r>
      <w:r>
        <w:rPr>
          <w:rFonts w:hint="default" w:ascii="宋体" w:hAnsi="宋体" w:cs="宋体"/>
          <w:color w:val="auto"/>
          <w:spacing w:val="-1"/>
          <w:szCs w:val="21"/>
          <w:highlight w:val="none"/>
          <w:lang w:val="en-US" w:eastAsia="zh-CN"/>
        </w:rPr>
        <w:t>”</w:t>
      </w:r>
      <w:r>
        <w:rPr>
          <w:rFonts w:hint="eastAsia" w:ascii="宋体" w:hAnsi="宋体" w:cs="宋体"/>
          <w:color w:val="auto"/>
          <w:spacing w:val="-1"/>
          <w:szCs w:val="21"/>
          <w:highlight w:val="none"/>
          <w:lang w:val="en-US" w:eastAsia="zh-CN"/>
        </w:rPr>
        <w:t xml:space="preserve">的定义见投标人须知前附表第 </w:t>
      </w:r>
      <w:r>
        <w:rPr>
          <w:rFonts w:hint="default" w:ascii="宋体" w:hAnsi="宋体" w:cs="宋体"/>
          <w:color w:val="auto"/>
          <w:spacing w:val="-1"/>
          <w:szCs w:val="21"/>
          <w:highlight w:val="none"/>
          <w:lang w:val="en-US" w:eastAsia="zh-CN"/>
        </w:rPr>
        <w:t xml:space="preserve">10.1.1 </w:t>
      </w:r>
      <w:r>
        <w:rPr>
          <w:rFonts w:hint="eastAsia" w:ascii="宋体" w:hAnsi="宋体" w:cs="宋体"/>
          <w:color w:val="auto"/>
          <w:spacing w:val="-1"/>
          <w:szCs w:val="21"/>
          <w:highlight w:val="none"/>
          <w:lang w:val="en-US" w:eastAsia="zh-CN"/>
        </w:rPr>
        <w:t xml:space="preserve">条目规定。 </w:t>
      </w:r>
    </w:p>
    <w:p w14:paraId="3AD20B0B">
      <w:pPr>
        <w:spacing w:before="152" w:line="285" w:lineRule="auto"/>
        <w:ind w:left="20" w:right="176" w:firstLine="420"/>
        <w:rPr>
          <w:rFonts w:ascii="宋体" w:hAnsi="宋体" w:cs="宋体"/>
          <w:color w:val="auto"/>
          <w:spacing w:val="-1"/>
          <w:szCs w:val="21"/>
          <w:highlight w:val="none"/>
        </w:rPr>
      </w:pPr>
      <w:r>
        <w:rPr>
          <w:rFonts w:hint="default" w:ascii="宋体" w:hAnsi="宋体" w:cs="宋体"/>
          <w:color w:val="auto"/>
          <w:spacing w:val="-1"/>
          <w:szCs w:val="21"/>
          <w:highlight w:val="none"/>
          <w:lang w:val="en-US" w:eastAsia="zh-CN"/>
        </w:rPr>
        <w:t xml:space="preserve">3.5.9 </w:t>
      </w:r>
      <w:r>
        <w:rPr>
          <w:rFonts w:hint="eastAsia" w:ascii="宋体" w:hAnsi="宋体" w:cs="宋体"/>
          <w:color w:val="auto"/>
          <w:spacing w:val="-1"/>
          <w:szCs w:val="21"/>
          <w:highlight w:val="none"/>
          <w:lang w:val="en-US" w:eastAsia="zh-CN"/>
        </w:rPr>
        <w:t>项目经理的已完成的类似项目的业绩，具体年份要求见投标人须知前附表。</w:t>
      </w:r>
    </w:p>
    <w:p w14:paraId="6A1CA1A6">
      <w:pPr>
        <w:spacing w:before="91" w:line="218" w:lineRule="auto"/>
        <w:ind w:left="139"/>
        <w:outlineLvl w:val="2"/>
        <w:rPr>
          <w:rFonts w:ascii="黑体" w:hAnsi="黑体" w:eastAsia="黑体" w:cs="黑体"/>
          <w:color w:val="auto"/>
          <w:sz w:val="24"/>
          <w:highlight w:val="none"/>
        </w:rPr>
      </w:pPr>
      <w:bookmarkStart w:id="112" w:name="bookmark53"/>
      <w:bookmarkEnd w:id="112"/>
      <w:bookmarkStart w:id="113" w:name="_Toc14385"/>
      <w:r>
        <w:rPr>
          <w:rFonts w:ascii="黑体" w:hAnsi="黑体" w:eastAsia="黑体" w:cs="黑体"/>
          <w:color w:val="auto"/>
          <w:spacing w:val="-1"/>
          <w:sz w:val="24"/>
          <w:highlight w:val="none"/>
        </w:rPr>
        <w:t>3.6 备选投标方案</w:t>
      </w:r>
      <w:bookmarkEnd w:id="113"/>
    </w:p>
    <w:p w14:paraId="1DED8541">
      <w:pPr>
        <w:spacing w:before="134" w:line="339" w:lineRule="auto"/>
        <w:ind w:left="19" w:right="197" w:firstLine="433"/>
        <w:rPr>
          <w:rFonts w:ascii="宋体" w:hAnsi="宋体" w:cs="宋体"/>
          <w:color w:val="auto"/>
          <w:szCs w:val="21"/>
          <w:highlight w:val="none"/>
        </w:rPr>
      </w:pPr>
      <w:r>
        <w:rPr>
          <w:rFonts w:ascii="宋体" w:hAnsi="宋体" w:cs="宋体"/>
          <w:color w:val="auto"/>
          <w:spacing w:val="3"/>
          <w:szCs w:val="21"/>
          <w:highlight w:val="none"/>
        </w:rPr>
        <w:t>除投标人须知前附表另有规定外，投标人不得递交备选投标方案</w:t>
      </w:r>
      <w:r>
        <w:rPr>
          <w:rFonts w:ascii="宋体" w:hAnsi="宋体" w:cs="宋体"/>
          <w:color w:val="auto"/>
          <w:spacing w:val="2"/>
          <w:szCs w:val="21"/>
          <w:highlight w:val="none"/>
        </w:rPr>
        <w:t>。允许投标人递交备</w:t>
      </w:r>
      <w:r>
        <w:rPr>
          <w:rFonts w:ascii="宋体" w:hAnsi="宋体" w:cs="宋体"/>
          <w:color w:val="auto"/>
          <w:spacing w:val="3"/>
          <w:szCs w:val="21"/>
          <w:highlight w:val="none"/>
        </w:rPr>
        <w:t>选投标方案的，只有中标人所递交的备选投标方案方可予以考虑。评标委员会认为中</w:t>
      </w:r>
      <w:r>
        <w:rPr>
          <w:rFonts w:ascii="宋体" w:hAnsi="宋体" w:cs="宋体"/>
          <w:color w:val="auto"/>
          <w:spacing w:val="2"/>
          <w:szCs w:val="21"/>
          <w:highlight w:val="none"/>
        </w:rPr>
        <w:t>标人</w:t>
      </w:r>
      <w:r>
        <w:rPr>
          <w:rFonts w:ascii="宋体" w:hAnsi="宋体" w:cs="宋体"/>
          <w:color w:val="auto"/>
          <w:spacing w:val="3"/>
          <w:szCs w:val="21"/>
          <w:highlight w:val="none"/>
        </w:rPr>
        <w:t>的备选投标方案优于其按照招标文件要求编制的投标方案的，招标人可以接受该备选</w:t>
      </w:r>
      <w:r>
        <w:rPr>
          <w:rFonts w:ascii="宋体" w:hAnsi="宋体" w:cs="宋体"/>
          <w:color w:val="auto"/>
          <w:spacing w:val="2"/>
          <w:szCs w:val="21"/>
          <w:highlight w:val="none"/>
        </w:rPr>
        <w:t>投标</w:t>
      </w:r>
      <w:r>
        <w:rPr>
          <w:rFonts w:ascii="宋体" w:hAnsi="宋体" w:cs="宋体"/>
          <w:color w:val="auto"/>
          <w:spacing w:val="-8"/>
          <w:szCs w:val="21"/>
          <w:highlight w:val="none"/>
        </w:rPr>
        <w:t>方案。</w:t>
      </w:r>
    </w:p>
    <w:p w14:paraId="635BC7A5">
      <w:pPr>
        <w:spacing w:line="218" w:lineRule="auto"/>
        <w:ind w:left="139"/>
        <w:outlineLvl w:val="2"/>
        <w:rPr>
          <w:rFonts w:ascii="黑体" w:hAnsi="黑体" w:eastAsia="黑体" w:cs="黑体"/>
          <w:color w:val="auto"/>
          <w:sz w:val="24"/>
          <w:highlight w:val="none"/>
        </w:rPr>
      </w:pPr>
      <w:bookmarkStart w:id="114" w:name="bookmark54"/>
      <w:bookmarkEnd w:id="114"/>
      <w:bookmarkStart w:id="115" w:name="_Toc5224"/>
      <w:r>
        <w:rPr>
          <w:rFonts w:ascii="黑体" w:hAnsi="黑体" w:eastAsia="黑体" w:cs="黑体"/>
          <w:color w:val="auto"/>
          <w:spacing w:val="-1"/>
          <w:sz w:val="24"/>
          <w:highlight w:val="none"/>
        </w:rPr>
        <w:t>3.7 投标文件的编制</w:t>
      </w:r>
      <w:bookmarkEnd w:id="115"/>
    </w:p>
    <w:p w14:paraId="36BB8A34">
      <w:pPr>
        <w:spacing w:before="131" w:line="309" w:lineRule="auto"/>
        <w:ind w:left="22" w:right="195" w:firstLine="417"/>
        <w:rPr>
          <w:rFonts w:ascii="宋体" w:hAnsi="宋体" w:cs="宋体"/>
          <w:color w:val="auto"/>
          <w:szCs w:val="21"/>
          <w:highlight w:val="none"/>
        </w:rPr>
      </w:pPr>
      <w:r>
        <w:rPr>
          <w:rFonts w:eastAsia="Times New Roman"/>
          <w:color w:val="auto"/>
          <w:szCs w:val="21"/>
          <w:highlight w:val="none"/>
        </w:rPr>
        <w:t xml:space="preserve">3.7.1  </w:t>
      </w:r>
      <w:r>
        <w:rPr>
          <w:rFonts w:ascii="宋体" w:hAnsi="宋体" w:cs="宋体"/>
          <w:color w:val="auto"/>
          <w:szCs w:val="21"/>
          <w:highlight w:val="none"/>
        </w:rPr>
        <w:t>投标文件应按第七章“投标文件格式”进行编写，如有必要，可以增加附页，作</w:t>
      </w:r>
      <w:r>
        <w:rPr>
          <w:rFonts w:ascii="宋体" w:hAnsi="宋体" w:cs="宋体"/>
          <w:color w:val="auto"/>
          <w:spacing w:val="3"/>
          <w:szCs w:val="21"/>
          <w:highlight w:val="none"/>
        </w:rPr>
        <w:t>为投标文件的组成部分。其中，投标函附录在满足招标文件实质性要求的基础</w:t>
      </w:r>
      <w:r>
        <w:rPr>
          <w:rFonts w:ascii="宋体" w:hAnsi="宋体" w:cs="宋体"/>
          <w:color w:val="auto"/>
          <w:spacing w:val="2"/>
          <w:szCs w:val="21"/>
          <w:highlight w:val="none"/>
        </w:rPr>
        <w:t>上，可以提</w:t>
      </w:r>
      <w:r>
        <w:rPr>
          <w:rFonts w:ascii="宋体" w:hAnsi="宋体" w:cs="宋体"/>
          <w:color w:val="auto"/>
          <w:spacing w:val="-1"/>
          <w:szCs w:val="21"/>
          <w:highlight w:val="none"/>
        </w:rPr>
        <w:t>出比招标文件要求更有利于招标人的承诺。</w:t>
      </w:r>
    </w:p>
    <w:p w14:paraId="455B3080">
      <w:pPr>
        <w:spacing w:before="148" w:line="286" w:lineRule="auto"/>
        <w:ind w:left="21" w:right="203" w:firstLine="419"/>
        <w:rPr>
          <w:rFonts w:ascii="宋体" w:hAnsi="宋体" w:cs="宋体"/>
          <w:color w:val="auto"/>
          <w:szCs w:val="21"/>
          <w:highlight w:val="none"/>
        </w:rPr>
      </w:pPr>
      <w:r>
        <w:rPr>
          <w:rFonts w:eastAsia="Times New Roman"/>
          <w:color w:val="auto"/>
          <w:szCs w:val="21"/>
          <w:highlight w:val="none"/>
        </w:rPr>
        <w:t xml:space="preserve">3.7.2  </w:t>
      </w:r>
      <w:r>
        <w:rPr>
          <w:rFonts w:ascii="宋体" w:hAnsi="宋体" w:cs="宋体"/>
          <w:color w:val="auto"/>
          <w:szCs w:val="21"/>
          <w:highlight w:val="none"/>
        </w:rPr>
        <w:t>投标文件应当对招标文件有关招标范围、投标有效期、工期、质量标准、发包人</w:t>
      </w:r>
      <w:r>
        <w:rPr>
          <w:rFonts w:ascii="宋体" w:hAnsi="宋体" w:cs="宋体"/>
          <w:color w:val="auto"/>
          <w:spacing w:val="-2"/>
          <w:szCs w:val="21"/>
          <w:highlight w:val="none"/>
        </w:rPr>
        <w:t>要求等实质性内容作出响应。</w:t>
      </w:r>
    </w:p>
    <w:p w14:paraId="74A22416">
      <w:pPr>
        <w:spacing w:before="116" w:line="234" w:lineRule="auto"/>
        <w:ind w:left="440"/>
        <w:rPr>
          <w:rFonts w:ascii="宋体" w:hAnsi="宋体" w:cs="宋体"/>
          <w:color w:val="auto"/>
          <w:szCs w:val="21"/>
          <w:highlight w:val="none"/>
        </w:rPr>
      </w:pPr>
      <w:r>
        <w:rPr>
          <w:rFonts w:eastAsia="Times New Roman"/>
          <w:color w:val="auto"/>
          <w:spacing w:val="-1"/>
          <w:szCs w:val="21"/>
          <w:highlight w:val="none"/>
        </w:rPr>
        <w:t xml:space="preserve">3.7.3  </w:t>
      </w:r>
      <w:r>
        <w:rPr>
          <w:rFonts w:ascii="宋体" w:hAnsi="宋体" w:cs="宋体"/>
          <w:color w:val="auto"/>
          <w:spacing w:val="-1"/>
          <w:szCs w:val="21"/>
          <w:highlight w:val="none"/>
        </w:rPr>
        <w:t>投标文件制作</w:t>
      </w:r>
    </w:p>
    <w:p w14:paraId="67DBFDDC">
      <w:pPr>
        <w:spacing w:before="94" w:line="234" w:lineRule="auto"/>
        <w:ind w:left="446"/>
        <w:rPr>
          <w:rFonts w:ascii="宋体" w:hAnsi="宋体" w:cs="宋体"/>
          <w:color w:val="auto"/>
          <w:szCs w:val="21"/>
          <w:highlight w:val="none"/>
        </w:rPr>
      </w:pPr>
      <w:r>
        <w:rPr>
          <w:rFonts w:ascii="宋体" w:hAnsi="宋体" w:cs="宋体"/>
          <w:color w:val="auto"/>
          <w:spacing w:val="-1"/>
          <w:szCs w:val="21"/>
          <w:highlight w:val="none"/>
        </w:rPr>
        <w:t>（</w:t>
      </w:r>
      <w:r>
        <w:rPr>
          <w:rFonts w:eastAsia="Times New Roman"/>
          <w:color w:val="auto"/>
          <w:spacing w:val="-1"/>
          <w:szCs w:val="21"/>
          <w:highlight w:val="none"/>
        </w:rPr>
        <w:t>1</w:t>
      </w:r>
      <w:r>
        <w:rPr>
          <w:rFonts w:ascii="宋体" w:hAnsi="宋体" w:cs="宋体"/>
          <w:color w:val="auto"/>
          <w:spacing w:val="-1"/>
          <w:szCs w:val="21"/>
          <w:highlight w:val="none"/>
        </w:rPr>
        <w:t>）投标文件由投标人使用符合标准的数字化投标文件制作软件制作生成。</w:t>
      </w:r>
    </w:p>
    <w:p w14:paraId="2CC13F65">
      <w:pPr>
        <w:spacing w:before="94" w:line="234" w:lineRule="auto"/>
        <w:ind w:left="446"/>
        <w:rPr>
          <w:rFonts w:ascii="宋体" w:hAnsi="宋体" w:cs="宋体"/>
          <w:color w:val="auto"/>
          <w:szCs w:val="21"/>
          <w:highlight w:val="none"/>
        </w:rPr>
      </w:pPr>
      <w:r>
        <w:rPr>
          <w:rFonts w:ascii="宋体" w:hAnsi="宋体" w:cs="宋体"/>
          <w:color w:val="auto"/>
          <w:spacing w:val="-1"/>
          <w:szCs w:val="21"/>
          <w:highlight w:val="none"/>
        </w:rPr>
        <w:t>（</w:t>
      </w:r>
      <w:r>
        <w:rPr>
          <w:rFonts w:eastAsia="Times New Roman"/>
          <w:color w:val="auto"/>
          <w:spacing w:val="-1"/>
          <w:szCs w:val="21"/>
          <w:highlight w:val="none"/>
        </w:rPr>
        <w:t>2</w:t>
      </w:r>
      <w:r>
        <w:rPr>
          <w:rFonts w:ascii="宋体" w:hAnsi="宋体" w:cs="宋体"/>
          <w:color w:val="auto"/>
          <w:spacing w:val="-1"/>
          <w:szCs w:val="21"/>
          <w:highlight w:val="none"/>
        </w:rPr>
        <w:t>）投标人在编制投标文件时应当建立分级目录，并按照标签提示录入相关内容。</w:t>
      </w:r>
    </w:p>
    <w:p w14:paraId="7F92A593">
      <w:pPr>
        <w:spacing w:before="93" w:line="268" w:lineRule="auto"/>
        <w:ind w:left="20" w:right="194" w:firstLine="426"/>
        <w:rPr>
          <w:rFonts w:ascii="宋体" w:hAnsi="宋体" w:cs="宋体"/>
          <w:color w:val="auto"/>
          <w:szCs w:val="21"/>
          <w:highlight w:val="none"/>
        </w:rPr>
      </w:pPr>
      <w:r>
        <w:rPr>
          <w:rFonts w:ascii="宋体" w:hAnsi="宋体" w:cs="宋体"/>
          <w:color w:val="auto"/>
          <w:szCs w:val="21"/>
          <w:highlight w:val="none"/>
        </w:rPr>
        <w:t>（</w:t>
      </w:r>
      <w:r>
        <w:rPr>
          <w:rFonts w:eastAsia="Times New Roman"/>
          <w:color w:val="auto"/>
          <w:szCs w:val="21"/>
          <w:highlight w:val="none"/>
        </w:rPr>
        <w:t>3</w:t>
      </w:r>
      <w:r>
        <w:rPr>
          <w:rFonts w:ascii="宋体" w:hAnsi="宋体" w:cs="宋体"/>
          <w:color w:val="auto"/>
          <w:szCs w:val="21"/>
          <w:highlight w:val="none"/>
        </w:rPr>
        <w:t>）投标文件中的附件信息和证明资料均应从企业主体信息库中选择相应的材料，其</w:t>
      </w:r>
      <w:r>
        <w:rPr>
          <w:rFonts w:ascii="宋体" w:hAnsi="宋体" w:cs="宋体"/>
          <w:color w:val="auto"/>
          <w:spacing w:val="-1"/>
          <w:szCs w:val="21"/>
          <w:highlight w:val="none"/>
        </w:rPr>
        <w:t>他非附件信息均应直接制作生成。</w:t>
      </w:r>
    </w:p>
    <w:p w14:paraId="17B3AE57">
      <w:pPr>
        <w:spacing w:before="107" w:line="301" w:lineRule="auto"/>
        <w:ind w:left="20" w:firstLine="426"/>
        <w:rPr>
          <w:rFonts w:ascii="宋体" w:hAnsi="宋体" w:cs="宋体"/>
          <w:color w:val="auto"/>
          <w:szCs w:val="21"/>
          <w:highlight w:val="none"/>
        </w:rPr>
      </w:pPr>
      <w:r>
        <w:rPr>
          <w:rFonts w:ascii="宋体" w:hAnsi="宋体" w:cs="宋体"/>
          <w:color w:val="auto"/>
          <w:spacing w:val="12"/>
          <w:szCs w:val="21"/>
          <w:highlight w:val="none"/>
        </w:rPr>
        <w:t>（</w:t>
      </w:r>
      <w:r>
        <w:rPr>
          <w:rFonts w:eastAsia="Times New Roman"/>
          <w:color w:val="auto"/>
          <w:spacing w:val="12"/>
          <w:szCs w:val="21"/>
          <w:highlight w:val="none"/>
        </w:rPr>
        <w:t>4</w:t>
      </w:r>
      <w:r>
        <w:rPr>
          <w:rFonts w:ascii="宋体" w:hAnsi="宋体" w:cs="宋体"/>
          <w:color w:val="auto"/>
          <w:spacing w:val="12"/>
          <w:szCs w:val="21"/>
          <w:highlight w:val="none"/>
        </w:rPr>
        <w:t>）第七章投标文件格式文件要求“盖单位章”</w:t>
      </w:r>
      <w:r>
        <w:rPr>
          <w:rFonts w:ascii="宋体" w:hAnsi="宋体" w:cs="宋体"/>
          <w:color w:val="auto"/>
          <w:spacing w:val="11"/>
          <w:szCs w:val="21"/>
          <w:highlight w:val="none"/>
        </w:rPr>
        <w:t>的地方，投标人应使用数字证书</w:t>
      </w:r>
      <w:r>
        <w:rPr>
          <w:rFonts w:ascii="宋体" w:hAnsi="宋体" w:cs="宋体"/>
          <w:color w:val="auto"/>
          <w:spacing w:val="4"/>
          <w:szCs w:val="21"/>
          <w:highlight w:val="none"/>
        </w:rPr>
        <w:t>（</w:t>
      </w:r>
      <w:r>
        <w:rPr>
          <w:rFonts w:eastAsia="Times New Roman"/>
          <w:color w:val="auto"/>
          <w:szCs w:val="21"/>
          <w:highlight w:val="none"/>
        </w:rPr>
        <w:t>CA</w:t>
      </w:r>
      <w:r>
        <w:rPr>
          <w:rFonts w:ascii="宋体" w:hAnsi="宋体" w:cs="宋体"/>
          <w:color w:val="auto"/>
          <w:spacing w:val="4"/>
          <w:szCs w:val="21"/>
          <w:highlight w:val="none"/>
        </w:rPr>
        <w:t>）加盖投标人的单位电子印章；要求“签章”的地方，投标人应使用数字证书（</w:t>
      </w:r>
      <w:r>
        <w:rPr>
          <w:rFonts w:eastAsia="Times New Roman"/>
          <w:color w:val="auto"/>
          <w:szCs w:val="21"/>
          <w:highlight w:val="none"/>
        </w:rPr>
        <w:t>CA</w:t>
      </w:r>
      <w:r>
        <w:rPr>
          <w:rFonts w:ascii="宋体" w:hAnsi="宋体" w:cs="宋体"/>
          <w:color w:val="auto"/>
          <w:spacing w:val="4"/>
          <w:szCs w:val="21"/>
          <w:highlight w:val="none"/>
        </w:rPr>
        <w:t>）</w:t>
      </w:r>
      <w:r>
        <w:rPr>
          <w:rFonts w:ascii="宋体" w:hAnsi="宋体" w:cs="宋体"/>
          <w:color w:val="auto"/>
          <w:spacing w:val="3"/>
          <w:szCs w:val="21"/>
          <w:highlight w:val="none"/>
        </w:rPr>
        <w:t>加盖法定代表人（授权委托人）的个人电子印章或电子签名。联合体投标的，</w:t>
      </w:r>
      <w:r>
        <w:rPr>
          <w:rFonts w:ascii="宋体" w:hAnsi="宋体" w:cs="宋体"/>
          <w:color w:val="auto"/>
          <w:spacing w:val="2"/>
          <w:szCs w:val="21"/>
          <w:highlight w:val="none"/>
        </w:rPr>
        <w:t>投标文件由</w:t>
      </w:r>
      <w:r>
        <w:rPr>
          <w:rFonts w:ascii="宋体" w:hAnsi="宋体" w:cs="宋体"/>
          <w:color w:val="auto"/>
          <w:spacing w:val="3"/>
          <w:szCs w:val="21"/>
          <w:highlight w:val="none"/>
        </w:rPr>
        <w:t>联合体牵头人按上述规定在要求“盖单位章”的地方加盖联合体牵头人单位电子印章</w:t>
      </w:r>
      <w:r>
        <w:rPr>
          <w:rFonts w:ascii="宋体" w:hAnsi="宋体" w:cs="宋体"/>
          <w:color w:val="auto"/>
          <w:spacing w:val="2"/>
          <w:szCs w:val="21"/>
          <w:highlight w:val="none"/>
        </w:rPr>
        <w:t>；在要求“签章”的地方加盖联合体牵头人法定代表人（</w:t>
      </w:r>
      <w:r>
        <w:rPr>
          <w:rFonts w:ascii="宋体" w:hAnsi="宋体" w:cs="宋体"/>
          <w:color w:val="auto"/>
          <w:spacing w:val="1"/>
          <w:szCs w:val="21"/>
          <w:highlight w:val="none"/>
        </w:rPr>
        <w:t>授权委托人）的个人电子印章或电子</w:t>
      </w:r>
      <w:r>
        <w:rPr>
          <w:rFonts w:ascii="宋体" w:hAnsi="宋体" w:cs="宋体"/>
          <w:color w:val="auto"/>
          <w:spacing w:val="-2"/>
          <w:szCs w:val="21"/>
          <w:highlight w:val="none"/>
        </w:rPr>
        <w:t>签名。招标文件有特别说明的除外。</w:t>
      </w:r>
    </w:p>
    <w:p w14:paraId="38CFA6FE">
      <w:pPr>
        <w:spacing w:before="110" w:line="234" w:lineRule="auto"/>
        <w:ind w:left="446"/>
        <w:rPr>
          <w:rFonts w:ascii="宋体" w:hAnsi="宋体" w:cs="宋体"/>
          <w:color w:val="auto"/>
          <w:szCs w:val="21"/>
          <w:highlight w:val="none"/>
        </w:rPr>
      </w:pPr>
      <w:r>
        <w:rPr>
          <w:rFonts w:ascii="宋体" w:hAnsi="宋体" w:cs="宋体"/>
          <w:color w:val="auto"/>
          <w:spacing w:val="-1"/>
          <w:szCs w:val="21"/>
          <w:highlight w:val="none"/>
        </w:rPr>
        <w:t>（</w:t>
      </w:r>
      <w:r>
        <w:rPr>
          <w:rFonts w:eastAsia="Times New Roman"/>
          <w:color w:val="auto"/>
          <w:spacing w:val="-1"/>
          <w:szCs w:val="21"/>
          <w:highlight w:val="none"/>
        </w:rPr>
        <w:t>5</w:t>
      </w:r>
      <w:r>
        <w:rPr>
          <w:rFonts w:ascii="宋体" w:hAnsi="宋体" w:cs="宋体"/>
          <w:color w:val="auto"/>
          <w:spacing w:val="-1"/>
          <w:szCs w:val="21"/>
          <w:highlight w:val="none"/>
        </w:rPr>
        <w:t>）投标文件制作完成后，将生成一份加密的电子投标文件。</w:t>
      </w:r>
    </w:p>
    <w:p w14:paraId="2187BCD6">
      <w:pPr>
        <w:spacing w:before="94" w:line="234" w:lineRule="auto"/>
        <w:ind w:left="446"/>
        <w:rPr>
          <w:rFonts w:ascii="宋体" w:hAnsi="宋体" w:cs="宋体"/>
          <w:color w:val="auto"/>
          <w:szCs w:val="21"/>
          <w:highlight w:val="none"/>
        </w:rPr>
      </w:pPr>
      <w:r>
        <w:rPr>
          <w:rFonts w:ascii="宋体" w:hAnsi="宋体" w:cs="宋体"/>
          <w:color w:val="auto"/>
          <w:spacing w:val="-1"/>
          <w:szCs w:val="21"/>
          <w:highlight w:val="none"/>
        </w:rPr>
        <w:t>（</w:t>
      </w:r>
      <w:r>
        <w:rPr>
          <w:rFonts w:eastAsia="Times New Roman"/>
          <w:color w:val="auto"/>
          <w:spacing w:val="-1"/>
          <w:szCs w:val="21"/>
          <w:highlight w:val="none"/>
        </w:rPr>
        <w:t>6</w:t>
      </w:r>
      <w:r>
        <w:rPr>
          <w:rFonts w:ascii="宋体" w:hAnsi="宋体" w:cs="宋体"/>
          <w:color w:val="auto"/>
          <w:spacing w:val="-1"/>
          <w:szCs w:val="21"/>
          <w:highlight w:val="none"/>
        </w:rPr>
        <w:t>）投标文件制作的具体方法详见“数字化投标文件制作软件”中的操作说明。</w:t>
      </w:r>
    </w:p>
    <w:p w14:paraId="40F154D4">
      <w:pPr>
        <w:spacing w:before="92" w:line="317" w:lineRule="auto"/>
        <w:ind w:left="22" w:right="197" w:firstLine="418"/>
        <w:rPr>
          <w:rFonts w:ascii="宋体" w:hAnsi="宋体" w:cs="宋体"/>
          <w:color w:val="auto"/>
          <w:szCs w:val="21"/>
          <w:highlight w:val="none"/>
        </w:rPr>
      </w:pPr>
      <w:r>
        <w:rPr>
          <w:rFonts w:eastAsia="Times New Roman"/>
          <w:color w:val="auto"/>
          <w:spacing w:val="2"/>
          <w:szCs w:val="21"/>
          <w:highlight w:val="none"/>
        </w:rPr>
        <w:t xml:space="preserve">3.7.4  </w:t>
      </w:r>
      <w:r>
        <w:rPr>
          <w:rFonts w:ascii="宋体" w:hAnsi="宋体" w:cs="宋体"/>
          <w:color w:val="auto"/>
          <w:spacing w:val="2"/>
          <w:szCs w:val="21"/>
          <w:highlight w:val="none"/>
        </w:rPr>
        <w:t>投标人须知前附表规定“承包人实施</w:t>
      </w:r>
      <w:r>
        <w:rPr>
          <w:rFonts w:ascii="宋体" w:hAnsi="宋体" w:cs="宋体"/>
          <w:color w:val="auto"/>
          <w:spacing w:val="1"/>
          <w:szCs w:val="21"/>
          <w:highlight w:val="none"/>
        </w:rPr>
        <w:t>方案”采用“模块化暗标”时，则“承包</w:t>
      </w:r>
      <w:r>
        <w:rPr>
          <w:rFonts w:ascii="宋体" w:hAnsi="宋体" w:cs="宋体"/>
          <w:color w:val="auto"/>
          <w:spacing w:val="-1"/>
          <w:szCs w:val="21"/>
          <w:highlight w:val="none"/>
        </w:rPr>
        <w:t>人实施方案”按本章第</w:t>
      </w:r>
      <w:r>
        <w:rPr>
          <w:rFonts w:eastAsia="Times New Roman"/>
          <w:color w:val="auto"/>
          <w:spacing w:val="-1"/>
          <w:szCs w:val="21"/>
          <w:highlight w:val="none"/>
        </w:rPr>
        <w:t xml:space="preserve">3.7.3 </w:t>
      </w:r>
      <w:r>
        <w:rPr>
          <w:rFonts w:ascii="宋体" w:hAnsi="宋体" w:cs="宋体"/>
          <w:color w:val="auto"/>
          <w:spacing w:val="-1"/>
          <w:szCs w:val="21"/>
          <w:highlight w:val="none"/>
        </w:rPr>
        <w:t>项制作投标文件时应满足下列要求：</w:t>
      </w:r>
    </w:p>
    <w:p w14:paraId="430985D8">
      <w:pPr>
        <w:spacing w:before="4" w:line="295" w:lineRule="auto"/>
        <w:ind w:left="16" w:right="194" w:firstLine="430"/>
        <w:rPr>
          <w:rFonts w:ascii="宋体" w:hAnsi="宋体" w:cs="宋体"/>
          <w:color w:val="auto"/>
          <w:szCs w:val="21"/>
          <w:highlight w:val="none"/>
        </w:rPr>
      </w:pPr>
      <w:r>
        <w:rPr>
          <w:rFonts w:ascii="宋体" w:hAnsi="宋体" w:cs="宋体"/>
          <w:color w:val="auto"/>
          <w:spacing w:val="-1"/>
          <w:szCs w:val="21"/>
          <w:highlight w:val="none"/>
        </w:rPr>
        <w:t>（</w:t>
      </w:r>
      <w:r>
        <w:rPr>
          <w:rFonts w:eastAsia="Times New Roman"/>
          <w:color w:val="auto"/>
          <w:spacing w:val="-1"/>
          <w:szCs w:val="21"/>
          <w:highlight w:val="none"/>
        </w:rPr>
        <w:t>1</w:t>
      </w:r>
      <w:r>
        <w:rPr>
          <w:rFonts w:ascii="宋体" w:hAnsi="宋体" w:cs="宋体"/>
          <w:color w:val="auto"/>
          <w:spacing w:val="-1"/>
          <w:szCs w:val="21"/>
          <w:highlight w:val="none"/>
        </w:rPr>
        <w:t xml:space="preserve">）按照评分大项模块化，模块采用 </w:t>
      </w:r>
      <w:r>
        <w:rPr>
          <w:rFonts w:eastAsia="Times New Roman"/>
          <w:color w:val="auto"/>
          <w:spacing w:val="-1"/>
          <w:szCs w:val="21"/>
          <w:highlight w:val="none"/>
        </w:rPr>
        <w:t>A4</w:t>
      </w:r>
      <w:r>
        <w:rPr>
          <w:rFonts w:ascii="宋体" w:hAnsi="宋体" w:cs="宋体"/>
          <w:color w:val="auto"/>
          <w:spacing w:val="-1"/>
          <w:szCs w:val="21"/>
          <w:highlight w:val="none"/>
        </w:rPr>
        <w:t>规格纸张，纸张方向为纵向，段落采用单倍</w:t>
      </w:r>
      <w:r>
        <w:rPr>
          <w:rFonts w:ascii="宋体" w:hAnsi="宋体" w:cs="宋体"/>
          <w:color w:val="auto"/>
          <w:spacing w:val="-3"/>
          <w:szCs w:val="21"/>
          <w:highlight w:val="none"/>
        </w:rPr>
        <w:t>行距，“文档网格”设置为“无网格”，对齐方式两端对齐，大纲级别正文文本，左侧</w:t>
      </w:r>
      <w:r>
        <w:rPr>
          <w:rFonts w:ascii="宋体" w:hAnsi="宋体" w:cs="宋体"/>
          <w:color w:val="auto"/>
          <w:spacing w:val="-4"/>
          <w:szCs w:val="21"/>
          <w:highlight w:val="none"/>
        </w:rPr>
        <w:t>、右</w:t>
      </w:r>
      <w:r>
        <w:rPr>
          <w:rFonts w:ascii="宋体" w:hAnsi="宋体" w:cs="宋体"/>
          <w:color w:val="auto"/>
          <w:spacing w:val="-1"/>
          <w:szCs w:val="21"/>
          <w:highlight w:val="none"/>
        </w:rPr>
        <w:t>侧缩进</w:t>
      </w:r>
      <w:r>
        <w:rPr>
          <w:rFonts w:eastAsia="Times New Roman"/>
          <w:color w:val="auto"/>
          <w:spacing w:val="-1"/>
          <w:szCs w:val="21"/>
          <w:highlight w:val="none"/>
        </w:rPr>
        <w:t>0</w:t>
      </w:r>
      <w:r>
        <w:rPr>
          <w:rFonts w:ascii="宋体" w:hAnsi="宋体" w:cs="宋体"/>
          <w:color w:val="auto"/>
          <w:spacing w:val="-1"/>
          <w:szCs w:val="21"/>
          <w:highlight w:val="none"/>
        </w:rPr>
        <w:t>个字符，首行缩进</w:t>
      </w:r>
      <w:r>
        <w:rPr>
          <w:rFonts w:eastAsia="Times New Roman"/>
          <w:color w:val="auto"/>
          <w:spacing w:val="-1"/>
          <w:szCs w:val="21"/>
          <w:highlight w:val="none"/>
        </w:rPr>
        <w:t>2</w:t>
      </w:r>
      <w:r>
        <w:rPr>
          <w:rFonts w:ascii="宋体" w:hAnsi="宋体" w:cs="宋体"/>
          <w:color w:val="auto"/>
          <w:spacing w:val="-1"/>
          <w:szCs w:val="21"/>
          <w:highlight w:val="none"/>
        </w:rPr>
        <w:t>个字符，段前、段后</w:t>
      </w:r>
      <w:r>
        <w:rPr>
          <w:rFonts w:eastAsia="Times New Roman"/>
          <w:color w:val="auto"/>
          <w:spacing w:val="-1"/>
          <w:szCs w:val="21"/>
          <w:highlight w:val="none"/>
        </w:rPr>
        <w:t>0</w:t>
      </w:r>
      <w:r>
        <w:rPr>
          <w:rFonts w:ascii="宋体" w:hAnsi="宋体" w:cs="宋体"/>
          <w:color w:val="auto"/>
          <w:spacing w:val="-1"/>
          <w:szCs w:val="21"/>
          <w:highlight w:val="none"/>
        </w:rPr>
        <w:t>行。编辑软</w:t>
      </w:r>
      <w:r>
        <w:rPr>
          <w:rFonts w:ascii="宋体" w:hAnsi="宋体" w:cs="宋体"/>
          <w:color w:val="auto"/>
          <w:spacing w:val="-2"/>
          <w:szCs w:val="21"/>
          <w:highlight w:val="none"/>
        </w:rPr>
        <w:t>件可采用</w:t>
      </w:r>
      <w:r>
        <w:rPr>
          <w:rFonts w:eastAsia="Times New Roman"/>
          <w:color w:val="auto"/>
          <w:spacing w:val="-2"/>
          <w:szCs w:val="21"/>
          <w:highlight w:val="none"/>
        </w:rPr>
        <w:t>MicrosoftWord</w:t>
      </w:r>
      <w:r>
        <w:rPr>
          <w:rFonts w:eastAsia="Times New Roman"/>
          <w:color w:val="auto"/>
          <w:szCs w:val="21"/>
          <w:highlight w:val="none"/>
        </w:rPr>
        <w:t xml:space="preserve"> 2010 </w:t>
      </w:r>
      <w:r>
        <w:rPr>
          <w:rFonts w:ascii="宋体" w:hAnsi="宋体" w:cs="宋体"/>
          <w:color w:val="auto"/>
          <w:szCs w:val="21"/>
          <w:highlight w:val="none"/>
        </w:rPr>
        <w:t>及以上版本或</w:t>
      </w:r>
      <w:r>
        <w:rPr>
          <w:rFonts w:eastAsia="Times New Roman"/>
          <w:color w:val="auto"/>
          <w:szCs w:val="21"/>
          <w:highlight w:val="none"/>
        </w:rPr>
        <w:t xml:space="preserve">WPS 2013 </w:t>
      </w:r>
      <w:r>
        <w:rPr>
          <w:rFonts w:ascii="宋体" w:hAnsi="宋体" w:cs="宋体"/>
          <w:color w:val="auto"/>
          <w:szCs w:val="21"/>
          <w:highlight w:val="none"/>
        </w:rPr>
        <w:t>版本及以上</w:t>
      </w:r>
      <w:r>
        <w:rPr>
          <w:rFonts w:ascii="宋体" w:hAnsi="宋体" w:cs="宋体"/>
          <w:color w:val="auto"/>
          <w:spacing w:val="-1"/>
          <w:szCs w:val="21"/>
          <w:highlight w:val="none"/>
        </w:rPr>
        <w:t>版本。</w:t>
      </w:r>
    </w:p>
    <w:p w14:paraId="75EE9782">
      <w:pPr>
        <w:spacing w:before="94" w:line="269" w:lineRule="auto"/>
        <w:ind w:left="40" w:right="196" w:firstLine="406"/>
        <w:rPr>
          <w:rFonts w:ascii="宋体" w:hAnsi="宋体" w:cs="宋体"/>
          <w:color w:val="auto"/>
          <w:szCs w:val="21"/>
          <w:highlight w:val="none"/>
        </w:rPr>
      </w:pPr>
      <w:r>
        <w:rPr>
          <w:rFonts w:ascii="宋体" w:hAnsi="宋体" w:cs="宋体"/>
          <w:color w:val="auto"/>
          <w:spacing w:val="-2"/>
          <w:szCs w:val="21"/>
          <w:highlight w:val="none"/>
        </w:rPr>
        <w:t>（</w:t>
      </w:r>
      <w:r>
        <w:rPr>
          <w:rFonts w:eastAsia="Times New Roman"/>
          <w:color w:val="auto"/>
          <w:spacing w:val="-2"/>
          <w:szCs w:val="21"/>
          <w:highlight w:val="none"/>
        </w:rPr>
        <w:t>2</w:t>
      </w:r>
      <w:r>
        <w:rPr>
          <w:rFonts w:ascii="宋体" w:hAnsi="宋体" w:cs="宋体"/>
          <w:color w:val="auto"/>
          <w:spacing w:val="-2"/>
          <w:szCs w:val="21"/>
          <w:highlight w:val="none"/>
        </w:rPr>
        <w:t>）标题（包括章、节、条、款、项）、正文要求：采</w:t>
      </w:r>
      <w:r>
        <w:rPr>
          <w:rFonts w:ascii="宋体" w:hAnsi="宋体" w:cs="宋体"/>
          <w:color w:val="auto"/>
          <w:spacing w:val="-3"/>
          <w:szCs w:val="21"/>
          <w:highlight w:val="none"/>
        </w:rPr>
        <w:t>用</w:t>
      </w:r>
      <w:r>
        <w:rPr>
          <w:rFonts w:eastAsia="Times New Roman"/>
          <w:color w:val="auto"/>
          <w:spacing w:val="-3"/>
          <w:szCs w:val="21"/>
          <w:highlight w:val="none"/>
        </w:rPr>
        <w:t xml:space="preserve">A4 </w:t>
      </w:r>
      <w:r>
        <w:rPr>
          <w:rFonts w:ascii="宋体" w:hAnsi="宋体" w:cs="宋体"/>
          <w:color w:val="auto"/>
          <w:spacing w:val="-3"/>
          <w:szCs w:val="21"/>
          <w:highlight w:val="none"/>
        </w:rPr>
        <w:t>规格纸张，文字为黑色小</w:t>
      </w:r>
      <w:r>
        <w:rPr>
          <w:rFonts w:ascii="宋体" w:hAnsi="宋体" w:cs="宋体"/>
          <w:color w:val="auto"/>
          <w:spacing w:val="-4"/>
          <w:szCs w:val="21"/>
          <w:highlight w:val="none"/>
        </w:rPr>
        <w:t>四号宋体，标题可加粗。</w:t>
      </w:r>
    </w:p>
    <w:p w14:paraId="05DCF277">
      <w:pPr>
        <w:spacing w:before="106" w:line="285" w:lineRule="auto"/>
        <w:ind w:left="21" w:right="37" w:firstLine="425"/>
        <w:rPr>
          <w:rFonts w:ascii="宋体" w:hAnsi="宋体" w:cs="宋体"/>
          <w:color w:val="auto"/>
          <w:szCs w:val="21"/>
          <w:highlight w:val="none"/>
        </w:rPr>
      </w:pPr>
      <w:r>
        <w:rPr>
          <w:rFonts w:ascii="宋体" w:hAnsi="宋体" w:cs="宋体"/>
          <w:color w:val="auto"/>
          <w:szCs w:val="21"/>
          <w:highlight w:val="none"/>
        </w:rPr>
        <w:t>（</w:t>
      </w:r>
      <w:r>
        <w:rPr>
          <w:rFonts w:eastAsia="Times New Roman"/>
          <w:color w:val="auto"/>
          <w:szCs w:val="21"/>
          <w:highlight w:val="none"/>
        </w:rPr>
        <w:t>3</w:t>
      </w:r>
      <w:r>
        <w:rPr>
          <w:rFonts w:ascii="宋体" w:hAnsi="宋体" w:cs="宋体"/>
          <w:color w:val="auto"/>
          <w:szCs w:val="21"/>
          <w:highlight w:val="none"/>
        </w:rPr>
        <w:t xml:space="preserve">）图表要求：图表应尽可能采用 </w:t>
      </w:r>
      <w:r>
        <w:rPr>
          <w:rFonts w:eastAsia="Times New Roman"/>
          <w:color w:val="auto"/>
          <w:szCs w:val="21"/>
          <w:highlight w:val="none"/>
        </w:rPr>
        <w:t xml:space="preserve">A4  </w:t>
      </w:r>
      <w:r>
        <w:rPr>
          <w:rFonts w:ascii="宋体" w:hAnsi="宋体" w:cs="宋体"/>
          <w:color w:val="auto"/>
          <w:szCs w:val="21"/>
          <w:highlight w:val="none"/>
        </w:rPr>
        <w:t xml:space="preserve">规格白色底色，对于比较大的图表可使用 </w:t>
      </w:r>
      <w:r>
        <w:rPr>
          <w:rFonts w:eastAsia="Times New Roman"/>
          <w:color w:val="auto"/>
          <w:szCs w:val="21"/>
          <w:highlight w:val="none"/>
        </w:rPr>
        <w:t>A3</w:t>
      </w:r>
      <w:r>
        <w:rPr>
          <w:rFonts w:ascii="宋体" w:hAnsi="宋体" w:cs="宋体"/>
          <w:color w:val="auto"/>
          <w:spacing w:val="2"/>
          <w:szCs w:val="21"/>
          <w:highlight w:val="none"/>
        </w:rPr>
        <w:t>规格白色底色。图表中的文字采用黑色小四号宋体。</w:t>
      </w:r>
      <w:r>
        <w:rPr>
          <w:rFonts w:ascii="宋体" w:hAnsi="宋体" w:cs="宋体"/>
          <w:color w:val="auto"/>
          <w:spacing w:val="1"/>
          <w:szCs w:val="21"/>
          <w:highlight w:val="none"/>
        </w:rPr>
        <w:t>图表（包括框图、流程图、结构图等，</w:t>
      </w:r>
      <w:r>
        <w:rPr>
          <w:rFonts w:ascii="宋体" w:hAnsi="宋体" w:cs="宋体"/>
          <w:color w:val="auto"/>
          <w:szCs w:val="21"/>
          <w:highlight w:val="none"/>
        </w:rPr>
        <w:t xml:space="preserve"> 不包括纯表格）内容需转换为“图片”格式插入到文件对应</w:t>
      </w:r>
      <w:r>
        <w:rPr>
          <w:rFonts w:ascii="宋体" w:hAnsi="宋体" w:cs="宋体"/>
          <w:color w:val="auto"/>
          <w:spacing w:val="-1"/>
          <w:szCs w:val="21"/>
          <w:highlight w:val="none"/>
        </w:rPr>
        <w:t>位置上。</w:t>
      </w:r>
    </w:p>
    <w:p w14:paraId="01E4E8D2">
      <w:pPr>
        <w:spacing w:before="116" w:line="234" w:lineRule="auto"/>
        <w:ind w:left="446"/>
        <w:rPr>
          <w:rFonts w:ascii="宋体" w:hAnsi="宋体" w:cs="宋体"/>
          <w:color w:val="auto"/>
          <w:szCs w:val="21"/>
          <w:highlight w:val="none"/>
        </w:rPr>
      </w:pPr>
      <w:r>
        <w:rPr>
          <w:rFonts w:ascii="宋体" w:hAnsi="宋体" w:cs="宋体"/>
          <w:color w:val="auto"/>
          <w:szCs w:val="21"/>
          <w:highlight w:val="none"/>
        </w:rPr>
        <w:t>（</w:t>
      </w:r>
      <w:r>
        <w:rPr>
          <w:rFonts w:eastAsia="Times New Roman"/>
          <w:color w:val="auto"/>
          <w:szCs w:val="21"/>
          <w:highlight w:val="none"/>
        </w:rPr>
        <w:t>4</w:t>
      </w:r>
      <w:r>
        <w:rPr>
          <w:rFonts w:ascii="宋体" w:hAnsi="宋体" w:cs="宋体"/>
          <w:color w:val="auto"/>
          <w:szCs w:val="21"/>
          <w:highlight w:val="none"/>
        </w:rPr>
        <w:t>）页眉和页脚（包括页码）设置要求：不允许出现页眉</w:t>
      </w:r>
      <w:r>
        <w:rPr>
          <w:rFonts w:ascii="宋体" w:hAnsi="宋体" w:cs="宋体"/>
          <w:color w:val="auto"/>
          <w:spacing w:val="-1"/>
          <w:szCs w:val="21"/>
          <w:highlight w:val="none"/>
        </w:rPr>
        <w:t>，且页脚只准出现页码，页</w:t>
      </w:r>
      <w:r>
        <w:rPr>
          <w:rFonts w:ascii="宋体" w:hAnsi="宋体" w:cs="宋体"/>
          <w:color w:val="auto"/>
          <w:szCs w:val="21"/>
          <w:highlight w:val="none"/>
        </w:rPr>
        <w:t xml:space="preserve"> 码格式采用阿拉伯数字格式，字体为五号宋体，设在页脚居中位置，页码应当连续。</w:t>
      </w:r>
    </w:p>
    <w:p w14:paraId="478E0DE2">
      <w:pPr>
        <w:spacing w:before="116" w:line="234" w:lineRule="auto"/>
        <w:ind w:left="446"/>
        <w:rPr>
          <w:rFonts w:ascii="宋体" w:hAnsi="宋体" w:cs="宋体"/>
          <w:color w:val="auto"/>
          <w:szCs w:val="21"/>
          <w:highlight w:val="none"/>
        </w:rPr>
      </w:pPr>
      <w:r>
        <w:rPr>
          <w:rFonts w:ascii="宋体" w:hAnsi="宋体" w:cs="宋体"/>
          <w:color w:val="auto"/>
          <w:spacing w:val="-1"/>
          <w:szCs w:val="21"/>
          <w:highlight w:val="none"/>
        </w:rPr>
        <w:t>（</w:t>
      </w:r>
      <w:r>
        <w:rPr>
          <w:rFonts w:eastAsia="Times New Roman"/>
          <w:color w:val="auto"/>
          <w:spacing w:val="-1"/>
          <w:szCs w:val="21"/>
          <w:highlight w:val="none"/>
        </w:rPr>
        <w:t>5</w:t>
      </w:r>
      <w:r>
        <w:rPr>
          <w:rFonts w:ascii="宋体" w:hAnsi="宋体" w:cs="宋体"/>
          <w:color w:val="auto"/>
          <w:spacing w:val="-1"/>
          <w:szCs w:val="21"/>
          <w:highlight w:val="none"/>
        </w:rPr>
        <w:t>）不允许有目录，不允许涂改或删除痕迹，不允许字体涂色。</w:t>
      </w:r>
    </w:p>
    <w:p w14:paraId="6C0026B2">
      <w:pPr>
        <w:spacing w:before="127" w:line="285" w:lineRule="auto"/>
        <w:ind w:left="20" w:right="12" w:firstLine="426"/>
        <w:rPr>
          <w:rFonts w:ascii="宋体" w:hAnsi="宋体" w:cs="宋体"/>
          <w:color w:val="auto"/>
          <w:szCs w:val="21"/>
          <w:highlight w:val="none"/>
        </w:rPr>
      </w:pPr>
      <w:r>
        <w:rPr>
          <w:rFonts w:ascii="宋体" w:hAnsi="宋体" w:cs="宋体"/>
          <w:color w:val="auto"/>
          <w:spacing w:val="2"/>
          <w:szCs w:val="21"/>
          <w:highlight w:val="none"/>
        </w:rPr>
        <w:t>（</w:t>
      </w:r>
      <w:r>
        <w:rPr>
          <w:rFonts w:eastAsia="Times New Roman"/>
          <w:color w:val="auto"/>
          <w:spacing w:val="2"/>
          <w:szCs w:val="21"/>
          <w:highlight w:val="none"/>
        </w:rPr>
        <w:t>6</w:t>
      </w:r>
      <w:r>
        <w:rPr>
          <w:rFonts w:ascii="宋体" w:hAnsi="宋体" w:cs="宋体"/>
          <w:color w:val="auto"/>
          <w:spacing w:val="2"/>
          <w:szCs w:val="21"/>
          <w:highlight w:val="none"/>
        </w:rPr>
        <w:t>）任何情况下，承包人实施方案中不得出现投标人的名称</w:t>
      </w:r>
      <w:r>
        <w:rPr>
          <w:rFonts w:ascii="宋体" w:hAnsi="宋体" w:cs="宋体"/>
          <w:color w:val="auto"/>
          <w:spacing w:val="1"/>
          <w:szCs w:val="21"/>
          <w:highlight w:val="none"/>
        </w:rPr>
        <w:t>和其它可识别投标人身</w:t>
      </w:r>
      <w:r>
        <w:rPr>
          <w:rFonts w:ascii="宋体" w:hAnsi="宋体" w:cs="宋体"/>
          <w:color w:val="auto"/>
          <w:szCs w:val="21"/>
          <w:highlight w:val="none"/>
        </w:rPr>
        <w:t xml:space="preserve"> 份的字符、徽标、人员名称等以及雷同性标</w:t>
      </w:r>
      <w:r>
        <w:rPr>
          <w:rFonts w:ascii="宋体" w:hAnsi="宋体" w:cs="宋体"/>
          <w:color w:val="auto"/>
          <w:spacing w:val="-1"/>
          <w:szCs w:val="21"/>
          <w:highlight w:val="none"/>
        </w:rPr>
        <w:t>记内容。</w:t>
      </w:r>
    </w:p>
    <w:p w14:paraId="14E82E11">
      <w:pPr>
        <w:spacing w:before="157" w:line="234" w:lineRule="auto"/>
        <w:ind w:left="16"/>
        <w:outlineLvl w:val="1"/>
        <w:rPr>
          <w:rFonts w:ascii="黑体" w:hAnsi="黑体" w:eastAsia="黑体" w:cs="黑体"/>
          <w:color w:val="auto"/>
          <w:sz w:val="28"/>
          <w:szCs w:val="28"/>
          <w:highlight w:val="none"/>
        </w:rPr>
      </w:pPr>
      <w:bookmarkStart w:id="116" w:name="bookmark56"/>
      <w:bookmarkEnd w:id="116"/>
      <w:bookmarkStart w:id="117" w:name="bookmark55"/>
      <w:bookmarkEnd w:id="117"/>
      <w:bookmarkStart w:id="118" w:name="_Toc25527"/>
      <w:bookmarkStart w:id="119" w:name="_Toc16140"/>
      <w:r>
        <w:rPr>
          <w:rFonts w:eastAsia="Times New Roman"/>
          <w:color w:val="auto"/>
          <w:spacing w:val="-2"/>
          <w:sz w:val="28"/>
          <w:szCs w:val="28"/>
          <w:highlight w:val="none"/>
        </w:rPr>
        <w:t>4</w:t>
      </w:r>
      <w:r>
        <w:rPr>
          <w:rFonts w:hint="eastAsia"/>
          <w:color w:val="auto"/>
          <w:spacing w:val="-2"/>
          <w:sz w:val="28"/>
          <w:szCs w:val="28"/>
          <w:highlight w:val="none"/>
          <w:lang w:val="en-US" w:eastAsia="zh-CN"/>
        </w:rPr>
        <w:t>.</w:t>
      </w:r>
      <w:r>
        <w:rPr>
          <w:rFonts w:ascii="黑体" w:hAnsi="黑体" w:eastAsia="黑体" w:cs="黑体"/>
          <w:color w:val="auto"/>
          <w:spacing w:val="-2"/>
          <w:sz w:val="28"/>
          <w:szCs w:val="28"/>
          <w:highlight w:val="none"/>
        </w:rPr>
        <w:t>投标</w:t>
      </w:r>
      <w:bookmarkEnd w:id="118"/>
      <w:bookmarkEnd w:id="119"/>
    </w:p>
    <w:p w14:paraId="12B5EFAF">
      <w:pPr>
        <w:spacing w:before="40" w:line="218" w:lineRule="auto"/>
        <w:ind w:left="132"/>
        <w:outlineLvl w:val="2"/>
        <w:rPr>
          <w:rFonts w:ascii="黑体" w:hAnsi="黑体" w:eastAsia="黑体" w:cs="黑体"/>
          <w:color w:val="auto"/>
          <w:sz w:val="24"/>
          <w:highlight w:val="none"/>
        </w:rPr>
      </w:pPr>
      <w:bookmarkStart w:id="120" w:name="bookmark393"/>
      <w:bookmarkEnd w:id="120"/>
      <w:bookmarkStart w:id="121" w:name="_Toc23225"/>
      <w:r>
        <w:rPr>
          <w:rFonts w:ascii="黑体" w:hAnsi="黑体" w:eastAsia="黑体" w:cs="黑体"/>
          <w:color w:val="auto"/>
          <w:spacing w:val="-1"/>
          <w:sz w:val="24"/>
          <w:highlight w:val="none"/>
        </w:rPr>
        <w:t>4.1 投标文件的加密</w:t>
      </w:r>
      <w:bookmarkEnd w:id="121"/>
    </w:p>
    <w:p w14:paraId="6A4EAFED">
      <w:pPr>
        <w:spacing w:before="100" w:line="306" w:lineRule="auto"/>
        <w:ind w:left="23" w:right="52" w:firstLine="419"/>
        <w:rPr>
          <w:rFonts w:ascii="宋体" w:hAnsi="宋体" w:cs="宋体"/>
          <w:color w:val="auto"/>
          <w:szCs w:val="21"/>
          <w:highlight w:val="none"/>
        </w:rPr>
      </w:pPr>
      <w:r>
        <w:rPr>
          <w:rFonts w:ascii="宋体" w:hAnsi="宋体" w:cs="宋体"/>
          <w:color w:val="auto"/>
          <w:spacing w:val="-2"/>
          <w:szCs w:val="21"/>
          <w:highlight w:val="none"/>
        </w:rPr>
        <w:t>投标人应当按照本章第</w:t>
      </w:r>
      <w:r>
        <w:rPr>
          <w:rFonts w:eastAsia="Times New Roman"/>
          <w:color w:val="auto"/>
          <w:spacing w:val="-2"/>
          <w:szCs w:val="21"/>
          <w:highlight w:val="none"/>
        </w:rPr>
        <w:t>3.7.3</w:t>
      </w:r>
      <w:r>
        <w:rPr>
          <w:rFonts w:ascii="宋体" w:hAnsi="宋体" w:cs="宋体"/>
          <w:color w:val="auto"/>
          <w:spacing w:val="-2"/>
          <w:szCs w:val="21"/>
          <w:highlight w:val="none"/>
        </w:rPr>
        <w:t>项要求制作投标文件，并在投标时上传加密的投标文件，</w:t>
      </w:r>
      <w:r>
        <w:rPr>
          <w:rFonts w:ascii="宋体" w:hAnsi="宋体" w:cs="宋体"/>
          <w:color w:val="auto"/>
          <w:spacing w:val="-1"/>
          <w:szCs w:val="21"/>
          <w:highlight w:val="none"/>
        </w:rPr>
        <w:t>未加密的投标文件，招标人（电子交易系统）将拒收并提示。</w:t>
      </w:r>
    </w:p>
    <w:p w14:paraId="723DE66B">
      <w:pPr>
        <w:spacing w:before="1" w:line="218" w:lineRule="auto"/>
        <w:ind w:left="132"/>
        <w:outlineLvl w:val="2"/>
        <w:rPr>
          <w:rFonts w:ascii="黑体" w:hAnsi="黑体" w:eastAsia="黑体" w:cs="黑体"/>
          <w:color w:val="auto"/>
          <w:sz w:val="24"/>
          <w:highlight w:val="none"/>
        </w:rPr>
      </w:pPr>
      <w:bookmarkStart w:id="122" w:name="bookmark57"/>
      <w:bookmarkEnd w:id="122"/>
      <w:bookmarkStart w:id="123" w:name="_Toc26773"/>
      <w:r>
        <w:rPr>
          <w:rFonts w:ascii="黑体" w:hAnsi="黑体" w:eastAsia="黑体" w:cs="黑体"/>
          <w:color w:val="auto"/>
          <w:spacing w:val="-1"/>
          <w:sz w:val="24"/>
          <w:highlight w:val="none"/>
        </w:rPr>
        <w:t>4.2 投标文件的递交</w:t>
      </w:r>
      <w:bookmarkEnd w:id="123"/>
    </w:p>
    <w:p w14:paraId="7E4D2DEC">
      <w:pPr>
        <w:spacing w:before="134" w:line="234" w:lineRule="auto"/>
        <w:ind w:left="435"/>
        <w:rPr>
          <w:rFonts w:ascii="宋体" w:hAnsi="宋体" w:cs="宋体"/>
          <w:color w:val="auto"/>
          <w:szCs w:val="21"/>
          <w:highlight w:val="none"/>
        </w:rPr>
      </w:pPr>
      <w:r>
        <w:rPr>
          <w:rFonts w:eastAsia="Times New Roman"/>
          <w:color w:val="auto"/>
          <w:szCs w:val="21"/>
          <w:highlight w:val="none"/>
        </w:rPr>
        <w:t xml:space="preserve">4.2.1  </w:t>
      </w:r>
      <w:r>
        <w:rPr>
          <w:rFonts w:ascii="宋体" w:hAnsi="宋体" w:cs="宋体"/>
          <w:color w:val="auto"/>
          <w:szCs w:val="21"/>
          <w:highlight w:val="none"/>
        </w:rPr>
        <w:t>投标人应在投标人须知前附表规定的投标截止时间前递交投标文件。</w:t>
      </w:r>
    </w:p>
    <w:p w14:paraId="21B516E8">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eastAsia="Times New Roman"/>
          <w:color w:val="auto"/>
          <w:szCs w:val="21"/>
          <w:highlight w:val="none"/>
        </w:rPr>
      </w:pPr>
      <w:r>
        <w:rPr>
          <w:rFonts w:eastAsia="Times New Roman"/>
          <w:color w:val="auto"/>
          <w:szCs w:val="21"/>
          <w:highlight w:val="none"/>
        </w:rPr>
        <w:t xml:space="preserve">4.2.2  </w:t>
      </w:r>
      <w:r>
        <w:rPr>
          <w:rFonts w:hint="eastAsia" w:eastAsia="Times New Roman"/>
          <w:color w:val="auto"/>
          <w:szCs w:val="21"/>
          <w:highlight w:val="none"/>
          <w:lang w:val="en-US" w:eastAsia="zh-CN"/>
        </w:rPr>
        <w:t xml:space="preserve">投标人应当在投标截止时间前，通过电子交易系统（投标盲盒工具）选择所投标段将加密的投标文件上传至电子招标投标系统（辽宁省工程建设项目数字化开标评标系统）。投标人应充分考虑上传文件时的不可预见因素，投标文件未在投标截止时间前完成上传的，视为逾期送达，招标人（电子交易系统）将拒收其投标文件。 </w:t>
      </w:r>
    </w:p>
    <w:p w14:paraId="665C9529">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eastAsia="Times New Roman"/>
          <w:color w:val="auto"/>
          <w:szCs w:val="21"/>
          <w:highlight w:val="none"/>
        </w:rPr>
      </w:pPr>
      <w:r>
        <w:rPr>
          <w:rFonts w:hint="eastAsia" w:eastAsia="Times New Roman"/>
          <w:color w:val="auto"/>
          <w:szCs w:val="21"/>
          <w:highlight w:val="none"/>
          <w:lang w:val="en-US" w:eastAsia="zh-CN"/>
        </w:rPr>
        <w:t>投标人完成投标文件上传成功后，电子交易系统向投标人发出电子签收凭证，递交时间以电子签收凭证载明的时间为准。</w:t>
      </w:r>
    </w:p>
    <w:p w14:paraId="4F74FEF7">
      <w:pPr>
        <w:spacing w:before="141" w:line="234" w:lineRule="auto"/>
        <w:ind w:left="435"/>
        <w:rPr>
          <w:rFonts w:ascii="宋体" w:hAnsi="宋体" w:cs="宋体"/>
          <w:color w:val="auto"/>
          <w:szCs w:val="21"/>
          <w:highlight w:val="none"/>
        </w:rPr>
      </w:pPr>
      <w:r>
        <w:rPr>
          <w:rFonts w:eastAsia="Times New Roman"/>
          <w:color w:val="auto"/>
          <w:szCs w:val="21"/>
          <w:highlight w:val="none"/>
        </w:rPr>
        <w:t>4.2.</w:t>
      </w:r>
      <w:r>
        <w:rPr>
          <w:rFonts w:hint="eastAsia" w:eastAsia="宋体"/>
          <w:color w:val="auto"/>
          <w:szCs w:val="21"/>
          <w:highlight w:val="none"/>
          <w:lang w:val="en-US" w:eastAsia="zh-CN"/>
        </w:rPr>
        <w:t>3</w:t>
      </w:r>
      <w:r>
        <w:rPr>
          <w:rFonts w:eastAsia="Times New Roman"/>
          <w:color w:val="auto"/>
          <w:szCs w:val="21"/>
          <w:highlight w:val="none"/>
        </w:rPr>
        <w:t xml:space="preserve"> </w:t>
      </w:r>
      <w:r>
        <w:rPr>
          <w:rFonts w:ascii="宋体" w:hAnsi="宋体" w:cs="宋体"/>
          <w:color w:val="auto"/>
          <w:szCs w:val="21"/>
          <w:highlight w:val="none"/>
        </w:rPr>
        <w:t>除投标人须知前附表另有规定外，投</w:t>
      </w:r>
      <w:r>
        <w:rPr>
          <w:rFonts w:ascii="宋体" w:hAnsi="宋体" w:cs="宋体"/>
          <w:color w:val="auto"/>
          <w:spacing w:val="-1"/>
          <w:szCs w:val="21"/>
          <w:highlight w:val="none"/>
        </w:rPr>
        <w:t>标人所递交的投标文件不予退还。</w:t>
      </w:r>
    </w:p>
    <w:p w14:paraId="772687F7">
      <w:pPr>
        <w:spacing w:before="76" w:line="219" w:lineRule="auto"/>
        <w:ind w:left="132"/>
        <w:outlineLvl w:val="2"/>
        <w:rPr>
          <w:rFonts w:ascii="黑体" w:hAnsi="黑体" w:eastAsia="黑体" w:cs="黑体"/>
          <w:color w:val="auto"/>
          <w:sz w:val="24"/>
          <w:highlight w:val="none"/>
        </w:rPr>
      </w:pPr>
      <w:bookmarkStart w:id="124" w:name="bookmark58"/>
      <w:bookmarkEnd w:id="124"/>
      <w:bookmarkStart w:id="125" w:name="_Toc16708"/>
      <w:r>
        <w:rPr>
          <w:rFonts w:ascii="黑体" w:hAnsi="黑体" w:eastAsia="黑体" w:cs="黑体"/>
          <w:color w:val="auto"/>
          <w:spacing w:val="-1"/>
          <w:sz w:val="24"/>
          <w:highlight w:val="none"/>
        </w:rPr>
        <w:t>4.3 投标文件的修改与撤回</w:t>
      </w:r>
      <w:bookmarkEnd w:id="125"/>
    </w:p>
    <w:p w14:paraId="01A8479F">
      <w:pPr>
        <w:spacing w:before="133" w:line="287" w:lineRule="auto"/>
        <w:ind w:left="22" w:right="5" w:firstLine="413"/>
        <w:rPr>
          <w:rFonts w:ascii="宋体" w:hAnsi="宋体" w:cs="宋体"/>
          <w:color w:val="auto"/>
          <w:szCs w:val="21"/>
          <w:highlight w:val="none"/>
        </w:rPr>
      </w:pPr>
      <w:r>
        <w:rPr>
          <w:rFonts w:eastAsia="Times New Roman"/>
          <w:color w:val="auto"/>
          <w:szCs w:val="21"/>
          <w:highlight w:val="none"/>
        </w:rPr>
        <w:t xml:space="preserve">4.3.1  </w:t>
      </w:r>
      <w:r>
        <w:rPr>
          <w:rFonts w:ascii="宋体" w:hAnsi="宋体" w:cs="宋体"/>
          <w:color w:val="auto"/>
          <w:szCs w:val="21"/>
          <w:highlight w:val="none"/>
        </w:rPr>
        <w:t xml:space="preserve">在本章第 </w:t>
      </w:r>
      <w:r>
        <w:rPr>
          <w:rFonts w:eastAsia="Times New Roman"/>
          <w:color w:val="auto"/>
          <w:szCs w:val="21"/>
          <w:highlight w:val="none"/>
        </w:rPr>
        <w:t xml:space="preserve">4.2.1  </w:t>
      </w:r>
      <w:r>
        <w:rPr>
          <w:rFonts w:ascii="宋体" w:hAnsi="宋体" w:cs="宋体"/>
          <w:color w:val="auto"/>
          <w:szCs w:val="21"/>
          <w:highlight w:val="none"/>
        </w:rPr>
        <w:t>项规定的投标截止时间前，投标人可以修改或撤回已递交的投标</w:t>
      </w:r>
      <w:r>
        <w:rPr>
          <w:rFonts w:ascii="宋体" w:hAnsi="宋体" w:cs="宋体"/>
          <w:color w:val="auto"/>
          <w:spacing w:val="-9"/>
          <w:szCs w:val="21"/>
          <w:highlight w:val="none"/>
        </w:rPr>
        <w:t>文件。</w:t>
      </w:r>
    </w:p>
    <w:p w14:paraId="1F0BE3DB">
      <w:pPr>
        <w:spacing w:before="148" w:line="234" w:lineRule="auto"/>
        <w:ind w:left="435"/>
        <w:rPr>
          <w:rFonts w:ascii="宋体" w:hAnsi="宋体" w:cs="宋体"/>
          <w:color w:val="auto"/>
          <w:szCs w:val="21"/>
          <w:highlight w:val="none"/>
        </w:rPr>
      </w:pPr>
      <w:r>
        <w:rPr>
          <w:rFonts w:eastAsia="Times New Roman"/>
          <w:color w:val="auto"/>
          <w:szCs w:val="21"/>
          <w:highlight w:val="none"/>
        </w:rPr>
        <w:t xml:space="preserve">4.3.2  </w:t>
      </w:r>
      <w:r>
        <w:rPr>
          <w:rFonts w:ascii="宋体" w:hAnsi="宋体" w:cs="宋体"/>
          <w:color w:val="auto"/>
          <w:szCs w:val="21"/>
          <w:highlight w:val="none"/>
        </w:rPr>
        <w:t>投标人撤回投标文件的，在</w:t>
      </w:r>
      <w:r>
        <w:rPr>
          <w:rFonts w:ascii="宋体" w:hAnsi="宋体" w:cs="宋体"/>
          <w:color w:val="auto"/>
          <w:spacing w:val="-1"/>
          <w:szCs w:val="21"/>
          <w:highlight w:val="none"/>
        </w:rPr>
        <w:t>电子交易系统直接进行撤回操作。</w:t>
      </w:r>
    </w:p>
    <w:p w14:paraId="08F4FA9C">
      <w:pPr>
        <w:spacing w:before="134" w:line="308" w:lineRule="auto"/>
        <w:ind w:left="21" w:right="4" w:firstLine="414"/>
        <w:rPr>
          <w:rFonts w:ascii="宋体" w:hAnsi="宋体" w:cs="宋体"/>
          <w:color w:val="auto"/>
          <w:szCs w:val="21"/>
          <w:highlight w:val="none"/>
        </w:rPr>
      </w:pPr>
      <w:r>
        <w:rPr>
          <w:rFonts w:eastAsia="Times New Roman"/>
          <w:color w:val="auto"/>
          <w:szCs w:val="21"/>
          <w:highlight w:val="none"/>
        </w:rPr>
        <w:t xml:space="preserve">4.3.3 </w:t>
      </w:r>
      <w:r>
        <w:rPr>
          <w:rFonts w:hint="eastAsia" w:eastAsia="Times New Roman"/>
          <w:color w:val="auto"/>
          <w:szCs w:val="21"/>
          <w:highlight w:val="none"/>
          <w:lang w:val="en-US" w:eastAsia="zh-CN"/>
        </w:rPr>
        <w:t xml:space="preserve">投标人修改投标文件的，应当先按本章第 </w:t>
      </w:r>
      <w:r>
        <w:rPr>
          <w:rFonts w:hint="default" w:eastAsia="Times New Roman"/>
          <w:color w:val="auto"/>
          <w:szCs w:val="21"/>
          <w:highlight w:val="none"/>
          <w:lang w:val="en-US" w:eastAsia="zh-CN"/>
        </w:rPr>
        <w:t xml:space="preserve">4.3.2 </w:t>
      </w:r>
      <w:r>
        <w:rPr>
          <w:rFonts w:hint="eastAsia" w:eastAsia="Times New Roman"/>
          <w:color w:val="auto"/>
          <w:szCs w:val="21"/>
          <w:highlight w:val="none"/>
          <w:lang w:val="en-US" w:eastAsia="zh-CN"/>
        </w:rPr>
        <w:t xml:space="preserve">项的规定撤回投标文件，再使用投标文件制作软件制作成完整的投标文件，并按照本章第 </w:t>
      </w:r>
      <w:r>
        <w:rPr>
          <w:rFonts w:hint="default" w:eastAsia="Times New Roman"/>
          <w:color w:val="auto"/>
          <w:szCs w:val="21"/>
          <w:highlight w:val="none"/>
          <w:lang w:val="en-US" w:eastAsia="zh-CN"/>
        </w:rPr>
        <w:t xml:space="preserve">3 </w:t>
      </w:r>
      <w:r>
        <w:rPr>
          <w:rFonts w:hint="eastAsia" w:eastAsia="Times New Roman"/>
          <w:color w:val="auto"/>
          <w:szCs w:val="21"/>
          <w:highlight w:val="none"/>
          <w:lang w:val="en-US" w:eastAsia="zh-CN"/>
        </w:rPr>
        <w:t xml:space="preserve">条、第 </w:t>
      </w:r>
      <w:r>
        <w:rPr>
          <w:rFonts w:hint="default" w:eastAsia="Times New Roman"/>
          <w:color w:val="auto"/>
          <w:szCs w:val="21"/>
          <w:highlight w:val="none"/>
          <w:lang w:val="en-US" w:eastAsia="zh-CN"/>
        </w:rPr>
        <w:t xml:space="preserve">4 </w:t>
      </w:r>
      <w:r>
        <w:rPr>
          <w:rFonts w:hint="eastAsia" w:eastAsia="Times New Roman"/>
          <w:color w:val="auto"/>
          <w:szCs w:val="21"/>
          <w:highlight w:val="none"/>
          <w:lang w:val="en-US" w:eastAsia="zh-CN"/>
        </w:rPr>
        <w:t>条规定进行编制和递交，递交时间以投标截止时间前最后完成上传的文件为准。</w:t>
      </w:r>
    </w:p>
    <w:p w14:paraId="4C76ED5B">
      <w:pPr>
        <w:spacing w:before="157" w:line="236" w:lineRule="auto"/>
        <w:ind w:left="25"/>
        <w:outlineLvl w:val="1"/>
        <w:rPr>
          <w:rFonts w:ascii="黑体" w:hAnsi="黑体" w:eastAsia="黑体" w:cs="黑体"/>
          <w:color w:val="auto"/>
          <w:sz w:val="28"/>
          <w:szCs w:val="28"/>
          <w:highlight w:val="none"/>
        </w:rPr>
      </w:pPr>
      <w:bookmarkStart w:id="126" w:name="bookmark60"/>
      <w:bookmarkEnd w:id="126"/>
      <w:bookmarkStart w:id="127" w:name="bookmark59"/>
      <w:bookmarkEnd w:id="127"/>
      <w:bookmarkStart w:id="128" w:name="_Toc415"/>
      <w:bookmarkStart w:id="129" w:name="_Toc22201"/>
      <w:r>
        <w:rPr>
          <w:rFonts w:eastAsia="Times New Roman"/>
          <w:color w:val="auto"/>
          <w:spacing w:val="-5"/>
          <w:sz w:val="28"/>
          <w:szCs w:val="28"/>
          <w:highlight w:val="none"/>
        </w:rPr>
        <w:t>5</w:t>
      </w:r>
      <w:r>
        <w:rPr>
          <w:rFonts w:hint="eastAsia"/>
          <w:color w:val="auto"/>
          <w:spacing w:val="-5"/>
          <w:sz w:val="28"/>
          <w:szCs w:val="28"/>
          <w:highlight w:val="none"/>
          <w:lang w:val="en-US" w:eastAsia="zh-CN"/>
        </w:rPr>
        <w:t>.</w:t>
      </w:r>
      <w:r>
        <w:rPr>
          <w:rFonts w:ascii="黑体" w:hAnsi="黑体" w:eastAsia="黑体" w:cs="黑体"/>
          <w:color w:val="auto"/>
          <w:spacing w:val="-5"/>
          <w:sz w:val="28"/>
          <w:szCs w:val="28"/>
          <w:highlight w:val="none"/>
        </w:rPr>
        <w:t>开标</w:t>
      </w:r>
      <w:bookmarkEnd w:id="128"/>
      <w:bookmarkEnd w:id="129"/>
    </w:p>
    <w:p w14:paraId="3BCE57B9">
      <w:pPr>
        <w:spacing w:before="37" w:line="220" w:lineRule="auto"/>
        <w:ind w:left="133"/>
        <w:outlineLvl w:val="2"/>
        <w:rPr>
          <w:rFonts w:ascii="黑体" w:hAnsi="黑体" w:eastAsia="黑体" w:cs="黑体"/>
          <w:color w:val="auto"/>
          <w:sz w:val="24"/>
          <w:highlight w:val="none"/>
        </w:rPr>
      </w:pPr>
      <w:bookmarkStart w:id="130" w:name="bookmark394"/>
      <w:bookmarkEnd w:id="130"/>
      <w:bookmarkStart w:id="131" w:name="_Toc11719"/>
      <w:r>
        <w:rPr>
          <w:rFonts w:ascii="黑体" w:hAnsi="黑体" w:eastAsia="黑体" w:cs="黑体"/>
          <w:color w:val="auto"/>
          <w:spacing w:val="-1"/>
          <w:sz w:val="24"/>
          <w:highlight w:val="none"/>
        </w:rPr>
        <w:t>5.1 开标时间和地点</w:t>
      </w:r>
      <w:bookmarkEnd w:id="131"/>
    </w:p>
    <w:p w14:paraId="59C357F6">
      <w:pPr>
        <w:spacing w:before="131" w:line="308" w:lineRule="auto"/>
        <w:ind w:left="23" w:right="5" w:firstLine="418"/>
        <w:rPr>
          <w:rFonts w:ascii="宋体" w:hAnsi="宋体" w:cs="宋体"/>
          <w:color w:val="auto"/>
          <w:szCs w:val="21"/>
          <w:highlight w:val="none"/>
        </w:rPr>
      </w:pPr>
      <w:r>
        <w:rPr>
          <w:rFonts w:eastAsia="Times New Roman"/>
          <w:color w:val="auto"/>
          <w:spacing w:val="-1"/>
          <w:szCs w:val="21"/>
          <w:highlight w:val="none"/>
        </w:rPr>
        <w:t xml:space="preserve">5.1.1 </w:t>
      </w:r>
      <w:r>
        <w:rPr>
          <w:rFonts w:hint="eastAsia" w:eastAsia="Times New Roman"/>
          <w:color w:val="auto"/>
          <w:spacing w:val="-1"/>
          <w:szCs w:val="21"/>
          <w:highlight w:val="none"/>
          <w:lang w:val="en-US" w:eastAsia="zh-CN"/>
        </w:rPr>
        <w:t xml:space="preserve">招标人在本章第 </w:t>
      </w:r>
      <w:r>
        <w:rPr>
          <w:rFonts w:hint="default" w:eastAsia="Times New Roman"/>
          <w:color w:val="auto"/>
          <w:spacing w:val="-1"/>
          <w:szCs w:val="21"/>
          <w:highlight w:val="none"/>
          <w:lang w:val="en-US" w:eastAsia="zh-CN"/>
        </w:rPr>
        <w:t xml:space="preserve">4.2.1 </w:t>
      </w:r>
      <w:r>
        <w:rPr>
          <w:rFonts w:hint="eastAsia" w:eastAsia="Times New Roman"/>
          <w:color w:val="auto"/>
          <w:spacing w:val="-1"/>
          <w:szCs w:val="21"/>
          <w:highlight w:val="none"/>
          <w:lang w:val="en-US" w:eastAsia="zh-CN"/>
        </w:rPr>
        <w:t>项规定的投标截止时间（开标时间）在电子招标投标系统（辽宁省工程建设项目数字化开标评标系统）上公开进行开标，所有投标人均应当参加开标。招标人按照投标人须知前附表规定的方式组织开标。</w:t>
      </w:r>
    </w:p>
    <w:p w14:paraId="3CED47CD">
      <w:pPr>
        <w:spacing w:before="116" w:line="269" w:lineRule="auto"/>
        <w:ind w:left="24" w:right="52" w:firstLine="417"/>
        <w:rPr>
          <w:rFonts w:ascii="宋体" w:hAnsi="宋体" w:cs="宋体"/>
          <w:color w:val="auto"/>
          <w:szCs w:val="21"/>
          <w:highlight w:val="none"/>
        </w:rPr>
      </w:pPr>
      <w:r>
        <w:rPr>
          <w:rFonts w:eastAsia="Times New Roman"/>
          <w:color w:val="auto"/>
          <w:spacing w:val="-2"/>
          <w:szCs w:val="21"/>
          <w:highlight w:val="none"/>
        </w:rPr>
        <w:t xml:space="preserve">5.1.2 </w:t>
      </w:r>
      <w:r>
        <w:rPr>
          <w:rFonts w:hint="eastAsia" w:eastAsia="Times New Roman"/>
          <w:color w:val="auto"/>
          <w:spacing w:val="-2"/>
          <w:szCs w:val="21"/>
          <w:highlight w:val="none"/>
          <w:lang w:val="en-US" w:eastAsia="zh-CN"/>
        </w:rPr>
        <w:t xml:space="preserve">招标人在投标人须知前附表规定的地点组织开标，并在投标截止时间 </w:t>
      </w:r>
      <w:r>
        <w:rPr>
          <w:rFonts w:hint="default" w:eastAsia="Times New Roman"/>
          <w:color w:val="auto"/>
          <w:spacing w:val="-2"/>
          <w:szCs w:val="21"/>
          <w:highlight w:val="none"/>
          <w:lang w:val="en-US" w:eastAsia="zh-CN"/>
        </w:rPr>
        <w:t xml:space="preserve">30 </w:t>
      </w:r>
      <w:r>
        <w:rPr>
          <w:rFonts w:hint="eastAsia" w:eastAsia="Times New Roman"/>
          <w:color w:val="auto"/>
          <w:spacing w:val="-2"/>
          <w:szCs w:val="21"/>
          <w:highlight w:val="none"/>
          <w:lang w:val="en-US" w:eastAsia="zh-CN"/>
        </w:rPr>
        <w:t>分钟前，登录并进入电子招标投标系统（辽宁省工程建设项目数字化开标评标系统）选择相应标段作开标的准备工作。</w:t>
      </w:r>
    </w:p>
    <w:p w14:paraId="7574E048">
      <w:pPr>
        <w:spacing w:before="1" w:line="218" w:lineRule="auto"/>
        <w:ind w:left="133"/>
        <w:outlineLvl w:val="9"/>
        <w:rPr>
          <w:rFonts w:eastAsia="Times New Roman"/>
          <w:color w:val="auto"/>
          <w:spacing w:val="11"/>
          <w:szCs w:val="21"/>
          <w:highlight w:val="none"/>
        </w:rPr>
      </w:pPr>
      <w:r>
        <w:rPr>
          <w:rFonts w:hint="eastAsia" w:eastAsia="宋体"/>
          <w:color w:val="auto"/>
          <w:spacing w:val="11"/>
          <w:szCs w:val="21"/>
          <w:highlight w:val="none"/>
          <w:lang w:val="en-US" w:eastAsia="zh-CN"/>
        </w:rPr>
        <w:t xml:space="preserve">   </w:t>
      </w:r>
      <w:r>
        <w:rPr>
          <w:rFonts w:eastAsia="Times New Roman"/>
          <w:color w:val="auto"/>
          <w:spacing w:val="11"/>
          <w:szCs w:val="21"/>
          <w:highlight w:val="none"/>
        </w:rPr>
        <w:t xml:space="preserve">5.1.3  </w:t>
      </w:r>
      <w:bookmarkStart w:id="132" w:name="bookmark61"/>
      <w:bookmarkEnd w:id="132"/>
      <w:bookmarkStart w:id="133" w:name="_Toc15449"/>
      <w:r>
        <w:rPr>
          <w:rFonts w:hint="eastAsia" w:eastAsia="Times New Roman"/>
          <w:color w:val="auto"/>
          <w:spacing w:val="11"/>
          <w:szCs w:val="21"/>
          <w:highlight w:val="none"/>
          <w:lang w:val="en-US" w:eastAsia="zh-CN"/>
        </w:rPr>
        <w:t>投标人应当在能够保证设施设备可靠、互联网畅通的任意地点，按照本章第</w:t>
      </w:r>
      <w:r>
        <w:rPr>
          <w:rFonts w:hint="default" w:eastAsia="Times New Roman"/>
          <w:color w:val="auto"/>
          <w:spacing w:val="11"/>
          <w:szCs w:val="21"/>
          <w:highlight w:val="none"/>
          <w:lang w:val="en-US" w:eastAsia="zh-CN"/>
        </w:rPr>
        <w:t xml:space="preserve">5.1.1 </w:t>
      </w:r>
      <w:r>
        <w:rPr>
          <w:rFonts w:hint="eastAsia" w:eastAsia="Times New Roman"/>
          <w:color w:val="auto"/>
          <w:spacing w:val="11"/>
          <w:szCs w:val="21"/>
          <w:highlight w:val="none"/>
          <w:lang w:val="en-US" w:eastAsia="zh-CN"/>
        </w:rPr>
        <w:t>项规定的组织方式，通过互联网远程在线或现场集中参加开标，使用加密其投标文件的数字证书（</w:t>
      </w:r>
      <w:r>
        <w:rPr>
          <w:rFonts w:hint="default" w:eastAsia="Times New Roman"/>
          <w:color w:val="auto"/>
          <w:spacing w:val="11"/>
          <w:szCs w:val="21"/>
          <w:highlight w:val="none"/>
          <w:lang w:val="en-US" w:eastAsia="zh-CN"/>
        </w:rPr>
        <w:t>CA</w:t>
      </w:r>
      <w:r>
        <w:rPr>
          <w:rFonts w:hint="eastAsia" w:eastAsia="Times New Roman"/>
          <w:color w:val="auto"/>
          <w:spacing w:val="11"/>
          <w:szCs w:val="21"/>
          <w:highlight w:val="none"/>
          <w:lang w:val="en-US" w:eastAsia="zh-CN"/>
        </w:rPr>
        <w:t>）登录电子招标投标系统（辽宁省工程建设项目数字化开标评标系统）选择所投标段进行签到，并实时关注招标人的操作情况。</w:t>
      </w:r>
    </w:p>
    <w:p w14:paraId="5DF7171E">
      <w:pPr>
        <w:spacing w:before="1" w:line="218" w:lineRule="auto"/>
        <w:ind w:left="133"/>
        <w:outlineLvl w:val="2"/>
        <w:rPr>
          <w:rFonts w:ascii="黑体" w:hAnsi="黑体" w:eastAsia="黑体" w:cs="黑体"/>
          <w:color w:val="auto"/>
          <w:sz w:val="24"/>
          <w:highlight w:val="none"/>
        </w:rPr>
      </w:pPr>
      <w:r>
        <w:rPr>
          <w:rFonts w:ascii="黑体" w:hAnsi="黑体" w:eastAsia="黑体" w:cs="黑体"/>
          <w:color w:val="auto"/>
          <w:spacing w:val="-2"/>
          <w:sz w:val="24"/>
          <w:highlight w:val="none"/>
        </w:rPr>
        <w:t>5.2开标程序</w:t>
      </w:r>
      <w:bookmarkEnd w:id="133"/>
    </w:p>
    <w:p w14:paraId="4EE9CF3E">
      <w:pPr>
        <w:keepNext w:val="0"/>
        <w:keepLines w:val="0"/>
        <w:pageBreakBefore w:val="0"/>
        <w:widowControl w:val="0"/>
        <w:kinsoku/>
        <w:wordWrap/>
        <w:overflowPunct/>
        <w:topLinePunct w:val="0"/>
        <w:autoSpaceDE/>
        <w:autoSpaceDN/>
        <w:bidi w:val="0"/>
        <w:adjustRightInd/>
        <w:snapToGrid/>
        <w:spacing w:line="360" w:lineRule="auto"/>
        <w:ind w:left="0" w:firstLine="416" w:firstLineChars="200"/>
        <w:textAlignment w:val="auto"/>
        <w:rPr>
          <w:rFonts w:ascii="宋体" w:hAnsi="宋体" w:cs="宋体"/>
          <w:color w:val="auto"/>
          <w:szCs w:val="21"/>
          <w:highlight w:val="none"/>
        </w:rPr>
      </w:pPr>
      <w:r>
        <w:rPr>
          <w:rFonts w:eastAsia="Times New Roman"/>
          <w:color w:val="auto"/>
          <w:spacing w:val="-1"/>
          <w:szCs w:val="21"/>
          <w:highlight w:val="none"/>
        </w:rPr>
        <w:t xml:space="preserve">5.2.1 </w:t>
      </w:r>
      <w:r>
        <w:rPr>
          <w:rFonts w:hint="eastAsia" w:eastAsia="Times New Roman"/>
          <w:color w:val="auto"/>
          <w:spacing w:val="-1"/>
          <w:szCs w:val="21"/>
          <w:highlight w:val="none"/>
          <w:lang w:val="en-US" w:eastAsia="zh-CN"/>
        </w:rPr>
        <w:t>主持人按下列程序在电子招标投标系统（辽宁省工程建设项目数字化开标评标系统）进行开标：</w:t>
      </w:r>
    </w:p>
    <w:p w14:paraId="729FC844">
      <w:pPr>
        <w:spacing w:before="149" w:line="234" w:lineRule="auto"/>
        <w:ind w:left="386"/>
        <w:rPr>
          <w:rFonts w:ascii="宋体" w:hAnsi="宋体" w:cs="宋体"/>
          <w:color w:val="auto"/>
          <w:spacing w:val="-2"/>
          <w:szCs w:val="21"/>
          <w:highlight w:val="none"/>
        </w:rPr>
      </w:pPr>
      <w:r>
        <w:rPr>
          <w:rFonts w:ascii="宋体" w:hAnsi="宋体" w:cs="宋体"/>
          <w:color w:val="auto"/>
          <w:spacing w:val="-2"/>
          <w:szCs w:val="21"/>
          <w:highlight w:val="none"/>
        </w:rPr>
        <w:t>（</w:t>
      </w:r>
      <w:r>
        <w:rPr>
          <w:rFonts w:eastAsia="Times New Roman"/>
          <w:color w:val="auto"/>
          <w:spacing w:val="-2"/>
          <w:szCs w:val="21"/>
          <w:highlight w:val="none"/>
        </w:rPr>
        <w:t>1</w:t>
      </w:r>
      <w:r>
        <w:rPr>
          <w:rFonts w:ascii="宋体" w:hAnsi="宋体" w:cs="宋体"/>
          <w:color w:val="auto"/>
          <w:spacing w:val="-2"/>
          <w:szCs w:val="21"/>
          <w:highlight w:val="none"/>
        </w:rPr>
        <w:t>）宣布开标纪律；</w:t>
      </w:r>
    </w:p>
    <w:p w14:paraId="01E33BF3">
      <w:pPr>
        <w:spacing w:before="149" w:line="234" w:lineRule="auto"/>
        <w:ind w:left="386"/>
        <w:rPr>
          <w:rFonts w:ascii="宋体" w:hAnsi="宋体" w:cs="宋体"/>
          <w:color w:val="auto"/>
          <w:szCs w:val="21"/>
          <w:highlight w:val="none"/>
        </w:rPr>
      </w:pPr>
      <w:r>
        <w:rPr>
          <w:rFonts w:ascii="宋体" w:hAnsi="宋体" w:cs="宋体"/>
          <w:color w:val="auto"/>
          <w:spacing w:val="-2"/>
          <w:szCs w:val="21"/>
          <w:highlight w:val="none"/>
        </w:rPr>
        <w:t>（</w:t>
      </w:r>
      <w:r>
        <w:rPr>
          <w:rFonts w:eastAsia="Times New Roman"/>
          <w:color w:val="auto"/>
          <w:spacing w:val="-2"/>
          <w:szCs w:val="21"/>
          <w:highlight w:val="none"/>
        </w:rPr>
        <w:t>2</w:t>
      </w:r>
      <w:r>
        <w:rPr>
          <w:rFonts w:ascii="宋体" w:hAnsi="宋体" w:cs="宋体"/>
          <w:color w:val="auto"/>
          <w:spacing w:val="-2"/>
          <w:szCs w:val="21"/>
          <w:highlight w:val="none"/>
        </w:rPr>
        <w:t>）公布主持人、招标人代表、监标人等有关人员姓名；</w:t>
      </w:r>
    </w:p>
    <w:p w14:paraId="517BEDAF">
      <w:pPr>
        <w:spacing w:before="132" w:line="234" w:lineRule="auto"/>
        <w:ind w:left="386"/>
        <w:rPr>
          <w:rFonts w:ascii="宋体" w:hAnsi="宋体" w:cs="宋体"/>
          <w:color w:val="auto"/>
          <w:szCs w:val="21"/>
          <w:highlight w:val="none"/>
        </w:rPr>
      </w:pPr>
      <w:r>
        <w:rPr>
          <w:rFonts w:ascii="宋体" w:hAnsi="宋体" w:cs="宋体"/>
          <w:color w:val="auto"/>
          <w:spacing w:val="-2"/>
          <w:szCs w:val="21"/>
          <w:highlight w:val="none"/>
        </w:rPr>
        <w:t>（</w:t>
      </w:r>
      <w:r>
        <w:rPr>
          <w:rFonts w:eastAsia="Times New Roman"/>
          <w:color w:val="auto"/>
          <w:spacing w:val="-2"/>
          <w:szCs w:val="21"/>
          <w:highlight w:val="none"/>
        </w:rPr>
        <w:t>3</w:t>
      </w:r>
      <w:r>
        <w:rPr>
          <w:rFonts w:ascii="宋体" w:hAnsi="宋体" w:cs="宋体"/>
          <w:color w:val="auto"/>
          <w:spacing w:val="-2"/>
          <w:szCs w:val="21"/>
          <w:highlight w:val="none"/>
        </w:rPr>
        <w:t>）公布在投标截止时间前投标文件的递交情况；</w:t>
      </w:r>
    </w:p>
    <w:p w14:paraId="50B4B67A">
      <w:pPr>
        <w:spacing w:before="134" w:line="234" w:lineRule="auto"/>
        <w:ind w:left="386"/>
        <w:rPr>
          <w:rFonts w:ascii="宋体" w:hAnsi="宋体" w:cs="宋体"/>
          <w:color w:val="auto"/>
          <w:szCs w:val="21"/>
          <w:highlight w:val="none"/>
        </w:rPr>
      </w:pPr>
      <w:r>
        <w:rPr>
          <w:rFonts w:ascii="宋体" w:hAnsi="宋体" w:cs="宋体"/>
          <w:color w:val="auto"/>
          <w:spacing w:val="-2"/>
          <w:szCs w:val="21"/>
          <w:highlight w:val="none"/>
        </w:rPr>
        <w:t>（</w:t>
      </w:r>
      <w:r>
        <w:rPr>
          <w:rFonts w:eastAsia="Times New Roman"/>
          <w:color w:val="auto"/>
          <w:spacing w:val="-2"/>
          <w:szCs w:val="21"/>
          <w:highlight w:val="none"/>
        </w:rPr>
        <w:t>4</w:t>
      </w:r>
      <w:r>
        <w:rPr>
          <w:rFonts w:ascii="宋体" w:hAnsi="宋体" w:cs="宋体"/>
          <w:color w:val="auto"/>
          <w:spacing w:val="-2"/>
          <w:szCs w:val="21"/>
          <w:highlight w:val="none"/>
        </w:rPr>
        <w:t>）公布投标保证金递交情况（对担保保函、保</w:t>
      </w:r>
      <w:r>
        <w:rPr>
          <w:rFonts w:ascii="宋体" w:hAnsi="宋体" w:cs="宋体"/>
          <w:color w:val="auto"/>
          <w:spacing w:val="-3"/>
          <w:szCs w:val="21"/>
          <w:highlight w:val="none"/>
        </w:rPr>
        <w:t>证保险进行实时验真</w:t>
      </w:r>
      <w:r>
        <w:rPr>
          <w:rFonts w:ascii="宋体" w:hAnsi="宋体" w:cs="宋体"/>
          <w:color w:val="auto"/>
          <w:spacing w:val="-30"/>
          <w:szCs w:val="21"/>
          <w:highlight w:val="none"/>
        </w:rPr>
        <w:t>）；</w:t>
      </w:r>
    </w:p>
    <w:p w14:paraId="481EDDE8">
      <w:pPr>
        <w:spacing w:before="134" w:line="234" w:lineRule="auto"/>
        <w:ind w:left="386"/>
        <w:rPr>
          <w:rFonts w:ascii="宋体" w:hAnsi="宋体" w:cs="宋体"/>
          <w:color w:val="auto"/>
          <w:szCs w:val="21"/>
          <w:highlight w:val="none"/>
        </w:rPr>
      </w:pPr>
      <w:r>
        <w:rPr>
          <w:rFonts w:ascii="宋体" w:hAnsi="宋体" w:cs="宋体"/>
          <w:color w:val="auto"/>
          <w:spacing w:val="-1"/>
          <w:szCs w:val="21"/>
          <w:highlight w:val="none"/>
        </w:rPr>
        <w:t>（</w:t>
      </w:r>
      <w:r>
        <w:rPr>
          <w:rFonts w:eastAsia="Times New Roman"/>
          <w:color w:val="auto"/>
          <w:spacing w:val="-1"/>
          <w:szCs w:val="21"/>
          <w:highlight w:val="none"/>
        </w:rPr>
        <w:t>5</w:t>
      </w:r>
      <w:r>
        <w:rPr>
          <w:rFonts w:ascii="宋体" w:hAnsi="宋体" w:cs="宋体"/>
          <w:color w:val="auto"/>
          <w:spacing w:val="-1"/>
          <w:szCs w:val="21"/>
          <w:highlight w:val="none"/>
        </w:rPr>
        <w:t>）投标人根据提示在投标人须知前附表规定的时间内解密投</w:t>
      </w:r>
      <w:r>
        <w:rPr>
          <w:rFonts w:ascii="宋体" w:hAnsi="宋体" w:cs="宋体"/>
          <w:color w:val="auto"/>
          <w:spacing w:val="-2"/>
          <w:szCs w:val="21"/>
          <w:highlight w:val="none"/>
        </w:rPr>
        <w:t>标文件；</w:t>
      </w:r>
    </w:p>
    <w:p w14:paraId="161ED491">
      <w:pPr>
        <w:spacing w:before="133" w:line="234" w:lineRule="auto"/>
        <w:ind w:left="386"/>
        <w:rPr>
          <w:rFonts w:ascii="宋体" w:hAnsi="宋体" w:cs="宋体"/>
          <w:color w:val="auto"/>
          <w:szCs w:val="21"/>
          <w:highlight w:val="none"/>
        </w:rPr>
      </w:pPr>
      <w:r>
        <w:rPr>
          <w:rFonts w:ascii="宋体" w:hAnsi="宋体" w:cs="宋体"/>
          <w:color w:val="auto"/>
          <w:spacing w:val="-3"/>
          <w:szCs w:val="21"/>
          <w:highlight w:val="none"/>
        </w:rPr>
        <w:t>（</w:t>
      </w:r>
      <w:r>
        <w:rPr>
          <w:rFonts w:eastAsia="Times New Roman"/>
          <w:color w:val="auto"/>
          <w:spacing w:val="-3"/>
          <w:szCs w:val="21"/>
          <w:highlight w:val="none"/>
        </w:rPr>
        <w:t>6</w:t>
      </w:r>
      <w:r>
        <w:rPr>
          <w:rFonts w:ascii="宋体" w:hAnsi="宋体" w:cs="宋体"/>
          <w:color w:val="auto"/>
          <w:spacing w:val="-3"/>
          <w:szCs w:val="21"/>
          <w:highlight w:val="none"/>
        </w:rPr>
        <w:t>）读取已解密的投标文件的内容；</w:t>
      </w:r>
    </w:p>
    <w:p w14:paraId="61210D96">
      <w:pPr>
        <w:spacing w:before="135" w:line="286" w:lineRule="auto"/>
        <w:ind w:left="19" w:right="187" w:firstLine="367"/>
        <w:rPr>
          <w:rFonts w:ascii="宋体" w:hAnsi="宋体" w:cs="宋体"/>
          <w:color w:val="auto"/>
          <w:szCs w:val="21"/>
          <w:highlight w:val="none"/>
        </w:rPr>
      </w:pPr>
      <w:r>
        <w:rPr>
          <w:rFonts w:ascii="宋体" w:hAnsi="宋体" w:cs="宋体"/>
          <w:color w:val="auto"/>
          <w:spacing w:val="1"/>
          <w:szCs w:val="21"/>
          <w:highlight w:val="none"/>
        </w:rPr>
        <w:t>（</w:t>
      </w:r>
      <w:r>
        <w:rPr>
          <w:rFonts w:eastAsia="Times New Roman"/>
          <w:color w:val="auto"/>
          <w:spacing w:val="1"/>
          <w:szCs w:val="21"/>
          <w:highlight w:val="none"/>
        </w:rPr>
        <w:t>7</w:t>
      </w:r>
      <w:r>
        <w:rPr>
          <w:rFonts w:ascii="宋体" w:hAnsi="宋体" w:cs="宋体"/>
          <w:color w:val="auto"/>
          <w:spacing w:val="1"/>
          <w:szCs w:val="21"/>
          <w:highlight w:val="none"/>
        </w:rPr>
        <w:t>）公布投标人名称、标段名称、投标保证金的递交情况、投标报价、项目</w:t>
      </w:r>
      <w:r>
        <w:rPr>
          <w:rFonts w:ascii="宋体" w:hAnsi="宋体" w:cs="宋体"/>
          <w:color w:val="auto"/>
          <w:szCs w:val="21"/>
          <w:highlight w:val="none"/>
        </w:rPr>
        <w:t xml:space="preserve">经理姓名 </w:t>
      </w:r>
      <w:r>
        <w:rPr>
          <w:rFonts w:ascii="宋体" w:hAnsi="宋体" w:cs="宋体"/>
          <w:color w:val="auto"/>
          <w:spacing w:val="-3"/>
          <w:szCs w:val="21"/>
          <w:highlight w:val="none"/>
        </w:rPr>
        <w:t>及其他内容，并生成开标记录；</w:t>
      </w:r>
    </w:p>
    <w:p w14:paraId="649FE0E5">
      <w:pPr>
        <w:spacing w:before="147" w:line="235" w:lineRule="auto"/>
        <w:ind w:left="386"/>
        <w:rPr>
          <w:rFonts w:ascii="宋体" w:hAnsi="宋体" w:cs="宋体"/>
          <w:color w:val="auto"/>
          <w:szCs w:val="21"/>
          <w:highlight w:val="none"/>
        </w:rPr>
      </w:pPr>
      <w:r>
        <w:rPr>
          <w:rFonts w:ascii="宋体" w:hAnsi="宋体" w:cs="宋体"/>
          <w:color w:val="auto"/>
          <w:spacing w:val="-1"/>
          <w:szCs w:val="21"/>
          <w:highlight w:val="none"/>
        </w:rPr>
        <w:t>（</w:t>
      </w:r>
      <w:r>
        <w:rPr>
          <w:rFonts w:eastAsia="Times New Roman"/>
          <w:color w:val="auto"/>
          <w:spacing w:val="-1"/>
          <w:szCs w:val="21"/>
          <w:highlight w:val="none"/>
        </w:rPr>
        <w:t>8</w:t>
      </w:r>
      <w:r>
        <w:rPr>
          <w:rFonts w:ascii="宋体" w:hAnsi="宋体" w:cs="宋体"/>
          <w:color w:val="auto"/>
          <w:spacing w:val="-1"/>
          <w:szCs w:val="21"/>
          <w:highlight w:val="none"/>
        </w:rPr>
        <w:t>）投标人对开标记录进行确认；</w:t>
      </w:r>
    </w:p>
    <w:p w14:paraId="73ACFEF4">
      <w:pPr>
        <w:spacing w:before="134" w:line="234" w:lineRule="auto"/>
        <w:ind w:left="386"/>
        <w:rPr>
          <w:rFonts w:ascii="宋体" w:hAnsi="宋体" w:cs="宋体"/>
          <w:color w:val="auto"/>
          <w:szCs w:val="21"/>
          <w:highlight w:val="none"/>
        </w:rPr>
      </w:pPr>
      <w:r>
        <w:rPr>
          <w:rFonts w:ascii="宋体" w:hAnsi="宋体" w:cs="宋体"/>
          <w:color w:val="auto"/>
          <w:spacing w:val="-2"/>
          <w:szCs w:val="21"/>
          <w:highlight w:val="none"/>
        </w:rPr>
        <w:t>（</w:t>
      </w:r>
      <w:r>
        <w:rPr>
          <w:rFonts w:eastAsia="Times New Roman"/>
          <w:color w:val="auto"/>
          <w:spacing w:val="-2"/>
          <w:szCs w:val="21"/>
          <w:highlight w:val="none"/>
        </w:rPr>
        <w:t>9</w:t>
      </w:r>
      <w:r>
        <w:rPr>
          <w:rFonts w:ascii="宋体" w:hAnsi="宋体" w:cs="宋体"/>
          <w:color w:val="auto"/>
          <w:spacing w:val="-2"/>
          <w:szCs w:val="21"/>
          <w:highlight w:val="none"/>
        </w:rPr>
        <w:t>）开标结束。</w:t>
      </w:r>
    </w:p>
    <w:p w14:paraId="22B10736">
      <w:pPr>
        <w:spacing w:before="141" w:line="308" w:lineRule="auto"/>
        <w:ind w:left="21" w:right="4" w:firstLine="360"/>
        <w:rPr>
          <w:rFonts w:ascii="宋体" w:hAnsi="宋体" w:cs="宋体"/>
          <w:color w:val="auto"/>
          <w:szCs w:val="21"/>
          <w:highlight w:val="none"/>
        </w:rPr>
      </w:pPr>
      <w:r>
        <w:rPr>
          <w:rFonts w:eastAsia="Times New Roman"/>
          <w:color w:val="auto"/>
          <w:szCs w:val="21"/>
          <w:highlight w:val="none"/>
        </w:rPr>
        <w:t xml:space="preserve">5.2.2 </w:t>
      </w:r>
      <w:r>
        <w:rPr>
          <w:rFonts w:ascii="宋体" w:hAnsi="宋体" w:cs="宋体"/>
          <w:color w:val="auto"/>
          <w:szCs w:val="21"/>
          <w:highlight w:val="none"/>
        </w:rPr>
        <w:t>生成开标记录后</w:t>
      </w:r>
      <w:r>
        <w:rPr>
          <w:rFonts w:eastAsia="Times New Roman"/>
          <w:color w:val="auto"/>
          <w:szCs w:val="21"/>
          <w:highlight w:val="none"/>
        </w:rPr>
        <w:t xml:space="preserve">10 </w:t>
      </w:r>
      <w:r>
        <w:rPr>
          <w:rFonts w:ascii="宋体" w:hAnsi="宋体" w:cs="宋体"/>
          <w:color w:val="auto"/>
          <w:szCs w:val="21"/>
          <w:highlight w:val="none"/>
        </w:rPr>
        <w:t>分钟内，</w:t>
      </w:r>
      <w:r>
        <w:rPr>
          <w:rFonts w:hint="eastAsia" w:ascii="宋体" w:hAnsi="宋体" w:cs="宋体"/>
          <w:color w:val="auto"/>
          <w:szCs w:val="21"/>
          <w:highlight w:val="none"/>
          <w:lang w:val="en-US" w:eastAsia="zh-CN"/>
        </w:rPr>
        <w:t>投标人通过电子招标投标系统（辽宁省工程建设项目数字化开标评标系统）对开标结果予以确认。未在规定时间内确认或未确认的视为对开标过程及结果无异议。</w:t>
      </w:r>
    </w:p>
    <w:p w14:paraId="5DD69D6F">
      <w:pPr>
        <w:spacing w:before="141" w:line="308" w:lineRule="auto"/>
        <w:ind w:left="21" w:right="4" w:firstLine="360"/>
        <w:rPr>
          <w:rFonts w:ascii="宋体" w:hAnsi="宋体" w:cs="宋体"/>
          <w:color w:val="auto"/>
          <w:spacing w:val="-1"/>
          <w:szCs w:val="21"/>
          <w:highlight w:val="none"/>
        </w:rPr>
      </w:pPr>
      <w:r>
        <w:rPr>
          <w:rFonts w:eastAsia="Times New Roman"/>
          <w:color w:val="auto"/>
          <w:spacing w:val="2"/>
          <w:szCs w:val="21"/>
          <w:highlight w:val="none"/>
        </w:rPr>
        <w:t xml:space="preserve">5.2.3  </w:t>
      </w:r>
      <w:r>
        <w:rPr>
          <w:rFonts w:ascii="宋体" w:hAnsi="宋体" w:cs="宋体"/>
          <w:color w:val="auto"/>
          <w:spacing w:val="2"/>
          <w:szCs w:val="21"/>
          <w:highlight w:val="none"/>
        </w:rPr>
        <w:t xml:space="preserve">在本章第 </w:t>
      </w:r>
      <w:r>
        <w:rPr>
          <w:rFonts w:eastAsia="Times New Roman"/>
          <w:color w:val="auto"/>
          <w:spacing w:val="2"/>
          <w:szCs w:val="21"/>
          <w:highlight w:val="none"/>
        </w:rPr>
        <w:t>5.2.1</w:t>
      </w:r>
      <w:r>
        <w:rPr>
          <w:rFonts w:ascii="宋体" w:hAnsi="宋体" w:cs="宋体"/>
          <w:color w:val="auto"/>
          <w:spacing w:val="2"/>
          <w:szCs w:val="21"/>
          <w:highlight w:val="none"/>
        </w:rPr>
        <w:t>（</w:t>
      </w:r>
      <w:r>
        <w:rPr>
          <w:rFonts w:eastAsia="Times New Roman"/>
          <w:color w:val="auto"/>
          <w:spacing w:val="2"/>
          <w:szCs w:val="21"/>
          <w:highlight w:val="none"/>
        </w:rPr>
        <w:t>5</w:t>
      </w:r>
      <w:r>
        <w:rPr>
          <w:rFonts w:ascii="宋体" w:hAnsi="宋体" w:cs="宋体"/>
          <w:color w:val="auto"/>
          <w:spacing w:val="2"/>
          <w:szCs w:val="21"/>
          <w:highlight w:val="none"/>
        </w:rPr>
        <w:t>）目规</w:t>
      </w:r>
      <w:r>
        <w:rPr>
          <w:rFonts w:ascii="宋体" w:hAnsi="宋体" w:cs="宋体"/>
          <w:color w:val="auto"/>
          <w:spacing w:val="1"/>
          <w:szCs w:val="21"/>
          <w:highlight w:val="none"/>
        </w:rPr>
        <w:t>定的时间内，已解密的投标文件少于三个的，</w:t>
      </w:r>
      <w:r>
        <w:rPr>
          <w:rFonts w:ascii="宋体" w:hAnsi="宋体" w:cs="宋体"/>
          <w:color w:val="auto"/>
          <w:szCs w:val="21"/>
          <w:highlight w:val="none"/>
        </w:rPr>
        <w:t>招标失败；已解密的投标文件不少于三个，开标继</w:t>
      </w:r>
      <w:r>
        <w:rPr>
          <w:rFonts w:ascii="宋体" w:hAnsi="宋体" w:cs="宋体"/>
          <w:color w:val="auto"/>
          <w:spacing w:val="-1"/>
          <w:szCs w:val="21"/>
          <w:highlight w:val="none"/>
        </w:rPr>
        <w:t>续进行。</w:t>
      </w:r>
    </w:p>
    <w:p w14:paraId="3BDC6830">
      <w:pPr>
        <w:spacing w:before="141" w:line="308" w:lineRule="auto"/>
        <w:ind w:left="21" w:right="4" w:firstLine="360"/>
        <w:rPr>
          <w:rFonts w:hint="eastAsia" w:ascii="宋体" w:hAnsi="宋体" w:cs="宋体"/>
          <w:color w:val="auto"/>
          <w:spacing w:val="-1"/>
          <w:szCs w:val="21"/>
          <w:highlight w:val="none"/>
          <w:lang w:val="en-US" w:eastAsia="zh-CN"/>
        </w:rPr>
      </w:pPr>
      <w:r>
        <w:rPr>
          <w:rFonts w:hint="eastAsia" w:ascii="宋体" w:hAnsi="宋体" w:cs="宋体"/>
          <w:color w:val="auto"/>
          <w:spacing w:val="-1"/>
          <w:szCs w:val="21"/>
          <w:highlight w:val="none"/>
          <w:lang w:val="en-US" w:eastAsia="zh-CN"/>
        </w:rPr>
        <w:t>因投标人原因（如数字证书（</w:t>
      </w:r>
      <w:r>
        <w:rPr>
          <w:rFonts w:hint="default" w:ascii="宋体" w:hAnsi="宋体" w:cs="宋体"/>
          <w:color w:val="auto"/>
          <w:spacing w:val="-1"/>
          <w:szCs w:val="21"/>
          <w:highlight w:val="none"/>
          <w:lang w:val="en-US" w:eastAsia="zh-CN"/>
        </w:rPr>
        <w:t>CA</w:t>
      </w:r>
      <w:r>
        <w:rPr>
          <w:rFonts w:hint="eastAsia" w:ascii="宋体" w:hAnsi="宋体" w:cs="宋体"/>
          <w:color w:val="auto"/>
          <w:spacing w:val="-1"/>
          <w:szCs w:val="21"/>
          <w:highlight w:val="none"/>
          <w:lang w:val="en-US" w:eastAsia="zh-CN"/>
        </w:rPr>
        <w:t>）损坏或密码丢失或输入错误、投标人自身网络中断等非开标系统原因）造成投标文件未解密的，视为投标人撤回投标文件。</w:t>
      </w:r>
    </w:p>
    <w:p w14:paraId="7FB104A0">
      <w:pPr>
        <w:spacing w:before="141" w:line="308" w:lineRule="auto"/>
        <w:ind w:left="21" w:right="4" w:firstLine="360"/>
        <w:rPr>
          <w:rFonts w:ascii="宋体" w:hAnsi="宋体" w:cs="宋体"/>
          <w:color w:val="auto"/>
          <w:spacing w:val="-1"/>
          <w:szCs w:val="21"/>
          <w:highlight w:val="none"/>
        </w:rPr>
      </w:pPr>
      <w:r>
        <w:rPr>
          <w:rFonts w:hint="eastAsia" w:ascii="宋体" w:hAnsi="宋体" w:cs="宋体"/>
          <w:color w:val="auto"/>
          <w:spacing w:val="-1"/>
          <w:szCs w:val="21"/>
          <w:highlight w:val="none"/>
          <w:lang w:val="en-US" w:eastAsia="zh-CN"/>
        </w:rPr>
        <w:t>因投标人之外原因，如因网络、开标系统故障等非投标人自身原因，招标代理机构工作人员应及时将情况反馈到交易平台运营单位、项目监管部门以及相关技术服务单位，在监管部门指导下将立即启动应急响应机制，积极排查和解决问题，投标人应予以配合，监管部门应根据现场实际适当延长解密时间。</w:t>
      </w:r>
    </w:p>
    <w:p w14:paraId="04510D57">
      <w:pPr>
        <w:spacing w:before="92" w:line="219" w:lineRule="auto"/>
        <w:ind w:left="133"/>
        <w:outlineLvl w:val="2"/>
        <w:rPr>
          <w:rFonts w:ascii="黑体" w:hAnsi="黑体" w:eastAsia="黑体" w:cs="黑体"/>
          <w:color w:val="auto"/>
          <w:sz w:val="24"/>
          <w:highlight w:val="none"/>
        </w:rPr>
      </w:pPr>
      <w:bookmarkStart w:id="134" w:name="bookmark62"/>
      <w:bookmarkEnd w:id="134"/>
      <w:bookmarkStart w:id="135" w:name="_Toc1906"/>
      <w:r>
        <w:rPr>
          <w:rFonts w:ascii="黑体" w:hAnsi="黑体" w:eastAsia="黑体" w:cs="黑体"/>
          <w:color w:val="auto"/>
          <w:spacing w:val="-2"/>
          <w:sz w:val="24"/>
          <w:highlight w:val="none"/>
        </w:rPr>
        <w:t>5.3开标异议</w:t>
      </w:r>
      <w:bookmarkEnd w:id="135"/>
    </w:p>
    <w:p w14:paraId="19732815">
      <w:pPr>
        <w:spacing w:before="134" w:line="350" w:lineRule="auto"/>
        <w:ind w:left="23" w:right="157" w:firstLine="358"/>
        <w:rPr>
          <w:rFonts w:ascii="宋体" w:hAnsi="宋体" w:cs="宋体"/>
          <w:color w:val="auto"/>
          <w:szCs w:val="21"/>
          <w:highlight w:val="none"/>
        </w:rPr>
      </w:pPr>
      <w:r>
        <w:rPr>
          <w:rFonts w:eastAsia="Times New Roman"/>
          <w:color w:val="auto"/>
          <w:spacing w:val="2"/>
          <w:szCs w:val="21"/>
          <w:highlight w:val="none"/>
        </w:rPr>
        <w:t xml:space="preserve">5.3.1  </w:t>
      </w:r>
      <w:r>
        <w:rPr>
          <w:rFonts w:ascii="宋体" w:hAnsi="宋体" w:cs="宋体"/>
          <w:color w:val="auto"/>
          <w:spacing w:val="2"/>
          <w:szCs w:val="21"/>
          <w:highlight w:val="none"/>
        </w:rPr>
        <w:t>投标人对开标有异议的，应</w:t>
      </w:r>
      <w:r>
        <w:rPr>
          <w:rFonts w:ascii="宋体" w:hAnsi="宋体" w:cs="宋体"/>
          <w:color w:val="auto"/>
          <w:spacing w:val="1"/>
          <w:szCs w:val="21"/>
          <w:highlight w:val="none"/>
        </w:rPr>
        <w:t>当在开标过程中提出；招标人当场对异议作出答复，</w:t>
      </w:r>
      <w:r>
        <w:rPr>
          <w:rFonts w:ascii="宋体" w:hAnsi="宋体" w:cs="宋体"/>
          <w:color w:val="auto"/>
          <w:spacing w:val="3"/>
          <w:szCs w:val="21"/>
          <w:highlight w:val="none"/>
        </w:rPr>
        <w:t>并记入开标记录。异议与答复应通过</w:t>
      </w:r>
      <w:r>
        <w:rPr>
          <w:rFonts w:hint="eastAsia" w:ascii="宋体" w:hAnsi="宋体" w:cs="宋体"/>
          <w:color w:val="auto"/>
          <w:spacing w:val="3"/>
          <w:szCs w:val="21"/>
          <w:highlight w:val="none"/>
          <w:lang w:val="en-US" w:eastAsia="zh-CN"/>
        </w:rPr>
        <w:t>电子招标投标系统（辽宁省工程建设项目数字化开标评标系统）</w:t>
      </w:r>
      <w:r>
        <w:rPr>
          <w:rFonts w:ascii="宋体" w:hAnsi="宋体" w:cs="宋体"/>
          <w:color w:val="auto"/>
          <w:spacing w:val="3"/>
          <w:szCs w:val="21"/>
          <w:highlight w:val="none"/>
        </w:rPr>
        <w:t>以</w:t>
      </w:r>
      <w:r>
        <w:rPr>
          <w:rFonts w:ascii="宋体" w:hAnsi="宋体" w:cs="宋体"/>
          <w:color w:val="auto"/>
          <w:spacing w:val="2"/>
          <w:szCs w:val="21"/>
          <w:highlight w:val="none"/>
        </w:rPr>
        <w:t>书面形式进</w:t>
      </w:r>
      <w:r>
        <w:rPr>
          <w:rFonts w:ascii="宋体" w:hAnsi="宋体" w:cs="宋体"/>
          <w:color w:val="auto"/>
          <w:spacing w:val="-11"/>
          <w:szCs w:val="21"/>
          <w:highlight w:val="none"/>
        </w:rPr>
        <w:t>行。</w:t>
      </w:r>
    </w:p>
    <w:p w14:paraId="133B4B68">
      <w:pPr>
        <w:spacing w:before="6" w:line="351" w:lineRule="auto"/>
        <w:ind w:left="21" w:right="188" w:firstLine="359"/>
        <w:rPr>
          <w:rFonts w:ascii="宋体" w:hAnsi="宋体" w:cs="宋体"/>
          <w:color w:val="auto"/>
          <w:szCs w:val="21"/>
          <w:highlight w:val="none"/>
        </w:rPr>
      </w:pPr>
      <w:r>
        <w:rPr>
          <w:rFonts w:ascii="宋体" w:hAnsi="宋体" w:cs="宋体"/>
          <w:color w:val="auto"/>
          <w:spacing w:val="4"/>
          <w:szCs w:val="21"/>
          <w:highlight w:val="none"/>
        </w:rPr>
        <w:t>本处所称异议是指投标人在开标过程中对投标文件提交、投标截止时间、开</w:t>
      </w:r>
      <w:r>
        <w:rPr>
          <w:rFonts w:ascii="宋体" w:hAnsi="宋体" w:cs="宋体"/>
          <w:color w:val="auto"/>
          <w:spacing w:val="3"/>
          <w:szCs w:val="21"/>
          <w:highlight w:val="none"/>
        </w:rPr>
        <w:t>标程序、</w:t>
      </w:r>
      <w:r>
        <w:rPr>
          <w:rFonts w:ascii="宋体" w:hAnsi="宋体" w:cs="宋体"/>
          <w:color w:val="auto"/>
          <w:szCs w:val="21"/>
          <w:highlight w:val="none"/>
        </w:rPr>
        <w:t xml:space="preserve"> 开标记录以及投标人和招标人或者投标人相互</w:t>
      </w:r>
      <w:r>
        <w:rPr>
          <w:rFonts w:ascii="宋体" w:hAnsi="宋体" w:cs="宋体"/>
          <w:color w:val="auto"/>
          <w:spacing w:val="-1"/>
          <w:szCs w:val="21"/>
          <w:highlight w:val="none"/>
        </w:rPr>
        <w:t>之间存在利益冲突的情形等提出的质疑。</w:t>
      </w:r>
    </w:p>
    <w:p w14:paraId="4983CC98">
      <w:pPr>
        <w:spacing w:before="1" w:line="286" w:lineRule="auto"/>
        <w:ind w:left="22" w:firstLine="359"/>
        <w:rPr>
          <w:rFonts w:ascii="宋体" w:hAnsi="宋体" w:cs="宋体"/>
          <w:color w:val="auto"/>
          <w:szCs w:val="21"/>
          <w:highlight w:val="none"/>
        </w:rPr>
      </w:pPr>
      <w:r>
        <w:rPr>
          <w:rFonts w:eastAsia="Times New Roman"/>
          <w:color w:val="auto"/>
          <w:szCs w:val="21"/>
          <w:highlight w:val="none"/>
        </w:rPr>
        <w:t xml:space="preserve">5.3.2  </w:t>
      </w:r>
      <w:r>
        <w:rPr>
          <w:rFonts w:ascii="宋体" w:hAnsi="宋体" w:cs="宋体"/>
          <w:color w:val="auto"/>
          <w:szCs w:val="21"/>
          <w:highlight w:val="none"/>
        </w:rPr>
        <w:t>投标人异议成立的，招标人将及时采取纠正措施，或者提交评标委员会评审确认；</w:t>
      </w:r>
      <w:r>
        <w:rPr>
          <w:rFonts w:ascii="宋体" w:hAnsi="宋体" w:cs="宋体"/>
          <w:color w:val="auto"/>
          <w:spacing w:val="-1"/>
          <w:szCs w:val="21"/>
          <w:highlight w:val="none"/>
        </w:rPr>
        <w:t>投标人异议不成立的，招标人将当场给予解释说明。</w:t>
      </w:r>
    </w:p>
    <w:p w14:paraId="3C8EA10E">
      <w:pPr>
        <w:spacing w:before="148" w:line="234" w:lineRule="auto"/>
        <w:ind w:left="382"/>
        <w:rPr>
          <w:rFonts w:ascii="宋体" w:hAnsi="宋体" w:cs="宋体"/>
          <w:color w:val="auto"/>
          <w:szCs w:val="21"/>
          <w:highlight w:val="none"/>
        </w:rPr>
      </w:pPr>
      <w:r>
        <w:rPr>
          <w:rFonts w:eastAsia="Times New Roman"/>
          <w:color w:val="auto"/>
          <w:szCs w:val="21"/>
          <w:highlight w:val="none"/>
        </w:rPr>
        <w:t xml:space="preserve">5.3.3 </w:t>
      </w:r>
      <w:r>
        <w:rPr>
          <w:rFonts w:ascii="宋体" w:hAnsi="宋体" w:cs="宋体"/>
          <w:color w:val="auto"/>
          <w:szCs w:val="21"/>
          <w:highlight w:val="none"/>
        </w:rPr>
        <w:t>投标人未在开标过程中提出异议，视为异议权利灭失，不可再对开标</w:t>
      </w:r>
      <w:r>
        <w:rPr>
          <w:rFonts w:ascii="宋体" w:hAnsi="宋体" w:cs="宋体"/>
          <w:color w:val="auto"/>
          <w:spacing w:val="-1"/>
          <w:szCs w:val="21"/>
          <w:highlight w:val="none"/>
        </w:rPr>
        <w:t>提出异议。</w:t>
      </w:r>
    </w:p>
    <w:p w14:paraId="7D028276">
      <w:pPr>
        <w:spacing w:before="76" w:line="219" w:lineRule="auto"/>
        <w:ind w:left="133"/>
        <w:outlineLvl w:val="2"/>
        <w:rPr>
          <w:rFonts w:ascii="黑体" w:hAnsi="黑体" w:eastAsia="黑体" w:cs="黑体"/>
          <w:color w:val="auto"/>
          <w:sz w:val="24"/>
          <w:highlight w:val="none"/>
        </w:rPr>
      </w:pPr>
      <w:bookmarkStart w:id="136" w:name="bookmark63"/>
      <w:bookmarkEnd w:id="136"/>
      <w:bookmarkStart w:id="137" w:name="_Toc29165"/>
      <w:r>
        <w:rPr>
          <w:rFonts w:ascii="黑体" w:hAnsi="黑体" w:eastAsia="黑体" w:cs="黑体"/>
          <w:color w:val="auto"/>
          <w:spacing w:val="-1"/>
          <w:sz w:val="24"/>
          <w:highlight w:val="none"/>
        </w:rPr>
        <w:t>5.4 特殊情况的处置</w:t>
      </w:r>
      <w:bookmarkEnd w:id="137"/>
    </w:p>
    <w:p w14:paraId="3E51434D">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eastAsia="Times New Roman"/>
          <w:color w:val="auto"/>
          <w:szCs w:val="21"/>
          <w:highlight w:val="none"/>
        </w:rPr>
      </w:pPr>
      <w:r>
        <w:rPr>
          <w:rFonts w:eastAsia="Times New Roman"/>
          <w:color w:val="auto"/>
          <w:szCs w:val="21"/>
          <w:highlight w:val="none"/>
        </w:rPr>
        <w:t xml:space="preserve">5.4.1  </w:t>
      </w:r>
      <w:r>
        <w:rPr>
          <w:rFonts w:hint="eastAsia" w:eastAsia="Times New Roman"/>
          <w:color w:val="auto"/>
          <w:szCs w:val="21"/>
          <w:highlight w:val="none"/>
          <w:lang w:val="en-US" w:eastAsia="zh-CN"/>
        </w:rPr>
        <w:t xml:space="preserve">因电子招标投标系统（辽宁省工程建设项目数字化开标评标系统）故障导致无法投标的，管理部门及时通知招标人，招标人视情况决定是否顺延投标截止时间。因投标人自身原因导致无法完成投标的，由投标人自行承担后果。 </w:t>
      </w:r>
    </w:p>
    <w:p w14:paraId="7E3441B7">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eastAsia="Times New Roman"/>
          <w:color w:val="auto"/>
          <w:szCs w:val="21"/>
          <w:highlight w:val="none"/>
        </w:rPr>
      </w:pPr>
      <w:r>
        <w:rPr>
          <w:rFonts w:hint="default" w:eastAsia="Times New Roman"/>
          <w:color w:val="auto"/>
          <w:szCs w:val="21"/>
          <w:highlight w:val="none"/>
          <w:lang w:val="en-US" w:eastAsia="zh-CN"/>
        </w:rPr>
        <w:t xml:space="preserve">5.4.2 </w:t>
      </w:r>
      <w:r>
        <w:rPr>
          <w:rFonts w:hint="eastAsia" w:eastAsia="Times New Roman"/>
          <w:color w:val="auto"/>
          <w:szCs w:val="21"/>
          <w:highlight w:val="none"/>
          <w:lang w:val="en-US" w:eastAsia="zh-CN"/>
        </w:rPr>
        <w:t xml:space="preserve">因电子招标投标系统（辽宁省工程建设项目数字化开标评标系统）故障导致无法正常开标的，招标人将暂停开标，待系统恢复正常后继续开标。 </w:t>
      </w:r>
    </w:p>
    <w:p w14:paraId="4CABA209">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eastAsia="Times New Roman"/>
          <w:color w:val="auto"/>
          <w:szCs w:val="21"/>
          <w:highlight w:val="none"/>
        </w:rPr>
      </w:pPr>
      <w:r>
        <w:rPr>
          <w:rFonts w:hint="eastAsia" w:eastAsia="Times New Roman"/>
          <w:color w:val="auto"/>
          <w:szCs w:val="21"/>
          <w:highlight w:val="none"/>
          <w:lang w:val="en-US" w:eastAsia="zh-CN"/>
        </w:rPr>
        <w:t xml:space="preserve">电子招标投标系统（辽宁省工程建设项目数字化开标评标系统）技术服务单位将立即启动应急响应机制，积极排查系统故障，解决问题。 </w:t>
      </w:r>
    </w:p>
    <w:p w14:paraId="3E788682">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ascii="宋体" w:hAnsi="宋体" w:cs="宋体"/>
          <w:color w:val="auto"/>
          <w:szCs w:val="21"/>
          <w:highlight w:val="none"/>
        </w:rPr>
      </w:pPr>
      <w:r>
        <w:rPr>
          <w:rFonts w:hint="default" w:eastAsia="Times New Roman"/>
          <w:color w:val="auto"/>
          <w:szCs w:val="21"/>
          <w:highlight w:val="none"/>
          <w:lang w:val="en-US" w:eastAsia="zh-CN"/>
        </w:rPr>
        <w:t xml:space="preserve">5.4.3 </w:t>
      </w:r>
      <w:r>
        <w:rPr>
          <w:rFonts w:hint="eastAsia" w:eastAsia="Times New Roman"/>
          <w:color w:val="auto"/>
          <w:szCs w:val="21"/>
          <w:highlight w:val="none"/>
          <w:lang w:val="en-US" w:eastAsia="zh-CN"/>
        </w:rPr>
        <w:t>电子招标投标系统（辽宁省工程建设项目数字化开标评标系统）故障是指下列情形：</w:t>
      </w:r>
      <w:r>
        <w:rPr>
          <w:rFonts w:ascii="宋体" w:hAnsi="宋体" w:cs="宋体"/>
          <w:color w:val="auto"/>
          <w:spacing w:val="-1"/>
          <w:szCs w:val="21"/>
          <w:highlight w:val="none"/>
        </w:rPr>
        <w:t>：</w:t>
      </w:r>
    </w:p>
    <w:p w14:paraId="204DDB9F">
      <w:pPr>
        <w:spacing w:before="94" w:line="234" w:lineRule="auto"/>
        <w:ind w:left="446"/>
        <w:rPr>
          <w:rFonts w:ascii="宋体" w:hAnsi="宋体" w:cs="宋体"/>
          <w:color w:val="auto"/>
          <w:szCs w:val="21"/>
          <w:highlight w:val="none"/>
        </w:rPr>
      </w:pPr>
      <w:r>
        <w:rPr>
          <w:rFonts w:ascii="宋体" w:hAnsi="宋体" w:cs="宋体"/>
          <w:color w:val="auto"/>
          <w:spacing w:val="-2"/>
          <w:szCs w:val="21"/>
          <w:highlight w:val="none"/>
        </w:rPr>
        <w:t>（</w:t>
      </w:r>
      <w:r>
        <w:rPr>
          <w:rFonts w:eastAsia="Times New Roman"/>
          <w:color w:val="auto"/>
          <w:spacing w:val="-2"/>
          <w:szCs w:val="21"/>
          <w:highlight w:val="none"/>
        </w:rPr>
        <w:t>1</w:t>
      </w:r>
      <w:r>
        <w:rPr>
          <w:rFonts w:ascii="宋体" w:hAnsi="宋体" w:cs="宋体"/>
          <w:color w:val="auto"/>
          <w:spacing w:val="-2"/>
          <w:szCs w:val="21"/>
          <w:highlight w:val="none"/>
        </w:rPr>
        <w:t>）系统服务器发生故障，无法访问或无法使用系统；</w:t>
      </w:r>
    </w:p>
    <w:p w14:paraId="1188BBD9">
      <w:pPr>
        <w:spacing w:before="94" w:line="234" w:lineRule="auto"/>
        <w:ind w:left="446"/>
        <w:rPr>
          <w:rFonts w:ascii="宋体" w:hAnsi="宋体" w:cs="宋体"/>
          <w:color w:val="auto"/>
          <w:szCs w:val="21"/>
          <w:highlight w:val="none"/>
        </w:rPr>
      </w:pPr>
      <w:r>
        <w:rPr>
          <w:rFonts w:ascii="宋体" w:hAnsi="宋体" w:cs="宋体"/>
          <w:color w:val="auto"/>
          <w:spacing w:val="-2"/>
          <w:szCs w:val="21"/>
          <w:highlight w:val="none"/>
        </w:rPr>
        <w:t>（</w:t>
      </w:r>
      <w:r>
        <w:rPr>
          <w:rFonts w:eastAsia="Times New Roman"/>
          <w:color w:val="auto"/>
          <w:spacing w:val="-2"/>
          <w:szCs w:val="21"/>
          <w:highlight w:val="none"/>
        </w:rPr>
        <w:t>2</w:t>
      </w:r>
      <w:r>
        <w:rPr>
          <w:rFonts w:ascii="宋体" w:hAnsi="宋体" w:cs="宋体"/>
          <w:color w:val="auto"/>
          <w:spacing w:val="-2"/>
          <w:szCs w:val="21"/>
          <w:highlight w:val="none"/>
        </w:rPr>
        <w:t>）系统的软件或数据库出现错误，不能进行正常操作；</w:t>
      </w:r>
    </w:p>
    <w:p w14:paraId="4DD5451D">
      <w:pPr>
        <w:spacing w:before="94" w:line="235" w:lineRule="auto"/>
        <w:ind w:left="446"/>
        <w:rPr>
          <w:rFonts w:ascii="宋体" w:hAnsi="宋体" w:cs="宋体"/>
          <w:color w:val="auto"/>
          <w:szCs w:val="21"/>
          <w:highlight w:val="none"/>
        </w:rPr>
      </w:pPr>
      <w:r>
        <w:rPr>
          <w:rFonts w:ascii="宋体" w:hAnsi="宋体" w:cs="宋体"/>
          <w:color w:val="auto"/>
          <w:spacing w:val="-1"/>
          <w:szCs w:val="21"/>
          <w:highlight w:val="none"/>
        </w:rPr>
        <w:t>（</w:t>
      </w:r>
      <w:r>
        <w:rPr>
          <w:rFonts w:eastAsia="Times New Roman"/>
          <w:color w:val="auto"/>
          <w:spacing w:val="-1"/>
          <w:szCs w:val="21"/>
          <w:highlight w:val="none"/>
        </w:rPr>
        <w:t>3</w:t>
      </w:r>
      <w:r>
        <w:rPr>
          <w:rFonts w:ascii="宋体" w:hAnsi="宋体" w:cs="宋体"/>
          <w:color w:val="auto"/>
          <w:spacing w:val="-1"/>
          <w:szCs w:val="21"/>
          <w:highlight w:val="none"/>
        </w:rPr>
        <w:t>）系统发现有安全漏洞，有潜在的泄密危险；</w:t>
      </w:r>
    </w:p>
    <w:p w14:paraId="0DB4C5F3">
      <w:pPr>
        <w:spacing w:before="116" w:line="234" w:lineRule="auto"/>
        <w:ind w:left="446"/>
        <w:rPr>
          <w:rFonts w:ascii="宋体" w:hAnsi="宋体" w:cs="宋体"/>
          <w:color w:val="auto"/>
          <w:spacing w:val="-1"/>
          <w:szCs w:val="21"/>
          <w:highlight w:val="none"/>
        </w:rPr>
      </w:pPr>
      <w:r>
        <w:rPr>
          <w:rFonts w:ascii="宋体" w:hAnsi="宋体" w:cs="宋体"/>
          <w:color w:val="auto"/>
          <w:spacing w:val="-1"/>
          <w:szCs w:val="21"/>
          <w:highlight w:val="none"/>
        </w:rPr>
        <w:t>（</w:t>
      </w:r>
      <w:r>
        <w:rPr>
          <w:rFonts w:eastAsia="Times New Roman"/>
          <w:color w:val="auto"/>
          <w:spacing w:val="-1"/>
          <w:szCs w:val="21"/>
          <w:highlight w:val="none"/>
        </w:rPr>
        <w:t>4</w:t>
      </w:r>
      <w:r>
        <w:rPr>
          <w:rFonts w:ascii="宋体" w:hAnsi="宋体" w:cs="宋体"/>
          <w:color w:val="auto"/>
          <w:spacing w:val="-1"/>
          <w:szCs w:val="21"/>
          <w:highlight w:val="none"/>
        </w:rPr>
        <w:t>）系统出现网络攻击；</w:t>
      </w:r>
    </w:p>
    <w:p w14:paraId="1B5CA453">
      <w:pPr>
        <w:spacing w:before="116" w:line="234" w:lineRule="auto"/>
        <w:ind w:left="446"/>
        <w:rPr>
          <w:rFonts w:ascii="宋体" w:hAnsi="宋体" w:cs="宋体"/>
          <w:color w:val="auto"/>
          <w:szCs w:val="21"/>
          <w:highlight w:val="none"/>
        </w:rPr>
      </w:pPr>
      <w:r>
        <w:rPr>
          <w:rFonts w:ascii="宋体" w:hAnsi="宋体" w:cs="宋体"/>
          <w:color w:val="auto"/>
          <w:spacing w:val="-1"/>
          <w:szCs w:val="21"/>
          <w:highlight w:val="none"/>
        </w:rPr>
        <w:t>（</w:t>
      </w:r>
      <w:r>
        <w:rPr>
          <w:rFonts w:eastAsia="Times New Roman"/>
          <w:color w:val="auto"/>
          <w:spacing w:val="-1"/>
          <w:szCs w:val="21"/>
          <w:highlight w:val="none"/>
        </w:rPr>
        <w:t>5</w:t>
      </w:r>
      <w:r>
        <w:rPr>
          <w:rFonts w:ascii="宋体" w:hAnsi="宋体" w:cs="宋体"/>
          <w:color w:val="auto"/>
          <w:spacing w:val="-1"/>
          <w:szCs w:val="21"/>
          <w:highlight w:val="none"/>
        </w:rPr>
        <w:t>）出现断电、断网事故；</w:t>
      </w:r>
    </w:p>
    <w:p w14:paraId="6A6B92EE">
      <w:pPr>
        <w:spacing w:before="93" w:line="234" w:lineRule="auto"/>
        <w:ind w:left="446"/>
        <w:rPr>
          <w:rFonts w:ascii="宋体" w:hAnsi="宋体" w:cs="宋体"/>
          <w:color w:val="auto"/>
          <w:szCs w:val="21"/>
          <w:highlight w:val="none"/>
        </w:rPr>
      </w:pPr>
      <w:r>
        <w:rPr>
          <w:rFonts w:ascii="宋体" w:hAnsi="宋体" w:cs="宋体"/>
          <w:color w:val="auto"/>
          <w:spacing w:val="-3"/>
          <w:szCs w:val="21"/>
          <w:highlight w:val="none"/>
        </w:rPr>
        <w:t>（</w:t>
      </w:r>
      <w:r>
        <w:rPr>
          <w:rFonts w:eastAsia="Times New Roman"/>
          <w:color w:val="auto"/>
          <w:spacing w:val="-3"/>
          <w:szCs w:val="21"/>
          <w:highlight w:val="none"/>
        </w:rPr>
        <w:t>6</w:t>
      </w:r>
      <w:r>
        <w:rPr>
          <w:rFonts w:ascii="宋体" w:hAnsi="宋体" w:cs="宋体"/>
          <w:color w:val="auto"/>
          <w:spacing w:val="-3"/>
          <w:szCs w:val="21"/>
          <w:highlight w:val="none"/>
        </w:rPr>
        <w:t>）出现法定不可抗力因素；</w:t>
      </w:r>
    </w:p>
    <w:p w14:paraId="57917835">
      <w:pPr>
        <w:spacing w:before="93" w:line="235" w:lineRule="auto"/>
        <w:ind w:left="446"/>
        <w:rPr>
          <w:rFonts w:ascii="宋体" w:hAnsi="宋体" w:cs="宋体"/>
          <w:color w:val="auto"/>
          <w:szCs w:val="21"/>
          <w:highlight w:val="none"/>
        </w:rPr>
      </w:pPr>
      <w:r>
        <w:rPr>
          <w:rFonts w:ascii="宋体" w:hAnsi="宋体" w:cs="宋体"/>
          <w:color w:val="auto"/>
          <w:spacing w:val="-1"/>
          <w:szCs w:val="21"/>
          <w:highlight w:val="none"/>
        </w:rPr>
        <w:t>（</w:t>
      </w:r>
      <w:r>
        <w:rPr>
          <w:rFonts w:eastAsia="Times New Roman"/>
          <w:color w:val="auto"/>
          <w:spacing w:val="-1"/>
          <w:szCs w:val="21"/>
          <w:highlight w:val="none"/>
        </w:rPr>
        <w:t>7</w:t>
      </w:r>
      <w:r>
        <w:rPr>
          <w:rFonts w:ascii="宋体" w:hAnsi="宋体" w:cs="宋体"/>
          <w:color w:val="auto"/>
          <w:spacing w:val="-1"/>
          <w:szCs w:val="21"/>
          <w:highlight w:val="none"/>
        </w:rPr>
        <w:t>）其他无法保证招投标过程正常进行的情形。</w:t>
      </w:r>
    </w:p>
    <w:p w14:paraId="18C75A8E">
      <w:pPr>
        <w:spacing w:before="133" w:line="233" w:lineRule="auto"/>
        <w:ind w:left="24"/>
        <w:outlineLvl w:val="1"/>
        <w:rPr>
          <w:rFonts w:ascii="黑体" w:hAnsi="黑体" w:eastAsia="黑体" w:cs="黑体"/>
          <w:color w:val="auto"/>
          <w:sz w:val="28"/>
          <w:szCs w:val="28"/>
          <w:highlight w:val="none"/>
        </w:rPr>
      </w:pPr>
      <w:bookmarkStart w:id="138" w:name="bookmark65"/>
      <w:bookmarkEnd w:id="138"/>
      <w:bookmarkStart w:id="139" w:name="bookmark64"/>
      <w:bookmarkEnd w:id="139"/>
      <w:bookmarkStart w:id="140" w:name="_Toc32412"/>
      <w:bookmarkStart w:id="141" w:name="_Toc23388"/>
      <w:r>
        <w:rPr>
          <w:rFonts w:eastAsia="Times New Roman"/>
          <w:color w:val="auto"/>
          <w:spacing w:val="-4"/>
          <w:sz w:val="28"/>
          <w:szCs w:val="28"/>
          <w:highlight w:val="none"/>
        </w:rPr>
        <w:t>6</w:t>
      </w:r>
      <w:r>
        <w:rPr>
          <w:rFonts w:hint="eastAsia"/>
          <w:color w:val="auto"/>
          <w:spacing w:val="-4"/>
          <w:sz w:val="28"/>
          <w:szCs w:val="28"/>
          <w:highlight w:val="none"/>
          <w:lang w:val="en-US" w:eastAsia="zh-CN"/>
        </w:rPr>
        <w:t>.</w:t>
      </w:r>
      <w:r>
        <w:rPr>
          <w:rFonts w:ascii="黑体" w:hAnsi="黑体" w:eastAsia="黑体" w:cs="黑体"/>
          <w:color w:val="auto"/>
          <w:spacing w:val="-4"/>
          <w:sz w:val="28"/>
          <w:szCs w:val="28"/>
          <w:highlight w:val="none"/>
        </w:rPr>
        <w:t>评标</w:t>
      </w:r>
      <w:bookmarkEnd w:id="140"/>
      <w:bookmarkEnd w:id="141"/>
    </w:p>
    <w:p w14:paraId="27B3D2C5">
      <w:pPr>
        <w:spacing w:before="41" w:line="218" w:lineRule="auto"/>
        <w:ind w:left="138"/>
        <w:outlineLvl w:val="2"/>
        <w:rPr>
          <w:rFonts w:ascii="黑体" w:hAnsi="黑体" w:eastAsia="黑体" w:cs="黑体"/>
          <w:color w:val="auto"/>
          <w:sz w:val="24"/>
          <w:highlight w:val="none"/>
        </w:rPr>
      </w:pPr>
      <w:bookmarkStart w:id="142" w:name="bookmark395"/>
      <w:bookmarkEnd w:id="142"/>
      <w:bookmarkStart w:id="143" w:name="_Toc9694"/>
      <w:r>
        <w:rPr>
          <w:rFonts w:ascii="黑体" w:hAnsi="黑体" w:eastAsia="黑体" w:cs="黑体"/>
          <w:color w:val="auto"/>
          <w:spacing w:val="-1"/>
          <w:sz w:val="24"/>
          <w:highlight w:val="none"/>
        </w:rPr>
        <w:t>6.1 评标委员会</w:t>
      </w:r>
      <w:bookmarkEnd w:id="143"/>
    </w:p>
    <w:p w14:paraId="35EA2D8B">
      <w:pPr>
        <w:spacing w:before="133" w:line="308" w:lineRule="auto"/>
        <w:ind w:left="19" w:right="5" w:firstLine="421"/>
        <w:rPr>
          <w:rFonts w:ascii="宋体" w:hAnsi="宋体" w:cs="宋体"/>
          <w:color w:val="auto"/>
          <w:szCs w:val="21"/>
          <w:highlight w:val="none"/>
        </w:rPr>
      </w:pPr>
      <w:r>
        <w:rPr>
          <w:rFonts w:eastAsia="Times New Roman"/>
          <w:color w:val="auto"/>
          <w:szCs w:val="21"/>
          <w:highlight w:val="none"/>
        </w:rPr>
        <w:t xml:space="preserve">6.1.1  </w:t>
      </w:r>
      <w:r>
        <w:rPr>
          <w:rFonts w:ascii="宋体" w:hAnsi="宋体" w:cs="宋体"/>
          <w:color w:val="auto"/>
          <w:szCs w:val="21"/>
          <w:highlight w:val="none"/>
        </w:rPr>
        <w:t>评标由招标人依法组建的评标委员会负责。评标委员会由招标人或其委托的招标</w:t>
      </w:r>
      <w:r>
        <w:rPr>
          <w:rFonts w:ascii="宋体" w:hAnsi="宋体" w:cs="宋体"/>
          <w:color w:val="auto"/>
          <w:spacing w:val="3"/>
          <w:szCs w:val="21"/>
          <w:highlight w:val="none"/>
        </w:rPr>
        <w:t>代理机构熟悉相关业务的代表，以及有关技术、经济等方面的专家组成。评标委员会</w:t>
      </w:r>
      <w:r>
        <w:rPr>
          <w:rFonts w:ascii="宋体" w:hAnsi="宋体" w:cs="宋体"/>
          <w:color w:val="auto"/>
          <w:spacing w:val="2"/>
          <w:szCs w:val="21"/>
          <w:highlight w:val="none"/>
        </w:rPr>
        <w:t>成员</w:t>
      </w:r>
      <w:r>
        <w:rPr>
          <w:rFonts w:ascii="宋体" w:hAnsi="宋体" w:cs="宋体"/>
          <w:color w:val="auto"/>
          <w:spacing w:val="-1"/>
          <w:szCs w:val="21"/>
          <w:highlight w:val="none"/>
        </w:rPr>
        <w:t>人数以及技术、经济等方面专家的确定方式见投标人须知前附表。</w:t>
      </w:r>
    </w:p>
    <w:p w14:paraId="6A4E6D99">
      <w:pPr>
        <w:spacing w:before="149" w:line="234" w:lineRule="auto"/>
        <w:ind w:left="441"/>
        <w:rPr>
          <w:rFonts w:ascii="宋体" w:hAnsi="宋体" w:cs="宋体"/>
          <w:color w:val="auto"/>
          <w:szCs w:val="21"/>
          <w:highlight w:val="none"/>
        </w:rPr>
      </w:pPr>
      <w:r>
        <w:rPr>
          <w:rFonts w:eastAsia="Times New Roman"/>
          <w:color w:val="auto"/>
          <w:szCs w:val="21"/>
          <w:highlight w:val="none"/>
        </w:rPr>
        <w:t xml:space="preserve">6.1.2  </w:t>
      </w:r>
      <w:r>
        <w:rPr>
          <w:rFonts w:ascii="宋体" w:hAnsi="宋体" w:cs="宋体"/>
          <w:color w:val="auto"/>
          <w:szCs w:val="21"/>
          <w:highlight w:val="none"/>
        </w:rPr>
        <w:t>评标委员会成员有下列情形之一</w:t>
      </w:r>
      <w:r>
        <w:rPr>
          <w:rFonts w:ascii="宋体" w:hAnsi="宋体" w:cs="宋体"/>
          <w:color w:val="auto"/>
          <w:spacing w:val="-1"/>
          <w:szCs w:val="21"/>
          <w:highlight w:val="none"/>
        </w:rPr>
        <w:t>的，应当回避：</w:t>
      </w:r>
    </w:p>
    <w:p w14:paraId="43D1C4F3">
      <w:pPr>
        <w:spacing w:before="136" w:line="234" w:lineRule="auto"/>
        <w:ind w:left="744"/>
        <w:rPr>
          <w:rFonts w:ascii="宋体" w:hAnsi="宋体" w:cs="宋体"/>
          <w:color w:val="auto"/>
          <w:szCs w:val="21"/>
          <w:highlight w:val="none"/>
        </w:rPr>
      </w:pPr>
      <w:r>
        <w:rPr>
          <w:rFonts w:ascii="宋体" w:hAnsi="宋体" w:cs="宋体"/>
          <w:color w:val="auto"/>
          <w:spacing w:val="-1"/>
          <w:szCs w:val="21"/>
          <w:highlight w:val="none"/>
        </w:rPr>
        <w:t>（</w:t>
      </w:r>
      <w:r>
        <w:rPr>
          <w:rFonts w:eastAsia="Times New Roman"/>
          <w:color w:val="auto"/>
          <w:spacing w:val="-1"/>
          <w:szCs w:val="21"/>
          <w:highlight w:val="none"/>
        </w:rPr>
        <w:t>1</w:t>
      </w:r>
      <w:r>
        <w:rPr>
          <w:rFonts w:ascii="宋体" w:hAnsi="宋体" w:cs="宋体"/>
          <w:color w:val="auto"/>
          <w:spacing w:val="-1"/>
          <w:szCs w:val="21"/>
          <w:highlight w:val="none"/>
        </w:rPr>
        <w:t>）投标人或投标人主要负责人的近亲属；</w:t>
      </w:r>
    </w:p>
    <w:p w14:paraId="69E78132">
      <w:pPr>
        <w:spacing w:before="134" w:line="234" w:lineRule="auto"/>
        <w:ind w:left="744"/>
        <w:rPr>
          <w:rFonts w:ascii="宋体" w:hAnsi="宋体" w:cs="宋体"/>
          <w:color w:val="auto"/>
          <w:szCs w:val="21"/>
          <w:highlight w:val="none"/>
        </w:rPr>
      </w:pPr>
      <w:r>
        <w:rPr>
          <w:rFonts w:ascii="宋体" w:hAnsi="宋体" w:cs="宋体"/>
          <w:color w:val="auto"/>
          <w:spacing w:val="-2"/>
          <w:szCs w:val="21"/>
          <w:highlight w:val="none"/>
        </w:rPr>
        <w:t>（</w:t>
      </w:r>
      <w:r>
        <w:rPr>
          <w:rFonts w:eastAsia="Times New Roman"/>
          <w:color w:val="auto"/>
          <w:spacing w:val="-2"/>
          <w:szCs w:val="21"/>
          <w:highlight w:val="none"/>
        </w:rPr>
        <w:t>2</w:t>
      </w:r>
      <w:r>
        <w:rPr>
          <w:rFonts w:ascii="宋体" w:hAnsi="宋体" w:cs="宋体"/>
          <w:color w:val="auto"/>
          <w:spacing w:val="-2"/>
          <w:szCs w:val="21"/>
          <w:highlight w:val="none"/>
        </w:rPr>
        <w:t>）项目主管部门或者行政监督部门的人员；</w:t>
      </w:r>
    </w:p>
    <w:p w14:paraId="26BA69D5">
      <w:pPr>
        <w:spacing w:before="132" w:line="235" w:lineRule="auto"/>
        <w:ind w:left="744"/>
        <w:rPr>
          <w:rFonts w:ascii="宋体" w:hAnsi="宋体" w:cs="宋体"/>
          <w:color w:val="auto"/>
          <w:szCs w:val="21"/>
          <w:highlight w:val="none"/>
        </w:rPr>
      </w:pPr>
      <w:r>
        <w:rPr>
          <w:rFonts w:ascii="宋体" w:hAnsi="宋体" w:cs="宋体"/>
          <w:color w:val="auto"/>
          <w:spacing w:val="-1"/>
          <w:szCs w:val="21"/>
          <w:highlight w:val="none"/>
        </w:rPr>
        <w:t>（</w:t>
      </w:r>
      <w:r>
        <w:rPr>
          <w:rFonts w:eastAsia="Times New Roman"/>
          <w:color w:val="auto"/>
          <w:spacing w:val="-1"/>
          <w:szCs w:val="21"/>
          <w:highlight w:val="none"/>
        </w:rPr>
        <w:t>3</w:t>
      </w:r>
      <w:r>
        <w:rPr>
          <w:rFonts w:ascii="宋体" w:hAnsi="宋体" w:cs="宋体"/>
          <w:color w:val="auto"/>
          <w:spacing w:val="-1"/>
          <w:szCs w:val="21"/>
          <w:highlight w:val="none"/>
        </w:rPr>
        <w:t>）与投标人有经济利益关系，可能影响对</w:t>
      </w:r>
      <w:r>
        <w:rPr>
          <w:rFonts w:ascii="宋体" w:hAnsi="宋体" w:cs="宋体"/>
          <w:color w:val="auto"/>
          <w:spacing w:val="-2"/>
          <w:szCs w:val="21"/>
          <w:highlight w:val="none"/>
        </w:rPr>
        <w:t>投标公正评审的；</w:t>
      </w:r>
    </w:p>
    <w:p w14:paraId="0D2D7161">
      <w:pPr>
        <w:keepNext w:val="0"/>
        <w:keepLines w:val="0"/>
        <w:pageBreakBefore w:val="0"/>
        <w:widowControl w:val="0"/>
        <w:kinsoku/>
        <w:wordWrap/>
        <w:overflowPunct/>
        <w:topLinePunct w:val="0"/>
        <w:autoSpaceDE/>
        <w:autoSpaceDN/>
        <w:bidi w:val="0"/>
        <w:adjustRightInd/>
        <w:snapToGrid/>
        <w:spacing w:line="360" w:lineRule="auto"/>
        <w:ind w:left="0" w:firstLine="749" w:firstLineChars="350"/>
        <w:textAlignment w:val="auto"/>
        <w:rPr>
          <w:rFonts w:ascii="宋体" w:hAnsi="宋体" w:cs="宋体"/>
          <w:color w:val="auto"/>
          <w:szCs w:val="21"/>
          <w:highlight w:val="none"/>
        </w:rPr>
      </w:pPr>
      <w:r>
        <w:rPr>
          <w:rFonts w:ascii="宋体" w:hAnsi="宋体" w:cs="宋体"/>
          <w:color w:val="auto"/>
          <w:spacing w:val="2"/>
          <w:szCs w:val="21"/>
          <w:highlight w:val="none"/>
        </w:rPr>
        <w:t>（</w:t>
      </w:r>
      <w:r>
        <w:rPr>
          <w:rFonts w:eastAsia="Times New Roman"/>
          <w:color w:val="auto"/>
          <w:spacing w:val="2"/>
          <w:szCs w:val="21"/>
          <w:highlight w:val="none"/>
        </w:rPr>
        <w:t>4</w:t>
      </w:r>
      <w:r>
        <w:rPr>
          <w:rFonts w:ascii="宋体" w:hAnsi="宋体" w:cs="宋体"/>
          <w:color w:val="auto"/>
          <w:spacing w:val="2"/>
          <w:szCs w:val="21"/>
          <w:highlight w:val="none"/>
        </w:rPr>
        <w:t>）曾因在招标、评标以及其他与招标投标有关活动中从事违法行为而</w:t>
      </w:r>
      <w:r>
        <w:rPr>
          <w:rFonts w:ascii="宋体" w:hAnsi="宋体" w:cs="宋体"/>
          <w:color w:val="auto"/>
          <w:spacing w:val="1"/>
          <w:szCs w:val="21"/>
          <w:highlight w:val="none"/>
        </w:rPr>
        <w:t>受过行政</w:t>
      </w:r>
      <w:r>
        <w:rPr>
          <w:rFonts w:ascii="宋体" w:hAnsi="宋体" w:cs="宋体"/>
          <w:color w:val="auto"/>
          <w:spacing w:val="-4"/>
          <w:szCs w:val="21"/>
          <w:highlight w:val="none"/>
        </w:rPr>
        <w:t>处罚或刑事处罚的</w:t>
      </w:r>
      <w:r>
        <w:rPr>
          <w:rFonts w:hint="eastAsia" w:ascii="宋体" w:hAnsi="宋体" w:cs="宋体"/>
          <w:color w:val="auto"/>
          <w:spacing w:val="-4"/>
          <w:szCs w:val="21"/>
          <w:highlight w:val="none"/>
          <w:lang w:eastAsia="zh-CN"/>
        </w:rPr>
        <w:t>。</w:t>
      </w:r>
    </w:p>
    <w:p w14:paraId="5DD3BA24">
      <w:pPr>
        <w:spacing w:before="1" w:line="218" w:lineRule="auto"/>
        <w:ind w:left="138"/>
        <w:outlineLvl w:val="2"/>
        <w:rPr>
          <w:rFonts w:ascii="黑体" w:hAnsi="黑体" w:eastAsia="黑体" w:cs="黑体"/>
          <w:color w:val="auto"/>
          <w:sz w:val="24"/>
          <w:highlight w:val="none"/>
        </w:rPr>
      </w:pPr>
      <w:bookmarkStart w:id="144" w:name="bookmark66"/>
      <w:bookmarkEnd w:id="144"/>
      <w:bookmarkStart w:id="145" w:name="_Toc29469"/>
      <w:r>
        <w:rPr>
          <w:rFonts w:ascii="黑体" w:hAnsi="黑体" w:eastAsia="黑体" w:cs="黑体"/>
          <w:color w:val="auto"/>
          <w:spacing w:val="-1"/>
          <w:sz w:val="24"/>
          <w:highlight w:val="none"/>
        </w:rPr>
        <w:t>6.2 评标原则</w:t>
      </w:r>
      <w:bookmarkEnd w:id="145"/>
    </w:p>
    <w:p w14:paraId="60A44122">
      <w:pPr>
        <w:spacing w:before="134" w:line="220" w:lineRule="auto"/>
        <w:ind w:left="439"/>
        <w:rPr>
          <w:rFonts w:ascii="宋体" w:hAnsi="宋体" w:cs="宋体"/>
          <w:color w:val="auto"/>
          <w:szCs w:val="21"/>
          <w:highlight w:val="none"/>
        </w:rPr>
      </w:pPr>
      <w:r>
        <w:rPr>
          <w:rFonts w:ascii="宋体" w:hAnsi="宋体" w:cs="宋体"/>
          <w:color w:val="auto"/>
          <w:spacing w:val="-1"/>
          <w:szCs w:val="21"/>
          <w:highlight w:val="none"/>
        </w:rPr>
        <w:t>评标活动遵循公平、公正、科学和择优的原则。</w:t>
      </w:r>
    </w:p>
    <w:p w14:paraId="7E1222AF">
      <w:pPr>
        <w:spacing w:before="92" w:line="219" w:lineRule="auto"/>
        <w:ind w:left="138"/>
        <w:outlineLvl w:val="2"/>
        <w:rPr>
          <w:rFonts w:ascii="黑体" w:hAnsi="黑体" w:eastAsia="黑体" w:cs="黑体"/>
          <w:color w:val="auto"/>
          <w:sz w:val="24"/>
          <w:highlight w:val="none"/>
        </w:rPr>
      </w:pPr>
      <w:bookmarkStart w:id="146" w:name="bookmark67"/>
      <w:bookmarkEnd w:id="146"/>
      <w:bookmarkStart w:id="147" w:name="_Toc380"/>
      <w:r>
        <w:rPr>
          <w:rFonts w:ascii="黑体" w:hAnsi="黑体" w:eastAsia="黑体" w:cs="黑体"/>
          <w:color w:val="auto"/>
          <w:spacing w:val="-3"/>
          <w:sz w:val="24"/>
          <w:highlight w:val="none"/>
        </w:rPr>
        <w:t>6.3评标</w:t>
      </w:r>
      <w:bookmarkEnd w:id="147"/>
    </w:p>
    <w:p w14:paraId="7263B7DF">
      <w:pPr>
        <w:spacing w:before="100" w:line="268" w:lineRule="auto"/>
        <w:ind w:left="19" w:right="17" w:firstLine="421"/>
        <w:rPr>
          <w:rFonts w:ascii="宋体" w:hAnsi="宋体" w:cs="宋体"/>
          <w:color w:val="auto"/>
          <w:szCs w:val="21"/>
          <w:highlight w:val="none"/>
        </w:rPr>
      </w:pPr>
      <w:r>
        <w:rPr>
          <w:rFonts w:ascii="宋体" w:hAnsi="宋体" w:cs="宋体"/>
          <w:color w:val="auto"/>
          <w:spacing w:val="1"/>
          <w:szCs w:val="21"/>
          <w:highlight w:val="none"/>
        </w:rPr>
        <w:t>评标委员会按照第三章</w:t>
      </w:r>
      <w:r>
        <w:rPr>
          <w:rFonts w:eastAsia="Times New Roman"/>
          <w:color w:val="auto"/>
          <w:spacing w:val="1"/>
          <w:szCs w:val="21"/>
          <w:highlight w:val="none"/>
        </w:rPr>
        <w:t>“</w:t>
      </w:r>
      <w:r>
        <w:rPr>
          <w:rFonts w:ascii="宋体" w:hAnsi="宋体" w:cs="宋体"/>
          <w:color w:val="auto"/>
          <w:spacing w:val="1"/>
          <w:szCs w:val="21"/>
          <w:highlight w:val="none"/>
        </w:rPr>
        <w:t>评标办法</w:t>
      </w:r>
      <w:r>
        <w:rPr>
          <w:rFonts w:eastAsia="Times New Roman"/>
          <w:color w:val="auto"/>
          <w:spacing w:val="1"/>
          <w:szCs w:val="21"/>
          <w:highlight w:val="none"/>
        </w:rPr>
        <w:t>”</w:t>
      </w:r>
      <w:r>
        <w:rPr>
          <w:rFonts w:ascii="宋体" w:hAnsi="宋体" w:cs="宋体"/>
          <w:color w:val="auto"/>
          <w:szCs w:val="21"/>
          <w:highlight w:val="none"/>
        </w:rPr>
        <w:t>规定的方法、评审因素、标准和程序对投标文件进行评审。第三章</w:t>
      </w:r>
      <w:r>
        <w:rPr>
          <w:rFonts w:eastAsia="Times New Roman"/>
          <w:color w:val="auto"/>
          <w:szCs w:val="21"/>
          <w:highlight w:val="none"/>
        </w:rPr>
        <w:t>“</w:t>
      </w:r>
      <w:r>
        <w:rPr>
          <w:rFonts w:ascii="宋体" w:hAnsi="宋体" w:cs="宋体"/>
          <w:color w:val="auto"/>
          <w:szCs w:val="21"/>
          <w:highlight w:val="none"/>
        </w:rPr>
        <w:t>评标办法</w:t>
      </w:r>
      <w:r>
        <w:rPr>
          <w:rFonts w:eastAsia="Times New Roman"/>
          <w:color w:val="auto"/>
          <w:szCs w:val="21"/>
          <w:highlight w:val="none"/>
        </w:rPr>
        <w:t>”</w:t>
      </w:r>
      <w:r>
        <w:rPr>
          <w:rFonts w:ascii="宋体" w:hAnsi="宋体" w:cs="宋体"/>
          <w:color w:val="auto"/>
          <w:szCs w:val="21"/>
          <w:highlight w:val="none"/>
        </w:rPr>
        <w:t>没有规定的方法、评审因素和标准，不作为评</w:t>
      </w:r>
      <w:r>
        <w:rPr>
          <w:rFonts w:ascii="宋体" w:hAnsi="宋体" w:cs="宋体"/>
          <w:color w:val="auto"/>
          <w:spacing w:val="-1"/>
          <w:szCs w:val="21"/>
          <w:highlight w:val="none"/>
        </w:rPr>
        <w:t>标依据。</w:t>
      </w:r>
    </w:p>
    <w:p w14:paraId="34CB5DF8">
      <w:pPr>
        <w:spacing w:before="110" w:line="234" w:lineRule="auto"/>
        <w:ind w:left="441"/>
        <w:rPr>
          <w:rFonts w:ascii="宋体" w:hAnsi="宋体" w:cs="宋体"/>
          <w:color w:val="auto"/>
          <w:spacing w:val="-1"/>
          <w:szCs w:val="21"/>
          <w:highlight w:val="none"/>
        </w:rPr>
      </w:pPr>
      <w:r>
        <w:rPr>
          <w:rFonts w:ascii="宋体" w:hAnsi="宋体" w:cs="宋体"/>
          <w:color w:val="auto"/>
          <w:spacing w:val="-1"/>
          <w:szCs w:val="21"/>
          <w:highlight w:val="none"/>
        </w:rPr>
        <w:t>评标采用方式详见投标人须知前附表。</w:t>
      </w:r>
    </w:p>
    <w:p w14:paraId="74990CF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highlight w:val="none"/>
        </w:rPr>
      </w:pPr>
      <w:r>
        <w:rPr>
          <w:rFonts w:hint="default" w:ascii="Times New Roman" w:hAnsi="Times New Roman" w:eastAsia="宋体" w:cs="Times New Roman"/>
          <w:color w:val="auto"/>
          <w:kern w:val="0"/>
          <w:sz w:val="24"/>
          <w:szCs w:val="24"/>
          <w:highlight w:val="none"/>
          <w:lang w:val="en-US" w:eastAsia="zh-CN" w:bidi="ar"/>
        </w:rPr>
        <w:t xml:space="preserve">6.4 </w:t>
      </w:r>
      <w:r>
        <w:rPr>
          <w:rFonts w:ascii="黑体" w:hAnsi="宋体" w:eastAsia="黑体" w:cs="黑体"/>
          <w:color w:val="auto"/>
          <w:kern w:val="0"/>
          <w:sz w:val="24"/>
          <w:szCs w:val="24"/>
          <w:highlight w:val="none"/>
          <w:lang w:val="en-US" w:eastAsia="zh-CN" w:bidi="ar"/>
        </w:rPr>
        <w:t xml:space="preserve">评标结果公示 </w:t>
      </w:r>
    </w:p>
    <w:p w14:paraId="170D6793">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招标人在收到评标报告之日起 </w:t>
      </w:r>
      <w:r>
        <w:rPr>
          <w:rFonts w:hint="default" w:ascii="Times New Roman" w:hAnsi="Times New Roman" w:eastAsia="宋体" w:cs="Times New Roman"/>
          <w:color w:val="auto"/>
          <w:kern w:val="0"/>
          <w:sz w:val="21"/>
          <w:szCs w:val="21"/>
          <w:highlight w:val="none"/>
          <w:lang w:val="en-US" w:eastAsia="zh-CN" w:bidi="ar"/>
        </w:rPr>
        <w:t xml:space="preserve">3 </w:t>
      </w:r>
      <w:r>
        <w:rPr>
          <w:rFonts w:hint="eastAsia" w:ascii="宋体" w:hAnsi="宋体" w:eastAsia="宋体" w:cs="宋体"/>
          <w:color w:val="auto"/>
          <w:kern w:val="0"/>
          <w:sz w:val="21"/>
          <w:szCs w:val="21"/>
          <w:highlight w:val="none"/>
          <w:lang w:val="en-US" w:eastAsia="zh-CN" w:bidi="ar"/>
        </w:rPr>
        <w:t xml:space="preserve">日内，按照投标人须知前附表规定的公示媒介和期限公示中标候选人，公示期不得少于 </w:t>
      </w:r>
      <w:r>
        <w:rPr>
          <w:rFonts w:hint="default" w:ascii="Times New Roman" w:hAnsi="Times New Roman" w:eastAsia="宋体" w:cs="Times New Roman"/>
          <w:color w:val="auto"/>
          <w:kern w:val="0"/>
          <w:sz w:val="21"/>
          <w:szCs w:val="21"/>
          <w:highlight w:val="none"/>
          <w:lang w:val="en-US" w:eastAsia="zh-CN" w:bidi="ar"/>
        </w:rPr>
        <w:t xml:space="preserve">3 </w:t>
      </w:r>
      <w:r>
        <w:rPr>
          <w:rFonts w:hint="eastAsia" w:ascii="宋体" w:hAnsi="宋体" w:eastAsia="宋体" w:cs="宋体"/>
          <w:color w:val="auto"/>
          <w:kern w:val="0"/>
          <w:sz w:val="21"/>
          <w:szCs w:val="21"/>
          <w:highlight w:val="none"/>
          <w:lang w:val="en-US" w:eastAsia="zh-CN" w:bidi="ar"/>
        </w:rPr>
        <w:t xml:space="preserve">日。招标人在中标候选人公示前将对评标委员会提交的评标报告进行审查，发现异常情形的，依照法定程序进行复核，确认存在问题的，依照法定程序予以纠正。 </w:t>
      </w:r>
    </w:p>
    <w:p w14:paraId="70531AB1">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投标人或者其他利害关系人对评标结果有异议的，应当在中标候选人公示（评标结果公示）期间提出。招标人自收到异议之日起 </w:t>
      </w:r>
      <w:r>
        <w:rPr>
          <w:rFonts w:hint="default" w:ascii="Times New Roman" w:hAnsi="Times New Roman" w:eastAsia="宋体" w:cs="Times New Roman"/>
          <w:color w:val="auto"/>
          <w:kern w:val="0"/>
          <w:sz w:val="21"/>
          <w:szCs w:val="21"/>
          <w:highlight w:val="none"/>
          <w:lang w:val="en-US" w:eastAsia="zh-CN" w:bidi="ar"/>
        </w:rPr>
        <w:t xml:space="preserve">3 </w:t>
      </w:r>
      <w:r>
        <w:rPr>
          <w:rFonts w:hint="eastAsia" w:ascii="宋体" w:hAnsi="宋体" w:eastAsia="宋体" w:cs="宋体"/>
          <w:color w:val="auto"/>
          <w:kern w:val="0"/>
          <w:sz w:val="21"/>
          <w:szCs w:val="21"/>
          <w:highlight w:val="none"/>
          <w:lang w:val="en-US" w:eastAsia="zh-CN" w:bidi="ar"/>
        </w:rPr>
        <w:t>日内作出答复；作出答复前，暂停招标投标活动。在法定时间期限内未提出视为投标人权利灭失。异议与答复应通过电子招标投标系统（辽宁省工程建设项目招标投标异议投诉处理系统）以书面形式进行。</w:t>
      </w:r>
    </w:p>
    <w:p w14:paraId="3458881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default" w:ascii="Times New Roman" w:hAnsi="Times New Roman" w:eastAsia="宋体" w:cs="Times New Roman"/>
          <w:color w:val="auto"/>
          <w:kern w:val="0"/>
          <w:sz w:val="24"/>
          <w:szCs w:val="24"/>
          <w:highlight w:val="none"/>
          <w:lang w:val="en-US" w:eastAsia="zh-CN" w:bidi="ar"/>
        </w:rPr>
        <w:t xml:space="preserve">6.5 </w:t>
      </w:r>
      <w:r>
        <w:rPr>
          <w:rFonts w:hint="eastAsia" w:ascii="黑体" w:hAnsi="宋体" w:eastAsia="黑体" w:cs="黑体"/>
          <w:color w:val="auto"/>
          <w:kern w:val="0"/>
          <w:sz w:val="24"/>
          <w:szCs w:val="24"/>
          <w:highlight w:val="none"/>
          <w:lang w:val="en-US" w:eastAsia="zh-CN" w:bidi="ar"/>
        </w:rPr>
        <w:t xml:space="preserve">履约能力的核查（如有） </w:t>
      </w:r>
    </w:p>
    <w:p w14:paraId="440F810C">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ascii="宋体" w:hAnsi="宋体" w:cs="宋体"/>
          <w:color w:val="auto"/>
          <w:spacing w:val="-1"/>
          <w:szCs w:val="21"/>
          <w:highlight w:val="none"/>
        </w:rPr>
      </w:pPr>
      <w:r>
        <w:rPr>
          <w:rFonts w:hint="eastAsia" w:ascii="宋体" w:hAnsi="宋体" w:eastAsia="宋体" w:cs="宋体"/>
          <w:color w:val="auto"/>
          <w:kern w:val="0"/>
          <w:sz w:val="21"/>
          <w:szCs w:val="21"/>
          <w:highlight w:val="none"/>
          <w:lang w:val="en-US" w:eastAsia="zh-CN" w:bidi="ar"/>
        </w:rPr>
        <w:t>如果中标候选人的经营、财务状况发生较大变化或者存在违法行为，招标人认为可能影响其履约能力的，将在发出中标通知书前报请行政监督部门后，召集原评标委员会按照招标文件规定的标准和方法核查确认。</w:t>
      </w:r>
    </w:p>
    <w:p w14:paraId="77D9C422">
      <w:pPr>
        <w:spacing w:before="135" w:line="234" w:lineRule="auto"/>
        <w:ind w:left="22"/>
        <w:outlineLvl w:val="1"/>
        <w:rPr>
          <w:rFonts w:ascii="黑体" w:hAnsi="黑体" w:eastAsia="黑体" w:cs="黑体"/>
          <w:color w:val="auto"/>
          <w:sz w:val="28"/>
          <w:szCs w:val="28"/>
          <w:highlight w:val="none"/>
        </w:rPr>
      </w:pPr>
      <w:bookmarkStart w:id="148" w:name="bookmark68"/>
      <w:bookmarkEnd w:id="148"/>
      <w:bookmarkStart w:id="149" w:name="bookmark69"/>
      <w:bookmarkEnd w:id="149"/>
      <w:bookmarkStart w:id="150" w:name="_Toc30327"/>
      <w:bookmarkStart w:id="151" w:name="_Toc1579"/>
      <w:r>
        <w:rPr>
          <w:rFonts w:eastAsia="Times New Roman"/>
          <w:color w:val="auto"/>
          <w:spacing w:val="-1"/>
          <w:sz w:val="28"/>
          <w:szCs w:val="28"/>
          <w:highlight w:val="none"/>
        </w:rPr>
        <w:t xml:space="preserve">7.  </w:t>
      </w:r>
      <w:r>
        <w:rPr>
          <w:rFonts w:ascii="黑体" w:hAnsi="黑体" w:eastAsia="黑体" w:cs="黑体"/>
          <w:color w:val="auto"/>
          <w:spacing w:val="-1"/>
          <w:sz w:val="28"/>
          <w:szCs w:val="28"/>
          <w:highlight w:val="none"/>
        </w:rPr>
        <w:t>合同授予</w:t>
      </w:r>
      <w:bookmarkEnd w:id="150"/>
      <w:bookmarkEnd w:id="151"/>
    </w:p>
    <w:p w14:paraId="487C2EB4">
      <w:pPr>
        <w:spacing w:before="40" w:line="218" w:lineRule="auto"/>
        <w:ind w:left="140"/>
        <w:outlineLvl w:val="2"/>
        <w:rPr>
          <w:rFonts w:ascii="黑体" w:hAnsi="黑体" w:eastAsia="黑体" w:cs="黑体"/>
          <w:color w:val="auto"/>
          <w:sz w:val="24"/>
          <w:highlight w:val="none"/>
        </w:rPr>
      </w:pPr>
      <w:bookmarkStart w:id="152" w:name="bookmark396"/>
      <w:bookmarkEnd w:id="152"/>
      <w:bookmarkStart w:id="153" w:name="_Toc4140"/>
      <w:r>
        <w:rPr>
          <w:rFonts w:ascii="黑体" w:hAnsi="黑体" w:eastAsia="黑体" w:cs="黑体"/>
          <w:color w:val="auto"/>
          <w:spacing w:val="-2"/>
          <w:sz w:val="24"/>
          <w:highlight w:val="none"/>
        </w:rPr>
        <w:t>7.1 定标方式</w:t>
      </w:r>
      <w:bookmarkEnd w:id="153"/>
    </w:p>
    <w:p w14:paraId="474DB13A">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bookmarkStart w:id="154" w:name="bookmark70"/>
      <w:bookmarkEnd w:id="154"/>
      <w:bookmarkStart w:id="155" w:name="_Toc1969"/>
      <w:r>
        <w:rPr>
          <w:rFonts w:hint="eastAsia" w:ascii="宋体" w:hAnsi="宋体" w:eastAsia="宋体" w:cs="宋体"/>
          <w:color w:val="auto"/>
          <w:kern w:val="0"/>
          <w:sz w:val="21"/>
          <w:szCs w:val="21"/>
          <w:highlight w:val="none"/>
          <w:lang w:val="en-US" w:eastAsia="zh-CN" w:bidi="ar"/>
        </w:rPr>
        <w:t xml:space="preserve">除投标人须知前附表规定评标委员会直接确定中标人外，招标人依据评标委员会推荐的中标候选人确定中标人或从评标委员会推荐的中标候选人范围内自主研究确定中标人，评标委员会推荐中标候选人的人数见投标人须知前附表。 </w:t>
      </w:r>
    </w:p>
    <w:p w14:paraId="1B19137D">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招标人从评标委员会推荐的中标候选人范围内自主研究确定中标人的，招标人按照定标办法规定的规则组建定标委员会，定标委员会按照定标办法规定的方法、规则、标准和程序在中标候选人中定标，确定中标人。定标办法没有规定的方法、规则、标准，不得作为定标依据。</w:t>
      </w:r>
    </w:p>
    <w:bookmarkEnd w:id="155"/>
    <w:p w14:paraId="7CD57F18">
      <w:pPr>
        <w:spacing w:line="219" w:lineRule="auto"/>
        <w:ind w:left="140"/>
        <w:outlineLvl w:val="2"/>
        <w:rPr>
          <w:rFonts w:ascii="黑体" w:hAnsi="黑体" w:eastAsia="黑体" w:cs="黑体"/>
          <w:color w:val="auto"/>
          <w:sz w:val="24"/>
          <w:highlight w:val="none"/>
        </w:rPr>
      </w:pPr>
      <w:bookmarkStart w:id="156" w:name="_Toc24058"/>
      <w:r>
        <w:rPr>
          <w:rFonts w:ascii="黑体" w:hAnsi="黑体" w:eastAsia="黑体" w:cs="黑体"/>
          <w:color w:val="auto"/>
          <w:spacing w:val="-5"/>
          <w:sz w:val="24"/>
          <w:highlight w:val="none"/>
        </w:rPr>
        <w:t>7.</w:t>
      </w:r>
      <w:r>
        <w:rPr>
          <w:rFonts w:hint="eastAsia" w:ascii="黑体" w:hAnsi="黑体" w:eastAsia="黑体" w:cs="黑体"/>
          <w:color w:val="auto"/>
          <w:spacing w:val="-5"/>
          <w:sz w:val="24"/>
          <w:highlight w:val="none"/>
          <w:lang w:val="en-US" w:eastAsia="zh-CN"/>
        </w:rPr>
        <w:t>2</w:t>
      </w:r>
      <w:r>
        <w:rPr>
          <w:rFonts w:ascii="黑体" w:hAnsi="黑体" w:eastAsia="黑体" w:cs="黑体"/>
          <w:color w:val="auto"/>
          <w:spacing w:val="-5"/>
          <w:sz w:val="24"/>
          <w:highlight w:val="none"/>
        </w:rPr>
        <w:t>中标通知</w:t>
      </w:r>
      <w:bookmarkEnd w:id="156"/>
    </w:p>
    <w:p w14:paraId="02CD1392">
      <w:pPr>
        <w:spacing w:before="100" w:line="309" w:lineRule="auto"/>
        <w:ind w:left="23" w:right="7" w:firstLine="415"/>
        <w:rPr>
          <w:rFonts w:ascii="宋体" w:hAnsi="宋体" w:cs="宋体"/>
          <w:color w:val="auto"/>
          <w:szCs w:val="21"/>
          <w:highlight w:val="none"/>
        </w:rPr>
      </w:pPr>
      <w:r>
        <w:rPr>
          <w:rFonts w:ascii="宋体" w:hAnsi="宋体" w:cs="宋体"/>
          <w:color w:val="auto"/>
          <w:spacing w:val="2"/>
          <w:szCs w:val="21"/>
          <w:highlight w:val="none"/>
        </w:rPr>
        <w:t xml:space="preserve">在本章第 </w:t>
      </w:r>
      <w:r>
        <w:rPr>
          <w:rFonts w:eastAsia="Times New Roman"/>
          <w:color w:val="auto"/>
          <w:spacing w:val="2"/>
          <w:szCs w:val="21"/>
          <w:highlight w:val="none"/>
        </w:rPr>
        <w:t xml:space="preserve">3.3  </w:t>
      </w:r>
      <w:r>
        <w:rPr>
          <w:rFonts w:ascii="宋体" w:hAnsi="宋体" w:cs="宋体"/>
          <w:color w:val="auto"/>
          <w:spacing w:val="2"/>
          <w:szCs w:val="21"/>
          <w:highlight w:val="none"/>
        </w:rPr>
        <w:t>款规定的投标有效期内，招</w:t>
      </w:r>
      <w:r>
        <w:rPr>
          <w:rFonts w:ascii="宋体" w:hAnsi="宋体" w:cs="宋体"/>
          <w:color w:val="auto"/>
          <w:spacing w:val="1"/>
          <w:szCs w:val="21"/>
          <w:highlight w:val="none"/>
        </w:rPr>
        <w:t>标人通过电子交易系统以书面形式向中标人</w:t>
      </w:r>
      <w:r>
        <w:rPr>
          <w:rFonts w:ascii="宋体" w:hAnsi="宋体" w:cs="宋体"/>
          <w:color w:val="auto"/>
          <w:szCs w:val="21"/>
          <w:highlight w:val="none"/>
        </w:rPr>
        <w:t xml:space="preserve"> 发出经电子监督系统验证备案的中标通知书，同时将中标结果通知未中标</w:t>
      </w:r>
      <w:r>
        <w:rPr>
          <w:rFonts w:ascii="宋体" w:hAnsi="宋体" w:cs="宋体"/>
          <w:color w:val="auto"/>
          <w:spacing w:val="-1"/>
          <w:szCs w:val="21"/>
          <w:highlight w:val="none"/>
        </w:rPr>
        <w:t>的投标人。</w:t>
      </w:r>
    </w:p>
    <w:p w14:paraId="1BD0C49C">
      <w:pPr>
        <w:spacing w:before="15" w:line="306" w:lineRule="auto"/>
        <w:ind w:left="24" w:right="5" w:firstLine="435"/>
        <w:rPr>
          <w:rFonts w:ascii="宋体" w:hAnsi="宋体" w:cs="宋体"/>
          <w:color w:val="auto"/>
          <w:szCs w:val="21"/>
          <w:highlight w:val="none"/>
        </w:rPr>
      </w:pPr>
      <w:r>
        <w:rPr>
          <w:rFonts w:ascii="宋体" w:hAnsi="宋体" w:cs="宋体"/>
          <w:color w:val="auto"/>
          <w:szCs w:val="21"/>
          <w:highlight w:val="none"/>
        </w:rPr>
        <w:t>中标通知书发出的同时，招标人将在投标人须知前附表第</w:t>
      </w:r>
      <w:r>
        <w:rPr>
          <w:rFonts w:eastAsia="Times New Roman"/>
          <w:color w:val="auto"/>
          <w:szCs w:val="21"/>
          <w:highlight w:val="none"/>
        </w:rPr>
        <w:t>7.2</w:t>
      </w:r>
      <w:r>
        <w:rPr>
          <w:rFonts w:ascii="宋体" w:hAnsi="宋体" w:cs="宋体"/>
          <w:color w:val="auto"/>
          <w:szCs w:val="21"/>
          <w:highlight w:val="none"/>
        </w:rPr>
        <w:t xml:space="preserve">款规定的媒介发布中标结 </w:t>
      </w:r>
      <w:r>
        <w:rPr>
          <w:rFonts w:ascii="宋体" w:hAnsi="宋体" w:cs="宋体"/>
          <w:color w:val="auto"/>
          <w:spacing w:val="-3"/>
          <w:szCs w:val="21"/>
          <w:highlight w:val="none"/>
        </w:rPr>
        <w:t>果公示。</w:t>
      </w:r>
    </w:p>
    <w:p w14:paraId="489B4062">
      <w:pPr>
        <w:spacing w:before="1" w:line="218" w:lineRule="auto"/>
        <w:ind w:left="140"/>
        <w:outlineLvl w:val="2"/>
        <w:rPr>
          <w:rFonts w:ascii="黑体" w:hAnsi="黑体" w:eastAsia="黑体" w:cs="黑体"/>
          <w:color w:val="auto"/>
          <w:sz w:val="24"/>
          <w:highlight w:val="none"/>
        </w:rPr>
      </w:pPr>
      <w:bookmarkStart w:id="157" w:name="bookmark72"/>
      <w:bookmarkEnd w:id="157"/>
      <w:bookmarkStart w:id="158" w:name="_Toc5191"/>
      <w:r>
        <w:rPr>
          <w:rFonts w:ascii="黑体" w:hAnsi="黑体" w:eastAsia="黑体" w:cs="黑体"/>
          <w:color w:val="auto"/>
          <w:spacing w:val="-2"/>
          <w:sz w:val="24"/>
          <w:highlight w:val="none"/>
        </w:rPr>
        <w:t>7.</w:t>
      </w:r>
      <w:r>
        <w:rPr>
          <w:rFonts w:hint="eastAsia" w:ascii="黑体" w:hAnsi="黑体" w:eastAsia="黑体" w:cs="黑体"/>
          <w:color w:val="auto"/>
          <w:spacing w:val="-2"/>
          <w:sz w:val="24"/>
          <w:highlight w:val="none"/>
          <w:lang w:val="en-US" w:eastAsia="zh-CN"/>
        </w:rPr>
        <w:t>3</w:t>
      </w:r>
      <w:r>
        <w:rPr>
          <w:rFonts w:ascii="黑体" w:hAnsi="黑体" w:eastAsia="黑体" w:cs="黑体"/>
          <w:color w:val="auto"/>
          <w:spacing w:val="-2"/>
          <w:sz w:val="24"/>
          <w:highlight w:val="none"/>
        </w:rPr>
        <w:t xml:space="preserve"> 履约担保</w:t>
      </w:r>
      <w:bookmarkEnd w:id="158"/>
    </w:p>
    <w:p w14:paraId="646A1A3D">
      <w:pPr>
        <w:spacing w:before="135" w:line="349" w:lineRule="auto"/>
        <w:ind w:left="6" w:right="5" w:firstLine="433"/>
        <w:rPr>
          <w:rFonts w:ascii="宋体" w:hAnsi="宋体" w:cs="宋体"/>
          <w:color w:val="auto"/>
          <w:szCs w:val="21"/>
          <w:highlight w:val="none"/>
        </w:rPr>
      </w:pPr>
      <w:r>
        <w:rPr>
          <w:rFonts w:eastAsia="Times New Roman"/>
          <w:color w:val="auto"/>
          <w:szCs w:val="21"/>
          <w:highlight w:val="none"/>
        </w:rPr>
        <w:t>7.</w:t>
      </w:r>
      <w:r>
        <w:rPr>
          <w:rFonts w:hint="eastAsia" w:eastAsia="宋体"/>
          <w:color w:val="auto"/>
          <w:szCs w:val="21"/>
          <w:highlight w:val="none"/>
          <w:lang w:val="en-US" w:eastAsia="zh-CN"/>
        </w:rPr>
        <w:t>3</w:t>
      </w:r>
      <w:r>
        <w:rPr>
          <w:rFonts w:eastAsia="Times New Roman"/>
          <w:color w:val="auto"/>
          <w:szCs w:val="21"/>
          <w:highlight w:val="none"/>
        </w:rPr>
        <w:t xml:space="preserve">.1  </w:t>
      </w:r>
      <w:r>
        <w:rPr>
          <w:rFonts w:ascii="宋体" w:hAnsi="宋体" w:cs="宋体"/>
          <w:color w:val="auto"/>
          <w:szCs w:val="21"/>
          <w:highlight w:val="none"/>
        </w:rPr>
        <w:t>在签订合同前，中标人应按投标人须知前附表规定的担保形式和招标文件第四章</w:t>
      </w:r>
      <w:r>
        <w:rPr>
          <w:rFonts w:ascii="宋体" w:hAnsi="宋体" w:cs="宋体"/>
          <w:color w:val="auto"/>
          <w:spacing w:val="3"/>
          <w:szCs w:val="21"/>
          <w:highlight w:val="none"/>
        </w:rPr>
        <w:t>“合同条款及格式”规定的或者事先经过招标人书面认可的履约担保格式向招标人提交履</w:t>
      </w:r>
      <w:r>
        <w:rPr>
          <w:rFonts w:ascii="宋体" w:hAnsi="宋体" w:cs="宋体"/>
          <w:color w:val="auto"/>
          <w:szCs w:val="21"/>
          <w:highlight w:val="none"/>
        </w:rPr>
        <w:t>约担保。联合体中标的，其履约担保由联合体各方或者联合体中牵头人的名义提交。</w:t>
      </w:r>
    </w:p>
    <w:p w14:paraId="1EC6B55A">
      <w:pPr>
        <w:spacing w:before="6" w:line="335" w:lineRule="auto"/>
        <w:ind w:left="20" w:right="7" w:firstLine="419"/>
        <w:rPr>
          <w:rFonts w:ascii="宋体" w:hAnsi="宋体" w:cs="宋体"/>
          <w:color w:val="auto"/>
          <w:szCs w:val="21"/>
          <w:highlight w:val="none"/>
        </w:rPr>
      </w:pPr>
      <w:r>
        <w:rPr>
          <w:rFonts w:eastAsia="Times New Roman"/>
          <w:color w:val="auto"/>
          <w:szCs w:val="21"/>
          <w:highlight w:val="none"/>
        </w:rPr>
        <w:t>7.</w:t>
      </w:r>
      <w:r>
        <w:rPr>
          <w:rFonts w:hint="eastAsia" w:eastAsia="宋体"/>
          <w:color w:val="auto"/>
          <w:szCs w:val="21"/>
          <w:highlight w:val="none"/>
          <w:lang w:val="en-US" w:eastAsia="zh-CN"/>
        </w:rPr>
        <w:t>3</w:t>
      </w:r>
      <w:r>
        <w:rPr>
          <w:rFonts w:eastAsia="Times New Roman"/>
          <w:color w:val="auto"/>
          <w:szCs w:val="21"/>
          <w:highlight w:val="none"/>
        </w:rPr>
        <w:t>.2</w:t>
      </w:r>
      <w:r>
        <w:rPr>
          <w:rFonts w:ascii="宋体" w:hAnsi="宋体" w:cs="宋体"/>
          <w:color w:val="auto"/>
          <w:szCs w:val="21"/>
          <w:highlight w:val="none"/>
        </w:rPr>
        <w:t xml:space="preserve">中标人不能按本章第 </w:t>
      </w:r>
      <w:r>
        <w:rPr>
          <w:rFonts w:eastAsia="Times New Roman"/>
          <w:color w:val="auto"/>
          <w:szCs w:val="21"/>
          <w:highlight w:val="none"/>
        </w:rPr>
        <w:t>7.</w:t>
      </w:r>
      <w:r>
        <w:rPr>
          <w:rFonts w:hint="eastAsia" w:eastAsia="宋体"/>
          <w:color w:val="auto"/>
          <w:szCs w:val="21"/>
          <w:highlight w:val="none"/>
          <w:lang w:val="en-US" w:eastAsia="zh-CN"/>
        </w:rPr>
        <w:t>3</w:t>
      </w:r>
      <w:r>
        <w:rPr>
          <w:rFonts w:eastAsia="Times New Roman"/>
          <w:color w:val="auto"/>
          <w:szCs w:val="21"/>
          <w:highlight w:val="none"/>
        </w:rPr>
        <w:t xml:space="preserve">.1  </w:t>
      </w:r>
      <w:r>
        <w:rPr>
          <w:rFonts w:ascii="宋体" w:hAnsi="宋体" w:cs="宋体"/>
          <w:color w:val="auto"/>
          <w:szCs w:val="21"/>
          <w:highlight w:val="none"/>
        </w:rPr>
        <w:t>项要求提交</w:t>
      </w:r>
      <w:r>
        <w:rPr>
          <w:rFonts w:ascii="宋体" w:hAnsi="宋体" w:cs="宋体"/>
          <w:color w:val="auto"/>
          <w:spacing w:val="-1"/>
          <w:szCs w:val="21"/>
          <w:highlight w:val="none"/>
        </w:rPr>
        <w:t>履约担保的，视为放弃中标，其投标保证</w:t>
      </w:r>
      <w:r>
        <w:rPr>
          <w:rFonts w:ascii="宋体" w:hAnsi="宋体" w:cs="宋体"/>
          <w:color w:val="auto"/>
          <w:spacing w:val="3"/>
          <w:szCs w:val="21"/>
          <w:highlight w:val="none"/>
        </w:rPr>
        <w:t>金不予退还，给招标人造成的损失超过投标保证金数额的，中标人还应当对超过部</w:t>
      </w:r>
      <w:r>
        <w:rPr>
          <w:rFonts w:ascii="宋体" w:hAnsi="宋体" w:cs="宋体"/>
          <w:color w:val="auto"/>
          <w:spacing w:val="2"/>
          <w:szCs w:val="21"/>
          <w:highlight w:val="none"/>
        </w:rPr>
        <w:t>分予以</w:t>
      </w:r>
      <w:r>
        <w:rPr>
          <w:rFonts w:ascii="宋体" w:hAnsi="宋体" w:cs="宋体"/>
          <w:color w:val="auto"/>
          <w:spacing w:val="-8"/>
          <w:szCs w:val="21"/>
          <w:highlight w:val="none"/>
        </w:rPr>
        <w:t>赔偿。</w:t>
      </w:r>
    </w:p>
    <w:p w14:paraId="5FEFC620">
      <w:pPr>
        <w:spacing w:before="1" w:line="220" w:lineRule="auto"/>
        <w:ind w:left="140"/>
        <w:outlineLvl w:val="2"/>
        <w:rPr>
          <w:rFonts w:ascii="黑体" w:hAnsi="黑体" w:eastAsia="黑体" w:cs="黑体"/>
          <w:color w:val="auto"/>
          <w:sz w:val="24"/>
          <w:highlight w:val="none"/>
        </w:rPr>
      </w:pPr>
      <w:bookmarkStart w:id="159" w:name="bookmark73"/>
      <w:bookmarkEnd w:id="159"/>
      <w:bookmarkStart w:id="160" w:name="_Toc14041"/>
      <w:r>
        <w:rPr>
          <w:rFonts w:ascii="黑体" w:hAnsi="黑体" w:eastAsia="黑体" w:cs="黑体"/>
          <w:color w:val="auto"/>
          <w:spacing w:val="-2"/>
          <w:sz w:val="24"/>
          <w:highlight w:val="none"/>
        </w:rPr>
        <w:t>7.</w:t>
      </w:r>
      <w:r>
        <w:rPr>
          <w:rFonts w:hint="eastAsia" w:ascii="黑体" w:hAnsi="黑体" w:eastAsia="黑体" w:cs="黑体"/>
          <w:color w:val="auto"/>
          <w:spacing w:val="-2"/>
          <w:sz w:val="24"/>
          <w:highlight w:val="none"/>
          <w:lang w:val="en-US" w:eastAsia="zh-CN"/>
        </w:rPr>
        <w:t>4</w:t>
      </w:r>
      <w:r>
        <w:rPr>
          <w:rFonts w:ascii="黑体" w:hAnsi="黑体" w:eastAsia="黑体" w:cs="黑体"/>
          <w:color w:val="auto"/>
          <w:spacing w:val="-2"/>
          <w:sz w:val="24"/>
          <w:highlight w:val="none"/>
        </w:rPr>
        <w:t xml:space="preserve"> 签订合同</w:t>
      </w:r>
      <w:bookmarkEnd w:id="160"/>
    </w:p>
    <w:p w14:paraId="5B1512B7">
      <w:pPr>
        <w:spacing w:before="131" w:line="319" w:lineRule="auto"/>
        <w:ind w:left="20" w:right="5" w:firstLine="419"/>
        <w:rPr>
          <w:rFonts w:ascii="宋体" w:hAnsi="宋体" w:cs="宋体"/>
          <w:color w:val="auto"/>
          <w:szCs w:val="21"/>
          <w:highlight w:val="none"/>
        </w:rPr>
      </w:pPr>
      <w:r>
        <w:rPr>
          <w:rFonts w:eastAsia="Times New Roman"/>
          <w:color w:val="auto"/>
          <w:szCs w:val="21"/>
          <w:highlight w:val="none"/>
        </w:rPr>
        <w:t>7.</w:t>
      </w:r>
      <w:r>
        <w:rPr>
          <w:rFonts w:hint="eastAsia" w:eastAsia="宋体"/>
          <w:color w:val="auto"/>
          <w:szCs w:val="21"/>
          <w:highlight w:val="none"/>
          <w:lang w:val="en-US" w:eastAsia="zh-CN"/>
        </w:rPr>
        <w:t>4</w:t>
      </w:r>
      <w:r>
        <w:rPr>
          <w:rFonts w:eastAsia="Times New Roman"/>
          <w:color w:val="auto"/>
          <w:szCs w:val="21"/>
          <w:highlight w:val="none"/>
        </w:rPr>
        <w:t xml:space="preserve">.1  </w:t>
      </w:r>
      <w:r>
        <w:rPr>
          <w:rFonts w:ascii="宋体" w:hAnsi="宋体" w:cs="宋体"/>
          <w:color w:val="auto"/>
          <w:szCs w:val="21"/>
          <w:highlight w:val="none"/>
        </w:rPr>
        <w:t xml:space="preserve">招标人和中标人应当自中标通知书发出之日起 </w:t>
      </w:r>
      <w:r>
        <w:rPr>
          <w:rFonts w:eastAsia="Times New Roman"/>
          <w:color w:val="auto"/>
          <w:szCs w:val="21"/>
          <w:highlight w:val="none"/>
        </w:rPr>
        <w:t xml:space="preserve">30  </w:t>
      </w:r>
      <w:r>
        <w:rPr>
          <w:rFonts w:ascii="宋体" w:hAnsi="宋体" w:cs="宋体"/>
          <w:color w:val="auto"/>
          <w:szCs w:val="21"/>
          <w:highlight w:val="none"/>
        </w:rPr>
        <w:t>天内，根据招标文件和中标人</w:t>
      </w:r>
      <w:r>
        <w:rPr>
          <w:rFonts w:ascii="宋体" w:hAnsi="宋体" w:cs="宋体"/>
          <w:color w:val="auto"/>
          <w:spacing w:val="3"/>
          <w:szCs w:val="21"/>
          <w:highlight w:val="none"/>
        </w:rPr>
        <w:t>的投标文件（以经评标委员会评审的文件版本为准）订立书面合同。中标人无正当</w:t>
      </w:r>
      <w:r>
        <w:rPr>
          <w:rFonts w:ascii="宋体" w:hAnsi="宋体" w:cs="宋体"/>
          <w:color w:val="auto"/>
          <w:spacing w:val="2"/>
          <w:szCs w:val="21"/>
          <w:highlight w:val="none"/>
        </w:rPr>
        <w:t>理由拒</w:t>
      </w:r>
      <w:r>
        <w:rPr>
          <w:rFonts w:ascii="宋体" w:hAnsi="宋体" w:cs="宋体"/>
          <w:color w:val="auto"/>
          <w:spacing w:val="3"/>
          <w:szCs w:val="21"/>
          <w:highlight w:val="none"/>
        </w:rPr>
        <w:t>签合同的，招标人取消其中标资格，其投标保证金不予退还；给招标人造成的损失</w:t>
      </w:r>
      <w:r>
        <w:rPr>
          <w:rFonts w:ascii="宋体" w:hAnsi="宋体" w:cs="宋体"/>
          <w:color w:val="auto"/>
          <w:spacing w:val="2"/>
          <w:szCs w:val="21"/>
          <w:highlight w:val="none"/>
        </w:rPr>
        <w:t>超过投</w:t>
      </w:r>
      <w:r>
        <w:rPr>
          <w:rFonts w:ascii="宋体" w:hAnsi="宋体" w:cs="宋体"/>
          <w:color w:val="auto"/>
          <w:spacing w:val="-1"/>
          <w:szCs w:val="21"/>
          <w:highlight w:val="none"/>
        </w:rPr>
        <w:t>标保证金数额的，中标人还应当对超过部分予以赔偿。</w:t>
      </w:r>
    </w:p>
    <w:p w14:paraId="7F918509">
      <w:pPr>
        <w:spacing w:before="149" w:line="286" w:lineRule="auto"/>
        <w:ind w:left="20" w:right="5" w:firstLine="419"/>
        <w:rPr>
          <w:rFonts w:ascii="宋体" w:hAnsi="宋体" w:cs="宋体"/>
          <w:color w:val="auto"/>
          <w:szCs w:val="21"/>
          <w:highlight w:val="none"/>
        </w:rPr>
      </w:pPr>
      <w:r>
        <w:rPr>
          <w:rFonts w:eastAsia="Times New Roman"/>
          <w:color w:val="auto"/>
          <w:szCs w:val="21"/>
          <w:highlight w:val="none"/>
        </w:rPr>
        <w:t>7.</w:t>
      </w:r>
      <w:r>
        <w:rPr>
          <w:rFonts w:hint="eastAsia" w:eastAsia="宋体"/>
          <w:color w:val="auto"/>
          <w:szCs w:val="21"/>
          <w:highlight w:val="none"/>
          <w:lang w:val="en-US" w:eastAsia="zh-CN"/>
        </w:rPr>
        <w:t>4</w:t>
      </w:r>
      <w:r>
        <w:rPr>
          <w:rFonts w:eastAsia="Times New Roman"/>
          <w:color w:val="auto"/>
          <w:szCs w:val="21"/>
          <w:highlight w:val="none"/>
        </w:rPr>
        <w:t xml:space="preserve">.2  </w:t>
      </w:r>
      <w:r>
        <w:rPr>
          <w:rFonts w:ascii="宋体" w:hAnsi="宋体" w:cs="宋体"/>
          <w:color w:val="auto"/>
          <w:szCs w:val="21"/>
          <w:highlight w:val="none"/>
        </w:rPr>
        <w:t>发出中标通知书后，招标人无正当理由拒签合同的，招标人向中标人退还投标保</w:t>
      </w:r>
      <w:r>
        <w:rPr>
          <w:rFonts w:ascii="宋体" w:hAnsi="宋体" w:cs="宋体"/>
          <w:color w:val="auto"/>
          <w:spacing w:val="-1"/>
          <w:szCs w:val="21"/>
          <w:highlight w:val="none"/>
        </w:rPr>
        <w:t>证金；给中标人造成损失的，还应当赔偿损失。</w:t>
      </w:r>
    </w:p>
    <w:p w14:paraId="2549D9FC">
      <w:pPr>
        <w:spacing w:before="115" w:line="269" w:lineRule="auto"/>
        <w:ind w:left="21" w:right="5" w:firstLine="418"/>
        <w:rPr>
          <w:rFonts w:ascii="宋体" w:hAnsi="宋体" w:cs="宋体"/>
          <w:color w:val="auto"/>
          <w:szCs w:val="21"/>
          <w:highlight w:val="none"/>
        </w:rPr>
      </w:pPr>
      <w:r>
        <w:rPr>
          <w:rFonts w:eastAsia="Times New Roman"/>
          <w:color w:val="auto"/>
          <w:szCs w:val="21"/>
          <w:highlight w:val="none"/>
        </w:rPr>
        <w:t>7.</w:t>
      </w:r>
      <w:r>
        <w:rPr>
          <w:rFonts w:hint="eastAsia" w:eastAsia="宋体"/>
          <w:color w:val="auto"/>
          <w:szCs w:val="21"/>
          <w:highlight w:val="none"/>
          <w:lang w:val="en-US" w:eastAsia="zh-CN"/>
        </w:rPr>
        <w:t>4</w:t>
      </w:r>
      <w:r>
        <w:rPr>
          <w:rFonts w:eastAsia="Times New Roman"/>
          <w:color w:val="auto"/>
          <w:szCs w:val="21"/>
          <w:highlight w:val="none"/>
        </w:rPr>
        <w:t xml:space="preserve">.3  </w:t>
      </w:r>
      <w:r>
        <w:rPr>
          <w:rFonts w:ascii="宋体" w:hAnsi="宋体" w:cs="宋体"/>
          <w:color w:val="auto"/>
          <w:szCs w:val="21"/>
          <w:highlight w:val="none"/>
        </w:rPr>
        <w:t>联合体中标的，联合体各方应当共同与招标人签订合同，就中标项目向招标人承</w:t>
      </w:r>
      <w:r>
        <w:rPr>
          <w:rFonts w:ascii="宋体" w:hAnsi="宋体" w:cs="宋体"/>
          <w:color w:val="auto"/>
          <w:spacing w:val="-1"/>
          <w:szCs w:val="21"/>
          <w:highlight w:val="none"/>
        </w:rPr>
        <w:t>担连带责任。</w:t>
      </w:r>
    </w:p>
    <w:p w14:paraId="701C5CD4">
      <w:pPr>
        <w:spacing w:before="109" w:line="233" w:lineRule="auto"/>
        <w:ind w:left="439"/>
        <w:rPr>
          <w:rFonts w:ascii="宋体" w:hAnsi="宋体" w:cs="宋体"/>
          <w:color w:val="auto"/>
          <w:szCs w:val="21"/>
          <w:highlight w:val="none"/>
        </w:rPr>
      </w:pPr>
      <w:r>
        <w:rPr>
          <w:rFonts w:eastAsia="Times New Roman"/>
          <w:color w:val="auto"/>
          <w:spacing w:val="-1"/>
          <w:szCs w:val="21"/>
          <w:highlight w:val="none"/>
        </w:rPr>
        <w:t>7.</w:t>
      </w:r>
      <w:r>
        <w:rPr>
          <w:rFonts w:hint="eastAsia" w:eastAsia="宋体"/>
          <w:color w:val="auto"/>
          <w:spacing w:val="-1"/>
          <w:szCs w:val="21"/>
          <w:highlight w:val="none"/>
          <w:lang w:val="en-US" w:eastAsia="zh-CN"/>
        </w:rPr>
        <w:t>4</w:t>
      </w:r>
      <w:r>
        <w:rPr>
          <w:rFonts w:eastAsia="Times New Roman"/>
          <w:color w:val="auto"/>
          <w:spacing w:val="-1"/>
          <w:szCs w:val="21"/>
          <w:highlight w:val="none"/>
        </w:rPr>
        <w:t xml:space="preserve">.4  </w:t>
      </w:r>
      <w:r>
        <w:rPr>
          <w:rFonts w:ascii="宋体" w:hAnsi="宋体" w:cs="宋体"/>
          <w:color w:val="auto"/>
          <w:spacing w:val="-1"/>
          <w:szCs w:val="21"/>
          <w:highlight w:val="none"/>
        </w:rPr>
        <w:t>签约合同价的确定原则如下：</w:t>
      </w:r>
    </w:p>
    <w:p w14:paraId="05810D95">
      <w:pPr>
        <w:spacing w:before="94" w:line="317" w:lineRule="auto"/>
        <w:ind w:left="22" w:right="8" w:firstLine="418"/>
        <w:rPr>
          <w:rFonts w:ascii="宋体" w:hAnsi="宋体" w:cs="宋体"/>
          <w:color w:val="auto"/>
          <w:szCs w:val="21"/>
          <w:highlight w:val="none"/>
        </w:rPr>
      </w:pPr>
      <w:r>
        <w:rPr>
          <w:rFonts w:ascii="宋体" w:hAnsi="宋体" w:cs="宋体"/>
          <w:color w:val="auto"/>
          <w:spacing w:val="3"/>
          <w:szCs w:val="21"/>
          <w:highlight w:val="none"/>
        </w:rPr>
        <w:t>开标时投标函中大写投标总价应为签约合同价。按照第三章“评标办法”的规定，如投标报价有算术错误的，修正的价格经投标人书面确认后，以修正后的投标总</w:t>
      </w:r>
      <w:r>
        <w:rPr>
          <w:rFonts w:ascii="宋体" w:hAnsi="宋体" w:cs="宋体"/>
          <w:color w:val="auto"/>
          <w:spacing w:val="2"/>
          <w:szCs w:val="21"/>
          <w:highlight w:val="none"/>
        </w:rPr>
        <w:t>价为签约合</w:t>
      </w:r>
      <w:r>
        <w:rPr>
          <w:rFonts w:ascii="宋体" w:hAnsi="宋体" w:cs="宋体"/>
          <w:color w:val="auto"/>
          <w:spacing w:val="-9"/>
          <w:szCs w:val="21"/>
          <w:highlight w:val="none"/>
        </w:rPr>
        <w:t>同价。</w:t>
      </w:r>
    </w:p>
    <w:p w14:paraId="191D4913">
      <w:pPr>
        <w:spacing w:line="315" w:lineRule="auto"/>
        <w:ind w:left="21" w:right="5" w:firstLine="418"/>
        <w:rPr>
          <w:rFonts w:ascii="宋体" w:hAnsi="宋体" w:cs="宋体"/>
          <w:color w:val="auto"/>
          <w:szCs w:val="21"/>
          <w:highlight w:val="none"/>
        </w:rPr>
      </w:pPr>
      <w:r>
        <w:rPr>
          <w:rFonts w:eastAsia="Times New Roman"/>
          <w:color w:val="auto"/>
          <w:spacing w:val="-1"/>
          <w:szCs w:val="21"/>
          <w:highlight w:val="none"/>
        </w:rPr>
        <w:t>7.</w:t>
      </w:r>
      <w:r>
        <w:rPr>
          <w:rFonts w:hint="eastAsia" w:eastAsia="宋体"/>
          <w:color w:val="auto"/>
          <w:spacing w:val="-1"/>
          <w:szCs w:val="21"/>
          <w:highlight w:val="none"/>
          <w:lang w:val="en-US" w:eastAsia="zh-CN"/>
        </w:rPr>
        <w:t>4</w:t>
      </w:r>
      <w:r>
        <w:rPr>
          <w:rFonts w:eastAsia="Times New Roman"/>
          <w:color w:val="auto"/>
          <w:spacing w:val="-1"/>
          <w:szCs w:val="21"/>
          <w:highlight w:val="none"/>
        </w:rPr>
        <w:t xml:space="preserve">.5  </w:t>
      </w:r>
      <w:r>
        <w:rPr>
          <w:rFonts w:ascii="宋体" w:hAnsi="宋体" w:cs="宋体"/>
          <w:color w:val="auto"/>
          <w:spacing w:val="-1"/>
          <w:szCs w:val="21"/>
          <w:highlight w:val="none"/>
        </w:rPr>
        <w:t xml:space="preserve">招标人和中标人应当在中标通知书发出之日起 </w:t>
      </w:r>
      <w:r>
        <w:rPr>
          <w:rFonts w:eastAsia="Times New Roman"/>
          <w:color w:val="auto"/>
          <w:spacing w:val="-1"/>
          <w:szCs w:val="21"/>
          <w:highlight w:val="none"/>
        </w:rPr>
        <w:t xml:space="preserve">30   </w:t>
      </w:r>
      <w:r>
        <w:rPr>
          <w:rFonts w:ascii="宋体" w:hAnsi="宋体" w:cs="宋体"/>
          <w:color w:val="auto"/>
          <w:spacing w:val="-1"/>
          <w:szCs w:val="21"/>
          <w:highlight w:val="none"/>
        </w:rPr>
        <w:t>日内，登录辽宁省建设工程电</w:t>
      </w:r>
      <w:r>
        <w:rPr>
          <w:rFonts w:ascii="宋体" w:hAnsi="宋体" w:cs="宋体"/>
          <w:color w:val="auto"/>
          <w:spacing w:val="3"/>
          <w:szCs w:val="21"/>
          <w:highlight w:val="none"/>
        </w:rPr>
        <w:t>子合同签订系统签订合同并向电子监督系统提交电子合同文件归档。按照信息公</w:t>
      </w:r>
      <w:r>
        <w:rPr>
          <w:rFonts w:ascii="宋体" w:hAnsi="宋体" w:cs="宋体"/>
          <w:color w:val="auto"/>
          <w:spacing w:val="2"/>
          <w:szCs w:val="21"/>
          <w:highlight w:val="none"/>
        </w:rPr>
        <w:t>示规定对</w:t>
      </w:r>
      <w:r>
        <w:rPr>
          <w:rFonts w:ascii="宋体" w:hAnsi="宋体" w:cs="宋体"/>
          <w:color w:val="auto"/>
          <w:szCs w:val="21"/>
          <w:highlight w:val="none"/>
        </w:rPr>
        <w:t xml:space="preserve"> 合同签订等信息进行公示公开，依法应当保护的商业秘</w:t>
      </w:r>
      <w:r>
        <w:rPr>
          <w:rFonts w:ascii="宋体" w:hAnsi="宋体" w:cs="宋体"/>
          <w:color w:val="auto"/>
          <w:spacing w:val="-1"/>
          <w:szCs w:val="21"/>
          <w:highlight w:val="none"/>
        </w:rPr>
        <w:t>密除外。</w:t>
      </w:r>
    </w:p>
    <w:p w14:paraId="1AAA7659">
      <w:pPr>
        <w:spacing w:before="47" w:line="232" w:lineRule="auto"/>
        <w:ind w:left="29"/>
        <w:outlineLvl w:val="1"/>
        <w:rPr>
          <w:rFonts w:ascii="黑体" w:hAnsi="黑体" w:eastAsia="黑体" w:cs="黑体"/>
          <w:color w:val="auto"/>
          <w:sz w:val="28"/>
          <w:szCs w:val="28"/>
          <w:highlight w:val="none"/>
        </w:rPr>
      </w:pPr>
      <w:bookmarkStart w:id="161" w:name="bookmark75"/>
      <w:bookmarkEnd w:id="161"/>
      <w:bookmarkStart w:id="162" w:name="bookmark74"/>
      <w:bookmarkEnd w:id="162"/>
      <w:bookmarkStart w:id="163" w:name="_Toc27622"/>
      <w:bookmarkStart w:id="164" w:name="_Toc16942"/>
      <w:r>
        <w:rPr>
          <w:rFonts w:eastAsia="Times New Roman"/>
          <w:color w:val="auto"/>
          <w:spacing w:val="-1"/>
          <w:sz w:val="28"/>
          <w:szCs w:val="28"/>
          <w:highlight w:val="none"/>
        </w:rPr>
        <w:t xml:space="preserve">8.  </w:t>
      </w:r>
      <w:r>
        <w:rPr>
          <w:rFonts w:ascii="黑体" w:hAnsi="黑体" w:eastAsia="黑体" w:cs="黑体"/>
          <w:color w:val="auto"/>
          <w:spacing w:val="-1"/>
          <w:sz w:val="28"/>
          <w:szCs w:val="28"/>
          <w:highlight w:val="none"/>
        </w:rPr>
        <w:t>重新招标、不再招标和终止招标</w:t>
      </w:r>
      <w:bookmarkEnd w:id="163"/>
      <w:bookmarkEnd w:id="164"/>
    </w:p>
    <w:p w14:paraId="7FFD6F02">
      <w:pPr>
        <w:spacing w:before="42" w:line="218" w:lineRule="auto"/>
        <w:ind w:left="136"/>
        <w:outlineLvl w:val="2"/>
        <w:rPr>
          <w:rFonts w:ascii="黑体" w:hAnsi="黑体" w:eastAsia="黑体" w:cs="黑体"/>
          <w:color w:val="auto"/>
          <w:sz w:val="24"/>
          <w:highlight w:val="none"/>
        </w:rPr>
      </w:pPr>
      <w:bookmarkStart w:id="165" w:name="bookmark397"/>
      <w:bookmarkEnd w:id="165"/>
      <w:bookmarkStart w:id="166" w:name="_Toc28390"/>
      <w:r>
        <w:rPr>
          <w:rFonts w:ascii="黑体" w:hAnsi="黑体" w:eastAsia="黑体" w:cs="黑体"/>
          <w:color w:val="auto"/>
          <w:spacing w:val="-3"/>
          <w:sz w:val="24"/>
          <w:highlight w:val="none"/>
        </w:rPr>
        <w:t>8.1重新招标</w:t>
      </w:r>
      <w:bookmarkEnd w:id="166"/>
    </w:p>
    <w:p w14:paraId="67E167C8">
      <w:pPr>
        <w:spacing w:before="101" w:line="221" w:lineRule="auto"/>
        <w:ind w:left="381"/>
        <w:rPr>
          <w:rFonts w:ascii="宋体" w:hAnsi="宋体" w:cs="宋体"/>
          <w:color w:val="auto"/>
          <w:szCs w:val="21"/>
          <w:highlight w:val="none"/>
        </w:rPr>
      </w:pPr>
      <w:r>
        <w:rPr>
          <w:rFonts w:ascii="宋体" w:hAnsi="宋体" w:cs="宋体"/>
          <w:color w:val="auto"/>
          <w:spacing w:val="-2"/>
          <w:szCs w:val="21"/>
          <w:highlight w:val="none"/>
        </w:rPr>
        <w:t>有下列情形之一的，招标人将重新招标：</w:t>
      </w:r>
    </w:p>
    <w:p w14:paraId="71CA9317">
      <w:pPr>
        <w:spacing w:before="110" w:line="234" w:lineRule="auto"/>
        <w:ind w:left="386"/>
        <w:rPr>
          <w:rFonts w:ascii="宋体" w:hAnsi="宋体" w:cs="宋体"/>
          <w:color w:val="auto"/>
          <w:szCs w:val="21"/>
          <w:highlight w:val="none"/>
        </w:rPr>
      </w:pPr>
      <w:r>
        <w:rPr>
          <w:rFonts w:ascii="宋体" w:hAnsi="宋体" w:cs="宋体"/>
          <w:color w:val="auto"/>
          <w:spacing w:val="-1"/>
          <w:szCs w:val="21"/>
          <w:highlight w:val="none"/>
        </w:rPr>
        <w:t>（</w:t>
      </w:r>
      <w:r>
        <w:rPr>
          <w:rFonts w:eastAsia="Times New Roman"/>
          <w:color w:val="auto"/>
          <w:spacing w:val="-1"/>
          <w:szCs w:val="21"/>
          <w:highlight w:val="none"/>
        </w:rPr>
        <w:t>1</w:t>
      </w:r>
      <w:r>
        <w:rPr>
          <w:rFonts w:ascii="宋体" w:hAnsi="宋体" w:cs="宋体"/>
          <w:color w:val="auto"/>
          <w:spacing w:val="-1"/>
          <w:szCs w:val="21"/>
          <w:highlight w:val="none"/>
        </w:rPr>
        <w:t>）投标截止时间止，投标人少于</w:t>
      </w:r>
      <w:r>
        <w:rPr>
          <w:rFonts w:eastAsia="Times New Roman"/>
          <w:color w:val="auto"/>
          <w:spacing w:val="-1"/>
          <w:szCs w:val="21"/>
          <w:highlight w:val="none"/>
        </w:rPr>
        <w:t xml:space="preserve">3 </w:t>
      </w:r>
      <w:r>
        <w:rPr>
          <w:rFonts w:ascii="宋体" w:hAnsi="宋体" w:cs="宋体"/>
          <w:color w:val="auto"/>
          <w:spacing w:val="-1"/>
          <w:szCs w:val="21"/>
          <w:highlight w:val="none"/>
        </w:rPr>
        <w:t>个的；</w:t>
      </w:r>
    </w:p>
    <w:p w14:paraId="75B91694">
      <w:pPr>
        <w:spacing w:before="93" w:line="234" w:lineRule="auto"/>
        <w:ind w:left="386"/>
        <w:rPr>
          <w:rFonts w:ascii="宋体" w:hAnsi="宋体" w:cs="宋体"/>
          <w:color w:val="auto"/>
          <w:szCs w:val="21"/>
          <w:highlight w:val="none"/>
        </w:rPr>
      </w:pPr>
      <w:r>
        <w:rPr>
          <w:rFonts w:ascii="宋体" w:hAnsi="宋体" w:cs="宋体"/>
          <w:color w:val="auto"/>
          <w:spacing w:val="-1"/>
          <w:szCs w:val="21"/>
          <w:highlight w:val="none"/>
        </w:rPr>
        <w:t>（</w:t>
      </w:r>
      <w:r>
        <w:rPr>
          <w:rFonts w:eastAsia="Times New Roman"/>
          <w:color w:val="auto"/>
          <w:spacing w:val="-1"/>
          <w:szCs w:val="21"/>
          <w:highlight w:val="none"/>
        </w:rPr>
        <w:t>2</w:t>
      </w:r>
      <w:r>
        <w:rPr>
          <w:rFonts w:ascii="宋体" w:hAnsi="宋体" w:cs="宋体"/>
          <w:color w:val="auto"/>
          <w:spacing w:val="-1"/>
          <w:szCs w:val="21"/>
          <w:highlight w:val="none"/>
        </w:rPr>
        <w:t>）经评标委员会评审后否决所有投标的；</w:t>
      </w:r>
    </w:p>
    <w:p w14:paraId="70F70A27">
      <w:pPr>
        <w:spacing w:before="116" w:line="234" w:lineRule="auto"/>
        <w:ind w:left="386"/>
        <w:rPr>
          <w:rFonts w:ascii="宋体" w:hAnsi="宋体" w:cs="宋体"/>
          <w:color w:val="auto"/>
          <w:spacing w:val="-1"/>
          <w:szCs w:val="21"/>
          <w:highlight w:val="none"/>
        </w:rPr>
      </w:pPr>
      <w:r>
        <w:rPr>
          <w:rFonts w:ascii="宋体" w:hAnsi="宋体" w:cs="宋体"/>
          <w:color w:val="auto"/>
          <w:spacing w:val="-1"/>
          <w:szCs w:val="21"/>
          <w:highlight w:val="none"/>
        </w:rPr>
        <w:t>（</w:t>
      </w:r>
      <w:r>
        <w:rPr>
          <w:rFonts w:eastAsia="Times New Roman"/>
          <w:color w:val="auto"/>
          <w:spacing w:val="-1"/>
          <w:szCs w:val="21"/>
          <w:highlight w:val="none"/>
        </w:rPr>
        <w:t>3</w:t>
      </w:r>
      <w:r>
        <w:rPr>
          <w:rFonts w:ascii="宋体" w:hAnsi="宋体" w:cs="宋体"/>
          <w:color w:val="auto"/>
          <w:spacing w:val="-1"/>
          <w:szCs w:val="21"/>
          <w:highlight w:val="none"/>
        </w:rPr>
        <w:t>）第一中标候选人或所有中标候选人存在不同程度的问题，不能签订合同的；</w:t>
      </w:r>
    </w:p>
    <w:p w14:paraId="24A8AA70">
      <w:pPr>
        <w:spacing w:before="116" w:line="234" w:lineRule="auto"/>
        <w:ind w:left="386"/>
        <w:rPr>
          <w:rFonts w:ascii="宋体" w:hAnsi="宋体" w:cs="宋体"/>
          <w:color w:val="auto"/>
          <w:szCs w:val="21"/>
          <w:highlight w:val="none"/>
        </w:rPr>
      </w:pPr>
      <w:r>
        <w:rPr>
          <w:rFonts w:ascii="宋体" w:hAnsi="宋体" w:cs="宋体"/>
          <w:color w:val="auto"/>
          <w:spacing w:val="-1"/>
          <w:szCs w:val="21"/>
          <w:highlight w:val="none"/>
        </w:rPr>
        <w:t>（</w:t>
      </w:r>
      <w:r>
        <w:rPr>
          <w:rFonts w:eastAsia="Times New Roman"/>
          <w:color w:val="auto"/>
          <w:spacing w:val="-1"/>
          <w:szCs w:val="21"/>
          <w:highlight w:val="none"/>
        </w:rPr>
        <w:t>4</w:t>
      </w:r>
      <w:r>
        <w:rPr>
          <w:rFonts w:ascii="宋体" w:hAnsi="宋体" w:cs="宋体"/>
          <w:color w:val="auto"/>
          <w:spacing w:val="-1"/>
          <w:szCs w:val="21"/>
          <w:highlight w:val="none"/>
        </w:rPr>
        <w:t>）在投标有效期内同意延长投标有效期的投标人少于三个的；</w:t>
      </w:r>
    </w:p>
    <w:p w14:paraId="213B5D8A">
      <w:pPr>
        <w:spacing w:before="93" w:line="234" w:lineRule="auto"/>
        <w:ind w:left="386"/>
        <w:rPr>
          <w:rFonts w:ascii="宋体" w:hAnsi="宋体" w:cs="宋体"/>
          <w:color w:val="auto"/>
          <w:szCs w:val="21"/>
          <w:highlight w:val="none"/>
        </w:rPr>
      </w:pPr>
      <w:r>
        <w:rPr>
          <w:rFonts w:ascii="宋体" w:hAnsi="宋体" w:cs="宋体"/>
          <w:color w:val="auto"/>
          <w:spacing w:val="-1"/>
          <w:szCs w:val="21"/>
          <w:highlight w:val="none"/>
        </w:rPr>
        <w:t>（</w:t>
      </w:r>
      <w:r>
        <w:rPr>
          <w:rFonts w:eastAsia="Times New Roman"/>
          <w:color w:val="auto"/>
          <w:spacing w:val="-1"/>
          <w:szCs w:val="21"/>
          <w:highlight w:val="none"/>
        </w:rPr>
        <w:t>5</w:t>
      </w:r>
      <w:r>
        <w:rPr>
          <w:rFonts w:ascii="宋体" w:hAnsi="宋体" w:cs="宋体"/>
          <w:color w:val="auto"/>
          <w:spacing w:val="-1"/>
          <w:szCs w:val="21"/>
          <w:highlight w:val="none"/>
        </w:rPr>
        <w:t>）法律、法规规定的其他情形。</w:t>
      </w:r>
    </w:p>
    <w:p w14:paraId="1611E07B">
      <w:pPr>
        <w:spacing w:before="68" w:line="219" w:lineRule="auto"/>
        <w:ind w:left="136"/>
        <w:outlineLvl w:val="2"/>
        <w:rPr>
          <w:rFonts w:ascii="黑体" w:hAnsi="黑体" w:eastAsia="黑体" w:cs="黑体"/>
          <w:color w:val="auto"/>
          <w:sz w:val="24"/>
          <w:highlight w:val="none"/>
        </w:rPr>
      </w:pPr>
      <w:bookmarkStart w:id="167" w:name="bookmark76"/>
      <w:bookmarkEnd w:id="167"/>
      <w:bookmarkStart w:id="168" w:name="_Toc22051"/>
      <w:r>
        <w:rPr>
          <w:rFonts w:ascii="黑体" w:hAnsi="黑体" w:eastAsia="黑体" w:cs="黑体"/>
          <w:color w:val="auto"/>
          <w:spacing w:val="-3"/>
          <w:sz w:val="24"/>
          <w:highlight w:val="none"/>
        </w:rPr>
        <w:t>8.2不再招标</w:t>
      </w:r>
      <w:bookmarkEnd w:id="168"/>
    </w:p>
    <w:p w14:paraId="6DA23767">
      <w:pPr>
        <w:spacing w:before="99" w:line="306" w:lineRule="auto"/>
        <w:ind w:left="23" w:right="167" w:firstLine="417"/>
        <w:rPr>
          <w:rFonts w:ascii="宋体" w:hAnsi="宋体" w:cs="宋体"/>
          <w:color w:val="auto"/>
          <w:szCs w:val="21"/>
          <w:highlight w:val="none"/>
        </w:rPr>
      </w:pPr>
      <w:r>
        <w:rPr>
          <w:rFonts w:ascii="宋体" w:hAnsi="宋体" w:cs="宋体"/>
          <w:color w:val="auto"/>
          <w:szCs w:val="21"/>
          <w:highlight w:val="none"/>
        </w:rPr>
        <w:t xml:space="preserve">重新招标后投标人仍少于 </w:t>
      </w:r>
      <w:r>
        <w:rPr>
          <w:rFonts w:eastAsia="Times New Roman"/>
          <w:color w:val="auto"/>
          <w:szCs w:val="21"/>
          <w:highlight w:val="none"/>
        </w:rPr>
        <w:t xml:space="preserve">3  </w:t>
      </w:r>
      <w:r>
        <w:rPr>
          <w:rFonts w:ascii="宋体" w:hAnsi="宋体" w:cs="宋体"/>
          <w:color w:val="auto"/>
          <w:szCs w:val="21"/>
          <w:highlight w:val="none"/>
        </w:rPr>
        <w:t>个或者所有投标被否决的，属于必须审批或核准的工程建</w:t>
      </w:r>
      <w:r>
        <w:rPr>
          <w:rFonts w:ascii="宋体" w:hAnsi="宋体" w:cs="宋体"/>
          <w:color w:val="auto"/>
          <w:spacing w:val="-1"/>
          <w:szCs w:val="21"/>
          <w:highlight w:val="none"/>
        </w:rPr>
        <w:t>设项目，经原审批或核准部门批准后不再进行招标。</w:t>
      </w:r>
    </w:p>
    <w:p w14:paraId="5879972E">
      <w:pPr>
        <w:spacing w:line="220" w:lineRule="auto"/>
        <w:ind w:left="136"/>
        <w:outlineLvl w:val="2"/>
        <w:rPr>
          <w:rFonts w:ascii="黑体" w:hAnsi="黑体" w:eastAsia="黑体" w:cs="黑体"/>
          <w:color w:val="auto"/>
          <w:sz w:val="24"/>
          <w:highlight w:val="none"/>
        </w:rPr>
      </w:pPr>
      <w:bookmarkStart w:id="169" w:name="bookmark77"/>
      <w:bookmarkEnd w:id="169"/>
      <w:bookmarkStart w:id="170" w:name="_Toc2975"/>
      <w:r>
        <w:rPr>
          <w:rFonts w:ascii="黑体" w:hAnsi="黑体" w:eastAsia="黑体" w:cs="黑体"/>
          <w:color w:val="auto"/>
          <w:spacing w:val="-1"/>
          <w:sz w:val="24"/>
          <w:highlight w:val="none"/>
        </w:rPr>
        <w:t>8.3 终止招标</w:t>
      </w:r>
      <w:bookmarkEnd w:id="170"/>
    </w:p>
    <w:p w14:paraId="45D7973D">
      <w:pPr>
        <w:spacing w:before="96" w:line="320" w:lineRule="auto"/>
        <w:ind w:left="22" w:right="170" w:firstLine="433"/>
        <w:rPr>
          <w:rFonts w:ascii="宋体" w:hAnsi="宋体" w:cs="宋体"/>
          <w:color w:val="auto"/>
          <w:szCs w:val="21"/>
          <w:highlight w:val="none"/>
        </w:rPr>
      </w:pPr>
      <w:r>
        <w:rPr>
          <w:rFonts w:ascii="宋体" w:hAnsi="宋体" w:cs="宋体"/>
          <w:color w:val="auto"/>
          <w:spacing w:val="2"/>
          <w:szCs w:val="21"/>
          <w:highlight w:val="none"/>
        </w:rPr>
        <w:t>因不可抗力等原因，招标人终止招标的，将通过法定公告公示信息发布媒介、电子交</w:t>
      </w:r>
      <w:r>
        <w:rPr>
          <w:rFonts w:ascii="宋体" w:hAnsi="宋体" w:cs="宋体"/>
          <w:color w:val="auto"/>
          <w:spacing w:val="3"/>
          <w:szCs w:val="21"/>
          <w:highlight w:val="none"/>
        </w:rPr>
        <w:t>易系统等渠道及时发布公告，或者以书面形式通知被邀请的或者已经获取招标</w:t>
      </w:r>
      <w:r>
        <w:rPr>
          <w:rFonts w:ascii="宋体" w:hAnsi="宋体" w:cs="宋体"/>
          <w:color w:val="auto"/>
          <w:spacing w:val="2"/>
          <w:szCs w:val="21"/>
          <w:highlight w:val="none"/>
        </w:rPr>
        <w:t>文件的潜在</w:t>
      </w:r>
      <w:r>
        <w:rPr>
          <w:rFonts w:ascii="宋体" w:hAnsi="宋体" w:cs="宋体"/>
          <w:color w:val="auto"/>
          <w:spacing w:val="3"/>
          <w:szCs w:val="21"/>
          <w:highlight w:val="none"/>
        </w:rPr>
        <w:t>投标人。已经收取投标保证金的，招标人将及时退还所收取投标保证金及银行</w:t>
      </w:r>
      <w:r>
        <w:rPr>
          <w:rFonts w:ascii="宋体" w:hAnsi="宋体" w:cs="宋体"/>
          <w:color w:val="auto"/>
          <w:spacing w:val="2"/>
          <w:szCs w:val="21"/>
          <w:highlight w:val="none"/>
        </w:rPr>
        <w:t>同期存款利</w:t>
      </w:r>
      <w:r>
        <w:rPr>
          <w:rFonts w:ascii="宋体" w:hAnsi="宋体" w:cs="宋体"/>
          <w:color w:val="auto"/>
          <w:spacing w:val="-10"/>
          <w:szCs w:val="21"/>
          <w:highlight w:val="none"/>
        </w:rPr>
        <w:t>息。</w:t>
      </w:r>
    </w:p>
    <w:p w14:paraId="3F8B15D3">
      <w:pPr>
        <w:spacing w:before="28" w:line="232" w:lineRule="auto"/>
        <w:ind w:left="23"/>
        <w:outlineLvl w:val="1"/>
        <w:rPr>
          <w:rFonts w:ascii="黑体" w:hAnsi="黑体" w:eastAsia="黑体" w:cs="黑体"/>
          <w:color w:val="auto"/>
          <w:sz w:val="28"/>
          <w:szCs w:val="28"/>
          <w:highlight w:val="none"/>
        </w:rPr>
      </w:pPr>
      <w:bookmarkStart w:id="171" w:name="bookmark79"/>
      <w:bookmarkEnd w:id="171"/>
      <w:bookmarkStart w:id="172" w:name="bookmark78"/>
      <w:bookmarkEnd w:id="172"/>
      <w:bookmarkStart w:id="173" w:name="_Toc13756"/>
      <w:bookmarkStart w:id="174" w:name="_Toc7015"/>
      <w:r>
        <w:rPr>
          <w:rFonts w:eastAsia="Times New Roman"/>
          <w:color w:val="auto"/>
          <w:spacing w:val="-4"/>
          <w:sz w:val="28"/>
          <w:szCs w:val="28"/>
          <w:highlight w:val="none"/>
        </w:rPr>
        <w:t>9</w:t>
      </w:r>
      <w:r>
        <w:rPr>
          <w:rFonts w:hint="eastAsia"/>
          <w:color w:val="auto"/>
          <w:spacing w:val="-4"/>
          <w:sz w:val="28"/>
          <w:szCs w:val="28"/>
          <w:highlight w:val="none"/>
          <w:lang w:val="en-US" w:eastAsia="zh-CN"/>
        </w:rPr>
        <w:t>.</w:t>
      </w:r>
      <w:r>
        <w:rPr>
          <w:rFonts w:ascii="黑体" w:hAnsi="黑体" w:eastAsia="黑体" w:cs="黑体"/>
          <w:color w:val="auto"/>
          <w:spacing w:val="-4"/>
          <w:sz w:val="28"/>
          <w:szCs w:val="28"/>
          <w:highlight w:val="none"/>
        </w:rPr>
        <w:t>纪律和监督</w:t>
      </w:r>
      <w:bookmarkEnd w:id="173"/>
      <w:bookmarkEnd w:id="174"/>
    </w:p>
    <w:p w14:paraId="23CBE5B8">
      <w:pPr>
        <w:spacing w:before="42" w:line="220" w:lineRule="auto"/>
        <w:ind w:left="132"/>
        <w:outlineLvl w:val="2"/>
        <w:rPr>
          <w:rFonts w:ascii="黑体" w:hAnsi="黑体" w:eastAsia="黑体" w:cs="黑体"/>
          <w:color w:val="auto"/>
          <w:sz w:val="24"/>
          <w:highlight w:val="none"/>
        </w:rPr>
      </w:pPr>
      <w:bookmarkStart w:id="175" w:name="bookmark398"/>
      <w:bookmarkEnd w:id="175"/>
      <w:bookmarkStart w:id="176" w:name="_Toc29478"/>
      <w:r>
        <w:rPr>
          <w:rFonts w:ascii="黑体" w:hAnsi="黑体" w:eastAsia="黑体" w:cs="黑体"/>
          <w:color w:val="auto"/>
          <w:spacing w:val="-1"/>
          <w:sz w:val="24"/>
          <w:highlight w:val="none"/>
        </w:rPr>
        <w:t>9.1 对招标人的纪律要求</w:t>
      </w:r>
      <w:bookmarkEnd w:id="176"/>
    </w:p>
    <w:p w14:paraId="3D0A8EBB">
      <w:pPr>
        <w:spacing w:before="130" w:line="327" w:lineRule="auto"/>
        <w:ind w:left="21" w:right="170" w:firstLine="419"/>
        <w:rPr>
          <w:rFonts w:ascii="宋体" w:hAnsi="宋体" w:cs="宋体"/>
          <w:color w:val="auto"/>
          <w:szCs w:val="21"/>
          <w:highlight w:val="none"/>
        </w:rPr>
      </w:pPr>
      <w:r>
        <w:rPr>
          <w:rFonts w:ascii="宋体" w:hAnsi="宋体" w:cs="宋体"/>
          <w:color w:val="auto"/>
          <w:spacing w:val="3"/>
          <w:szCs w:val="21"/>
          <w:highlight w:val="none"/>
        </w:rPr>
        <w:t>招标人不得泄漏招标投标活动中应当保密的情况和资料，不得与投标人串通损害国家</w:t>
      </w:r>
      <w:r>
        <w:rPr>
          <w:rFonts w:ascii="宋体" w:hAnsi="宋体" w:cs="宋体"/>
          <w:color w:val="auto"/>
          <w:spacing w:val="-2"/>
          <w:szCs w:val="21"/>
          <w:highlight w:val="none"/>
        </w:rPr>
        <w:t>利益、社会公共利益或者他人合法权益。</w:t>
      </w:r>
    </w:p>
    <w:p w14:paraId="2A50952C">
      <w:pPr>
        <w:spacing w:before="1" w:line="219" w:lineRule="auto"/>
        <w:ind w:left="132"/>
        <w:outlineLvl w:val="2"/>
        <w:rPr>
          <w:rFonts w:ascii="黑体" w:hAnsi="黑体" w:eastAsia="黑体" w:cs="黑体"/>
          <w:color w:val="auto"/>
          <w:sz w:val="24"/>
          <w:highlight w:val="none"/>
        </w:rPr>
      </w:pPr>
      <w:bookmarkStart w:id="177" w:name="bookmark80"/>
      <w:bookmarkEnd w:id="177"/>
      <w:bookmarkStart w:id="178" w:name="_Toc30042"/>
      <w:r>
        <w:rPr>
          <w:rFonts w:ascii="黑体" w:hAnsi="黑体" w:eastAsia="黑体" w:cs="黑体"/>
          <w:color w:val="auto"/>
          <w:spacing w:val="-1"/>
          <w:sz w:val="24"/>
          <w:highlight w:val="none"/>
        </w:rPr>
        <w:t>9.2 对投标人的纪律要求</w:t>
      </w:r>
      <w:bookmarkEnd w:id="178"/>
    </w:p>
    <w:p w14:paraId="262EA165">
      <w:pPr>
        <w:spacing w:before="132" w:line="335" w:lineRule="auto"/>
        <w:ind w:left="23" w:right="170" w:firstLine="419"/>
        <w:rPr>
          <w:rFonts w:ascii="宋体" w:hAnsi="宋体" w:cs="宋体"/>
          <w:color w:val="auto"/>
          <w:szCs w:val="21"/>
          <w:highlight w:val="none"/>
        </w:rPr>
      </w:pPr>
      <w:r>
        <w:rPr>
          <w:rFonts w:ascii="宋体" w:hAnsi="宋体" w:cs="宋体"/>
          <w:color w:val="auto"/>
          <w:spacing w:val="2"/>
          <w:szCs w:val="21"/>
          <w:highlight w:val="none"/>
        </w:rPr>
        <w:t>投标人不得相互串通投标或者与招标人串通投标，不得向招</w:t>
      </w:r>
      <w:r>
        <w:rPr>
          <w:rFonts w:ascii="宋体" w:hAnsi="宋体" w:cs="宋体"/>
          <w:color w:val="auto"/>
          <w:spacing w:val="1"/>
          <w:szCs w:val="21"/>
          <w:highlight w:val="none"/>
        </w:rPr>
        <w:t>标人或者评标委员会成员</w:t>
      </w:r>
      <w:r>
        <w:rPr>
          <w:rFonts w:ascii="宋体" w:hAnsi="宋体" w:cs="宋体"/>
          <w:color w:val="auto"/>
          <w:spacing w:val="3"/>
          <w:szCs w:val="21"/>
          <w:highlight w:val="none"/>
        </w:rPr>
        <w:t>行贿谋取中标，不得以他人名义投标或者以其他方式弄虚作假骗取中标；投</w:t>
      </w:r>
      <w:r>
        <w:rPr>
          <w:rFonts w:ascii="宋体" w:hAnsi="宋体" w:cs="宋体"/>
          <w:color w:val="auto"/>
          <w:spacing w:val="2"/>
          <w:szCs w:val="21"/>
          <w:highlight w:val="none"/>
        </w:rPr>
        <w:t>标人不得以任</w:t>
      </w:r>
      <w:r>
        <w:rPr>
          <w:rFonts w:ascii="宋体" w:hAnsi="宋体" w:cs="宋体"/>
          <w:color w:val="auto"/>
          <w:spacing w:val="-2"/>
          <w:szCs w:val="21"/>
          <w:highlight w:val="none"/>
        </w:rPr>
        <w:t>何方式干扰、影响评标工作。</w:t>
      </w:r>
    </w:p>
    <w:p w14:paraId="698E30DB">
      <w:pPr>
        <w:spacing w:line="218" w:lineRule="auto"/>
        <w:ind w:left="132"/>
        <w:outlineLvl w:val="2"/>
        <w:rPr>
          <w:rFonts w:ascii="黑体" w:hAnsi="黑体" w:eastAsia="黑体" w:cs="黑体"/>
          <w:color w:val="auto"/>
          <w:sz w:val="24"/>
          <w:highlight w:val="none"/>
        </w:rPr>
      </w:pPr>
      <w:bookmarkStart w:id="179" w:name="bookmark81"/>
      <w:bookmarkEnd w:id="179"/>
      <w:bookmarkStart w:id="180" w:name="_Toc13914"/>
      <w:r>
        <w:rPr>
          <w:rFonts w:ascii="黑体" w:hAnsi="黑体" w:eastAsia="黑体" w:cs="黑体"/>
          <w:color w:val="auto"/>
          <w:spacing w:val="-1"/>
          <w:sz w:val="24"/>
          <w:highlight w:val="none"/>
        </w:rPr>
        <w:t>9.3 对评标委员会成员的纪律要求</w:t>
      </w:r>
      <w:bookmarkEnd w:id="180"/>
    </w:p>
    <w:p w14:paraId="3881C8B0">
      <w:pPr>
        <w:spacing w:before="132" w:line="352" w:lineRule="auto"/>
        <w:ind w:left="21" w:right="170" w:firstLine="418"/>
        <w:rPr>
          <w:rFonts w:ascii="宋体" w:hAnsi="宋体" w:cs="宋体"/>
          <w:color w:val="auto"/>
          <w:szCs w:val="21"/>
          <w:highlight w:val="none"/>
        </w:rPr>
      </w:pPr>
      <w:r>
        <w:rPr>
          <w:rFonts w:ascii="宋体" w:hAnsi="宋体" w:cs="宋体"/>
          <w:color w:val="auto"/>
          <w:spacing w:val="3"/>
          <w:szCs w:val="21"/>
          <w:highlight w:val="none"/>
        </w:rPr>
        <w:t>评标委员会应当根据招标文件规定的评标标准和方法，对投标文件进行系统地评审和比较，第三章“评标办法”没有规定的评审因素和标准不能作为评标依据。评标</w:t>
      </w:r>
      <w:r>
        <w:rPr>
          <w:rFonts w:ascii="宋体" w:hAnsi="宋体" w:cs="宋体"/>
          <w:color w:val="auto"/>
          <w:spacing w:val="2"/>
          <w:szCs w:val="21"/>
          <w:highlight w:val="none"/>
        </w:rPr>
        <w:t>委员会成</w:t>
      </w:r>
      <w:r>
        <w:rPr>
          <w:rFonts w:ascii="宋体" w:hAnsi="宋体" w:cs="宋体"/>
          <w:color w:val="auto"/>
          <w:spacing w:val="3"/>
          <w:szCs w:val="21"/>
          <w:highlight w:val="none"/>
        </w:rPr>
        <w:t>员不得对其他评标委员会成员的独立评审施加不当影响，不得与任何投标人或者</w:t>
      </w:r>
      <w:r>
        <w:rPr>
          <w:rFonts w:ascii="宋体" w:hAnsi="宋体" w:cs="宋体"/>
          <w:color w:val="auto"/>
          <w:spacing w:val="2"/>
          <w:szCs w:val="21"/>
          <w:highlight w:val="none"/>
        </w:rPr>
        <w:t>与招标结</w:t>
      </w:r>
      <w:r>
        <w:rPr>
          <w:rFonts w:ascii="宋体" w:hAnsi="宋体" w:cs="宋体"/>
          <w:color w:val="auto"/>
          <w:spacing w:val="3"/>
          <w:szCs w:val="21"/>
          <w:highlight w:val="none"/>
        </w:rPr>
        <w:t>果有利害关系的人进行私下接触，不得收受投标人、中介人、其他利害关系人的</w:t>
      </w:r>
      <w:r>
        <w:rPr>
          <w:rFonts w:ascii="宋体" w:hAnsi="宋体" w:cs="宋体"/>
          <w:color w:val="auto"/>
          <w:spacing w:val="2"/>
          <w:szCs w:val="21"/>
          <w:highlight w:val="none"/>
        </w:rPr>
        <w:t>财物或者</w:t>
      </w:r>
      <w:r>
        <w:rPr>
          <w:rFonts w:ascii="宋体" w:hAnsi="宋体" w:cs="宋体"/>
          <w:color w:val="auto"/>
          <w:spacing w:val="3"/>
          <w:szCs w:val="21"/>
          <w:highlight w:val="none"/>
        </w:rPr>
        <w:t>其他好处，不得向他人透漏对投标文件的评审和比较、中标候选人的推荐情况以</w:t>
      </w:r>
      <w:r>
        <w:rPr>
          <w:rFonts w:ascii="宋体" w:hAnsi="宋体" w:cs="宋体"/>
          <w:color w:val="auto"/>
          <w:spacing w:val="2"/>
          <w:szCs w:val="21"/>
          <w:highlight w:val="none"/>
        </w:rPr>
        <w:t>及评标有关的其他情况。在评标活动中，评标委员会成员不得应当回避而不回</w:t>
      </w:r>
      <w:r>
        <w:rPr>
          <w:rFonts w:ascii="宋体" w:hAnsi="宋体" w:cs="宋体"/>
          <w:color w:val="auto"/>
          <w:spacing w:val="1"/>
          <w:szCs w:val="21"/>
          <w:highlight w:val="none"/>
        </w:rPr>
        <w:t>避，不得擅离职守，</w:t>
      </w:r>
      <w:r>
        <w:rPr>
          <w:rFonts w:ascii="宋体" w:hAnsi="宋体" w:cs="宋体"/>
          <w:color w:val="auto"/>
          <w:spacing w:val="3"/>
          <w:szCs w:val="21"/>
          <w:highlight w:val="none"/>
        </w:rPr>
        <w:t>影响评标程序正常进行，不得向招标人征询其确定中标人的意向，不得接受</w:t>
      </w:r>
      <w:r>
        <w:rPr>
          <w:rFonts w:ascii="宋体" w:hAnsi="宋体" w:cs="宋体"/>
          <w:color w:val="auto"/>
          <w:spacing w:val="2"/>
          <w:szCs w:val="21"/>
          <w:highlight w:val="none"/>
        </w:rPr>
        <w:t>任何单位或者</w:t>
      </w:r>
      <w:r>
        <w:rPr>
          <w:rFonts w:ascii="宋体" w:hAnsi="宋体" w:cs="宋体"/>
          <w:color w:val="auto"/>
          <w:spacing w:val="3"/>
          <w:szCs w:val="21"/>
          <w:highlight w:val="none"/>
        </w:rPr>
        <w:t>个人明示或者暗示提出的倾向或者排斥特定投标人的要求，不得对依法应当否决的</w:t>
      </w:r>
      <w:r>
        <w:rPr>
          <w:rFonts w:ascii="宋体" w:hAnsi="宋体" w:cs="宋体"/>
          <w:color w:val="auto"/>
          <w:spacing w:val="2"/>
          <w:szCs w:val="21"/>
          <w:highlight w:val="none"/>
        </w:rPr>
        <w:t>投标不提出否决意见，不得暗示或者诱导投标人作出澄清、说明或者接受投标人主动提</w:t>
      </w:r>
      <w:r>
        <w:rPr>
          <w:rFonts w:ascii="宋体" w:hAnsi="宋体" w:cs="宋体"/>
          <w:color w:val="auto"/>
          <w:spacing w:val="1"/>
          <w:szCs w:val="21"/>
          <w:highlight w:val="none"/>
        </w:rPr>
        <w:t>出的澄清、</w:t>
      </w:r>
      <w:r>
        <w:rPr>
          <w:rFonts w:ascii="宋体" w:hAnsi="宋体" w:cs="宋体"/>
          <w:color w:val="auto"/>
          <w:spacing w:val="3"/>
          <w:szCs w:val="21"/>
          <w:highlight w:val="none"/>
        </w:rPr>
        <w:t>说明，不得敷衍塞责随意评标，不得在合法的评标劳务费之外额外索取、接受报酬</w:t>
      </w:r>
      <w:r>
        <w:rPr>
          <w:rFonts w:ascii="宋体" w:hAnsi="宋体" w:cs="宋体"/>
          <w:color w:val="auto"/>
          <w:spacing w:val="2"/>
          <w:szCs w:val="21"/>
          <w:highlight w:val="none"/>
        </w:rPr>
        <w:t>或者其</w:t>
      </w:r>
      <w:r>
        <w:rPr>
          <w:rFonts w:ascii="宋体" w:hAnsi="宋体" w:cs="宋体"/>
          <w:color w:val="auto"/>
          <w:spacing w:val="-2"/>
          <w:szCs w:val="21"/>
          <w:highlight w:val="none"/>
        </w:rPr>
        <w:t>他好处。</w:t>
      </w:r>
    </w:p>
    <w:p w14:paraId="7571460C">
      <w:pPr>
        <w:spacing w:line="218" w:lineRule="auto"/>
        <w:ind w:left="132"/>
        <w:outlineLvl w:val="2"/>
        <w:rPr>
          <w:rFonts w:ascii="黑体" w:hAnsi="黑体" w:eastAsia="黑体" w:cs="黑体"/>
          <w:color w:val="auto"/>
          <w:sz w:val="24"/>
          <w:highlight w:val="none"/>
        </w:rPr>
      </w:pPr>
      <w:bookmarkStart w:id="181" w:name="bookmark82"/>
      <w:bookmarkEnd w:id="181"/>
      <w:bookmarkStart w:id="182" w:name="_Toc30642"/>
      <w:r>
        <w:rPr>
          <w:rFonts w:ascii="黑体" w:hAnsi="黑体" w:eastAsia="黑体" w:cs="黑体"/>
          <w:color w:val="auto"/>
          <w:spacing w:val="-1"/>
          <w:sz w:val="24"/>
          <w:highlight w:val="none"/>
        </w:rPr>
        <w:t>9.4 对与评标活动有关的工作人员的纪律要求</w:t>
      </w:r>
      <w:bookmarkEnd w:id="182"/>
    </w:p>
    <w:p w14:paraId="224EADEC">
      <w:pPr>
        <w:spacing w:before="134" w:line="335" w:lineRule="auto"/>
        <w:ind w:left="21" w:right="170" w:firstLine="423"/>
        <w:rPr>
          <w:rFonts w:ascii="宋体" w:hAnsi="宋体" w:cs="宋体"/>
          <w:color w:val="auto"/>
          <w:szCs w:val="21"/>
          <w:highlight w:val="none"/>
        </w:rPr>
      </w:pPr>
      <w:r>
        <w:rPr>
          <w:rFonts w:ascii="宋体" w:hAnsi="宋体" w:cs="宋体"/>
          <w:color w:val="auto"/>
          <w:spacing w:val="3"/>
          <w:szCs w:val="21"/>
          <w:highlight w:val="none"/>
        </w:rPr>
        <w:t>与评标活动有关的工作人员不得收受他人的财物或者其他好处，不得向他人透漏对投</w:t>
      </w:r>
      <w:r>
        <w:rPr>
          <w:rFonts w:ascii="宋体" w:hAnsi="宋体" w:cs="宋体"/>
          <w:color w:val="auto"/>
          <w:spacing w:val="2"/>
          <w:szCs w:val="21"/>
          <w:highlight w:val="none"/>
        </w:rPr>
        <w:t>标文件的评审和比较、中标候选人的推荐情况以及评标有关的</w:t>
      </w:r>
      <w:r>
        <w:rPr>
          <w:rFonts w:ascii="宋体" w:hAnsi="宋体" w:cs="宋体"/>
          <w:color w:val="auto"/>
          <w:spacing w:val="1"/>
          <w:szCs w:val="21"/>
          <w:highlight w:val="none"/>
        </w:rPr>
        <w:t>其他情况。在评标活动中，</w:t>
      </w:r>
      <w:r>
        <w:rPr>
          <w:rFonts w:ascii="宋体" w:hAnsi="宋体" w:cs="宋体"/>
          <w:color w:val="auto"/>
          <w:szCs w:val="21"/>
          <w:highlight w:val="none"/>
        </w:rPr>
        <w:t xml:space="preserve"> 与评标活动有关的工作人员不得擅离职守，影响评标程序正</w:t>
      </w:r>
      <w:r>
        <w:rPr>
          <w:rFonts w:ascii="宋体" w:hAnsi="宋体" w:cs="宋体"/>
          <w:color w:val="auto"/>
          <w:spacing w:val="-1"/>
          <w:szCs w:val="21"/>
          <w:highlight w:val="none"/>
        </w:rPr>
        <w:t>常进行。</w:t>
      </w:r>
    </w:p>
    <w:p w14:paraId="49F27744">
      <w:pPr>
        <w:spacing w:line="217" w:lineRule="auto"/>
        <w:ind w:left="132"/>
        <w:outlineLvl w:val="2"/>
        <w:rPr>
          <w:rFonts w:ascii="黑体" w:hAnsi="黑体" w:eastAsia="黑体" w:cs="黑体"/>
          <w:color w:val="auto"/>
          <w:sz w:val="24"/>
          <w:highlight w:val="none"/>
        </w:rPr>
      </w:pPr>
      <w:bookmarkStart w:id="183" w:name="bookmark83"/>
      <w:bookmarkEnd w:id="183"/>
      <w:bookmarkStart w:id="184" w:name="_Toc21775"/>
      <w:r>
        <w:rPr>
          <w:rFonts w:ascii="黑体" w:hAnsi="黑体" w:eastAsia="黑体" w:cs="黑体"/>
          <w:color w:val="auto"/>
          <w:sz w:val="24"/>
          <w:highlight w:val="none"/>
        </w:rPr>
        <w:t>9.5 投诉</w:t>
      </w:r>
      <w:bookmarkEnd w:id="184"/>
    </w:p>
    <w:p w14:paraId="3B596D26">
      <w:pPr>
        <w:spacing w:before="116" w:line="315" w:lineRule="auto"/>
        <w:ind w:left="19" w:right="313" w:firstLine="423"/>
        <w:rPr>
          <w:rFonts w:ascii="宋体" w:hAnsi="宋体" w:cs="宋体"/>
          <w:color w:val="auto"/>
          <w:szCs w:val="21"/>
          <w:highlight w:val="none"/>
        </w:rPr>
      </w:pPr>
      <w:r>
        <w:rPr>
          <w:rFonts w:ascii="宋体" w:hAnsi="宋体" w:cs="宋体"/>
          <w:color w:val="auto"/>
          <w:spacing w:val="2"/>
          <w:szCs w:val="21"/>
          <w:highlight w:val="none"/>
        </w:rPr>
        <w:t>投标人和其他利害关系人认为本次招标活动违反法律、法规和规</w:t>
      </w:r>
      <w:r>
        <w:rPr>
          <w:rFonts w:ascii="宋体" w:hAnsi="宋体" w:cs="宋体"/>
          <w:color w:val="auto"/>
          <w:spacing w:val="1"/>
          <w:szCs w:val="21"/>
          <w:highlight w:val="none"/>
        </w:rPr>
        <w:t>章规定的，有权自知</w:t>
      </w:r>
      <w:r>
        <w:rPr>
          <w:rFonts w:ascii="宋体" w:hAnsi="宋体" w:cs="宋体"/>
          <w:color w:val="auto"/>
          <w:spacing w:val="-2"/>
          <w:szCs w:val="21"/>
          <w:highlight w:val="none"/>
        </w:rPr>
        <w:t>道或者应当知道之日起</w:t>
      </w:r>
      <w:r>
        <w:rPr>
          <w:rFonts w:eastAsia="Times New Roman"/>
          <w:color w:val="auto"/>
          <w:spacing w:val="-2"/>
          <w:szCs w:val="21"/>
          <w:highlight w:val="none"/>
        </w:rPr>
        <w:t>10</w:t>
      </w:r>
      <w:r>
        <w:rPr>
          <w:rFonts w:ascii="宋体" w:hAnsi="宋体" w:cs="宋体"/>
          <w:color w:val="auto"/>
          <w:spacing w:val="-2"/>
          <w:szCs w:val="21"/>
          <w:highlight w:val="none"/>
        </w:rPr>
        <w:t>日内向有关行政监督部门投诉，其中对招标文件的内容（包括最</w:t>
      </w:r>
      <w:r>
        <w:rPr>
          <w:rFonts w:ascii="宋体" w:hAnsi="宋体" w:cs="宋体"/>
          <w:color w:val="auto"/>
          <w:spacing w:val="-3"/>
          <w:szCs w:val="21"/>
          <w:highlight w:val="none"/>
        </w:rPr>
        <w:t>高投标限价）、开标、评标结果进行投诉的，应当按本章第</w:t>
      </w:r>
      <w:r>
        <w:rPr>
          <w:rFonts w:eastAsia="Times New Roman"/>
          <w:color w:val="auto"/>
          <w:spacing w:val="-3"/>
          <w:szCs w:val="21"/>
          <w:highlight w:val="none"/>
        </w:rPr>
        <w:t xml:space="preserve">2.4 </w:t>
      </w:r>
      <w:r>
        <w:rPr>
          <w:rFonts w:ascii="宋体" w:hAnsi="宋体" w:cs="宋体"/>
          <w:color w:val="auto"/>
          <w:spacing w:val="-3"/>
          <w:szCs w:val="21"/>
          <w:highlight w:val="none"/>
        </w:rPr>
        <w:t>款、第</w:t>
      </w:r>
      <w:r>
        <w:rPr>
          <w:rFonts w:eastAsia="Times New Roman"/>
          <w:color w:val="auto"/>
          <w:spacing w:val="-3"/>
          <w:szCs w:val="21"/>
          <w:highlight w:val="none"/>
        </w:rPr>
        <w:t xml:space="preserve">5.3 </w:t>
      </w:r>
      <w:r>
        <w:rPr>
          <w:rFonts w:ascii="宋体" w:hAnsi="宋体" w:cs="宋体"/>
          <w:color w:val="auto"/>
          <w:spacing w:val="-3"/>
          <w:szCs w:val="21"/>
          <w:highlight w:val="none"/>
        </w:rPr>
        <w:t>款、第</w:t>
      </w:r>
      <w:r>
        <w:rPr>
          <w:rFonts w:eastAsia="Times New Roman"/>
          <w:color w:val="auto"/>
          <w:spacing w:val="-3"/>
          <w:szCs w:val="21"/>
          <w:highlight w:val="none"/>
        </w:rPr>
        <w:t>7.</w:t>
      </w:r>
      <w:r>
        <w:rPr>
          <w:rFonts w:eastAsia="Times New Roman"/>
          <w:color w:val="auto"/>
          <w:spacing w:val="-4"/>
          <w:szCs w:val="21"/>
          <w:highlight w:val="none"/>
        </w:rPr>
        <w:t xml:space="preserve">2 </w:t>
      </w:r>
      <w:r>
        <w:rPr>
          <w:rFonts w:ascii="宋体" w:hAnsi="宋体" w:cs="宋体"/>
          <w:color w:val="auto"/>
          <w:spacing w:val="-4"/>
          <w:szCs w:val="21"/>
          <w:highlight w:val="none"/>
        </w:rPr>
        <w:t>款的规</w:t>
      </w:r>
      <w:r>
        <w:rPr>
          <w:rFonts w:ascii="宋体" w:hAnsi="宋体" w:cs="宋体"/>
          <w:color w:val="auto"/>
          <w:spacing w:val="3"/>
          <w:szCs w:val="21"/>
          <w:highlight w:val="none"/>
        </w:rPr>
        <w:t>定先向招标人提出异议后，方可向有关行政监督部门投诉，异议答复期不计算在规定</w:t>
      </w:r>
      <w:r>
        <w:rPr>
          <w:rFonts w:ascii="宋体" w:hAnsi="宋体" w:cs="宋体"/>
          <w:color w:val="auto"/>
          <w:spacing w:val="2"/>
          <w:szCs w:val="21"/>
          <w:highlight w:val="none"/>
        </w:rPr>
        <w:t>的投</w:t>
      </w:r>
      <w:r>
        <w:rPr>
          <w:rFonts w:ascii="宋体" w:hAnsi="宋体" w:cs="宋体"/>
          <w:color w:val="auto"/>
          <w:spacing w:val="-3"/>
          <w:szCs w:val="21"/>
          <w:highlight w:val="none"/>
        </w:rPr>
        <w:t>诉时效期限内。</w:t>
      </w:r>
    </w:p>
    <w:p w14:paraId="5F5D2114">
      <w:pPr>
        <w:spacing w:before="9" w:line="316" w:lineRule="auto"/>
        <w:ind w:left="37" w:right="325" w:firstLine="405"/>
        <w:rPr>
          <w:rFonts w:ascii="宋体" w:hAnsi="宋体" w:cs="宋体"/>
          <w:color w:val="auto"/>
          <w:szCs w:val="21"/>
          <w:highlight w:val="none"/>
        </w:rPr>
      </w:pPr>
      <w:r>
        <w:rPr>
          <w:rFonts w:ascii="宋体" w:hAnsi="宋体" w:cs="宋体"/>
          <w:color w:val="auto"/>
          <w:spacing w:val="3"/>
          <w:szCs w:val="21"/>
          <w:highlight w:val="none"/>
        </w:rPr>
        <w:t>投标人和其他利害关系人的投诉应按照《工程建设项目招标投标活</w:t>
      </w:r>
      <w:r>
        <w:rPr>
          <w:rFonts w:ascii="宋体" w:hAnsi="宋体" w:cs="宋体"/>
          <w:color w:val="auto"/>
          <w:spacing w:val="2"/>
          <w:szCs w:val="21"/>
          <w:highlight w:val="none"/>
        </w:rPr>
        <w:t>动投诉处理办法》</w:t>
      </w:r>
      <w:r>
        <w:rPr>
          <w:rFonts w:ascii="宋体" w:hAnsi="宋体" w:cs="宋体"/>
          <w:color w:val="auto"/>
          <w:spacing w:val="-4"/>
          <w:szCs w:val="21"/>
          <w:highlight w:val="none"/>
        </w:rPr>
        <w:t>的规定进行。</w:t>
      </w:r>
    </w:p>
    <w:p w14:paraId="5BC0F8C3">
      <w:pPr>
        <w:spacing w:line="219" w:lineRule="auto"/>
        <w:ind w:left="441"/>
        <w:rPr>
          <w:rFonts w:ascii="宋体" w:hAnsi="宋体" w:cs="宋体"/>
          <w:color w:val="auto"/>
          <w:szCs w:val="21"/>
          <w:highlight w:val="none"/>
        </w:rPr>
      </w:pPr>
      <w:r>
        <w:rPr>
          <w:rFonts w:ascii="宋体" w:hAnsi="宋体" w:cs="宋体"/>
          <w:color w:val="auto"/>
          <w:spacing w:val="-1"/>
          <w:szCs w:val="21"/>
          <w:highlight w:val="none"/>
        </w:rPr>
        <w:t>有关行政监督部门的联系方式见投标人须知前附表。</w:t>
      </w:r>
    </w:p>
    <w:p w14:paraId="6A8263FD">
      <w:pPr>
        <w:spacing w:before="150" w:line="234" w:lineRule="auto"/>
        <w:ind w:left="44"/>
        <w:outlineLvl w:val="1"/>
        <w:rPr>
          <w:rFonts w:ascii="黑体" w:hAnsi="黑体" w:eastAsia="黑体" w:cs="黑体"/>
          <w:color w:val="auto"/>
          <w:sz w:val="28"/>
          <w:szCs w:val="28"/>
          <w:highlight w:val="none"/>
        </w:rPr>
      </w:pPr>
      <w:bookmarkStart w:id="185" w:name="bookmark85"/>
      <w:bookmarkEnd w:id="185"/>
      <w:bookmarkStart w:id="186" w:name="bookmark84"/>
      <w:bookmarkEnd w:id="186"/>
      <w:bookmarkStart w:id="187" w:name="_Toc3450"/>
      <w:bookmarkStart w:id="188" w:name="_Toc25616"/>
      <w:r>
        <w:rPr>
          <w:rFonts w:eastAsia="Times New Roman"/>
          <w:color w:val="auto"/>
          <w:spacing w:val="-3"/>
          <w:sz w:val="28"/>
          <w:szCs w:val="28"/>
          <w:highlight w:val="none"/>
        </w:rPr>
        <w:t xml:space="preserve">10.  </w:t>
      </w:r>
      <w:r>
        <w:rPr>
          <w:rFonts w:ascii="黑体" w:hAnsi="黑体" w:eastAsia="黑体" w:cs="黑体"/>
          <w:color w:val="auto"/>
          <w:spacing w:val="-3"/>
          <w:sz w:val="28"/>
          <w:szCs w:val="28"/>
          <w:highlight w:val="none"/>
        </w:rPr>
        <w:t>需要补充的其他内容</w:t>
      </w:r>
      <w:bookmarkEnd w:id="187"/>
      <w:bookmarkEnd w:id="188"/>
    </w:p>
    <w:p w14:paraId="4028EEAC">
      <w:pPr>
        <w:spacing w:before="40" w:line="220" w:lineRule="auto"/>
        <w:ind w:left="151"/>
        <w:outlineLvl w:val="2"/>
        <w:rPr>
          <w:rFonts w:ascii="黑体" w:hAnsi="黑体" w:eastAsia="黑体" w:cs="黑体"/>
          <w:color w:val="auto"/>
          <w:sz w:val="24"/>
          <w:highlight w:val="none"/>
        </w:rPr>
      </w:pPr>
      <w:bookmarkStart w:id="189" w:name="bookmark399"/>
      <w:bookmarkEnd w:id="189"/>
      <w:bookmarkStart w:id="190" w:name="_Toc5290"/>
      <w:r>
        <w:rPr>
          <w:rFonts w:ascii="黑体" w:hAnsi="黑体" w:eastAsia="黑体" w:cs="黑体"/>
          <w:color w:val="auto"/>
          <w:spacing w:val="-4"/>
          <w:sz w:val="24"/>
          <w:highlight w:val="none"/>
        </w:rPr>
        <w:t>10.1词语定义</w:t>
      </w:r>
      <w:bookmarkEnd w:id="190"/>
    </w:p>
    <w:p w14:paraId="0306940D">
      <w:pPr>
        <w:spacing w:before="99" w:line="220" w:lineRule="auto"/>
        <w:ind w:left="441"/>
        <w:rPr>
          <w:rFonts w:ascii="宋体" w:hAnsi="宋体" w:cs="宋体"/>
          <w:color w:val="auto"/>
          <w:szCs w:val="21"/>
          <w:highlight w:val="none"/>
        </w:rPr>
      </w:pPr>
      <w:r>
        <w:rPr>
          <w:rFonts w:ascii="宋体" w:hAnsi="宋体" w:cs="宋体"/>
          <w:color w:val="auto"/>
          <w:spacing w:val="-1"/>
          <w:szCs w:val="21"/>
          <w:highlight w:val="none"/>
        </w:rPr>
        <w:t>词语定义规定：见投标人须知前附表。</w:t>
      </w:r>
    </w:p>
    <w:p w14:paraId="4F6A379E">
      <w:pPr>
        <w:spacing w:before="85" w:line="219" w:lineRule="auto"/>
        <w:ind w:left="151"/>
        <w:outlineLvl w:val="2"/>
        <w:rPr>
          <w:rFonts w:ascii="黑体" w:hAnsi="黑体" w:eastAsia="黑体" w:cs="黑体"/>
          <w:color w:val="auto"/>
          <w:sz w:val="24"/>
          <w:highlight w:val="none"/>
        </w:rPr>
      </w:pPr>
      <w:bookmarkStart w:id="191" w:name="bookmark86"/>
      <w:bookmarkEnd w:id="191"/>
      <w:bookmarkStart w:id="192" w:name="_Toc18423"/>
      <w:r>
        <w:rPr>
          <w:rFonts w:ascii="黑体" w:hAnsi="黑体" w:eastAsia="黑体" w:cs="黑体"/>
          <w:color w:val="auto"/>
          <w:spacing w:val="-4"/>
          <w:sz w:val="24"/>
          <w:highlight w:val="none"/>
        </w:rPr>
        <w:t>10.2中标人的投标文件</w:t>
      </w:r>
      <w:bookmarkEnd w:id="192"/>
    </w:p>
    <w:p w14:paraId="4856D7B3">
      <w:pPr>
        <w:spacing w:before="100" w:line="220" w:lineRule="auto"/>
        <w:ind w:left="460"/>
        <w:rPr>
          <w:rFonts w:ascii="宋体" w:hAnsi="宋体" w:cs="宋体"/>
          <w:color w:val="auto"/>
          <w:szCs w:val="21"/>
          <w:highlight w:val="none"/>
        </w:rPr>
      </w:pPr>
      <w:r>
        <w:rPr>
          <w:rFonts w:ascii="宋体" w:hAnsi="宋体" w:cs="宋体"/>
          <w:color w:val="auto"/>
          <w:spacing w:val="2"/>
          <w:szCs w:val="21"/>
          <w:highlight w:val="none"/>
        </w:rPr>
        <w:t>中标人在签订合同前须向招标人另行提交的纸质投标文件份数：见投标人须知前附表。</w:t>
      </w:r>
    </w:p>
    <w:p w14:paraId="664B8C4F">
      <w:pPr>
        <w:spacing w:before="85" w:line="219" w:lineRule="auto"/>
        <w:ind w:left="151"/>
        <w:outlineLvl w:val="2"/>
        <w:rPr>
          <w:rFonts w:ascii="黑体" w:hAnsi="黑体" w:eastAsia="黑体" w:cs="黑体"/>
          <w:color w:val="auto"/>
          <w:spacing w:val="-4"/>
          <w:sz w:val="24"/>
          <w:highlight w:val="none"/>
        </w:rPr>
      </w:pPr>
      <w:bookmarkStart w:id="193" w:name="bookmark87"/>
      <w:bookmarkEnd w:id="193"/>
      <w:bookmarkStart w:id="194" w:name="_Toc1254"/>
      <w:r>
        <w:rPr>
          <w:rFonts w:ascii="黑体" w:hAnsi="黑体" w:eastAsia="黑体" w:cs="黑体"/>
          <w:color w:val="auto"/>
          <w:spacing w:val="-4"/>
          <w:sz w:val="24"/>
          <w:highlight w:val="none"/>
        </w:rPr>
        <w:t>10.3知识产权</w:t>
      </w:r>
      <w:bookmarkEnd w:id="194"/>
    </w:p>
    <w:p w14:paraId="3557F934">
      <w:pPr>
        <w:keepNext w:val="0"/>
        <w:keepLines w:val="0"/>
        <w:pageBreakBefore w:val="0"/>
        <w:widowControl w:val="0"/>
        <w:kinsoku/>
        <w:wordWrap/>
        <w:overflowPunct/>
        <w:topLinePunct w:val="0"/>
        <w:autoSpaceDE/>
        <w:autoSpaceDN/>
        <w:bidi w:val="0"/>
        <w:adjustRightInd/>
        <w:snapToGrid/>
        <w:spacing w:before="100" w:line="360" w:lineRule="auto"/>
        <w:ind w:left="0" w:firstLine="428" w:firstLineChars="200"/>
        <w:textAlignment w:val="auto"/>
        <w:rPr>
          <w:rFonts w:ascii="宋体" w:hAnsi="宋体" w:cs="宋体"/>
          <w:color w:val="auto"/>
          <w:spacing w:val="2"/>
          <w:szCs w:val="21"/>
          <w:highlight w:val="none"/>
        </w:rPr>
      </w:pPr>
      <w:r>
        <w:rPr>
          <w:rFonts w:ascii="宋体" w:hAnsi="宋体" w:cs="宋体"/>
          <w:color w:val="auto"/>
          <w:spacing w:val="2"/>
          <w:szCs w:val="21"/>
          <w:highlight w:val="none"/>
        </w:rPr>
        <w:t>构成本招标文件各个组成部分的文件，未经招标人书面同意，投标人不得擅自复印和用于非本招标项目所需的其他目的。招标人全部或者部分使用未中标人投标文件中的技术成果或技术方案时，需征得其书面同意，并不得擅自复印或提供给第三人。</w:t>
      </w:r>
    </w:p>
    <w:p w14:paraId="6973A3E1">
      <w:pPr>
        <w:spacing w:line="219" w:lineRule="auto"/>
        <w:ind w:left="151"/>
        <w:outlineLvl w:val="2"/>
        <w:rPr>
          <w:rFonts w:ascii="黑体" w:hAnsi="黑体" w:eastAsia="黑体" w:cs="黑体"/>
          <w:color w:val="auto"/>
          <w:sz w:val="24"/>
          <w:highlight w:val="none"/>
        </w:rPr>
      </w:pPr>
      <w:bookmarkStart w:id="195" w:name="bookmark88"/>
      <w:bookmarkEnd w:id="195"/>
      <w:bookmarkStart w:id="196" w:name="_Toc30021"/>
      <w:r>
        <w:rPr>
          <w:rFonts w:ascii="黑体" w:hAnsi="黑体" w:eastAsia="黑体" w:cs="黑体"/>
          <w:color w:val="auto"/>
          <w:spacing w:val="-5"/>
          <w:sz w:val="24"/>
          <w:highlight w:val="none"/>
        </w:rPr>
        <w:t>10.4同义词语</w:t>
      </w:r>
      <w:bookmarkEnd w:id="196"/>
    </w:p>
    <w:p w14:paraId="647EFEDB">
      <w:pPr>
        <w:keepNext w:val="0"/>
        <w:keepLines w:val="0"/>
        <w:pageBreakBefore w:val="0"/>
        <w:widowControl w:val="0"/>
        <w:kinsoku/>
        <w:wordWrap/>
        <w:overflowPunct/>
        <w:topLinePunct w:val="0"/>
        <w:autoSpaceDE/>
        <w:autoSpaceDN/>
        <w:bidi w:val="0"/>
        <w:adjustRightInd/>
        <w:snapToGrid/>
        <w:spacing w:line="360" w:lineRule="auto"/>
        <w:ind w:left="0" w:firstLine="388" w:firstLineChars="200"/>
        <w:textAlignment w:val="auto"/>
        <w:rPr>
          <w:rFonts w:ascii="宋体" w:hAnsi="宋体" w:cs="宋体"/>
          <w:color w:val="auto"/>
          <w:szCs w:val="21"/>
          <w:highlight w:val="none"/>
        </w:rPr>
      </w:pPr>
      <w:r>
        <w:rPr>
          <w:rFonts w:ascii="宋体" w:hAnsi="宋体" w:cs="宋体"/>
          <w:color w:val="auto"/>
          <w:spacing w:val="-8"/>
          <w:szCs w:val="21"/>
          <w:highlight w:val="none"/>
        </w:rPr>
        <w:t>构成招标文件组成部分的“通用合同条件”、“专用合同条件”、“发包人要求”等章节</w:t>
      </w:r>
      <w:r>
        <w:rPr>
          <w:rFonts w:ascii="宋体" w:hAnsi="宋体" w:cs="宋体"/>
          <w:color w:val="auto"/>
          <w:szCs w:val="21"/>
          <w:highlight w:val="none"/>
        </w:rPr>
        <w:t>中出现的措辞“发包人”和“承包人”，在招标投标阶段应当分别按“招</w:t>
      </w:r>
      <w:r>
        <w:rPr>
          <w:rFonts w:ascii="宋体" w:hAnsi="宋体" w:cs="宋体"/>
          <w:color w:val="auto"/>
          <w:spacing w:val="-1"/>
          <w:szCs w:val="21"/>
          <w:highlight w:val="none"/>
        </w:rPr>
        <w:t>标人”和“投标人”</w:t>
      </w:r>
      <w:r>
        <w:rPr>
          <w:rFonts w:ascii="宋体" w:hAnsi="宋体" w:cs="宋体"/>
          <w:color w:val="auto"/>
          <w:spacing w:val="-4"/>
          <w:szCs w:val="21"/>
          <w:highlight w:val="none"/>
        </w:rPr>
        <w:t>进行理解。</w:t>
      </w:r>
    </w:p>
    <w:p w14:paraId="7CC6B64F">
      <w:pPr>
        <w:spacing w:before="1" w:line="219" w:lineRule="auto"/>
        <w:ind w:left="151"/>
        <w:outlineLvl w:val="2"/>
        <w:rPr>
          <w:rFonts w:ascii="黑体" w:hAnsi="黑体" w:eastAsia="黑体" w:cs="黑体"/>
          <w:color w:val="auto"/>
          <w:sz w:val="24"/>
          <w:highlight w:val="none"/>
        </w:rPr>
      </w:pPr>
      <w:bookmarkStart w:id="197" w:name="bookmark89"/>
      <w:bookmarkEnd w:id="197"/>
      <w:bookmarkStart w:id="198" w:name="_Toc27544"/>
      <w:r>
        <w:rPr>
          <w:rFonts w:ascii="黑体" w:hAnsi="黑体" w:eastAsia="黑体" w:cs="黑体"/>
          <w:color w:val="auto"/>
          <w:spacing w:val="-3"/>
          <w:sz w:val="24"/>
          <w:highlight w:val="none"/>
        </w:rPr>
        <w:t>10.5 解释权</w:t>
      </w:r>
      <w:bookmarkEnd w:id="198"/>
    </w:p>
    <w:p w14:paraId="6BECB6FE">
      <w:pPr>
        <w:spacing w:before="99" w:line="313" w:lineRule="auto"/>
        <w:ind w:left="21" w:right="146" w:firstLine="421"/>
        <w:rPr>
          <w:rFonts w:ascii="宋体" w:hAnsi="宋体" w:cs="宋体"/>
          <w:color w:val="auto"/>
          <w:szCs w:val="21"/>
          <w:highlight w:val="none"/>
        </w:rPr>
      </w:pPr>
      <w:r>
        <w:rPr>
          <w:rFonts w:ascii="宋体" w:hAnsi="宋体" w:cs="宋体"/>
          <w:color w:val="auto"/>
          <w:spacing w:val="3"/>
          <w:szCs w:val="21"/>
          <w:highlight w:val="none"/>
        </w:rPr>
        <w:t>构成本招标文件的各个组成文件应互为解释，互为说明；如有不明确或不一致，构成合同文件组成内容的，以合同文件约定内容为准，且以专用合同条件约定的合</w:t>
      </w:r>
      <w:r>
        <w:rPr>
          <w:rFonts w:ascii="宋体" w:hAnsi="宋体" w:cs="宋体"/>
          <w:color w:val="auto"/>
          <w:spacing w:val="2"/>
          <w:szCs w:val="21"/>
          <w:highlight w:val="none"/>
        </w:rPr>
        <w:t>同文件优先</w:t>
      </w:r>
      <w:r>
        <w:rPr>
          <w:rFonts w:ascii="宋体" w:hAnsi="宋体" w:cs="宋体"/>
          <w:color w:val="auto"/>
          <w:spacing w:val="3"/>
          <w:szCs w:val="21"/>
          <w:highlight w:val="none"/>
        </w:rPr>
        <w:t>顺序解释；除招标文件中有特别规定外，仅适用于招标投标阶段的规定，按招标</w:t>
      </w:r>
      <w:r>
        <w:rPr>
          <w:rFonts w:ascii="宋体" w:hAnsi="宋体" w:cs="宋体"/>
          <w:color w:val="auto"/>
          <w:spacing w:val="2"/>
          <w:szCs w:val="21"/>
          <w:highlight w:val="none"/>
        </w:rPr>
        <w:t>公告（投</w:t>
      </w:r>
      <w:r>
        <w:rPr>
          <w:rFonts w:ascii="宋体" w:hAnsi="宋体" w:cs="宋体"/>
          <w:color w:val="auto"/>
          <w:spacing w:val="-2"/>
          <w:szCs w:val="21"/>
          <w:highlight w:val="none"/>
        </w:rPr>
        <w:t>标邀请书）、投标人须知、评标办法、投标文件格式的先后</w:t>
      </w:r>
      <w:r>
        <w:rPr>
          <w:rFonts w:ascii="宋体" w:hAnsi="宋体" w:cs="宋体"/>
          <w:color w:val="auto"/>
          <w:spacing w:val="-3"/>
          <w:szCs w:val="21"/>
          <w:highlight w:val="none"/>
        </w:rPr>
        <w:t>顺序解释；同一组成文件中就同</w:t>
      </w:r>
      <w:r>
        <w:rPr>
          <w:rFonts w:ascii="宋体" w:hAnsi="宋体" w:cs="宋体"/>
          <w:color w:val="auto"/>
          <w:spacing w:val="3"/>
          <w:szCs w:val="21"/>
          <w:highlight w:val="none"/>
        </w:rPr>
        <w:t>一事项的规定或约定不一致的，以编排顺序在后者为准；同一组成文件不同版本</w:t>
      </w:r>
      <w:r>
        <w:rPr>
          <w:rFonts w:ascii="宋体" w:hAnsi="宋体" w:cs="宋体"/>
          <w:color w:val="auto"/>
          <w:spacing w:val="2"/>
          <w:szCs w:val="21"/>
          <w:highlight w:val="none"/>
        </w:rPr>
        <w:t>之间有不一致的，以形成时间在后者为准。按本款前述规定仍不能形成结论的，由招标</w:t>
      </w:r>
      <w:r>
        <w:rPr>
          <w:rFonts w:ascii="宋体" w:hAnsi="宋体" w:cs="宋体"/>
          <w:color w:val="auto"/>
          <w:spacing w:val="1"/>
          <w:szCs w:val="21"/>
          <w:highlight w:val="none"/>
        </w:rPr>
        <w:t>人负责解释。</w:t>
      </w:r>
    </w:p>
    <w:p w14:paraId="02500D25">
      <w:pPr>
        <w:spacing w:before="84" w:line="220" w:lineRule="auto"/>
        <w:ind w:left="151"/>
        <w:outlineLvl w:val="2"/>
        <w:rPr>
          <w:rFonts w:ascii="黑体" w:hAnsi="黑体" w:eastAsia="黑体" w:cs="黑体"/>
          <w:color w:val="auto"/>
          <w:sz w:val="24"/>
          <w:highlight w:val="none"/>
        </w:rPr>
      </w:pPr>
      <w:bookmarkStart w:id="199" w:name="bookmark91"/>
      <w:bookmarkEnd w:id="199"/>
      <w:bookmarkStart w:id="200" w:name="bookmark90"/>
      <w:bookmarkEnd w:id="200"/>
      <w:bookmarkStart w:id="201" w:name="_Toc22434"/>
      <w:r>
        <w:rPr>
          <w:rFonts w:ascii="黑体" w:hAnsi="黑体" w:eastAsia="黑体" w:cs="黑体"/>
          <w:color w:val="auto"/>
          <w:spacing w:val="-2"/>
          <w:sz w:val="24"/>
          <w:highlight w:val="none"/>
        </w:rPr>
        <w:t>10.</w:t>
      </w:r>
      <w:r>
        <w:rPr>
          <w:rFonts w:hint="eastAsia" w:ascii="黑体" w:hAnsi="黑体" w:eastAsia="黑体" w:cs="黑体"/>
          <w:color w:val="auto"/>
          <w:spacing w:val="-2"/>
          <w:sz w:val="24"/>
          <w:highlight w:val="none"/>
          <w:lang w:val="en-US" w:eastAsia="zh-CN"/>
        </w:rPr>
        <w:t>6</w:t>
      </w:r>
      <w:r>
        <w:rPr>
          <w:rFonts w:ascii="黑体" w:hAnsi="黑体" w:eastAsia="黑体" w:cs="黑体"/>
          <w:color w:val="auto"/>
          <w:spacing w:val="-2"/>
          <w:sz w:val="24"/>
          <w:highlight w:val="none"/>
        </w:rPr>
        <w:t xml:space="preserve"> 招标人补充的其他内容</w:t>
      </w:r>
      <w:bookmarkEnd w:id="201"/>
    </w:p>
    <w:p w14:paraId="0CF934C7">
      <w:pPr>
        <w:spacing w:before="100" w:line="220" w:lineRule="auto"/>
        <w:ind w:left="441"/>
        <w:rPr>
          <w:rFonts w:ascii="宋体" w:hAnsi="宋体" w:cs="宋体"/>
          <w:color w:val="auto"/>
          <w:szCs w:val="21"/>
          <w:highlight w:val="none"/>
        </w:rPr>
      </w:pPr>
      <w:r>
        <w:rPr>
          <w:rFonts w:ascii="宋体" w:hAnsi="宋体" w:cs="宋体"/>
          <w:color w:val="auto"/>
          <w:spacing w:val="-1"/>
          <w:szCs w:val="21"/>
          <w:highlight w:val="none"/>
        </w:rPr>
        <w:t>招标人补充的其他内容：见投标人须知前附表。</w:t>
      </w:r>
    </w:p>
    <w:p w14:paraId="4F602D18">
      <w:pPr>
        <w:spacing w:line="220" w:lineRule="auto"/>
        <w:rPr>
          <w:rFonts w:ascii="宋体" w:hAnsi="宋体" w:cs="宋体"/>
          <w:color w:val="auto"/>
          <w:szCs w:val="21"/>
          <w:highlight w:val="none"/>
        </w:rPr>
        <w:sectPr>
          <w:footerReference r:id="rId8" w:type="default"/>
          <w:pgSz w:w="11907" w:h="16839"/>
          <w:pgMar w:top="1431" w:right="1477" w:bottom="1154" w:left="1785" w:header="0" w:footer="953" w:gutter="0"/>
          <w:pgNumType w:fmt="decimal"/>
          <w:cols w:space="720" w:num="1"/>
        </w:sectPr>
      </w:pPr>
    </w:p>
    <w:p w14:paraId="737CC7B8">
      <w:pPr>
        <w:pStyle w:val="17"/>
        <w:spacing w:line="291" w:lineRule="auto"/>
        <w:rPr>
          <w:color w:val="auto"/>
          <w:highlight w:val="none"/>
        </w:rPr>
      </w:pPr>
    </w:p>
    <w:p w14:paraId="37620E40">
      <w:pPr>
        <w:spacing w:before="78" w:line="219" w:lineRule="auto"/>
        <w:ind w:left="34"/>
        <w:outlineLvl w:val="2"/>
        <w:rPr>
          <w:rFonts w:ascii="黑体" w:hAnsi="黑体" w:eastAsia="黑体" w:cs="黑体"/>
          <w:color w:val="auto"/>
          <w:sz w:val="24"/>
          <w:highlight w:val="none"/>
        </w:rPr>
      </w:pPr>
      <w:bookmarkStart w:id="202" w:name="bookmark92"/>
      <w:bookmarkEnd w:id="202"/>
      <w:bookmarkStart w:id="203" w:name="_Toc12900"/>
      <w:r>
        <w:rPr>
          <w:rFonts w:ascii="黑体" w:hAnsi="黑体" w:eastAsia="黑体" w:cs="黑体"/>
          <w:color w:val="auto"/>
          <w:spacing w:val="-4"/>
          <w:sz w:val="24"/>
          <w:highlight w:val="none"/>
        </w:rPr>
        <w:t>附表一：招标文件澄清申请函</w:t>
      </w:r>
      <w:bookmarkEnd w:id="203"/>
    </w:p>
    <w:p w14:paraId="6EBDF06F">
      <w:pPr>
        <w:pStyle w:val="17"/>
        <w:spacing w:line="252" w:lineRule="auto"/>
        <w:rPr>
          <w:color w:val="auto"/>
          <w:highlight w:val="none"/>
        </w:rPr>
      </w:pPr>
    </w:p>
    <w:p w14:paraId="5D9A9E02">
      <w:pPr>
        <w:pStyle w:val="17"/>
        <w:spacing w:line="253" w:lineRule="auto"/>
        <w:rPr>
          <w:color w:val="auto"/>
          <w:highlight w:val="none"/>
        </w:rPr>
      </w:pPr>
    </w:p>
    <w:p w14:paraId="562C7AF8">
      <w:pPr>
        <w:pStyle w:val="17"/>
        <w:spacing w:line="253" w:lineRule="auto"/>
        <w:rPr>
          <w:color w:val="auto"/>
          <w:highlight w:val="none"/>
        </w:rPr>
      </w:pPr>
    </w:p>
    <w:p w14:paraId="7F865881">
      <w:pPr>
        <w:pStyle w:val="17"/>
        <w:spacing w:line="253" w:lineRule="auto"/>
        <w:rPr>
          <w:color w:val="auto"/>
          <w:highlight w:val="none"/>
        </w:rPr>
      </w:pPr>
    </w:p>
    <w:p w14:paraId="656741A6">
      <w:pPr>
        <w:pStyle w:val="17"/>
        <w:spacing w:line="253" w:lineRule="auto"/>
        <w:rPr>
          <w:color w:val="auto"/>
          <w:highlight w:val="none"/>
        </w:rPr>
      </w:pPr>
    </w:p>
    <w:p w14:paraId="565D6812">
      <w:pPr>
        <w:pStyle w:val="17"/>
        <w:spacing w:line="253" w:lineRule="auto"/>
        <w:rPr>
          <w:color w:val="auto"/>
          <w:highlight w:val="none"/>
        </w:rPr>
      </w:pPr>
    </w:p>
    <w:p w14:paraId="53BA5911">
      <w:pPr>
        <w:spacing w:before="91" w:line="219" w:lineRule="auto"/>
        <w:ind w:left="2916"/>
        <w:rPr>
          <w:rFonts w:ascii="黑体" w:hAnsi="黑体" w:eastAsia="黑体" w:cs="黑体"/>
          <w:color w:val="auto"/>
          <w:sz w:val="28"/>
          <w:szCs w:val="28"/>
          <w:highlight w:val="none"/>
        </w:rPr>
      </w:pPr>
      <w:r>
        <w:rPr>
          <w:rFonts w:ascii="黑体" w:hAnsi="黑体" w:eastAsia="黑体" w:cs="黑体"/>
          <w:color w:val="auto"/>
          <w:spacing w:val="-1"/>
          <w:sz w:val="28"/>
          <w:szCs w:val="28"/>
          <w:highlight w:val="none"/>
        </w:rPr>
        <w:t>招标文件澄清申请函</w:t>
      </w:r>
    </w:p>
    <w:p w14:paraId="09DE89A8">
      <w:pPr>
        <w:pStyle w:val="17"/>
        <w:spacing w:line="474" w:lineRule="auto"/>
        <w:rPr>
          <w:color w:val="auto"/>
          <w:highlight w:val="none"/>
        </w:rPr>
      </w:pPr>
    </w:p>
    <w:p w14:paraId="0028F9B2">
      <w:pPr>
        <w:spacing w:before="68" w:line="221" w:lineRule="auto"/>
        <w:ind w:left="6217"/>
        <w:rPr>
          <w:rFonts w:hint="default" w:ascii="宋体" w:hAnsi="宋体" w:eastAsia="宋体" w:cs="宋体"/>
          <w:color w:val="auto"/>
          <w:szCs w:val="21"/>
          <w:highlight w:val="none"/>
          <w:u w:val="single"/>
          <w:lang w:val="en-US" w:eastAsia="zh-CN"/>
        </w:rPr>
      </w:pPr>
      <w:r>
        <w:rPr>
          <w:rFonts w:ascii="宋体" w:hAnsi="宋体" w:cs="宋体"/>
          <w:color w:val="auto"/>
          <w:spacing w:val="-3"/>
          <w:szCs w:val="21"/>
          <w:highlight w:val="none"/>
        </w:rPr>
        <w:t>编号：</w:t>
      </w:r>
      <w:r>
        <w:rPr>
          <w:rFonts w:hint="eastAsia" w:ascii="宋体" w:hAnsi="宋体" w:cs="宋体"/>
          <w:color w:val="auto"/>
          <w:spacing w:val="-3"/>
          <w:szCs w:val="21"/>
          <w:highlight w:val="none"/>
          <w:u w:val="single"/>
          <w:lang w:val="en-US" w:eastAsia="zh-CN"/>
        </w:rPr>
        <w:t xml:space="preserve">              </w:t>
      </w:r>
    </w:p>
    <w:p w14:paraId="1A060D86">
      <w:pPr>
        <w:pStyle w:val="17"/>
        <w:spacing w:line="248" w:lineRule="auto"/>
        <w:rPr>
          <w:color w:val="auto"/>
          <w:highlight w:val="none"/>
        </w:rPr>
      </w:pPr>
    </w:p>
    <w:p w14:paraId="7EF252F8">
      <w:pPr>
        <w:pStyle w:val="17"/>
        <w:spacing w:line="249" w:lineRule="auto"/>
        <w:rPr>
          <w:color w:val="auto"/>
          <w:highlight w:val="none"/>
        </w:rPr>
      </w:pPr>
    </w:p>
    <w:p w14:paraId="021F47B8">
      <w:pPr>
        <w:pStyle w:val="17"/>
        <w:spacing w:line="249" w:lineRule="auto"/>
        <w:rPr>
          <w:color w:val="auto"/>
          <w:highlight w:val="none"/>
        </w:rPr>
      </w:pPr>
    </w:p>
    <w:p w14:paraId="6D4927EA">
      <w:pPr>
        <w:tabs>
          <w:tab w:val="left" w:pos="3268"/>
        </w:tabs>
        <w:spacing w:before="69" w:line="221" w:lineRule="auto"/>
        <w:ind w:left="12"/>
        <w:rPr>
          <w:rFonts w:ascii="宋体" w:hAnsi="宋体" w:cs="宋体"/>
          <w:color w:val="auto"/>
          <w:szCs w:val="21"/>
          <w:highlight w:val="none"/>
        </w:rPr>
      </w:pPr>
      <w:r>
        <w:rPr>
          <w:rFonts w:ascii="宋体" w:hAnsi="宋体" w:cs="宋体"/>
          <w:color w:val="auto"/>
          <w:szCs w:val="21"/>
          <w:highlight w:val="none"/>
          <w:u w:val="single"/>
        </w:rPr>
        <w:tab/>
      </w:r>
      <w:r>
        <w:rPr>
          <w:rFonts w:ascii="宋体" w:hAnsi="宋体" w:cs="宋体"/>
          <w:color w:val="auto"/>
          <w:szCs w:val="21"/>
          <w:highlight w:val="none"/>
        </w:rPr>
        <w:t>（招标人名称</w:t>
      </w:r>
      <w:r>
        <w:rPr>
          <w:rFonts w:ascii="宋体" w:hAnsi="宋体" w:cs="宋体"/>
          <w:color w:val="auto"/>
          <w:spacing w:val="-54"/>
          <w:w w:val="97"/>
          <w:szCs w:val="21"/>
          <w:highlight w:val="none"/>
        </w:rPr>
        <w:t>）：</w:t>
      </w:r>
    </w:p>
    <w:p w14:paraId="36711CA6">
      <w:pPr>
        <w:spacing w:before="307" w:line="221" w:lineRule="auto"/>
        <w:ind w:firstLine="420" w:firstLineChars="200"/>
        <w:jc w:val="both"/>
        <w:rPr>
          <w:rFonts w:ascii="宋体" w:hAnsi="宋体" w:cs="宋体"/>
          <w:color w:val="auto"/>
          <w:szCs w:val="21"/>
          <w:highlight w:val="none"/>
        </w:rPr>
      </w:pPr>
      <w:r>
        <w:rPr>
          <w:rFonts w:ascii="宋体" w:hAnsi="宋体" w:cs="宋体"/>
          <w:color w:val="auto"/>
          <w:szCs w:val="21"/>
          <w:highlight w:val="none"/>
        </w:rPr>
        <w:t>经过仔细阅读</w:t>
      </w:r>
      <w:r>
        <w:rPr>
          <w:rFonts w:hint="eastAsia" w:ascii="宋体" w:hAnsi="宋体" w:cs="宋体"/>
          <w:color w:val="auto"/>
          <w:spacing w:val="-3"/>
          <w:szCs w:val="21"/>
          <w:highlight w:val="none"/>
          <w:u w:val="single"/>
          <w:lang w:val="en-US" w:eastAsia="zh-CN"/>
        </w:rPr>
        <w:t xml:space="preserve">              </w:t>
      </w:r>
      <w:r>
        <w:rPr>
          <w:rFonts w:ascii="宋体" w:hAnsi="宋体" w:cs="宋体"/>
          <w:color w:val="auto"/>
          <w:szCs w:val="21"/>
          <w:highlight w:val="none"/>
        </w:rPr>
        <w:t>（标段名称）项目（标段唯一标识码</w:t>
      </w:r>
      <w:r>
        <w:rPr>
          <w:rFonts w:ascii="宋体" w:hAnsi="宋体" w:cs="宋体"/>
          <w:color w:val="auto"/>
          <w:spacing w:val="-2"/>
          <w:szCs w:val="21"/>
          <w:highlight w:val="none"/>
        </w:rPr>
        <w:t>：</w:t>
      </w:r>
      <w:r>
        <w:rPr>
          <w:rFonts w:hint="eastAsia" w:ascii="宋体" w:hAnsi="宋体" w:cs="宋体"/>
          <w:color w:val="auto"/>
          <w:spacing w:val="-3"/>
          <w:szCs w:val="21"/>
          <w:highlight w:val="none"/>
          <w:u w:val="single"/>
          <w:lang w:val="en-US" w:eastAsia="zh-CN"/>
        </w:rPr>
        <w:t xml:space="preserve">              </w:t>
      </w:r>
      <w:r>
        <w:rPr>
          <w:rFonts w:ascii="宋体" w:hAnsi="宋体" w:cs="宋体"/>
          <w:color w:val="auto"/>
          <w:spacing w:val="-2"/>
          <w:szCs w:val="21"/>
          <w:highlight w:val="none"/>
        </w:rPr>
        <w:t>）</w:t>
      </w:r>
    </w:p>
    <w:p w14:paraId="187538C8">
      <w:pPr>
        <w:pStyle w:val="17"/>
        <w:rPr>
          <w:color w:val="auto"/>
          <w:highlight w:val="none"/>
        </w:rPr>
      </w:pPr>
    </w:p>
    <w:p w14:paraId="3BF13BEA">
      <w:pPr>
        <w:spacing w:before="68" w:line="221" w:lineRule="auto"/>
        <w:ind w:left="21"/>
        <w:rPr>
          <w:rFonts w:ascii="宋体" w:hAnsi="宋体" w:cs="宋体"/>
          <w:color w:val="auto"/>
          <w:szCs w:val="21"/>
          <w:highlight w:val="none"/>
        </w:rPr>
      </w:pPr>
      <w:r>
        <w:rPr>
          <w:rFonts w:ascii="宋体" w:hAnsi="宋体" w:cs="宋体"/>
          <w:color w:val="auto"/>
          <w:spacing w:val="-2"/>
          <w:szCs w:val="21"/>
          <w:highlight w:val="none"/>
        </w:rPr>
        <w:t>招标文件后，我方申请对以下问题予以澄清：</w:t>
      </w:r>
    </w:p>
    <w:p w14:paraId="322EBC82">
      <w:pPr>
        <w:spacing w:before="309"/>
        <w:ind w:left="352"/>
        <w:rPr>
          <w:rFonts w:ascii="宋体" w:hAnsi="宋体" w:cs="宋体"/>
          <w:color w:val="auto"/>
          <w:szCs w:val="21"/>
          <w:highlight w:val="none"/>
        </w:rPr>
      </w:pPr>
      <w:r>
        <w:rPr>
          <w:rFonts w:ascii="宋体" w:hAnsi="宋体" w:cs="宋体"/>
          <w:color w:val="auto"/>
          <w:spacing w:val="-6"/>
          <w:szCs w:val="21"/>
          <w:highlight w:val="none"/>
        </w:rPr>
        <w:t>1.……</w:t>
      </w:r>
    </w:p>
    <w:p w14:paraId="5FECE37D">
      <w:pPr>
        <w:spacing w:before="286"/>
        <w:ind w:left="337"/>
        <w:rPr>
          <w:rFonts w:ascii="宋体" w:hAnsi="宋体" w:cs="宋体"/>
          <w:color w:val="auto"/>
          <w:szCs w:val="21"/>
          <w:highlight w:val="none"/>
        </w:rPr>
      </w:pPr>
      <w:r>
        <w:rPr>
          <w:rFonts w:ascii="宋体" w:hAnsi="宋体" w:cs="宋体"/>
          <w:color w:val="auto"/>
          <w:spacing w:val="-2"/>
          <w:szCs w:val="21"/>
          <w:highlight w:val="none"/>
        </w:rPr>
        <w:t>2.……</w:t>
      </w:r>
    </w:p>
    <w:p w14:paraId="44089358">
      <w:pPr>
        <w:spacing w:before="289" w:line="332" w:lineRule="exact"/>
        <w:ind w:left="453"/>
        <w:rPr>
          <w:rFonts w:ascii="宋体" w:hAnsi="宋体" w:cs="宋体"/>
          <w:color w:val="auto"/>
          <w:szCs w:val="21"/>
          <w:highlight w:val="none"/>
        </w:rPr>
      </w:pPr>
      <w:r>
        <w:rPr>
          <w:rFonts w:ascii="宋体" w:hAnsi="宋体" w:cs="宋体"/>
          <w:color w:val="auto"/>
          <w:spacing w:val="-5"/>
          <w:position w:val="2"/>
          <w:szCs w:val="21"/>
          <w:highlight w:val="none"/>
        </w:rPr>
        <w:t>……</w:t>
      </w:r>
    </w:p>
    <w:p w14:paraId="626D5B80">
      <w:pPr>
        <w:pStyle w:val="17"/>
        <w:spacing w:line="258" w:lineRule="auto"/>
        <w:rPr>
          <w:color w:val="auto"/>
          <w:highlight w:val="none"/>
        </w:rPr>
      </w:pPr>
    </w:p>
    <w:p w14:paraId="0DCF9E00">
      <w:pPr>
        <w:pStyle w:val="17"/>
        <w:spacing w:line="259" w:lineRule="auto"/>
        <w:rPr>
          <w:color w:val="auto"/>
          <w:highlight w:val="none"/>
        </w:rPr>
      </w:pPr>
    </w:p>
    <w:p w14:paraId="25D7847E">
      <w:pPr>
        <w:pStyle w:val="17"/>
        <w:spacing w:line="259" w:lineRule="auto"/>
        <w:rPr>
          <w:color w:val="auto"/>
          <w:highlight w:val="none"/>
        </w:rPr>
      </w:pPr>
    </w:p>
    <w:p w14:paraId="1FAEE829">
      <w:pPr>
        <w:pStyle w:val="17"/>
        <w:spacing w:line="259" w:lineRule="auto"/>
        <w:rPr>
          <w:color w:val="auto"/>
          <w:highlight w:val="none"/>
        </w:rPr>
      </w:pPr>
    </w:p>
    <w:p w14:paraId="408A6789">
      <w:pPr>
        <w:spacing w:before="69" w:line="220" w:lineRule="auto"/>
        <w:ind w:left="4449"/>
        <w:rPr>
          <w:rFonts w:ascii="宋体" w:hAnsi="宋体" w:cs="宋体"/>
          <w:color w:val="auto"/>
          <w:szCs w:val="21"/>
          <w:highlight w:val="none"/>
        </w:rPr>
      </w:pPr>
      <w:r>
        <w:rPr>
          <w:rFonts w:ascii="宋体" w:hAnsi="宋体" w:cs="宋体"/>
          <w:color w:val="auto"/>
          <w:spacing w:val="2"/>
          <w:szCs w:val="21"/>
          <w:highlight w:val="none"/>
        </w:rPr>
        <w:t>投标人</w:t>
      </w:r>
      <w:r>
        <w:rPr>
          <w:rFonts w:ascii="宋体" w:hAnsi="宋体" w:cs="宋体"/>
          <w:color w:val="auto"/>
          <w:spacing w:val="-14"/>
          <w:szCs w:val="21"/>
          <w:highlight w:val="none"/>
        </w:rPr>
        <w:t>：</w:t>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hint="eastAsia" w:ascii="宋体" w:hAnsi="宋体" w:cs="宋体"/>
          <w:color w:val="auto"/>
          <w:szCs w:val="21"/>
          <w:highlight w:val="none"/>
          <w:u w:val="single"/>
          <w:lang w:val="en-US" w:eastAsia="zh-CN"/>
        </w:rPr>
        <w:t xml:space="preserve">    </w:t>
      </w:r>
      <w:r>
        <w:rPr>
          <w:rFonts w:ascii="宋体" w:hAnsi="宋体" w:cs="宋体"/>
          <w:color w:val="auto"/>
          <w:spacing w:val="-14"/>
          <w:szCs w:val="21"/>
          <w:highlight w:val="none"/>
        </w:rPr>
        <w:t>（</w:t>
      </w:r>
      <w:r>
        <w:rPr>
          <w:rFonts w:ascii="宋体" w:hAnsi="宋体" w:cs="宋体"/>
          <w:color w:val="auto"/>
          <w:spacing w:val="2"/>
          <w:szCs w:val="21"/>
          <w:highlight w:val="none"/>
        </w:rPr>
        <w:t>盖单位章）</w:t>
      </w:r>
    </w:p>
    <w:p w14:paraId="01947FC4">
      <w:pPr>
        <w:pStyle w:val="17"/>
        <w:spacing w:line="460" w:lineRule="auto"/>
        <w:rPr>
          <w:color w:val="auto"/>
          <w:highlight w:val="none"/>
        </w:rPr>
      </w:pPr>
    </w:p>
    <w:p w14:paraId="619B3943">
      <w:pPr>
        <w:tabs>
          <w:tab w:val="left" w:pos="6837"/>
        </w:tabs>
        <w:spacing w:before="69" w:line="221" w:lineRule="auto"/>
        <w:ind w:left="5893"/>
        <w:rPr>
          <w:rFonts w:ascii="宋体" w:hAnsi="宋体" w:cs="宋体"/>
          <w:color w:val="auto"/>
          <w:szCs w:val="21"/>
          <w:highlight w:val="none"/>
        </w:rPr>
      </w:pPr>
      <w:r>
        <w:rPr>
          <w:rFonts w:ascii="宋体" w:hAnsi="宋体" w:cs="宋体"/>
          <w:color w:val="auto"/>
          <w:szCs w:val="21"/>
          <w:highlight w:val="none"/>
          <w:u w:val="single"/>
        </w:rPr>
        <w:tab/>
      </w:r>
      <w:r>
        <w:rPr>
          <w:rFonts w:ascii="宋体" w:hAnsi="宋体" w:cs="宋体"/>
          <w:color w:val="auto"/>
          <w:spacing w:val="-7"/>
          <w:szCs w:val="21"/>
          <w:highlight w:val="none"/>
        </w:rPr>
        <w:t>年</w:t>
      </w:r>
      <w:r>
        <w:rPr>
          <w:rFonts w:ascii="宋体" w:hAnsi="宋体" w:cs="宋体"/>
          <w:color w:val="auto"/>
          <w:szCs w:val="21"/>
          <w:highlight w:val="none"/>
          <w:u w:val="single"/>
        </w:rPr>
        <w:tab/>
      </w:r>
      <w:r>
        <w:rPr>
          <w:rFonts w:hint="eastAsia" w:ascii="宋体" w:hAnsi="宋体" w:cs="宋体"/>
          <w:color w:val="auto"/>
          <w:szCs w:val="21"/>
          <w:highlight w:val="none"/>
          <w:u w:val="single"/>
          <w:lang w:val="en-US" w:eastAsia="zh-CN"/>
        </w:rPr>
        <w:t xml:space="preserve">   </w:t>
      </w:r>
      <w:r>
        <w:rPr>
          <w:rFonts w:ascii="宋体" w:hAnsi="宋体" w:cs="宋体"/>
          <w:color w:val="auto"/>
          <w:spacing w:val="-7"/>
          <w:szCs w:val="21"/>
          <w:highlight w:val="none"/>
        </w:rPr>
        <w:t>月</w:t>
      </w:r>
      <w:r>
        <w:rPr>
          <w:rFonts w:ascii="宋体" w:hAnsi="宋体" w:cs="宋体"/>
          <w:color w:val="auto"/>
          <w:szCs w:val="21"/>
          <w:highlight w:val="none"/>
          <w:u w:val="single"/>
        </w:rPr>
        <w:tab/>
      </w:r>
      <w:r>
        <w:rPr>
          <w:rFonts w:ascii="宋体" w:hAnsi="宋体" w:cs="宋体"/>
          <w:color w:val="auto"/>
          <w:spacing w:val="-7"/>
          <w:szCs w:val="21"/>
          <w:highlight w:val="none"/>
        </w:rPr>
        <w:t>日</w:t>
      </w:r>
    </w:p>
    <w:p w14:paraId="5ECD4DFC">
      <w:pPr>
        <w:spacing w:line="221" w:lineRule="auto"/>
        <w:rPr>
          <w:rFonts w:ascii="宋体" w:hAnsi="宋体" w:cs="宋体"/>
          <w:color w:val="auto"/>
          <w:szCs w:val="21"/>
          <w:highlight w:val="none"/>
        </w:rPr>
        <w:sectPr>
          <w:footerReference r:id="rId9" w:type="default"/>
          <w:pgSz w:w="11907" w:h="16839"/>
          <w:pgMar w:top="1431" w:right="1596" w:bottom="1154" w:left="1785" w:header="0" w:footer="954" w:gutter="0"/>
          <w:pgNumType w:fmt="decimal"/>
          <w:cols w:space="720" w:num="1"/>
        </w:sectPr>
      </w:pPr>
    </w:p>
    <w:p w14:paraId="3C47765F">
      <w:pPr>
        <w:spacing w:before="47" w:line="219" w:lineRule="auto"/>
        <w:ind w:left="34"/>
        <w:outlineLvl w:val="9"/>
        <w:rPr>
          <w:rFonts w:ascii="黑体" w:hAnsi="黑体" w:eastAsia="黑体" w:cs="黑体"/>
          <w:color w:val="auto"/>
          <w:spacing w:val="-2"/>
          <w:sz w:val="24"/>
          <w:highlight w:val="none"/>
        </w:rPr>
      </w:pPr>
      <w:bookmarkStart w:id="204" w:name="bookmark93"/>
      <w:bookmarkEnd w:id="204"/>
      <w:bookmarkStart w:id="205" w:name="_Toc23676"/>
    </w:p>
    <w:p w14:paraId="7DD3827F">
      <w:pPr>
        <w:spacing w:before="47" w:line="219" w:lineRule="auto"/>
        <w:ind w:left="34"/>
        <w:outlineLvl w:val="2"/>
        <w:rPr>
          <w:rFonts w:ascii="黑体" w:hAnsi="黑体" w:eastAsia="黑体" w:cs="黑体"/>
          <w:color w:val="auto"/>
          <w:sz w:val="24"/>
          <w:highlight w:val="none"/>
        </w:rPr>
      </w:pPr>
      <w:r>
        <w:rPr>
          <w:rFonts w:ascii="黑体" w:hAnsi="黑体" w:eastAsia="黑体" w:cs="黑体"/>
          <w:color w:val="auto"/>
          <w:spacing w:val="-2"/>
          <w:sz w:val="24"/>
          <w:highlight w:val="none"/>
        </w:rPr>
        <w:t>附表二：招标文件澄清通知</w:t>
      </w:r>
      <w:bookmarkEnd w:id="205"/>
    </w:p>
    <w:p w14:paraId="21BE9ECB">
      <w:pPr>
        <w:pStyle w:val="17"/>
        <w:spacing w:line="265" w:lineRule="auto"/>
        <w:rPr>
          <w:color w:val="auto"/>
          <w:highlight w:val="none"/>
        </w:rPr>
      </w:pPr>
    </w:p>
    <w:p w14:paraId="2388F25C">
      <w:pPr>
        <w:pStyle w:val="17"/>
        <w:spacing w:line="265" w:lineRule="auto"/>
        <w:rPr>
          <w:color w:val="auto"/>
          <w:highlight w:val="none"/>
        </w:rPr>
      </w:pPr>
    </w:p>
    <w:p w14:paraId="584CB806">
      <w:pPr>
        <w:pStyle w:val="17"/>
        <w:spacing w:line="265" w:lineRule="auto"/>
        <w:rPr>
          <w:color w:val="auto"/>
          <w:highlight w:val="none"/>
        </w:rPr>
      </w:pPr>
    </w:p>
    <w:p w14:paraId="47D62AEF">
      <w:pPr>
        <w:pStyle w:val="17"/>
        <w:spacing w:line="265" w:lineRule="auto"/>
        <w:rPr>
          <w:color w:val="auto"/>
          <w:highlight w:val="none"/>
        </w:rPr>
      </w:pPr>
    </w:p>
    <w:p w14:paraId="1DD275D1">
      <w:pPr>
        <w:pStyle w:val="17"/>
        <w:spacing w:line="265" w:lineRule="auto"/>
        <w:rPr>
          <w:color w:val="auto"/>
          <w:highlight w:val="none"/>
        </w:rPr>
      </w:pPr>
    </w:p>
    <w:p w14:paraId="2ECB62FC">
      <w:pPr>
        <w:pStyle w:val="17"/>
        <w:spacing w:line="266" w:lineRule="auto"/>
        <w:rPr>
          <w:color w:val="auto"/>
          <w:highlight w:val="none"/>
        </w:rPr>
      </w:pPr>
    </w:p>
    <w:p w14:paraId="7FEB214C">
      <w:pPr>
        <w:spacing w:before="91" w:line="219" w:lineRule="auto"/>
        <w:ind w:left="3058"/>
        <w:rPr>
          <w:rFonts w:ascii="黑体" w:hAnsi="黑体" w:eastAsia="黑体" w:cs="黑体"/>
          <w:color w:val="auto"/>
          <w:sz w:val="28"/>
          <w:szCs w:val="28"/>
          <w:highlight w:val="none"/>
        </w:rPr>
      </w:pPr>
      <w:r>
        <w:rPr>
          <w:rFonts w:ascii="黑体" w:hAnsi="黑体" w:eastAsia="黑体" w:cs="黑体"/>
          <w:color w:val="auto"/>
          <w:spacing w:val="-1"/>
          <w:sz w:val="28"/>
          <w:szCs w:val="28"/>
          <w:highlight w:val="none"/>
        </w:rPr>
        <w:t>招标文件澄清通知</w:t>
      </w:r>
    </w:p>
    <w:p w14:paraId="4CB92D97">
      <w:pPr>
        <w:pStyle w:val="17"/>
        <w:spacing w:line="476" w:lineRule="auto"/>
        <w:rPr>
          <w:color w:val="auto"/>
          <w:highlight w:val="none"/>
        </w:rPr>
      </w:pPr>
    </w:p>
    <w:p w14:paraId="22044C92">
      <w:pPr>
        <w:spacing w:before="68" w:line="221" w:lineRule="auto"/>
        <w:ind w:left="6008"/>
        <w:rPr>
          <w:rFonts w:hint="default" w:ascii="宋体" w:hAnsi="宋体" w:eastAsia="宋体" w:cs="宋体"/>
          <w:color w:val="auto"/>
          <w:szCs w:val="21"/>
          <w:highlight w:val="none"/>
          <w:lang w:val="en-US" w:eastAsia="zh-CN"/>
        </w:rPr>
      </w:pPr>
      <w:r>
        <w:rPr>
          <w:rFonts w:ascii="宋体" w:hAnsi="宋体" w:cs="宋体"/>
          <w:color w:val="auto"/>
          <w:spacing w:val="-3"/>
          <w:szCs w:val="21"/>
          <w:highlight w:val="none"/>
        </w:rPr>
        <w:t>编号：</w:t>
      </w:r>
      <w:r>
        <w:rPr>
          <w:rFonts w:ascii="宋体" w:hAnsi="宋体" w:cs="宋体"/>
          <w:color w:val="auto"/>
          <w:szCs w:val="21"/>
          <w:highlight w:val="none"/>
          <w:u w:val="single"/>
        </w:rPr>
        <w:tab/>
      </w:r>
      <w:r>
        <w:rPr>
          <w:rFonts w:hint="eastAsia" w:ascii="宋体" w:hAnsi="宋体" w:cs="宋体"/>
          <w:color w:val="auto"/>
          <w:szCs w:val="21"/>
          <w:highlight w:val="none"/>
          <w:u w:val="single"/>
          <w:lang w:val="en-US" w:eastAsia="zh-CN"/>
        </w:rPr>
        <w:t xml:space="preserve">          </w:t>
      </w:r>
    </w:p>
    <w:p w14:paraId="03F6DE75">
      <w:pPr>
        <w:pStyle w:val="17"/>
        <w:spacing w:line="461" w:lineRule="auto"/>
        <w:rPr>
          <w:color w:val="auto"/>
          <w:highlight w:val="none"/>
        </w:rPr>
      </w:pPr>
    </w:p>
    <w:p w14:paraId="3B62607D">
      <w:pPr>
        <w:spacing w:before="68" w:line="221" w:lineRule="auto"/>
        <w:ind w:left="22"/>
        <w:rPr>
          <w:rFonts w:ascii="宋体" w:hAnsi="宋体" w:cs="宋体"/>
          <w:color w:val="auto"/>
          <w:szCs w:val="21"/>
          <w:highlight w:val="none"/>
        </w:rPr>
      </w:pPr>
      <w:r>
        <w:rPr>
          <w:rFonts w:ascii="宋体" w:hAnsi="宋体" w:cs="宋体"/>
          <w:color w:val="auto"/>
          <w:spacing w:val="-7"/>
          <w:szCs w:val="21"/>
          <w:highlight w:val="none"/>
        </w:rPr>
        <w:t>各投标人：</w:t>
      </w:r>
    </w:p>
    <w:p w14:paraId="44067789">
      <w:pPr>
        <w:spacing w:before="306" w:line="493" w:lineRule="auto"/>
        <w:ind w:left="19" w:right="5" w:firstLine="422"/>
        <w:rPr>
          <w:rFonts w:ascii="宋体" w:hAnsi="宋体" w:cs="宋体"/>
          <w:color w:val="auto"/>
          <w:szCs w:val="21"/>
          <w:highlight w:val="none"/>
        </w:rPr>
      </w:pPr>
      <w:r>
        <w:rPr>
          <w:rFonts w:ascii="宋体" w:hAnsi="宋体" w:cs="宋体"/>
          <w:color w:val="auto"/>
          <w:szCs w:val="21"/>
          <w:highlight w:val="none"/>
        </w:rPr>
        <w:t>经研究，对</w:t>
      </w:r>
      <w:r>
        <w:rPr>
          <w:rFonts w:ascii="宋体" w:hAnsi="宋体" w:cs="宋体"/>
          <w:color w:val="auto"/>
          <w:szCs w:val="21"/>
          <w:highlight w:val="none"/>
          <w:u w:val="single"/>
        </w:rPr>
        <w:tab/>
      </w:r>
      <w:r>
        <w:rPr>
          <w:rFonts w:hint="eastAsia" w:ascii="宋体" w:hAnsi="宋体" w:cs="宋体"/>
          <w:color w:val="auto"/>
          <w:szCs w:val="21"/>
          <w:highlight w:val="none"/>
          <w:u w:val="single"/>
          <w:lang w:val="en-US" w:eastAsia="zh-CN"/>
        </w:rPr>
        <w:t xml:space="preserve">          </w:t>
      </w:r>
      <w:r>
        <w:rPr>
          <w:rFonts w:ascii="宋体" w:hAnsi="宋体" w:cs="宋体"/>
          <w:color w:val="auto"/>
          <w:szCs w:val="21"/>
          <w:highlight w:val="none"/>
          <w:u w:val="single"/>
        </w:rPr>
        <w:tab/>
      </w:r>
      <w:r>
        <w:rPr>
          <w:rFonts w:hint="eastAsia" w:ascii="宋体" w:hAnsi="宋体" w:cs="宋体"/>
          <w:color w:val="auto"/>
          <w:szCs w:val="21"/>
          <w:highlight w:val="none"/>
          <w:u w:val="single"/>
          <w:lang w:val="en-US" w:eastAsia="zh-CN"/>
        </w:rPr>
        <w:t xml:space="preserve">           </w:t>
      </w:r>
      <w:r>
        <w:rPr>
          <w:rFonts w:ascii="宋体" w:hAnsi="宋体" w:cs="宋体"/>
          <w:color w:val="auto"/>
          <w:szCs w:val="21"/>
          <w:highlight w:val="none"/>
          <w:u w:val="single"/>
        </w:rPr>
        <w:tab/>
      </w:r>
      <w:r>
        <w:rPr>
          <w:rFonts w:hint="eastAsia" w:ascii="宋体" w:hAnsi="宋体" w:cs="宋体"/>
          <w:color w:val="auto"/>
          <w:szCs w:val="21"/>
          <w:highlight w:val="none"/>
          <w:u w:val="single"/>
          <w:lang w:val="en-US" w:eastAsia="zh-CN"/>
        </w:rPr>
        <w:t xml:space="preserve">          </w:t>
      </w:r>
      <w:r>
        <w:rPr>
          <w:rFonts w:ascii="宋体" w:hAnsi="宋体" w:cs="宋体"/>
          <w:color w:val="auto"/>
          <w:szCs w:val="21"/>
          <w:highlight w:val="none"/>
        </w:rPr>
        <w:t>（标段名称）项目（标段唯一标识</w:t>
      </w:r>
      <w:r>
        <w:rPr>
          <w:rFonts w:ascii="宋体" w:hAnsi="宋体" w:cs="宋体"/>
          <w:color w:val="auto"/>
          <w:spacing w:val="-1"/>
          <w:szCs w:val="21"/>
          <w:highlight w:val="none"/>
        </w:rPr>
        <w:t>码</w:t>
      </w:r>
      <w:r>
        <w:rPr>
          <w:rFonts w:ascii="宋体" w:hAnsi="宋体" w:cs="宋体"/>
          <w:color w:val="auto"/>
          <w:spacing w:val="-11"/>
          <w:szCs w:val="21"/>
          <w:highlight w:val="none"/>
        </w:rPr>
        <w:t>：</w:t>
      </w:r>
      <w:r>
        <w:rPr>
          <w:rFonts w:ascii="宋体" w:hAnsi="宋体" w:cs="宋体"/>
          <w:color w:val="auto"/>
          <w:szCs w:val="21"/>
          <w:highlight w:val="none"/>
          <w:u w:val="single"/>
        </w:rPr>
        <w:tab/>
      </w:r>
      <w:r>
        <w:rPr>
          <w:rFonts w:hint="eastAsia" w:ascii="宋体" w:hAnsi="宋体" w:cs="宋体"/>
          <w:color w:val="auto"/>
          <w:szCs w:val="21"/>
          <w:highlight w:val="none"/>
          <w:u w:val="single"/>
          <w:lang w:val="en-US" w:eastAsia="zh-CN"/>
        </w:rPr>
        <w:t xml:space="preserve">          </w:t>
      </w:r>
      <w:r>
        <w:rPr>
          <w:rFonts w:ascii="宋体" w:hAnsi="宋体" w:cs="宋体"/>
          <w:color w:val="auto"/>
          <w:spacing w:val="-11"/>
          <w:szCs w:val="21"/>
          <w:highlight w:val="none"/>
        </w:rPr>
        <w:t>）</w:t>
      </w:r>
      <w:r>
        <w:rPr>
          <w:rFonts w:ascii="宋体" w:hAnsi="宋体" w:cs="宋体"/>
          <w:color w:val="auto"/>
          <w:spacing w:val="-1"/>
          <w:szCs w:val="21"/>
          <w:highlight w:val="none"/>
        </w:rPr>
        <w:t>招标文件，作如下澄清：</w:t>
      </w:r>
    </w:p>
    <w:p w14:paraId="0EF130B6">
      <w:pPr>
        <w:spacing w:before="1"/>
        <w:ind w:left="455"/>
        <w:rPr>
          <w:rFonts w:ascii="宋体" w:hAnsi="宋体" w:cs="宋体"/>
          <w:color w:val="auto"/>
          <w:szCs w:val="21"/>
          <w:highlight w:val="none"/>
        </w:rPr>
      </w:pPr>
      <w:r>
        <w:rPr>
          <w:rFonts w:ascii="宋体" w:hAnsi="宋体" w:cs="宋体"/>
          <w:color w:val="auto"/>
          <w:spacing w:val="-6"/>
          <w:szCs w:val="21"/>
          <w:highlight w:val="none"/>
        </w:rPr>
        <w:t>1.……</w:t>
      </w:r>
    </w:p>
    <w:p w14:paraId="59DE7A8A">
      <w:pPr>
        <w:spacing w:before="286"/>
        <w:ind w:left="442"/>
        <w:rPr>
          <w:rFonts w:ascii="宋体" w:hAnsi="宋体" w:cs="宋体"/>
          <w:color w:val="auto"/>
          <w:szCs w:val="21"/>
          <w:highlight w:val="none"/>
        </w:rPr>
      </w:pPr>
      <w:r>
        <w:rPr>
          <w:rFonts w:ascii="宋体" w:hAnsi="宋体" w:cs="宋体"/>
          <w:color w:val="auto"/>
          <w:spacing w:val="-2"/>
          <w:szCs w:val="21"/>
          <w:highlight w:val="none"/>
        </w:rPr>
        <w:t>2.……</w:t>
      </w:r>
    </w:p>
    <w:p w14:paraId="59CD7E48">
      <w:pPr>
        <w:spacing w:before="286" w:line="332" w:lineRule="exact"/>
        <w:ind w:left="453"/>
        <w:rPr>
          <w:rFonts w:ascii="宋体" w:hAnsi="宋体" w:cs="宋体"/>
          <w:color w:val="auto"/>
          <w:szCs w:val="21"/>
          <w:highlight w:val="none"/>
        </w:rPr>
      </w:pPr>
      <w:r>
        <w:rPr>
          <w:rFonts w:ascii="宋体" w:hAnsi="宋体" w:cs="宋体"/>
          <w:color w:val="auto"/>
          <w:spacing w:val="-5"/>
          <w:position w:val="2"/>
          <w:szCs w:val="21"/>
          <w:highlight w:val="none"/>
        </w:rPr>
        <w:t>……</w:t>
      </w:r>
    </w:p>
    <w:p w14:paraId="05574F72">
      <w:pPr>
        <w:pStyle w:val="17"/>
        <w:spacing w:line="268" w:lineRule="auto"/>
        <w:rPr>
          <w:color w:val="auto"/>
          <w:highlight w:val="none"/>
        </w:rPr>
      </w:pPr>
    </w:p>
    <w:p w14:paraId="02DB971F">
      <w:pPr>
        <w:pStyle w:val="17"/>
        <w:spacing w:line="268" w:lineRule="auto"/>
        <w:rPr>
          <w:color w:val="auto"/>
          <w:highlight w:val="none"/>
        </w:rPr>
      </w:pPr>
    </w:p>
    <w:p w14:paraId="6F56C79F">
      <w:pPr>
        <w:pStyle w:val="17"/>
        <w:spacing w:line="268" w:lineRule="auto"/>
        <w:rPr>
          <w:color w:val="auto"/>
          <w:highlight w:val="none"/>
        </w:rPr>
      </w:pPr>
    </w:p>
    <w:p w14:paraId="308E4035">
      <w:pPr>
        <w:pStyle w:val="17"/>
        <w:spacing w:line="269" w:lineRule="auto"/>
        <w:rPr>
          <w:color w:val="auto"/>
          <w:highlight w:val="none"/>
        </w:rPr>
      </w:pPr>
    </w:p>
    <w:p w14:paraId="5DA0BF95">
      <w:pPr>
        <w:pStyle w:val="17"/>
        <w:spacing w:line="269" w:lineRule="auto"/>
        <w:rPr>
          <w:color w:val="auto"/>
          <w:highlight w:val="none"/>
        </w:rPr>
      </w:pPr>
    </w:p>
    <w:p w14:paraId="54D22179">
      <w:pPr>
        <w:pStyle w:val="17"/>
        <w:spacing w:line="269" w:lineRule="auto"/>
        <w:rPr>
          <w:color w:val="auto"/>
          <w:highlight w:val="none"/>
        </w:rPr>
      </w:pPr>
    </w:p>
    <w:p w14:paraId="5D547A2D">
      <w:pPr>
        <w:pStyle w:val="17"/>
        <w:spacing w:line="269" w:lineRule="auto"/>
        <w:rPr>
          <w:color w:val="auto"/>
          <w:highlight w:val="none"/>
        </w:rPr>
      </w:pPr>
    </w:p>
    <w:p w14:paraId="7A6C2809">
      <w:pPr>
        <w:pStyle w:val="17"/>
        <w:spacing w:line="269" w:lineRule="auto"/>
        <w:rPr>
          <w:color w:val="auto"/>
          <w:highlight w:val="none"/>
        </w:rPr>
      </w:pPr>
    </w:p>
    <w:p w14:paraId="048C49E2">
      <w:pPr>
        <w:spacing w:before="69" w:line="220" w:lineRule="auto"/>
        <w:ind w:right="14"/>
        <w:jc w:val="right"/>
        <w:rPr>
          <w:rFonts w:ascii="宋体" w:hAnsi="宋体" w:cs="宋体"/>
          <w:color w:val="auto"/>
          <w:szCs w:val="21"/>
          <w:highlight w:val="none"/>
        </w:rPr>
      </w:pPr>
      <w:r>
        <w:rPr>
          <w:rFonts w:ascii="宋体" w:hAnsi="宋体" w:cs="宋体"/>
          <w:color w:val="auto"/>
          <w:spacing w:val="-2"/>
          <w:szCs w:val="21"/>
          <w:highlight w:val="none"/>
        </w:rPr>
        <w:t>招标人</w:t>
      </w:r>
      <w:r>
        <w:rPr>
          <w:rFonts w:ascii="宋体" w:hAnsi="宋体" w:cs="宋体"/>
          <w:color w:val="auto"/>
          <w:szCs w:val="21"/>
          <w:highlight w:val="none"/>
        </w:rPr>
        <w:t>：</w:t>
      </w:r>
      <w:r>
        <w:rPr>
          <w:rFonts w:ascii="宋体" w:hAnsi="宋体" w:cs="宋体"/>
          <w:color w:val="auto"/>
          <w:szCs w:val="21"/>
          <w:highlight w:val="none"/>
          <w:u w:val="single"/>
        </w:rPr>
        <w:tab/>
      </w:r>
      <w:r>
        <w:rPr>
          <w:rFonts w:hint="eastAsia" w:ascii="宋体" w:hAnsi="宋体" w:cs="宋体"/>
          <w:color w:val="auto"/>
          <w:szCs w:val="21"/>
          <w:highlight w:val="none"/>
          <w:u w:val="single"/>
          <w:lang w:val="en-US" w:eastAsia="zh-CN"/>
        </w:rPr>
        <w:t xml:space="preserve">          </w:t>
      </w:r>
      <w:r>
        <w:rPr>
          <w:rFonts w:ascii="宋体" w:hAnsi="宋体" w:cs="宋体"/>
          <w:color w:val="auto"/>
          <w:szCs w:val="21"/>
          <w:highlight w:val="none"/>
        </w:rPr>
        <w:t>（</w:t>
      </w:r>
      <w:r>
        <w:rPr>
          <w:rFonts w:ascii="宋体" w:hAnsi="宋体" w:cs="宋体"/>
          <w:color w:val="auto"/>
          <w:spacing w:val="-2"/>
          <w:szCs w:val="21"/>
          <w:highlight w:val="none"/>
        </w:rPr>
        <w:t>盖单位章）</w:t>
      </w:r>
    </w:p>
    <w:p w14:paraId="15FB5651">
      <w:pPr>
        <w:pStyle w:val="17"/>
        <w:spacing w:line="249" w:lineRule="auto"/>
        <w:rPr>
          <w:color w:val="auto"/>
          <w:highlight w:val="none"/>
        </w:rPr>
      </w:pPr>
    </w:p>
    <w:p w14:paraId="0A1250D7">
      <w:pPr>
        <w:pStyle w:val="17"/>
        <w:spacing w:line="249" w:lineRule="auto"/>
        <w:rPr>
          <w:color w:val="auto"/>
          <w:highlight w:val="none"/>
        </w:rPr>
      </w:pPr>
    </w:p>
    <w:p w14:paraId="371FF58F">
      <w:pPr>
        <w:tabs>
          <w:tab w:val="left" w:pos="6837"/>
        </w:tabs>
        <w:spacing w:before="69" w:line="221" w:lineRule="auto"/>
        <w:ind w:left="5893"/>
        <w:rPr>
          <w:rFonts w:ascii="宋体" w:hAnsi="宋体" w:cs="宋体"/>
          <w:color w:val="auto"/>
          <w:szCs w:val="21"/>
          <w:highlight w:val="none"/>
        </w:rPr>
      </w:pPr>
      <w:r>
        <w:rPr>
          <w:rFonts w:hint="eastAsia" w:ascii="宋体" w:hAnsi="宋体" w:cs="宋体"/>
          <w:color w:val="auto"/>
          <w:szCs w:val="21"/>
          <w:highlight w:val="none"/>
          <w:u w:val="single"/>
          <w:lang w:val="en-US" w:eastAsia="zh-CN"/>
        </w:rPr>
        <w:t xml:space="preserve">      </w:t>
      </w:r>
      <w:r>
        <w:rPr>
          <w:rFonts w:ascii="宋体" w:hAnsi="宋体" w:cs="宋体"/>
          <w:color w:val="auto"/>
          <w:spacing w:val="-22"/>
          <w:szCs w:val="21"/>
          <w:highlight w:val="none"/>
        </w:rPr>
        <w:t>年</w:t>
      </w:r>
      <w:r>
        <w:rPr>
          <w:rFonts w:hint="eastAsia" w:ascii="宋体" w:hAnsi="宋体" w:cs="宋体"/>
          <w:color w:val="auto"/>
          <w:szCs w:val="21"/>
          <w:highlight w:val="none"/>
          <w:u w:val="single"/>
          <w:lang w:val="en-US" w:eastAsia="zh-CN"/>
        </w:rPr>
        <w:t xml:space="preserve">      </w:t>
      </w:r>
      <w:r>
        <w:rPr>
          <w:rFonts w:ascii="宋体" w:hAnsi="宋体" w:cs="宋体"/>
          <w:color w:val="auto"/>
          <w:spacing w:val="-22"/>
          <w:szCs w:val="21"/>
          <w:highlight w:val="none"/>
        </w:rPr>
        <w:t>月</w:t>
      </w:r>
      <w:r>
        <w:rPr>
          <w:rFonts w:hint="eastAsia" w:ascii="宋体" w:hAnsi="宋体" w:cs="宋体"/>
          <w:color w:val="auto"/>
          <w:szCs w:val="21"/>
          <w:highlight w:val="none"/>
          <w:u w:val="single"/>
          <w:lang w:val="en-US" w:eastAsia="zh-CN"/>
        </w:rPr>
        <w:t xml:space="preserve">      </w:t>
      </w:r>
      <w:r>
        <w:rPr>
          <w:rFonts w:ascii="宋体" w:hAnsi="宋体" w:cs="宋体"/>
          <w:color w:val="auto"/>
          <w:spacing w:val="-22"/>
          <w:szCs w:val="21"/>
          <w:highlight w:val="none"/>
        </w:rPr>
        <w:t>日</w:t>
      </w:r>
    </w:p>
    <w:p w14:paraId="418C6CB0">
      <w:pPr>
        <w:spacing w:line="221" w:lineRule="auto"/>
        <w:rPr>
          <w:rFonts w:ascii="宋体" w:hAnsi="宋体" w:cs="宋体"/>
          <w:color w:val="auto"/>
          <w:szCs w:val="21"/>
          <w:highlight w:val="none"/>
        </w:rPr>
        <w:sectPr>
          <w:footerReference r:id="rId10" w:type="default"/>
          <w:pgSz w:w="11907" w:h="16839"/>
          <w:pgMar w:top="1428" w:right="1785" w:bottom="1154" w:left="1785" w:header="0" w:footer="953" w:gutter="0"/>
          <w:pgNumType w:fmt="decimal"/>
          <w:cols w:space="720" w:num="1"/>
        </w:sectPr>
      </w:pPr>
    </w:p>
    <w:p w14:paraId="706C9DCB">
      <w:pPr>
        <w:spacing w:before="47" w:line="219" w:lineRule="auto"/>
        <w:ind w:left="34"/>
        <w:outlineLvl w:val="9"/>
        <w:rPr>
          <w:rFonts w:ascii="黑体" w:hAnsi="黑体" w:eastAsia="黑体" w:cs="黑体"/>
          <w:color w:val="auto"/>
          <w:spacing w:val="-2"/>
          <w:sz w:val="24"/>
          <w:highlight w:val="none"/>
        </w:rPr>
      </w:pPr>
      <w:bookmarkStart w:id="206" w:name="bookmark94"/>
      <w:bookmarkEnd w:id="206"/>
      <w:bookmarkStart w:id="207" w:name="_Toc5967"/>
    </w:p>
    <w:p w14:paraId="6F12A099">
      <w:pPr>
        <w:spacing w:before="47" w:line="219" w:lineRule="auto"/>
        <w:ind w:left="34"/>
        <w:outlineLvl w:val="2"/>
        <w:rPr>
          <w:rFonts w:ascii="黑体" w:hAnsi="黑体" w:eastAsia="黑体" w:cs="黑体"/>
          <w:color w:val="auto"/>
          <w:sz w:val="24"/>
          <w:highlight w:val="none"/>
        </w:rPr>
      </w:pPr>
      <w:r>
        <w:rPr>
          <w:rFonts w:ascii="黑体" w:hAnsi="黑体" w:eastAsia="黑体" w:cs="黑体"/>
          <w:color w:val="auto"/>
          <w:spacing w:val="-2"/>
          <w:sz w:val="24"/>
          <w:highlight w:val="none"/>
        </w:rPr>
        <w:t>附表三：招标文件修改通知</w:t>
      </w:r>
      <w:bookmarkEnd w:id="207"/>
    </w:p>
    <w:p w14:paraId="43AA42F1">
      <w:pPr>
        <w:pStyle w:val="17"/>
        <w:spacing w:line="265" w:lineRule="auto"/>
        <w:rPr>
          <w:color w:val="auto"/>
          <w:highlight w:val="none"/>
        </w:rPr>
      </w:pPr>
    </w:p>
    <w:p w14:paraId="0647D279">
      <w:pPr>
        <w:pStyle w:val="17"/>
        <w:spacing w:line="265" w:lineRule="auto"/>
        <w:rPr>
          <w:color w:val="auto"/>
          <w:highlight w:val="none"/>
        </w:rPr>
      </w:pPr>
    </w:p>
    <w:p w14:paraId="60C5F397">
      <w:pPr>
        <w:pStyle w:val="17"/>
        <w:spacing w:line="265" w:lineRule="auto"/>
        <w:rPr>
          <w:color w:val="auto"/>
          <w:highlight w:val="none"/>
        </w:rPr>
      </w:pPr>
    </w:p>
    <w:p w14:paraId="182416DD">
      <w:pPr>
        <w:pStyle w:val="17"/>
        <w:spacing w:line="265" w:lineRule="auto"/>
        <w:rPr>
          <w:color w:val="auto"/>
          <w:highlight w:val="none"/>
        </w:rPr>
      </w:pPr>
    </w:p>
    <w:p w14:paraId="134600E4">
      <w:pPr>
        <w:pStyle w:val="17"/>
        <w:spacing w:line="265" w:lineRule="auto"/>
        <w:rPr>
          <w:color w:val="auto"/>
          <w:highlight w:val="none"/>
        </w:rPr>
      </w:pPr>
    </w:p>
    <w:p w14:paraId="403ED0CD">
      <w:pPr>
        <w:pStyle w:val="17"/>
        <w:spacing w:line="266" w:lineRule="auto"/>
        <w:rPr>
          <w:color w:val="auto"/>
          <w:highlight w:val="none"/>
        </w:rPr>
      </w:pPr>
    </w:p>
    <w:p w14:paraId="54ACC790">
      <w:pPr>
        <w:spacing w:before="91" w:line="219" w:lineRule="auto"/>
        <w:ind w:left="3058"/>
        <w:rPr>
          <w:rFonts w:ascii="黑体" w:hAnsi="黑体" w:eastAsia="黑体" w:cs="黑体"/>
          <w:color w:val="auto"/>
          <w:sz w:val="28"/>
          <w:szCs w:val="28"/>
          <w:highlight w:val="none"/>
        </w:rPr>
      </w:pPr>
      <w:r>
        <w:rPr>
          <w:rFonts w:ascii="黑体" w:hAnsi="黑体" w:eastAsia="黑体" w:cs="黑体"/>
          <w:color w:val="auto"/>
          <w:spacing w:val="-1"/>
          <w:sz w:val="28"/>
          <w:szCs w:val="28"/>
          <w:highlight w:val="none"/>
        </w:rPr>
        <w:t>招标文件修改通知</w:t>
      </w:r>
    </w:p>
    <w:p w14:paraId="7FD8BCA5">
      <w:pPr>
        <w:pStyle w:val="17"/>
        <w:spacing w:line="248" w:lineRule="auto"/>
        <w:rPr>
          <w:color w:val="auto"/>
          <w:highlight w:val="none"/>
        </w:rPr>
      </w:pPr>
    </w:p>
    <w:p w14:paraId="35D45B80">
      <w:pPr>
        <w:pStyle w:val="17"/>
        <w:spacing w:line="248" w:lineRule="auto"/>
        <w:rPr>
          <w:color w:val="auto"/>
          <w:highlight w:val="none"/>
        </w:rPr>
      </w:pPr>
    </w:p>
    <w:p w14:paraId="51648089">
      <w:pPr>
        <w:pStyle w:val="17"/>
        <w:spacing w:line="249" w:lineRule="auto"/>
        <w:rPr>
          <w:color w:val="auto"/>
          <w:highlight w:val="none"/>
        </w:rPr>
      </w:pPr>
    </w:p>
    <w:p w14:paraId="66F073D2">
      <w:pPr>
        <w:spacing w:before="69" w:line="221" w:lineRule="auto"/>
        <w:ind w:left="6008"/>
        <w:rPr>
          <w:rFonts w:ascii="宋体" w:hAnsi="宋体" w:cs="宋体"/>
          <w:color w:val="auto"/>
          <w:szCs w:val="21"/>
          <w:highlight w:val="none"/>
        </w:rPr>
      </w:pPr>
      <w:r>
        <w:rPr>
          <w:rFonts w:ascii="宋体" w:hAnsi="宋体" w:cs="宋体"/>
          <w:color w:val="auto"/>
          <w:spacing w:val="-3"/>
          <w:szCs w:val="21"/>
          <w:highlight w:val="none"/>
        </w:rPr>
        <w:t>编号：</w:t>
      </w:r>
      <w:r>
        <w:rPr>
          <w:rFonts w:hint="eastAsia" w:ascii="宋体" w:hAnsi="宋体" w:cs="宋体"/>
          <w:color w:val="auto"/>
          <w:szCs w:val="21"/>
          <w:highlight w:val="none"/>
          <w:u w:val="single"/>
          <w:lang w:val="en-US" w:eastAsia="zh-CN"/>
        </w:rPr>
        <w:t xml:space="preserve">               </w:t>
      </w:r>
    </w:p>
    <w:p w14:paraId="525EAB19">
      <w:pPr>
        <w:pStyle w:val="17"/>
        <w:spacing w:line="461" w:lineRule="auto"/>
        <w:rPr>
          <w:color w:val="auto"/>
          <w:highlight w:val="none"/>
        </w:rPr>
      </w:pPr>
    </w:p>
    <w:p w14:paraId="19128897">
      <w:pPr>
        <w:spacing w:before="68" w:line="221" w:lineRule="auto"/>
        <w:ind w:left="22"/>
        <w:rPr>
          <w:rFonts w:ascii="宋体" w:hAnsi="宋体" w:cs="宋体"/>
          <w:color w:val="auto"/>
          <w:szCs w:val="21"/>
          <w:highlight w:val="none"/>
        </w:rPr>
      </w:pPr>
      <w:r>
        <w:rPr>
          <w:rFonts w:ascii="宋体" w:hAnsi="宋体" w:cs="宋体"/>
          <w:color w:val="auto"/>
          <w:spacing w:val="-7"/>
          <w:szCs w:val="21"/>
          <w:highlight w:val="none"/>
        </w:rPr>
        <w:t>各投标人：</w:t>
      </w:r>
    </w:p>
    <w:p w14:paraId="75A0ADD4">
      <w:pPr>
        <w:spacing w:before="308" w:line="492" w:lineRule="auto"/>
        <w:ind w:left="22" w:right="7" w:firstLine="419"/>
        <w:rPr>
          <w:rFonts w:ascii="宋体" w:hAnsi="宋体" w:cs="宋体"/>
          <w:color w:val="auto"/>
          <w:szCs w:val="21"/>
          <w:highlight w:val="none"/>
        </w:rPr>
      </w:pPr>
      <w:r>
        <w:rPr>
          <w:rFonts w:ascii="宋体" w:hAnsi="宋体" w:cs="宋体"/>
          <w:color w:val="auto"/>
          <w:szCs w:val="21"/>
          <w:highlight w:val="none"/>
        </w:rPr>
        <w:t>经研究，对</w:t>
      </w:r>
      <w:r>
        <w:rPr>
          <w:rFonts w:hint="eastAsia" w:ascii="宋体" w:hAnsi="宋体" w:cs="宋体"/>
          <w:color w:val="auto"/>
          <w:szCs w:val="21"/>
          <w:highlight w:val="none"/>
          <w:u w:val="single"/>
          <w:lang w:val="en-US" w:eastAsia="zh-CN"/>
        </w:rPr>
        <w:t xml:space="preserve">                     </w:t>
      </w:r>
      <w:r>
        <w:rPr>
          <w:rFonts w:ascii="宋体" w:hAnsi="宋体" w:cs="宋体"/>
          <w:color w:val="auto"/>
          <w:szCs w:val="21"/>
          <w:highlight w:val="none"/>
        </w:rPr>
        <w:t>（标段名称）项目（标段唯一标</w:t>
      </w:r>
      <w:r>
        <w:rPr>
          <w:rFonts w:ascii="宋体" w:hAnsi="宋体" w:cs="宋体"/>
          <w:color w:val="auto"/>
          <w:spacing w:val="-1"/>
          <w:szCs w:val="21"/>
          <w:highlight w:val="none"/>
        </w:rPr>
        <w:t>识码</w:t>
      </w:r>
      <w:r>
        <w:rPr>
          <w:rFonts w:ascii="宋体" w:hAnsi="宋体" w:cs="宋体"/>
          <w:color w:val="auto"/>
          <w:spacing w:val="-12"/>
          <w:szCs w:val="21"/>
          <w:highlight w:val="none"/>
        </w:rPr>
        <w:t>：</w:t>
      </w:r>
      <w:r>
        <w:rPr>
          <w:rFonts w:hint="eastAsia" w:ascii="宋体" w:hAnsi="宋体" w:cs="宋体"/>
          <w:color w:val="auto"/>
          <w:szCs w:val="21"/>
          <w:highlight w:val="none"/>
          <w:u w:val="single"/>
          <w:lang w:val="en-US" w:eastAsia="zh-CN"/>
        </w:rPr>
        <w:t xml:space="preserve">               </w:t>
      </w:r>
      <w:r>
        <w:rPr>
          <w:rFonts w:ascii="宋体" w:hAnsi="宋体" w:cs="宋体"/>
          <w:color w:val="auto"/>
          <w:spacing w:val="-12"/>
          <w:szCs w:val="21"/>
          <w:highlight w:val="none"/>
        </w:rPr>
        <w:t>）</w:t>
      </w:r>
      <w:r>
        <w:rPr>
          <w:rFonts w:ascii="宋体" w:hAnsi="宋体" w:cs="宋体"/>
          <w:color w:val="auto"/>
          <w:spacing w:val="-1"/>
          <w:szCs w:val="21"/>
          <w:highlight w:val="none"/>
        </w:rPr>
        <w:t>招标文件，作如下修改：</w:t>
      </w:r>
    </w:p>
    <w:p w14:paraId="23BA4955">
      <w:pPr>
        <w:ind w:left="455"/>
        <w:rPr>
          <w:rFonts w:ascii="宋体" w:hAnsi="宋体" w:cs="宋体"/>
          <w:color w:val="auto"/>
          <w:szCs w:val="21"/>
          <w:highlight w:val="none"/>
        </w:rPr>
      </w:pPr>
      <w:r>
        <w:rPr>
          <w:rFonts w:ascii="宋体" w:hAnsi="宋体" w:cs="宋体"/>
          <w:color w:val="auto"/>
          <w:spacing w:val="-6"/>
          <w:szCs w:val="21"/>
          <w:highlight w:val="none"/>
        </w:rPr>
        <w:t>1.……</w:t>
      </w:r>
    </w:p>
    <w:p w14:paraId="50D34F79">
      <w:pPr>
        <w:spacing w:before="289"/>
        <w:ind w:left="442"/>
        <w:rPr>
          <w:rFonts w:ascii="宋体" w:hAnsi="宋体" w:cs="宋体"/>
          <w:color w:val="auto"/>
          <w:szCs w:val="21"/>
          <w:highlight w:val="none"/>
        </w:rPr>
      </w:pPr>
      <w:r>
        <w:rPr>
          <w:rFonts w:ascii="宋体" w:hAnsi="宋体" w:cs="宋体"/>
          <w:color w:val="auto"/>
          <w:spacing w:val="-2"/>
          <w:szCs w:val="21"/>
          <w:highlight w:val="none"/>
        </w:rPr>
        <w:t>2.……</w:t>
      </w:r>
    </w:p>
    <w:p w14:paraId="24921100">
      <w:pPr>
        <w:spacing w:before="286" w:line="333" w:lineRule="exact"/>
        <w:ind w:left="453"/>
        <w:rPr>
          <w:rFonts w:ascii="宋体" w:hAnsi="宋体" w:cs="宋体"/>
          <w:color w:val="auto"/>
          <w:szCs w:val="21"/>
          <w:highlight w:val="none"/>
        </w:rPr>
      </w:pPr>
      <w:r>
        <w:rPr>
          <w:rFonts w:ascii="宋体" w:hAnsi="宋体" w:cs="宋体"/>
          <w:color w:val="auto"/>
          <w:spacing w:val="-5"/>
          <w:position w:val="2"/>
          <w:szCs w:val="21"/>
          <w:highlight w:val="none"/>
        </w:rPr>
        <w:t>……</w:t>
      </w:r>
    </w:p>
    <w:p w14:paraId="035426FB">
      <w:pPr>
        <w:pStyle w:val="17"/>
        <w:spacing w:line="268" w:lineRule="auto"/>
        <w:rPr>
          <w:color w:val="auto"/>
          <w:highlight w:val="none"/>
        </w:rPr>
      </w:pPr>
    </w:p>
    <w:p w14:paraId="66D5B9D6">
      <w:pPr>
        <w:pStyle w:val="17"/>
        <w:spacing w:line="268" w:lineRule="auto"/>
        <w:rPr>
          <w:color w:val="auto"/>
          <w:highlight w:val="none"/>
        </w:rPr>
      </w:pPr>
    </w:p>
    <w:p w14:paraId="61A02EB3">
      <w:pPr>
        <w:pStyle w:val="17"/>
        <w:spacing w:line="268" w:lineRule="auto"/>
        <w:rPr>
          <w:color w:val="auto"/>
          <w:highlight w:val="none"/>
        </w:rPr>
      </w:pPr>
    </w:p>
    <w:p w14:paraId="2A57D03B">
      <w:pPr>
        <w:pStyle w:val="17"/>
        <w:spacing w:line="269" w:lineRule="auto"/>
        <w:rPr>
          <w:color w:val="auto"/>
          <w:highlight w:val="none"/>
        </w:rPr>
      </w:pPr>
    </w:p>
    <w:p w14:paraId="761B6592">
      <w:pPr>
        <w:pStyle w:val="17"/>
        <w:spacing w:line="269" w:lineRule="auto"/>
        <w:rPr>
          <w:color w:val="auto"/>
          <w:highlight w:val="none"/>
        </w:rPr>
      </w:pPr>
    </w:p>
    <w:p w14:paraId="15668709">
      <w:pPr>
        <w:pStyle w:val="17"/>
        <w:spacing w:line="269" w:lineRule="auto"/>
        <w:rPr>
          <w:color w:val="auto"/>
          <w:highlight w:val="none"/>
        </w:rPr>
      </w:pPr>
    </w:p>
    <w:p w14:paraId="1B774BEF">
      <w:pPr>
        <w:spacing w:before="69" w:line="220" w:lineRule="auto"/>
        <w:ind w:right="14"/>
        <w:jc w:val="right"/>
        <w:rPr>
          <w:rFonts w:ascii="宋体" w:hAnsi="宋体" w:cs="宋体"/>
          <w:color w:val="auto"/>
          <w:szCs w:val="21"/>
          <w:highlight w:val="none"/>
        </w:rPr>
      </w:pPr>
      <w:r>
        <w:rPr>
          <w:rFonts w:ascii="宋体" w:hAnsi="宋体" w:cs="宋体"/>
          <w:color w:val="auto"/>
          <w:spacing w:val="-2"/>
          <w:szCs w:val="21"/>
          <w:highlight w:val="none"/>
        </w:rPr>
        <w:t>招标人</w:t>
      </w:r>
      <w:r>
        <w:rPr>
          <w:rFonts w:ascii="宋体" w:hAnsi="宋体" w:cs="宋体"/>
          <w:color w:val="auto"/>
          <w:szCs w:val="21"/>
          <w:highlight w:val="none"/>
        </w:rPr>
        <w:t>：</w:t>
      </w:r>
      <w:r>
        <w:rPr>
          <w:rFonts w:ascii="宋体" w:hAnsi="宋体" w:cs="宋体"/>
          <w:color w:val="auto"/>
          <w:szCs w:val="21"/>
          <w:highlight w:val="none"/>
          <w:u w:val="single"/>
        </w:rPr>
        <w:tab/>
      </w:r>
      <w:r>
        <w:rPr>
          <w:rFonts w:hint="eastAsia" w:ascii="宋体" w:hAnsi="宋体" w:cs="宋体"/>
          <w:color w:val="auto"/>
          <w:szCs w:val="21"/>
          <w:highlight w:val="none"/>
          <w:u w:val="single"/>
          <w:lang w:val="en-US" w:eastAsia="zh-CN"/>
        </w:rPr>
        <w:t xml:space="preserve">          </w:t>
      </w:r>
      <w:r>
        <w:rPr>
          <w:rFonts w:ascii="宋体" w:hAnsi="宋体" w:cs="宋体"/>
          <w:color w:val="auto"/>
          <w:szCs w:val="21"/>
          <w:highlight w:val="none"/>
        </w:rPr>
        <w:t>（</w:t>
      </w:r>
      <w:r>
        <w:rPr>
          <w:rFonts w:ascii="宋体" w:hAnsi="宋体" w:cs="宋体"/>
          <w:color w:val="auto"/>
          <w:spacing w:val="-2"/>
          <w:szCs w:val="21"/>
          <w:highlight w:val="none"/>
        </w:rPr>
        <w:t>盖单位章）</w:t>
      </w:r>
    </w:p>
    <w:p w14:paraId="03859F41">
      <w:pPr>
        <w:pStyle w:val="17"/>
        <w:spacing w:line="249" w:lineRule="auto"/>
        <w:rPr>
          <w:color w:val="auto"/>
          <w:highlight w:val="none"/>
        </w:rPr>
      </w:pPr>
    </w:p>
    <w:p w14:paraId="454C3386">
      <w:pPr>
        <w:pStyle w:val="17"/>
        <w:spacing w:line="249" w:lineRule="auto"/>
        <w:rPr>
          <w:color w:val="auto"/>
          <w:highlight w:val="none"/>
        </w:rPr>
      </w:pPr>
    </w:p>
    <w:p w14:paraId="539565BA">
      <w:pPr>
        <w:tabs>
          <w:tab w:val="left" w:pos="6837"/>
        </w:tabs>
        <w:spacing w:before="69" w:line="221" w:lineRule="auto"/>
        <w:ind w:left="5893"/>
        <w:rPr>
          <w:rFonts w:ascii="宋体" w:hAnsi="宋体" w:cs="宋体"/>
          <w:color w:val="auto"/>
          <w:szCs w:val="21"/>
          <w:highlight w:val="none"/>
        </w:rPr>
      </w:pPr>
      <w:r>
        <w:rPr>
          <w:rFonts w:hint="eastAsia" w:ascii="宋体" w:hAnsi="宋体" w:cs="宋体"/>
          <w:color w:val="auto"/>
          <w:szCs w:val="21"/>
          <w:highlight w:val="none"/>
          <w:u w:val="single"/>
          <w:lang w:val="en-US" w:eastAsia="zh-CN"/>
        </w:rPr>
        <w:t xml:space="preserve">      </w:t>
      </w:r>
      <w:r>
        <w:rPr>
          <w:rFonts w:ascii="宋体" w:hAnsi="宋体" w:cs="宋体"/>
          <w:color w:val="auto"/>
          <w:spacing w:val="-22"/>
          <w:szCs w:val="21"/>
          <w:highlight w:val="none"/>
        </w:rPr>
        <w:t>年</w:t>
      </w:r>
      <w:r>
        <w:rPr>
          <w:rFonts w:hint="eastAsia" w:ascii="宋体" w:hAnsi="宋体" w:cs="宋体"/>
          <w:color w:val="auto"/>
          <w:szCs w:val="21"/>
          <w:highlight w:val="none"/>
          <w:u w:val="single"/>
          <w:lang w:val="en-US" w:eastAsia="zh-CN"/>
        </w:rPr>
        <w:t xml:space="preserve">      </w:t>
      </w:r>
      <w:r>
        <w:rPr>
          <w:rFonts w:ascii="宋体" w:hAnsi="宋体" w:cs="宋体"/>
          <w:color w:val="auto"/>
          <w:spacing w:val="-22"/>
          <w:szCs w:val="21"/>
          <w:highlight w:val="none"/>
        </w:rPr>
        <w:t>月</w:t>
      </w:r>
      <w:r>
        <w:rPr>
          <w:rFonts w:hint="eastAsia" w:ascii="宋体" w:hAnsi="宋体" w:cs="宋体"/>
          <w:color w:val="auto"/>
          <w:szCs w:val="21"/>
          <w:highlight w:val="none"/>
          <w:u w:val="single"/>
          <w:lang w:val="en-US" w:eastAsia="zh-CN"/>
        </w:rPr>
        <w:t xml:space="preserve">      </w:t>
      </w:r>
      <w:r>
        <w:rPr>
          <w:rFonts w:ascii="宋体" w:hAnsi="宋体" w:cs="宋体"/>
          <w:color w:val="auto"/>
          <w:spacing w:val="-22"/>
          <w:szCs w:val="21"/>
          <w:highlight w:val="none"/>
        </w:rPr>
        <w:t>日</w:t>
      </w:r>
    </w:p>
    <w:p w14:paraId="076E533F">
      <w:pPr>
        <w:spacing w:line="221" w:lineRule="auto"/>
        <w:rPr>
          <w:rFonts w:ascii="宋体" w:hAnsi="宋体" w:cs="宋体"/>
          <w:color w:val="auto"/>
          <w:szCs w:val="21"/>
          <w:highlight w:val="none"/>
        </w:rPr>
        <w:sectPr>
          <w:footerReference r:id="rId11" w:type="default"/>
          <w:pgSz w:w="11907" w:h="16839"/>
          <w:pgMar w:top="1428" w:right="1785" w:bottom="1154" w:left="1785" w:header="0" w:footer="954" w:gutter="0"/>
          <w:pgNumType w:fmt="decimal"/>
          <w:cols w:space="720" w:num="1"/>
        </w:sectPr>
      </w:pPr>
    </w:p>
    <w:p w14:paraId="5C81606A">
      <w:pPr>
        <w:spacing w:before="48" w:line="218" w:lineRule="auto"/>
        <w:ind w:left="34"/>
        <w:outlineLvl w:val="9"/>
        <w:rPr>
          <w:rFonts w:ascii="黑体" w:hAnsi="黑体" w:eastAsia="黑体" w:cs="黑体"/>
          <w:color w:val="auto"/>
          <w:spacing w:val="-2"/>
          <w:sz w:val="24"/>
          <w:highlight w:val="none"/>
        </w:rPr>
      </w:pPr>
      <w:bookmarkStart w:id="208" w:name="bookmark95"/>
      <w:bookmarkEnd w:id="208"/>
      <w:bookmarkStart w:id="209" w:name="_Toc17140"/>
    </w:p>
    <w:p w14:paraId="5DEC04C8">
      <w:pPr>
        <w:spacing w:before="48" w:line="218" w:lineRule="auto"/>
        <w:ind w:left="34"/>
        <w:outlineLvl w:val="2"/>
        <w:rPr>
          <w:rFonts w:ascii="黑体" w:hAnsi="黑体" w:eastAsia="黑体" w:cs="黑体"/>
          <w:color w:val="auto"/>
          <w:sz w:val="24"/>
          <w:highlight w:val="none"/>
        </w:rPr>
      </w:pPr>
      <w:r>
        <w:rPr>
          <w:rFonts w:ascii="黑体" w:hAnsi="黑体" w:eastAsia="黑体" w:cs="黑体"/>
          <w:color w:val="auto"/>
          <w:spacing w:val="-2"/>
          <w:sz w:val="24"/>
          <w:highlight w:val="none"/>
        </w:rPr>
        <w:t>附表四：投标文件递交电子签收凭证</w:t>
      </w:r>
      <w:bookmarkEnd w:id="209"/>
    </w:p>
    <w:p w14:paraId="1B4F0E7A">
      <w:pPr>
        <w:pStyle w:val="17"/>
        <w:spacing w:line="248" w:lineRule="auto"/>
        <w:rPr>
          <w:color w:val="auto"/>
          <w:highlight w:val="none"/>
        </w:rPr>
      </w:pPr>
    </w:p>
    <w:p w14:paraId="56A094D9">
      <w:pPr>
        <w:pStyle w:val="17"/>
        <w:spacing w:line="248" w:lineRule="auto"/>
        <w:rPr>
          <w:color w:val="auto"/>
          <w:highlight w:val="none"/>
        </w:rPr>
      </w:pPr>
    </w:p>
    <w:p w14:paraId="104E47CB">
      <w:pPr>
        <w:pStyle w:val="17"/>
        <w:spacing w:line="248" w:lineRule="auto"/>
        <w:rPr>
          <w:color w:val="auto"/>
          <w:highlight w:val="none"/>
        </w:rPr>
      </w:pPr>
    </w:p>
    <w:p w14:paraId="1AF0EC1A">
      <w:pPr>
        <w:pStyle w:val="17"/>
        <w:spacing w:line="249" w:lineRule="auto"/>
        <w:rPr>
          <w:color w:val="auto"/>
          <w:highlight w:val="none"/>
        </w:rPr>
      </w:pPr>
    </w:p>
    <w:p w14:paraId="096957C7">
      <w:pPr>
        <w:pStyle w:val="17"/>
        <w:spacing w:line="249" w:lineRule="auto"/>
        <w:rPr>
          <w:color w:val="auto"/>
          <w:highlight w:val="none"/>
        </w:rPr>
      </w:pPr>
    </w:p>
    <w:p w14:paraId="586D9483">
      <w:pPr>
        <w:spacing w:before="91" w:line="219" w:lineRule="auto"/>
        <w:ind w:left="2495"/>
        <w:rPr>
          <w:rFonts w:ascii="黑体" w:hAnsi="黑体" w:eastAsia="黑体" w:cs="黑体"/>
          <w:color w:val="auto"/>
          <w:sz w:val="28"/>
          <w:szCs w:val="28"/>
          <w:highlight w:val="none"/>
        </w:rPr>
      </w:pPr>
      <w:r>
        <w:rPr>
          <w:rFonts w:ascii="黑体" w:hAnsi="黑体" w:eastAsia="黑体" w:cs="黑体"/>
          <w:color w:val="auto"/>
          <w:spacing w:val="-1"/>
          <w:sz w:val="28"/>
          <w:szCs w:val="28"/>
          <w:highlight w:val="none"/>
        </w:rPr>
        <w:t>投标文件递交电子签收凭证</w:t>
      </w:r>
    </w:p>
    <w:p w14:paraId="48DBE797">
      <w:pPr>
        <w:pStyle w:val="17"/>
        <w:spacing w:line="273" w:lineRule="auto"/>
        <w:rPr>
          <w:color w:val="auto"/>
          <w:highlight w:val="none"/>
        </w:rPr>
      </w:pPr>
    </w:p>
    <w:p w14:paraId="1F6DE74A">
      <w:pPr>
        <w:pStyle w:val="17"/>
        <w:spacing w:line="274" w:lineRule="auto"/>
        <w:rPr>
          <w:color w:val="auto"/>
          <w:highlight w:val="none"/>
        </w:rPr>
      </w:pPr>
    </w:p>
    <w:p w14:paraId="0FA56489">
      <w:pPr>
        <w:pStyle w:val="17"/>
        <w:spacing w:line="274" w:lineRule="auto"/>
        <w:rPr>
          <w:color w:val="auto"/>
          <w:highlight w:val="none"/>
        </w:rPr>
      </w:pPr>
    </w:p>
    <w:p w14:paraId="27845F40">
      <w:pPr>
        <w:tabs>
          <w:tab w:val="left" w:pos="1796"/>
        </w:tabs>
        <w:spacing w:before="68" w:line="221" w:lineRule="auto"/>
        <w:ind w:left="12"/>
        <w:rPr>
          <w:rFonts w:ascii="宋体" w:hAnsi="宋体" w:cs="宋体"/>
          <w:color w:val="auto"/>
          <w:szCs w:val="21"/>
          <w:highlight w:val="none"/>
        </w:rPr>
      </w:pPr>
      <w:r>
        <w:rPr>
          <w:rFonts w:ascii="宋体" w:hAnsi="宋体" w:cs="宋体"/>
          <w:color w:val="auto"/>
          <w:szCs w:val="21"/>
          <w:highlight w:val="none"/>
          <w:u w:val="single"/>
        </w:rPr>
        <w:tab/>
      </w:r>
      <w:r>
        <w:rPr>
          <w:rFonts w:ascii="宋体" w:hAnsi="宋体" w:cs="宋体"/>
          <w:color w:val="auto"/>
          <w:szCs w:val="21"/>
          <w:highlight w:val="none"/>
        </w:rPr>
        <w:t>（投标人名称</w:t>
      </w:r>
      <w:r>
        <w:rPr>
          <w:rFonts w:ascii="宋体" w:hAnsi="宋体" w:cs="宋体"/>
          <w:color w:val="auto"/>
          <w:spacing w:val="-54"/>
          <w:w w:val="97"/>
          <w:szCs w:val="21"/>
          <w:highlight w:val="none"/>
        </w:rPr>
        <w:t>）：</w:t>
      </w:r>
    </w:p>
    <w:p w14:paraId="25273EA9">
      <w:pPr>
        <w:pStyle w:val="17"/>
        <w:spacing w:line="337" w:lineRule="auto"/>
        <w:rPr>
          <w:color w:val="auto"/>
          <w:highlight w:val="none"/>
        </w:rPr>
      </w:pPr>
    </w:p>
    <w:p w14:paraId="478DAD1E">
      <w:pPr>
        <w:spacing w:before="69" w:line="361" w:lineRule="auto"/>
        <w:ind w:left="18" w:right="127" w:firstLine="423"/>
        <w:rPr>
          <w:rFonts w:ascii="宋体" w:hAnsi="宋体" w:cs="宋体"/>
          <w:color w:val="auto"/>
          <w:szCs w:val="21"/>
          <w:highlight w:val="none"/>
        </w:rPr>
      </w:pPr>
      <w:r>
        <w:rPr>
          <w:rFonts w:ascii="宋体" w:hAnsi="宋体" w:cs="宋体"/>
          <w:color w:val="auto"/>
          <w:szCs w:val="21"/>
          <w:highlight w:val="none"/>
        </w:rPr>
        <w:t>您单位参与的</w:t>
      </w:r>
      <w:r>
        <w:rPr>
          <w:rFonts w:hint="eastAsia" w:ascii="宋体" w:hAnsi="宋体" w:cs="宋体"/>
          <w:color w:val="auto"/>
          <w:szCs w:val="21"/>
          <w:highlight w:val="none"/>
          <w:u w:val="single"/>
          <w:lang w:val="en-US" w:eastAsia="zh-CN"/>
        </w:rPr>
        <w:t xml:space="preserve">                     </w:t>
      </w:r>
      <w:r>
        <w:rPr>
          <w:rFonts w:ascii="宋体" w:hAnsi="宋体" w:cs="宋体"/>
          <w:color w:val="auto"/>
          <w:szCs w:val="21"/>
          <w:highlight w:val="none"/>
        </w:rPr>
        <w:t>（标段名称）项目（标</w:t>
      </w:r>
      <w:r>
        <w:rPr>
          <w:rFonts w:ascii="宋体" w:hAnsi="宋体" w:cs="宋体"/>
          <w:color w:val="auto"/>
          <w:spacing w:val="-1"/>
          <w:szCs w:val="21"/>
          <w:highlight w:val="none"/>
        </w:rPr>
        <w:t>段唯一标识</w:t>
      </w:r>
      <w:r>
        <w:rPr>
          <w:rFonts w:ascii="宋体" w:hAnsi="宋体" w:cs="宋体"/>
          <w:color w:val="auto"/>
          <w:spacing w:val="-4"/>
          <w:szCs w:val="21"/>
          <w:highlight w:val="none"/>
        </w:rPr>
        <w:t>码</w:t>
      </w:r>
      <w:r>
        <w:rPr>
          <w:rFonts w:ascii="宋体" w:hAnsi="宋体" w:cs="宋体"/>
          <w:color w:val="auto"/>
          <w:spacing w:val="-37"/>
          <w:szCs w:val="21"/>
          <w:highlight w:val="none"/>
        </w:rPr>
        <w:t>：</w:t>
      </w:r>
      <w:r>
        <w:rPr>
          <w:rFonts w:hint="eastAsia" w:ascii="宋体" w:hAnsi="宋体" w:cs="宋体"/>
          <w:color w:val="auto"/>
          <w:szCs w:val="21"/>
          <w:highlight w:val="none"/>
          <w:u w:val="single"/>
          <w:lang w:val="en-US" w:eastAsia="zh-CN"/>
        </w:rPr>
        <w:t xml:space="preserve">                         </w:t>
      </w:r>
      <w:r>
        <w:rPr>
          <w:rFonts w:ascii="宋体" w:hAnsi="宋体" w:cs="宋体"/>
          <w:color w:val="auto"/>
          <w:spacing w:val="-37"/>
          <w:szCs w:val="21"/>
          <w:highlight w:val="none"/>
        </w:rPr>
        <w:t>），</w:t>
      </w:r>
      <w:r>
        <w:rPr>
          <w:rFonts w:ascii="宋体" w:hAnsi="宋体" w:cs="宋体"/>
          <w:color w:val="auto"/>
          <w:spacing w:val="-4"/>
          <w:szCs w:val="21"/>
          <w:highlight w:val="none"/>
        </w:rPr>
        <w:t>投标文件于</w:t>
      </w:r>
      <w:r>
        <w:rPr>
          <w:rFonts w:hint="eastAsia" w:ascii="宋体" w:hAnsi="宋体" w:cs="宋体"/>
          <w:color w:val="auto"/>
          <w:szCs w:val="21"/>
          <w:highlight w:val="none"/>
          <w:u w:val="single"/>
          <w:lang w:val="en-US" w:eastAsia="zh-CN"/>
        </w:rPr>
        <w:t xml:space="preserve">    </w:t>
      </w:r>
      <w:r>
        <w:rPr>
          <w:rFonts w:ascii="宋体" w:hAnsi="宋体" w:cs="宋体"/>
          <w:color w:val="auto"/>
          <w:spacing w:val="-4"/>
          <w:szCs w:val="21"/>
          <w:highlight w:val="none"/>
        </w:rPr>
        <w:t>年</w:t>
      </w:r>
      <w:r>
        <w:rPr>
          <w:rFonts w:hint="eastAsia" w:ascii="宋体" w:hAnsi="宋体" w:cs="宋体"/>
          <w:color w:val="auto"/>
          <w:szCs w:val="21"/>
          <w:highlight w:val="none"/>
          <w:u w:val="single"/>
          <w:lang w:val="en-US" w:eastAsia="zh-CN"/>
        </w:rPr>
        <w:t xml:space="preserve">    </w:t>
      </w:r>
      <w:r>
        <w:rPr>
          <w:rFonts w:ascii="宋体" w:hAnsi="宋体" w:cs="宋体"/>
          <w:color w:val="auto"/>
          <w:spacing w:val="-4"/>
          <w:szCs w:val="21"/>
          <w:highlight w:val="none"/>
        </w:rPr>
        <w:t>月</w:t>
      </w:r>
      <w:r>
        <w:rPr>
          <w:rFonts w:hint="eastAsia" w:ascii="宋体" w:hAnsi="宋体" w:cs="宋体"/>
          <w:color w:val="auto"/>
          <w:szCs w:val="21"/>
          <w:highlight w:val="none"/>
          <w:u w:val="single"/>
          <w:lang w:val="en-US" w:eastAsia="zh-CN"/>
        </w:rPr>
        <w:t xml:space="preserve">    </w:t>
      </w:r>
      <w:r>
        <w:rPr>
          <w:rFonts w:ascii="宋体" w:hAnsi="宋体" w:cs="宋体"/>
          <w:color w:val="auto"/>
          <w:spacing w:val="-4"/>
          <w:szCs w:val="21"/>
          <w:highlight w:val="none"/>
        </w:rPr>
        <w:t>日</w:t>
      </w:r>
      <w:r>
        <w:rPr>
          <w:rFonts w:hint="eastAsia" w:ascii="宋体" w:hAnsi="宋体" w:cs="宋体"/>
          <w:color w:val="auto"/>
          <w:szCs w:val="21"/>
          <w:highlight w:val="none"/>
          <w:u w:val="single"/>
          <w:lang w:val="en-US" w:eastAsia="zh-CN"/>
        </w:rPr>
        <w:t xml:space="preserve">    </w:t>
      </w:r>
      <w:r>
        <w:rPr>
          <w:rFonts w:ascii="宋体" w:hAnsi="宋体" w:cs="宋体"/>
          <w:color w:val="auto"/>
          <w:spacing w:val="-4"/>
          <w:szCs w:val="21"/>
          <w:highlight w:val="none"/>
        </w:rPr>
        <w:t>时</w:t>
      </w:r>
      <w:r>
        <w:rPr>
          <w:rFonts w:hint="eastAsia" w:ascii="宋体" w:hAnsi="宋体" w:cs="宋体"/>
          <w:color w:val="auto"/>
          <w:szCs w:val="21"/>
          <w:highlight w:val="none"/>
          <w:u w:val="single"/>
          <w:lang w:val="en-US" w:eastAsia="zh-CN"/>
        </w:rPr>
        <w:t xml:space="preserve">    </w:t>
      </w:r>
      <w:r>
        <w:rPr>
          <w:rFonts w:ascii="宋体" w:hAnsi="宋体" w:cs="宋体"/>
          <w:color w:val="auto"/>
          <w:spacing w:val="-4"/>
          <w:szCs w:val="21"/>
          <w:highlight w:val="none"/>
        </w:rPr>
        <w:t>分</w:t>
      </w:r>
      <w:r>
        <w:rPr>
          <w:rFonts w:hint="eastAsia" w:ascii="宋体" w:hAnsi="宋体" w:cs="宋体"/>
          <w:color w:val="auto"/>
          <w:szCs w:val="21"/>
          <w:highlight w:val="none"/>
          <w:u w:val="single"/>
          <w:lang w:val="en-US" w:eastAsia="zh-CN"/>
        </w:rPr>
        <w:t xml:space="preserve">    </w:t>
      </w:r>
      <w:r>
        <w:rPr>
          <w:rFonts w:ascii="宋体" w:hAnsi="宋体" w:cs="宋体"/>
          <w:color w:val="auto"/>
          <w:spacing w:val="-4"/>
          <w:szCs w:val="21"/>
          <w:highlight w:val="none"/>
        </w:rPr>
        <w:t>秒上</w:t>
      </w:r>
      <w:r>
        <w:rPr>
          <w:rFonts w:ascii="宋体" w:hAnsi="宋体" w:cs="宋体"/>
          <w:color w:val="auto"/>
          <w:spacing w:val="-1"/>
          <w:szCs w:val="21"/>
          <w:highlight w:val="none"/>
        </w:rPr>
        <w:t>传成功。</w:t>
      </w:r>
    </w:p>
    <w:p w14:paraId="2CA3158B">
      <w:pPr>
        <w:pStyle w:val="17"/>
        <w:spacing w:line="333" w:lineRule="auto"/>
        <w:rPr>
          <w:color w:val="auto"/>
          <w:highlight w:val="none"/>
        </w:rPr>
      </w:pPr>
    </w:p>
    <w:p w14:paraId="178E56DC">
      <w:pPr>
        <w:spacing w:before="68" w:line="221" w:lineRule="auto"/>
        <w:ind w:left="443"/>
        <w:rPr>
          <w:rFonts w:ascii="宋体" w:hAnsi="宋体" w:cs="宋体"/>
          <w:color w:val="auto"/>
          <w:szCs w:val="21"/>
          <w:highlight w:val="none"/>
        </w:rPr>
      </w:pPr>
      <w:r>
        <w:rPr>
          <w:rFonts w:ascii="宋体" w:hAnsi="宋体" w:cs="宋体"/>
          <w:color w:val="auto"/>
          <w:spacing w:val="-3"/>
          <w:szCs w:val="21"/>
          <w:highlight w:val="none"/>
        </w:rPr>
        <w:t>项目经理：</w:t>
      </w:r>
      <w:r>
        <w:rPr>
          <w:rFonts w:hint="eastAsia" w:ascii="宋体" w:hAnsi="宋体" w:cs="宋体"/>
          <w:color w:val="auto"/>
          <w:szCs w:val="21"/>
          <w:highlight w:val="none"/>
          <w:u w:val="single"/>
          <w:lang w:val="en-US" w:eastAsia="zh-CN"/>
        </w:rPr>
        <w:t xml:space="preserve">                         </w:t>
      </w:r>
    </w:p>
    <w:p w14:paraId="3B945B20">
      <w:pPr>
        <w:spacing w:before="230" w:line="221" w:lineRule="auto"/>
        <w:ind w:left="460"/>
        <w:rPr>
          <w:rFonts w:ascii="宋体" w:hAnsi="宋体" w:cs="宋体"/>
          <w:color w:val="auto"/>
          <w:szCs w:val="21"/>
          <w:highlight w:val="none"/>
        </w:rPr>
        <w:sectPr>
          <w:footerReference r:id="rId12" w:type="default"/>
          <w:pgSz w:w="11907" w:h="16839"/>
          <w:pgMar w:top="1428" w:right="1785" w:bottom="1154" w:left="1785" w:header="0" w:footer="953" w:gutter="0"/>
          <w:pgNumType w:fmt="decimal"/>
          <w:cols w:space="720" w:num="1"/>
        </w:sectPr>
      </w:pPr>
      <w:r>
        <w:rPr>
          <w:rFonts w:ascii="宋体" w:hAnsi="宋体" w:cs="宋体"/>
          <w:color w:val="auto"/>
          <w:spacing w:val="-7"/>
          <w:szCs w:val="21"/>
          <w:highlight w:val="none"/>
        </w:rPr>
        <w:t>回执码：</w:t>
      </w:r>
      <w:r>
        <w:rPr>
          <w:rFonts w:hint="eastAsia" w:ascii="宋体" w:hAnsi="宋体" w:cs="宋体"/>
          <w:color w:val="auto"/>
          <w:szCs w:val="21"/>
          <w:highlight w:val="none"/>
          <w:u w:val="single"/>
          <w:lang w:val="en-US" w:eastAsia="zh-CN"/>
        </w:rPr>
        <w:t xml:space="preserve">                         </w:t>
      </w:r>
    </w:p>
    <w:p w14:paraId="769E7FB7">
      <w:pPr>
        <w:pStyle w:val="17"/>
        <w:spacing w:line="247" w:lineRule="auto"/>
        <w:rPr>
          <w:color w:val="auto"/>
          <w:highlight w:val="none"/>
        </w:rPr>
      </w:pPr>
    </w:p>
    <w:p w14:paraId="7EDC4B43">
      <w:pPr>
        <w:spacing w:before="78" w:line="219" w:lineRule="auto"/>
        <w:ind w:left="22"/>
        <w:outlineLvl w:val="2"/>
        <w:rPr>
          <w:rFonts w:ascii="黑体" w:hAnsi="黑体" w:eastAsia="黑体" w:cs="黑体"/>
          <w:color w:val="auto"/>
          <w:sz w:val="24"/>
          <w:highlight w:val="none"/>
        </w:rPr>
      </w:pPr>
      <w:bookmarkStart w:id="210" w:name="bookmark96"/>
      <w:bookmarkEnd w:id="210"/>
      <w:bookmarkStart w:id="211" w:name="_Toc21849"/>
      <w:r>
        <w:rPr>
          <w:rFonts w:ascii="黑体" w:hAnsi="黑体" w:eastAsia="黑体" w:cs="黑体"/>
          <w:color w:val="auto"/>
          <w:spacing w:val="-3"/>
          <w:sz w:val="24"/>
          <w:highlight w:val="none"/>
        </w:rPr>
        <w:t>附表五：开标记录表</w:t>
      </w:r>
      <w:bookmarkEnd w:id="211"/>
    </w:p>
    <w:p w14:paraId="1CCEE8AE">
      <w:pPr>
        <w:pStyle w:val="17"/>
        <w:spacing w:line="463" w:lineRule="auto"/>
        <w:rPr>
          <w:color w:val="auto"/>
          <w:highlight w:val="none"/>
        </w:rPr>
      </w:pPr>
    </w:p>
    <w:p w14:paraId="5C7D3716">
      <w:pPr>
        <w:tabs>
          <w:tab w:val="left" w:pos="7844"/>
        </w:tabs>
        <w:spacing w:before="91" w:line="219" w:lineRule="auto"/>
        <w:ind w:left="4620"/>
        <w:rPr>
          <w:rFonts w:ascii="黑体" w:hAnsi="黑体" w:eastAsia="黑体" w:cs="黑体"/>
          <w:color w:val="auto"/>
          <w:sz w:val="28"/>
          <w:szCs w:val="28"/>
          <w:highlight w:val="none"/>
        </w:rPr>
      </w:pPr>
      <w:r>
        <w:rPr>
          <w:rFonts w:ascii="黑体" w:hAnsi="黑体" w:eastAsia="黑体" w:cs="黑体"/>
          <w:color w:val="auto"/>
          <w:sz w:val="28"/>
          <w:szCs w:val="28"/>
          <w:highlight w:val="none"/>
          <w:u w:val="single"/>
        </w:rPr>
        <w:tab/>
      </w:r>
      <w:r>
        <w:rPr>
          <w:rFonts w:ascii="黑体" w:hAnsi="黑体" w:eastAsia="黑体" w:cs="黑体"/>
          <w:color w:val="auto"/>
          <w:sz w:val="28"/>
          <w:szCs w:val="28"/>
          <w:highlight w:val="none"/>
        </w:rPr>
        <w:t>（标段名称）项目开标记录表</w:t>
      </w:r>
    </w:p>
    <w:p w14:paraId="7A8183FF">
      <w:pPr>
        <w:pStyle w:val="17"/>
        <w:spacing w:line="297" w:lineRule="auto"/>
        <w:rPr>
          <w:color w:val="auto"/>
          <w:highlight w:val="none"/>
        </w:rPr>
      </w:pPr>
    </w:p>
    <w:p w14:paraId="782C3094">
      <w:pPr>
        <w:spacing w:before="68" w:line="221" w:lineRule="auto"/>
        <w:ind w:left="115"/>
        <w:rPr>
          <w:rFonts w:ascii="宋体" w:hAnsi="宋体" w:cs="宋体"/>
          <w:color w:val="auto"/>
          <w:szCs w:val="21"/>
          <w:highlight w:val="none"/>
        </w:rPr>
      </w:pPr>
      <w:r>
        <w:rPr>
          <w:rFonts w:ascii="宋体" w:hAnsi="宋体" w:cs="宋体"/>
          <w:color w:val="auto"/>
          <w:spacing w:val="-3"/>
          <w:szCs w:val="21"/>
          <w:highlight w:val="none"/>
        </w:rPr>
        <w:t>开标时间：</w:t>
      </w:r>
      <w:r>
        <w:rPr>
          <w:rFonts w:hint="eastAsia" w:ascii="宋体" w:hAnsi="宋体" w:cs="宋体"/>
          <w:color w:val="auto"/>
          <w:szCs w:val="21"/>
          <w:highlight w:val="none"/>
          <w:u w:val="single"/>
          <w:lang w:val="en-US" w:eastAsia="zh-CN"/>
        </w:rPr>
        <w:t xml:space="preserve">    </w:t>
      </w:r>
      <w:r>
        <w:rPr>
          <w:rFonts w:ascii="宋体" w:hAnsi="宋体" w:cs="宋体"/>
          <w:color w:val="auto"/>
          <w:spacing w:val="-4"/>
          <w:szCs w:val="21"/>
          <w:highlight w:val="none"/>
        </w:rPr>
        <w:t>年</w:t>
      </w:r>
      <w:r>
        <w:rPr>
          <w:rFonts w:hint="eastAsia" w:ascii="宋体" w:hAnsi="宋体" w:cs="宋体"/>
          <w:color w:val="auto"/>
          <w:szCs w:val="21"/>
          <w:highlight w:val="none"/>
          <w:u w:val="single"/>
          <w:lang w:val="en-US" w:eastAsia="zh-CN"/>
        </w:rPr>
        <w:t xml:space="preserve">    </w:t>
      </w:r>
      <w:r>
        <w:rPr>
          <w:rFonts w:ascii="宋体" w:hAnsi="宋体" w:cs="宋体"/>
          <w:color w:val="auto"/>
          <w:spacing w:val="-4"/>
          <w:szCs w:val="21"/>
          <w:highlight w:val="none"/>
        </w:rPr>
        <w:t>月</w:t>
      </w:r>
      <w:r>
        <w:rPr>
          <w:rFonts w:hint="eastAsia" w:ascii="宋体" w:hAnsi="宋体" w:cs="宋体"/>
          <w:color w:val="auto"/>
          <w:szCs w:val="21"/>
          <w:highlight w:val="none"/>
          <w:u w:val="single"/>
          <w:lang w:val="en-US" w:eastAsia="zh-CN"/>
        </w:rPr>
        <w:t xml:space="preserve">    </w:t>
      </w:r>
      <w:r>
        <w:rPr>
          <w:rFonts w:ascii="宋体" w:hAnsi="宋体" w:cs="宋体"/>
          <w:color w:val="auto"/>
          <w:spacing w:val="-4"/>
          <w:szCs w:val="21"/>
          <w:highlight w:val="none"/>
        </w:rPr>
        <w:t>日</w:t>
      </w:r>
      <w:r>
        <w:rPr>
          <w:rFonts w:hint="eastAsia" w:ascii="宋体" w:hAnsi="宋体" w:cs="宋体"/>
          <w:color w:val="auto"/>
          <w:szCs w:val="21"/>
          <w:highlight w:val="none"/>
          <w:u w:val="single"/>
          <w:lang w:val="en-US" w:eastAsia="zh-CN"/>
        </w:rPr>
        <w:t xml:space="preserve">    </w:t>
      </w:r>
      <w:r>
        <w:rPr>
          <w:rFonts w:ascii="宋体" w:hAnsi="宋体" w:cs="宋体"/>
          <w:color w:val="auto"/>
          <w:spacing w:val="-4"/>
          <w:szCs w:val="21"/>
          <w:highlight w:val="none"/>
        </w:rPr>
        <w:t>时</w:t>
      </w:r>
      <w:r>
        <w:rPr>
          <w:rFonts w:hint="eastAsia" w:ascii="宋体" w:hAnsi="宋体" w:cs="宋体"/>
          <w:color w:val="auto"/>
          <w:szCs w:val="21"/>
          <w:highlight w:val="none"/>
          <w:u w:val="single"/>
          <w:lang w:val="en-US" w:eastAsia="zh-CN"/>
        </w:rPr>
        <w:t xml:space="preserve">    </w:t>
      </w:r>
      <w:r>
        <w:rPr>
          <w:rFonts w:ascii="宋体" w:hAnsi="宋体" w:cs="宋体"/>
          <w:color w:val="auto"/>
          <w:spacing w:val="-4"/>
          <w:szCs w:val="21"/>
          <w:highlight w:val="none"/>
        </w:rPr>
        <w:t>分</w:t>
      </w:r>
      <w:r>
        <w:rPr>
          <w:rFonts w:hint="eastAsia" w:ascii="宋体" w:hAnsi="宋体" w:cs="宋体"/>
          <w:color w:val="auto"/>
          <w:spacing w:val="-4"/>
          <w:szCs w:val="21"/>
          <w:highlight w:val="none"/>
          <w:lang w:val="en-US" w:eastAsia="zh-CN"/>
        </w:rPr>
        <w:t xml:space="preserve">   </w:t>
      </w:r>
      <w:r>
        <w:rPr>
          <w:rFonts w:ascii="宋体" w:hAnsi="宋体" w:cs="宋体"/>
          <w:color w:val="auto"/>
          <w:spacing w:val="-3"/>
          <w:szCs w:val="21"/>
          <w:highlight w:val="none"/>
        </w:rPr>
        <w:t>开标地点：</w:t>
      </w:r>
      <w:r>
        <w:rPr>
          <w:rFonts w:ascii="黑体" w:hAnsi="黑体" w:eastAsia="黑体" w:cs="黑体"/>
          <w:color w:val="auto"/>
          <w:sz w:val="28"/>
          <w:szCs w:val="28"/>
          <w:highlight w:val="none"/>
          <w:u w:val="single"/>
        </w:rPr>
        <w:tab/>
      </w:r>
      <w:r>
        <w:rPr>
          <w:rFonts w:ascii="黑体" w:hAnsi="黑体" w:eastAsia="黑体" w:cs="黑体"/>
          <w:color w:val="auto"/>
          <w:sz w:val="28"/>
          <w:szCs w:val="28"/>
          <w:highlight w:val="none"/>
          <w:u w:val="single"/>
        </w:rPr>
        <w:tab/>
      </w:r>
      <w:r>
        <w:rPr>
          <w:rFonts w:ascii="黑体" w:hAnsi="黑体" w:eastAsia="黑体" w:cs="黑体"/>
          <w:color w:val="auto"/>
          <w:sz w:val="28"/>
          <w:szCs w:val="28"/>
          <w:highlight w:val="none"/>
          <w:u w:val="single"/>
        </w:rPr>
        <w:tab/>
      </w:r>
      <w:r>
        <w:rPr>
          <w:rFonts w:ascii="黑体" w:hAnsi="黑体" w:eastAsia="黑体" w:cs="黑体"/>
          <w:color w:val="auto"/>
          <w:sz w:val="28"/>
          <w:szCs w:val="28"/>
          <w:highlight w:val="none"/>
          <w:u w:val="single"/>
        </w:rPr>
        <w:tab/>
      </w:r>
      <w:r>
        <w:rPr>
          <w:rFonts w:ascii="黑体" w:hAnsi="黑体" w:eastAsia="黑体" w:cs="黑体"/>
          <w:color w:val="auto"/>
          <w:sz w:val="28"/>
          <w:szCs w:val="28"/>
          <w:highlight w:val="none"/>
          <w:u w:val="single"/>
        </w:rPr>
        <w:tab/>
      </w:r>
      <w:r>
        <w:rPr>
          <w:rFonts w:ascii="黑体" w:hAnsi="黑体" w:eastAsia="黑体" w:cs="黑体"/>
          <w:color w:val="auto"/>
          <w:sz w:val="28"/>
          <w:szCs w:val="28"/>
          <w:highlight w:val="none"/>
          <w:u w:val="single"/>
        </w:rPr>
        <w:tab/>
      </w:r>
      <w:r>
        <w:rPr>
          <w:rFonts w:ascii="宋体" w:hAnsi="宋体" w:cs="宋体"/>
          <w:color w:val="auto"/>
          <w:spacing w:val="-4"/>
          <w:szCs w:val="21"/>
          <w:highlight w:val="none"/>
        </w:rPr>
        <w:t xml:space="preserve">       开标方式：</w:t>
      </w:r>
      <w:r>
        <w:rPr>
          <w:rFonts w:ascii="黑体" w:hAnsi="黑体" w:eastAsia="黑体" w:cs="黑体"/>
          <w:color w:val="auto"/>
          <w:sz w:val="28"/>
          <w:szCs w:val="28"/>
          <w:highlight w:val="none"/>
          <w:u w:val="single"/>
        </w:rPr>
        <w:tab/>
      </w:r>
      <w:r>
        <w:rPr>
          <w:rFonts w:ascii="黑体" w:hAnsi="黑体" w:eastAsia="黑体" w:cs="黑体"/>
          <w:color w:val="auto"/>
          <w:sz w:val="28"/>
          <w:szCs w:val="28"/>
          <w:highlight w:val="none"/>
          <w:u w:val="single"/>
        </w:rPr>
        <w:tab/>
      </w:r>
      <w:r>
        <w:rPr>
          <w:rFonts w:ascii="黑体" w:hAnsi="黑体" w:eastAsia="黑体" w:cs="黑体"/>
          <w:color w:val="auto"/>
          <w:sz w:val="28"/>
          <w:szCs w:val="28"/>
          <w:highlight w:val="none"/>
          <w:u w:val="single"/>
        </w:rPr>
        <w:tab/>
      </w:r>
      <w:r>
        <w:rPr>
          <w:rFonts w:ascii="黑体" w:hAnsi="黑体" w:eastAsia="黑体" w:cs="黑体"/>
          <w:color w:val="auto"/>
          <w:sz w:val="28"/>
          <w:szCs w:val="28"/>
          <w:highlight w:val="none"/>
          <w:u w:val="single"/>
        </w:rPr>
        <w:tab/>
      </w:r>
      <w:r>
        <w:rPr>
          <w:rFonts w:ascii="黑体" w:hAnsi="黑体" w:eastAsia="黑体" w:cs="黑体"/>
          <w:color w:val="auto"/>
          <w:sz w:val="28"/>
          <w:szCs w:val="28"/>
          <w:highlight w:val="none"/>
          <w:u w:val="single"/>
        </w:rPr>
        <w:tab/>
      </w:r>
    </w:p>
    <w:p w14:paraId="497DD08F">
      <w:pPr>
        <w:spacing w:line="101" w:lineRule="auto"/>
        <w:rPr>
          <w:rFonts w:ascii="Arial"/>
          <w:color w:val="auto"/>
          <w:sz w:val="2"/>
          <w:highlight w:val="none"/>
        </w:rPr>
      </w:pPr>
    </w:p>
    <w:tbl>
      <w:tblPr>
        <w:tblStyle w:val="42"/>
        <w:tblW w:w="140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1878"/>
        <w:gridCol w:w="1135"/>
        <w:gridCol w:w="991"/>
        <w:gridCol w:w="852"/>
        <w:gridCol w:w="883"/>
        <w:gridCol w:w="1133"/>
        <w:gridCol w:w="1135"/>
        <w:gridCol w:w="1132"/>
        <w:gridCol w:w="1277"/>
        <w:gridCol w:w="1701"/>
        <w:gridCol w:w="1279"/>
      </w:tblGrid>
      <w:tr w14:paraId="188787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672" w:type="dxa"/>
            <w:vMerge w:val="restart"/>
            <w:tcBorders>
              <w:bottom w:val="nil"/>
            </w:tcBorders>
          </w:tcPr>
          <w:p w14:paraId="1F96D295">
            <w:pPr>
              <w:spacing w:line="241" w:lineRule="auto"/>
              <w:rPr>
                <w:rFonts w:ascii="Arial"/>
                <w:color w:val="auto"/>
                <w:highlight w:val="none"/>
              </w:rPr>
            </w:pPr>
          </w:p>
          <w:p w14:paraId="1D808BBC">
            <w:pPr>
              <w:pStyle w:val="185"/>
              <w:spacing w:before="68" w:line="222" w:lineRule="auto"/>
              <w:ind w:left="130"/>
              <w:rPr>
                <w:color w:val="auto"/>
                <w:highlight w:val="none"/>
              </w:rPr>
            </w:pPr>
            <w:r>
              <w:rPr>
                <w:color w:val="auto"/>
                <w:spacing w:val="-2"/>
                <w:highlight w:val="none"/>
              </w:rPr>
              <w:t>序号</w:t>
            </w:r>
          </w:p>
        </w:tc>
        <w:tc>
          <w:tcPr>
            <w:tcW w:w="1878" w:type="dxa"/>
            <w:vMerge w:val="restart"/>
            <w:tcBorders>
              <w:bottom w:val="nil"/>
            </w:tcBorders>
          </w:tcPr>
          <w:p w14:paraId="35ABEDF6">
            <w:pPr>
              <w:spacing w:line="241" w:lineRule="auto"/>
              <w:rPr>
                <w:rFonts w:ascii="Arial"/>
                <w:color w:val="auto"/>
                <w:highlight w:val="none"/>
              </w:rPr>
            </w:pPr>
          </w:p>
          <w:p w14:paraId="6196998A">
            <w:pPr>
              <w:pStyle w:val="185"/>
              <w:spacing w:before="68" w:line="221" w:lineRule="auto"/>
              <w:ind w:left="418"/>
              <w:rPr>
                <w:color w:val="auto"/>
                <w:highlight w:val="none"/>
              </w:rPr>
            </w:pPr>
            <w:r>
              <w:rPr>
                <w:color w:val="auto"/>
                <w:spacing w:val="-2"/>
                <w:highlight w:val="none"/>
              </w:rPr>
              <w:t>投标人名称</w:t>
            </w:r>
          </w:p>
        </w:tc>
        <w:tc>
          <w:tcPr>
            <w:tcW w:w="1135" w:type="dxa"/>
            <w:vMerge w:val="restart"/>
            <w:tcBorders>
              <w:bottom w:val="nil"/>
            </w:tcBorders>
          </w:tcPr>
          <w:p w14:paraId="1227EB5F">
            <w:pPr>
              <w:pStyle w:val="185"/>
              <w:spacing w:before="176" w:line="219" w:lineRule="auto"/>
              <w:ind w:left="153"/>
              <w:rPr>
                <w:color w:val="auto"/>
                <w:highlight w:val="none"/>
              </w:rPr>
            </w:pPr>
            <w:r>
              <w:rPr>
                <w:color w:val="auto"/>
                <w:spacing w:val="-2"/>
                <w:highlight w:val="none"/>
              </w:rPr>
              <w:t>投标报价</w:t>
            </w:r>
          </w:p>
          <w:p w14:paraId="2E6AB585">
            <w:pPr>
              <w:pStyle w:val="185"/>
              <w:spacing w:before="22" w:line="221" w:lineRule="auto"/>
              <w:ind w:left="263"/>
              <w:rPr>
                <w:color w:val="auto"/>
                <w:highlight w:val="none"/>
              </w:rPr>
            </w:pPr>
            <w:r>
              <w:rPr>
                <w:color w:val="auto"/>
                <w:spacing w:val="-6"/>
                <w:highlight w:val="none"/>
              </w:rPr>
              <w:t>（元）</w:t>
            </w:r>
          </w:p>
        </w:tc>
        <w:tc>
          <w:tcPr>
            <w:tcW w:w="991" w:type="dxa"/>
            <w:vMerge w:val="restart"/>
            <w:tcBorders>
              <w:bottom w:val="nil"/>
            </w:tcBorders>
          </w:tcPr>
          <w:p w14:paraId="64211D72">
            <w:pPr>
              <w:pStyle w:val="185"/>
              <w:spacing w:before="40" w:line="230" w:lineRule="auto"/>
              <w:ind w:left="189" w:right="191" w:firstLine="101"/>
              <w:rPr>
                <w:color w:val="auto"/>
                <w:highlight w:val="none"/>
              </w:rPr>
            </w:pPr>
            <w:r>
              <w:rPr>
                <w:color w:val="auto"/>
                <w:spacing w:val="-5"/>
                <w:highlight w:val="none"/>
              </w:rPr>
              <w:t>工期</w:t>
            </w:r>
            <w:r>
              <w:rPr>
                <w:color w:val="auto"/>
                <w:spacing w:val="-9"/>
                <w:highlight w:val="none"/>
              </w:rPr>
              <w:t>（日历</w:t>
            </w:r>
            <w:r>
              <w:rPr>
                <w:color w:val="auto"/>
                <w:spacing w:val="39"/>
                <w:highlight w:val="none"/>
              </w:rPr>
              <w:t>天）</w:t>
            </w:r>
          </w:p>
        </w:tc>
        <w:tc>
          <w:tcPr>
            <w:tcW w:w="852" w:type="dxa"/>
            <w:vMerge w:val="restart"/>
            <w:tcBorders>
              <w:bottom w:val="nil"/>
            </w:tcBorders>
          </w:tcPr>
          <w:p w14:paraId="25D15654">
            <w:pPr>
              <w:pStyle w:val="185"/>
              <w:spacing w:before="176" w:line="221" w:lineRule="auto"/>
              <w:ind w:left="119"/>
              <w:rPr>
                <w:color w:val="auto"/>
                <w:highlight w:val="none"/>
              </w:rPr>
            </w:pPr>
            <w:r>
              <w:rPr>
                <w:color w:val="auto"/>
                <w:spacing w:val="-2"/>
                <w:highlight w:val="none"/>
              </w:rPr>
              <w:t>设计质</w:t>
            </w:r>
          </w:p>
          <w:p w14:paraId="5E4C45D7">
            <w:pPr>
              <w:pStyle w:val="185"/>
              <w:spacing w:before="19" w:line="221" w:lineRule="auto"/>
              <w:ind w:left="116"/>
              <w:rPr>
                <w:color w:val="auto"/>
                <w:highlight w:val="none"/>
              </w:rPr>
            </w:pPr>
            <w:r>
              <w:rPr>
                <w:color w:val="auto"/>
                <w:spacing w:val="-2"/>
                <w:highlight w:val="none"/>
              </w:rPr>
              <w:t>量标准</w:t>
            </w:r>
          </w:p>
        </w:tc>
        <w:tc>
          <w:tcPr>
            <w:tcW w:w="883" w:type="dxa"/>
            <w:vMerge w:val="restart"/>
            <w:tcBorders>
              <w:bottom w:val="nil"/>
            </w:tcBorders>
          </w:tcPr>
          <w:p w14:paraId="3BC536CA">
            <w:pPr>
              <w:pStyle w:val="185"/>
              <w:spacing w:before="176" w:line="221" w:lineRule="auto"/>
              <w:ind w:left="129"/>
              <w:rPr>
                <w:color w:val="auto"/>
                <w:highlight w:val="none"/>
              </w:rPr>
            </w:pPr>
            <w:r>
              <w:rPr>
                <w:color w:val="auto"/>
                <w:spacing w:val="-1"/>
                <w:highlight w:val="none"/>
              </w:rPr>
              <w:t>施工质</w:t>
            </w:r>
          </w:p>
          <w:p w14:paraId="206330F2">
            <w:pPr>
              <w:pStyle w:val="185"/>
              <w:spacing w:before="19" w:line="221" w:lineRule="auto"/>
              <w:ind w:left="130"/>
              <w:rPr>
                <w:color w:val="auto"/>
                <w:highlight w:val="none"/>
              </w:rPr>
            </w:pPr>
            <w:r>
              <w:rPr>
                <w:color w:val="auto"/>
                <w:spacing w:val="-2"/>
                <w:highlight w:val="none"/>
              </w:rPr>
              <w:t>量标准</w:t>
            </w:r>
          </w:p>
        </w:tc>
        <w:tc>
          <w:tcPr>
            <w:tcW w:w="1133" w:type="dxa"/>
            <w:vMerge w:val="restart"/>
            <w:tcBorders>
              <w:bottom w:val="nil"/>
            </w:tcBorders>
          </w:tcPr>
          <w:p w14:paraId="15BB91AC">
            <w:pPr>
              <w:pStyle w:val="185"/>
              <w:spacing w:before="176" w:line="221" w:lineRule="auto"/>
              <w:ind w:left="154"/>
              <w:rPr>
                <w:color w:val="auto"/>
                <w:highlight w:val="none"/>
              </w:rPr>
            </w:pPr>
            <w:r>
              <w:rPr>
                <w:color w:val="auto"/>
                <w:spacing w:val="-2"/>
                <w:highlight w:val="none"/>
              </w:rPr>
              <w:t>投标有效</w:t>
            </w:r>
          </w:p>
          <w:p w14:paraId="71228858">
            <w:pPr>
              <w:pStyle w:val="185"/>
              <w:spacing w:before="19" w:line="221" w:lineRule="auto"/>
              <w:ind w:left="154"/>
              <w:rPr>
                <w:color w:val="auto"/>
                <w:highlight w:val="none"/>
              </w:rPr>
            </w:pPr>
            <w:r>
              <w:rPr>
                <w:color w:val="auto"/>
                <w:spacing w:val="-2"/>
                <w:highlight w:val="none"/>
              </w:rPr>
              <w:t>期（天）</w:t>
            </w:r>
          </w:p>
        </w:tc>
        <w:tc>
          <w:tcPr>
            <w:tcW w:w="1135" w:type="dxa"/>
            <w:vMerge w:val="restart"/>
            <w:tcBorders>
              <w:bottom w:val="nil"/>
            </w:tcBorders>
          </w:tcPr>
          <w:p w14:paraId="46D89451">
            <w:pPr>
              <w:pStyle w:val="185"/>
              <w:spacing w:before="176" w:line="221" w:lineRule="auto"/>
              <w:ind w:left="156"/>
              <w:rPr>
                <w:color w:val="auto"/>
                <w:highlight w:val="none"/>
              </w:rPr>
            </w:pPr>
            <w:r>
              <w:rPr>
                <w:color w:val="auto"/>
                <w:spacing w:val="-3"/>
                <w:highlight w:val="none"/>
              </w:rPr>
              <w:t>项目经理</w:t>
            </w:r>
          </w:p>
          <w:p w14:paraId="5CB52544">
            <w:pPr>
              <w:pStyle w:val="185"/>
              <w:spacing w:before="18" w:line="221" w:lineRule="auto"/>
              <w:ind w:left="363"/>
              <w:rPr>
                <w:color w:val="auto"/>
                <w:highlight w:val="none"/>
              </w:rPr>
            </w:pPr>
            <w:r>
              <w:rPr>
                <w:color w:val="auto"/>
                <w:spacing w:val="-2"/>
                <w:highlight w:val="none"/>
              </w:rPr>
              <w:t>姓名</w:t>
            </w:r>
          </w:p>
        </w:tc>
        <w:tc>
          <w:tcPr>
            <w:tcW w:w="2409" w:type="dxa"/>
            <w:gridSpan w:val="2"/>
          </w:tcPr>
          <w:p w14:paraId="0368C9D1">
            <w:pPr>
              <w:pStyle w:val="185"/>
              <w:spacing w:before="35" w:line="207" w:lineRule="auto"/>
              <w:ind w:left="688"/>
              <w:rPr>
                <w:color w:val="auto"/>
                <w:highlight w:val="none"/>
              </w:rPr>
            </w:pPr>
            <w:r>
              <w:rPr>
                <w:color w:val="auto"/>
                <w:spacing w:val="-2"/>
                <w:highlight w:val="none"/>
              </w:rPr>
              <w:t>投标保证金</w:t>
            </w:r>
          </w:p>
        </w:tc>
        <w:tc>
          <w:tcPr>
            <w:tcW w:w="1701" w:type="dxa"/>
            <w:vMerge w:val="restart"/>
            <w:tcBorders>
              <w:bottom w:val="nil"/>
            </w:tcBorders>
          </w:tcPr>
          <w:p w14:paraId="3DBE7A32">
            <w:pPr>
              <w:rPr>
                <w:rFonts w:ascii="Arial"/>
                <w:color w:val="auto"/>
                <w:highlight w:val="none"/>
              </w:rPr>
            </w:pPr>
          </w:p>
          <w:p w14:paraId="5276F96F">
            <w:pPr>
              <w:keepNext w:val="0"/>
              <w:keepLines w:val="0"/>
              <w:widowControl/>
              <w:suppressLineNumbers w:val="0"/>
              <w:jc w:val="center"/>
              <w:rPr>
                <w:color w:val="auto"/>
                <w:highlight w:val="none"/>
              </w:rPr>
            </w:pPr>
            <w:r>
              <w:rPr>
                <w:rFonts w:hint="eastAsia" w:ascii="宋体" w:hAnsi="宋体" w:eastAsia="宋体" w:cs="宋体"/>
                <w:color w:val="auto"/>
                <w:kern w:val="0"/>
                <w:sz w:val="21"/>
                <w:szCs w:val="21"/>
                <w:highlight w:val="none"/>
                <w:lang w:val="en-US" w:eastAsia="zh-CN" w:bidi="ar"/>
              </w:rPr>
              <w:t>法定代表人或授权委托人确认</w:t>
            </w:r>
          </w:p>
        </w:tc>
        <w:tc>
          <w:tcPr>
            <w:tcW w:w="1279" w:type="dxa"/>
            <w:vMerge w:val="restart"/>
            <w:tcBorders>
              <w:bottom w:val="nil"/>
            </w:tcBorders>
          </w:tcPr>
          <w:p w14:paraId="3952B0A9">
            <w:pPr>
              <w:rPr>
                <w:rFonts w:ascii="Arial"/>
                <w:color w:val="auto"/>
                <w:highlight w:val="none"/>
              </w:rPr>
            </w:pPr>
          </w:p>
          <w:p w14:paraId="4F3C3398">
            <w:pPr>
              <w:pStyle w:val="185"/>
              <w:spacing w:before="69" w:line="223" w:lineRule="auto"/>
              <w:ind w:left="227"/>
              <w:rPr>
                <w:color w:val="auto"/>
                <w:highlight w:val="none"/>
              </w:rPr>
            </w:pPr>
            <w:r>
              <w:rPr>
                <w:color w:val="auto"/>
                <w:spacing w:val="-2"/>
                <w:highlight w:val="none"/>
              </w:rPr>
              <w:t>联系电话</w:t>
            </w:r>
          </w:p>
        </w:tc>
      </w:tr>
      <w:tr w14:paraId="579A28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72" w:type="dxa"/>
            <w:vMerge w:val="continue"/>
            <w:tcBorders>
              <w:top w:val="nil"/>
            </w:tcBorders>
          </w:tcPr>
          <w:p w14:paraId="3011B5B3">
            <w:pPr>
              <w:rPr>
                <w:rFonts w:ascii="Arial"/>
                <w:color w:val="auto"/>
                <w:highlight w:val="none"/>
              </w:rPr>
            </w:pPr>
          </w:p>
        </w:tc>
        <w:tc>
          <w:tcPr>
            <w:tcW w:w="1878" w:type="dxa"/>
            <w:vMerge w:val="continue"/>
            <w:tcBorders>
              <w:top w:val="nil"/>
            </w:tcBorders>
          </w:tcPr>
          <w:p w14:paraId="7432D176">
            <w:pPr>
              <w:rPr>
                <w:rFonts w:ascii="Arial"/>
                <w:color w:val="auto"/>
                <w:highlight w:val="none"/>
              </w:rPr>
            </w:pPr>
          </w:p>
        </w:tc>
        <w:tc>
          <w:tcPr>
            <w:tcW w:w="1135" w:type="dxa"/>
            <w:vMerge w:val="continue"/>
            <w:tcBorders>
              <w:top w:val="nil"/>
            </w:tcBorders>
          </w:tcPr>
          <w:p w14:paraId="4F923180">
            <w:pPr>
              <w:rPr>
                <w:rFonts w:ascii="Arial"/>
                <w:color w:val="auto"/>
                <w:highlight w:val="none"/>
              </w:rPr>
            </w:pPr>
          </w:p>
        </w:tc>
        <w:tc>
          <w:tcPr>
            <w:tcW w:w="991" w:type="dxa"/>
            <w:vMerge w:val="continue"/>
            <w:tcBorders>
              <w:top w:val="nil"/>
            </w:tcBorders>
          </w:tcPr>
          <w:p w14:paraId="59EDCE0C">
            <w:pPr>
              <w:rPr>
                <w:rFonts w:ascii="Arial"/>
                <w:color w:val="auto"/>
                <w:highlight w:val="none"/>
              </w:rPr>
            </w:pPr>
          </w:p>
        </w:tc>
        <w:tc>
          <w:tcPr>
            <w:tcW w:w="852" w:type="dxa"/>
            <w:vMerge w:val="continue"/>
            <w:tcBorders>
              <w:top w:val="nil"/>
            </w:tcBorders>
          </w:tcPr>
          <w:p w14:paraId="5E19574F">
            <w:pPr>
              <w:rPr>
                <w:rFonts w:ascii="Arial"/>
                <w:color w:val="auto"/>
                <w:highlight w:val="none"/>
              </w:rPr>
            </w:pPr>
          </w:p>
        </w:tc>
        <w:tc>
          <w:tcPr>
            <w:tcW w:w="883" w:type="dxa"/>
            <w:vMerge w:val="continue"/>
            <w:tcBorders>
              <w:top w:val="nil"/>
            </w:tcBorders>
          </w:tcPr>
          <w:p w14:paraId="16E9F886">
            <w:pPr>
              <w:rPr>
                <w:rFonts w:ascii="Arial"/>
                <w:color w:val="auto"/>
                <w:highlight w:val="none"/>
              </w:rPr>
            </w:pPr>
          </w:p>
        </w:tc>
        <w:tc>
          <w:tcPr>
            <w:tcW w:w="1133" w:type="dxa"/>
            <w:vMerge w:val="continue"/>
            <w:tcBorders>
              <w:top w:val="nil"/>
            </w:tcBorders>
          </w:tcPr>
          <w:p w14:paraId="78F7195E">
            <w:pPr>
              <w:rPr>
                <w:rFonts w:ascii="Arial"/>
                <w:color w:val="auto"/>
                <w:highlight w:val="none"/>
              </w:rPr>
            </w:pPr>
          </w:p>
        </w:tc>
        <w:tc>
          <w:tcPr>
            <w:tcW w:w="1135" w:type="dxa"/>
            <w:vMerge w:val="continue"/>
            <w:tcBorders>
              <w:top w:val="nil"/>
            </w:tcBorders>
          </w:tcPr>
          <w:p w14:paraId="697E5B98">
            <w:pPr>
              <w:rPr>
                <w:rFonts w:ascii="Arial"/>
                <w:color w:val="auto"/>
                <w:highlight w:val="none"/>
              </w:rPr>
            </w:pPr>
          </w:p>
        </w:tc>
        <w:tc>
          <w:tcPr>
            <w:tcW w:w="1132" w:type="dxa"/>
          </w:tcPr>
          <w:p w14:paraId="25BA33B9">
            <w:pPr>
              <w:pStyle w:val="185"/>
              <w:spacing w:before="29" w:line="221" w:lineRule="auto"/>
              <w:ind w:left="363"/>
              <w:rPr>
                <w:color w:val="auto"/>
                <w:highlight w:val="none"/>
              </w:rPr>
            </w:pPr>
            <w:r>
              <w:rPr>
                <w:color w:val="auto"/>
                <w:spacing w:val="-2"/>
                <w:highlight w:val="none"/>
              </w:rPr>
              <w:t>金额</w:t>
            </w:r>
          </w:p>
          <w:p w14:paraId="0AB99380">
            <w:pPr>
              <w:pStyle w:val="185"/>
              <w:spacing w:before="22" w:line="207" w:lineRule="auto"/>
              <w:ind w:left="262"/>
              <w:rPr>
                <w:color w:val="auto"/>
                <w:highlight w:val="none"/>
              </w:rPr>
            </w:pPr>
            <w:r>
              <w:rPr>
                <w:color w:val="auto"/>
                <w:spacing w:val="-6"/>
                <w:highlight w:val="none"/>
              </w:rPr>
              <w:t>（元）</w:t>
            </w:r>
          </w:p>
        </w:tc>
        <w:tc>
          <w:tcPr>
            <w:tcW w:w="1277" w:type="dxa"/>
          </w:tcPr>
          <w:p w14:paraId="18A80C5F">
            <w:pPr>
              <w:pStyle w:val="185"/>
              <w:spacing w:before="166" w:line="221" w:lineRule="auto"/>
              <w:ind w:left="224"/>
              <w:rPr>
                <w:color w:val="auto"/>
                <w:highlight w:val="none"/>
              </w:rPr>
            </w:pPr>
            <w:r>
              <w:rPr>
                <w:color w:val="auto"/>
                <w:spacing w:val="-1"/>
                <w:highlight w:val="none"/>
              </w:rPr>
              <w:t>缴纳方式</w:t>
            </w:r>
          </w:p>
        </w:tc>
        <w:tc>
          <w:tcPr>
            <w:tcW w:w="1701" w:type="dxa"/>
            <w:vMerge w:val="continue"/>
            <w:tcBorders>
              <w:top w:val="nil"/>
            </w:tcBorders>
          </w:tcPr>
          <w:p w14:paraId="1EC6C321">
            <w:pPr>
              <w:rPr>
                <w:rFonts w:ascii="Arial"/>
                <w:color w:val="auto"/>
                <w:highlight w:val="none"/>
              </w:rPr>
            </w:pPr>
          </w:p>
        </w:tc>
        <w:tc>
          <w:tcPr>
            <w:tcW w:w="1279" w:type="dxa"/>
            <w:vMerge w:val="continue"/>
            <w:tcBorders>
              <w:top w:val="nil"/>
            </w:tcBorders>
          </w:tcPr>
          <w:p w14:paraId="0F8EFC15">
            <w:pPr>
              <w:rPr>
                <w:rFonts w:ascii="Arial"/>
                <w:color w:val="auto"/>
                <w:highlight w:val="none"/>
              </w:rPr>
            </w:pPr>
          </w:p>
        </w:tc>
      </w:tr>
      <w:tr w14:paraId="6E4E18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672" w:type="dxa"/>
          </w:tcPr>
          <w:p w14:paraId="139F4A61">
            <w:pPr>
              <w:rPr>
                <w:rFonts w:ascii="Arial"/>
                <w:color w:val="auto"/>
                <w:highlight w:val="none"/>
              </w:rPr>
            </w:pPr>
          </w:p>
        </w:tc>
        <w:tc>
          <w:tcPr>
            <w:tcW w:w="1878" w:type="dxa"/>
          </w:tcPr>
          <w:p w14:paraId="673C1B89">
            <w:pPr>
              <w:rPr>
                <w:rFonts w:ascii="Arial"/>
                <w:color w:val="auto"/>
                <w:highlight w:val="none"/>
              </w:rPr>
            </w:pPr>
          </w:p>
        </w:tc>
        <w:tc>
          <w:tcPr>
            <w:tcW w:w="1135" w:type="dxa"/>
          </w:tcPr>
          <w:p w14:paraId="306A5070">
            <w:pPr>
              <w:rPr>
                <w:rFonts w:ascii="Arial"/>
                <w:color w:val="auto"/>
                <w:highlight w:val="none"/>
              </w:rPr>
            </w:pPr>
          </w:p>
        </w:tc>
        <w:tc>
          <w:tcPr>
            <w:tcW w:w="991" w:type="dxa"/>
          </w:tcPr>
          <w:p w14:paraId="0524C149">
            <w:pPr>
              <w:rPr>
                <w:rFonts w:ascii="Arial"/>
                <w:color w:val="auto"/>
                <w:highlight w:val="none"/>
              </w:rPr>
            </w:pPr>
          </w:p>
        </w:tc>
        <w:tc>
          <w:tcPr>
            <w:tcW w:w="852" w:type="dxa"/>
          </w:tcPr>
          <w:p w14:paraId="46CD70A9">
            <w:pPr>
              <w:rPr>
                <w:rFonts w:ascii="Arial"/>
                <w:color w:val="auto"/>
                <w:highlight w:val="none"/>
              </w:rPr>
            </w:pPr>
          </w:p>
        </w:tc>
        <w:tc>
          <w:tcPr>
            <w:tcW w:w="883" w:type="dxa"/>
          </w:tcPr>
          <w:p w14:paraId="4AD8B658">
            <w:pPr>
              <w:rPr>
                <w:rFonts w:ascii="Arial"/>
                <w:color w:val="auto"/>
                <w:highlight w:val="none"/>
              </w:rPr>
            </w:pPr>
          </w:p>
        </w:tc>
        <w:tc>
          <w:tcPr>
            <w:tcW w:w="1133" w:type="dxa"/>
          </w:tcPr>
          <w:p w14:paraId="19483BA8">
            <w:pPr>
              <w:rPr>
                <w:rFonts w:ascii="Arial"/>
                <w:color w:val="auto"/>
                <w:highlight w:val="none"/>
              </w:rPr>
            </w:pPr>
          </w:p>
        </w:tc>
        <w:tc>
          <w:tcPr>
            <w:tcW w:w="1135" w:type="dxa"/>
          </w:tcPr>
          <w:p w14:paraId="0EB00051">
            <w:pPr>
              <w:rPr>
                <w:rFonts w:ascii="Arial"/>
                <w:color w:val="auto"/>
                <w:highlight w:val="none"/>
              </w:rPr>
            </w:pPr>
          </w:p>
        </w:tc>
        <w:tc>
          <w:tcPr>
            <w:tcW w:w="1132" w:type="dxa"/>
          </w:tcPr>
          <w:p w14:paraId="15AB4801">
            <w:pPr>
              <w:rPr>
                <w:rFonts w:ascii="Arial"/>
                <w:color w:val="auto"/>
                <w:highlight w:val="none"/>
              </w:rPr>
            </w:pPr>
          </w:p>
        </w:tc>
        <w:tc>
          <w:tcPr>
            <w:tcW w:w="1277" w:type="dxa"/>
          </w:tcPr>
          <w:p w14:paraId="6D039725">
            <w:pPr>
              <w:rPr>
                <w:rFonts w:ascii="Arial"/>
                <w:color w:val="auto"/>
                <w:highlight w:val="none"/>
              </w:rPr>
            </w:pPr>
          </w:p>
        </w:tc>
        <w:tc>
          <w:tcPr>
            <w:tcW w:w="1701" w:type="dxa"/>
          </w:tcPr>
          <w:p w14:paraId="510C3C32">
            <w:pPr>
              <w:rPr>
                <w:rFonts w:ascii="Arial"/>
                <w:color w:val="auto"/>
                <w:highlight w:val="none"/>
              </w:rPr>
            </w:pPr>
          </w:p>
        </w:tc>
        <w:tc>
          <w:tcPr>
            <w:tcW w:w="1279" w:type="dxa"/>
          </w:tcPr>
          <w:p w14:paraId="77F3B0A4">
            <w:pPr>
              <w:rPr>
                <w:rFonts w:ascii="Arial"/>
                <w:color w:val="auto"/>
                <w:highlight w:val="none"/>
              </w:rPr>
            </w:pPr>
          </w:p>
        </w:tc>
      </w:tr>
      <w:tr w14:paraId="70169F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672" w:type="dxa"/>
          </w:tcPr>
          <w:p w14:paraId="2768CBAC">
            <w:pPr>
              <w:rPr>
                <w:rFonts w:ascii="Arial"/>
                <w:color w:val="auto"/>
                <w:highlight w:val="none"/>
              </w:rPr>
            </w:pPr>
          </w:p>
        </w:tc>
        <w:tc>
          <w:tcPr>
            <w:tcW w:w="1878" w:type="dxa"/>
          </w:tcPr>
          <w:p w14:paraId="23A48355">
            <w:pPr>
              <w:rPr>
                <w:rFonts w:ascii="Arial"/>
                <w:color w:val="auto"/>
                <w:highlight w:val="none"/>
              </w:rPr>
            </w:pPr>
          </w:p>
        </w:tc>
        <w:tc>
          <w:tcPr>
            <w:tcW w:w="1135" w:type="dxa"/>
          </w:tcPr>
          <w:p w14:paraId="01863738">
            <w:pPr>
              <w:rPr>
                <w:rFonts w:ascii="Arial"/>
                <w:color w:val="auto"/>
                <w:highlight w:val="none"/>
              </w:rPr>
            </w:pPr>
          </w:p>
        </w:tc>
        <w:tc>
          <w:tcPr>
            <w:tcW w:w="991" w:type="dxa"/>
          </w:tcPr>
          <w:p w14:paraId="21F9858F">
            <w:pPr>
              <w:rPr>
                <w:rFonts w:ascii="Arial"/>
                <w:color w:val="auto"/>
                <w:highlight w:val="none"/>
              </w:rPr>
            </w:pPr>
          </w:p>
        </w:tc>
        <w:tc>
          <w:tcPr>
            <w:tcW w:w="852" w:type="dxa"/>
          </w:tcPr>
          <w:p w14:paraId="08311B82">
            <w:pPr>
              <w:rPr>
                <w:rFonts w:ascii="Arial"/>
                <w:color w:val="auto"/>
                <w:highlight w:val="none"/>
              </w:rPr>
            </w:pPr>
          </w:p>
        </w:tc>
        <w:tc>
          <w:tcPr>
            <w:tcW w:w="883" w:type="dxa"/>
          </w:tcPr>
          <w:p w14:paraId="372232F0">
            <w:pPr>
              <w:rPr>
                <w:rFonts w:ascii="Arial"/>
                <w:color w:val="auto"/>
                <w:highlight w:val="none"/>
              </w:rPr>
            </w:pPr>
          </w:p>
        </w:tc>
        <w:tc>
          <w:tcPr>
            <w:tcW w:w="1133" w:type="dxa"/>
          </w:tcPr>
          <w:p w14:paraId="64AE3C42">
            <w:pPr>
              <w:rPr>
                <w:rFonts w:ascii="Arial"/>
                <w:color w:val="auto"/>
                <w:highlight w:val="none"/>
              </w:rPr>
            </w:pPr>
          </w:p>
        </w:tc>
        <w:tc>
          <w:tcPr>
            <w:tcW w:w="1135" w:type="dxa"/>
          </w:tcPr>
          <w:p w14:paraId="4FBEFA84">
            <w:pPr>
              <w:rPr>
                <w:rFonts w:ascii="Arial"/>
                <w:color w:val="auto"/>
                <w:highlight w:val="none"/>
              </w:rPr>
            </w:pPr>
          </w:p>
        </w:tc>
        <w:tc>
          <w:tcPr>
            <w:tcW w:w="1132" w:type="dxa"/>
          </w:tcPr>
          <w:p w14:paraId="4B3C3772">
            <w:pPr>
              <w:rPr>
                <w:rFonts w:ascii="Arial"/>
                <w:color w:val="auto"/>
                <w:highlight w:val="none"/>
              </w:rPr>
            </w:pPr>
          </w:p>
        </w:tc>
        <w:tc>
          <w:tcPr>
            <w:tcW w:w="1277" w:type="dxa"/>
          </w:tcPr>
          <w:p w14:paraId="6856CFE4">
            <w:pPr>
              <w:rPr>
                <w:rFonts w:ascii="Arial"/>
                <w:color w:val="auto"/>
                <w:highlight w:val="none"/>
              </w:rPr>
            </w:pPr>
          </w:p>
        </w:tc>
        <w:tc>
          <w:tcPr>
            <w:tcW w:w="1701" w:type="dxa"/>
          </w:tcPr>
          <w:p w14:paraId="067C342C">
            <w:pPr>
              <w:rPr>
                <w:rFonts w:ascii="Arial"/>
                <w:color w:val="auto"/>
                <w:highlight w:val="none"/>
              </w:rPr>
            </w:pPr>
          </w:p>
        </w:tc>
        <w:tc>
          <w:tcPr>
            <w:tcW w:w="1279" w:type="dxa"/>
          </w:tcPr>
          <w:p w14:paraId="1FBF3A7A">
            <w:pPr>
              <w:rPr>
                <w:rFonts w:ascii="Arial"/>
                <w:color w:val="auto"/>
                <w:highlight w:val="none"/>
              </w:rPr>
            </w:pPr>
          </w:p>
        </w:tc>
      </w:tr>
      <w:tr w14:paraId="50E631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672" w:type="dxa"/>
          </w:tcPr>
          <w:p w14:paraId="50CF7721">
            <w:pPr>
              <w:rPr>
                <w:rFonts w:ascii="Arial"/>
                <w:color w:val="auto"/>
                <w:highlight w:val="none"/>
              </w:rPr>
            </w:pPr>
          </w:p>
        </w:tc>
        <w:tc>
          <w:tcPr>
            <w:tcW w:w="1878" w:type="dxa"/>
          </w:tcPr>
          <w:p w14:paraId="5A1A1F5C">
            <w:pPr>
              <w:rPr>
                <w:rFonts w:ascii="Arial"/>
                <w:color w:val="auto"/>
                <w:highlight w:val="none"/>
              </w:rPr>
            </w:pPr>
          </w:p>
        </w:tc>
        <w:tc>
          <w:tcPr>
            <w:tcW w:w="1135" w:type="dxa"/>
          </w:tcPr>
          <w:p w14:paraId="5AAE2D55">
            <w:pPr>
              <w:rPr>
                <w:rFonts w:ascii="Arial"/>
                <w:color w:val="auto"/>
                <w:highlight w:val="none"/>
              </w:rPr>
            </w:pPr>
          </w:p>
        </w:tc>
        <w:tc>
          <w:tcPr>
            <w:tcW w:w="991" w:type="dxa"/>
          </w:tcPr>
          <w:p w14:paraId="507B7A2B">
            <w:pPr>
              <w:rPr>
                <w:rFonts w:ascii="Arial"/>
                <w:color w:val="auto"/>
                <w:highlight w:val="none"/>
              </w:rPr>
            </w:pPr>
          </w:p>
        </w:tc>
        <w:tc>
          <w:tcPr>
            <w:tcW w:w="852" w:type="dxa"/>
          </w:tcPr>
          <w:p w14:paraId="6402EED7">
            <w:pPr>
              <w:rPr>
                <w:rFonts w:ascii="Arial"/>
                <w:color w:val="auto"/>
                <w:highlight w:val="none"/>
              </w:rPr>
            </w:pPr>
          </w:p>
        </w:tc>
        <w:tc>
          <w:tcPr>
            <w:tcW w:w="883" w:type="dxa"/>
          </w:tcPr>
          <w:p w14:paraId="40874F19">
            <w:pPr>
              <w:rPr>
                <w:rFonts w:ascii="Arial"/>
                <w:color w:val="auto"/>
                <w:highlight w:val="none"/>
              </w:rPr>
            </w:pPr>
          </w:p>
        </w:tc>
        <w:tc>
          <w:tcPr>
            <w:tcW w:w="1133" w:type="dxa"/>
          </w:tcPr>
          <w:p w14:paraId="2590DB54">
            <w:pPr>
              <w:rPr>
                <w:rFonts w:ascii="Arial"/>
                <w:color w:val="auto"/>
                <w:highlight w:val="none"/>
              </w:rPr>
            </w:pPr>
          </w:p>
        </w:tc>
        <w:tc>
          <w:tcPr>
            <w:tcW w:w="1135" w:type="dxa"/>
          </w:tcPr>
          <w:p w14:paraId="722996C7">
            <w:pPr>
              <w:rPr>
                <w:rFonts w:ascii="Arial"/>
                <w:color w:val="auto"/>
                <w:highlight w:val="none"/>
              </w:rPr>
            </w:pPr>
          </w:p>
        </w:tc>
        <w:tc>
          <w:tcPr>
            <w:tcW w:w="1132" w:type="dxa"/>
          </w:tcPr>
          <w:p w14:paraId="39108F3C">
            <w:pPr>
              <w:rPr>
                <w:rFonts w:ascii="Arial"/>
                <w:color w:val="auto"/>
                <w:highlight w:val="none"/>
              </w:rPr>
            </w:pPr>
          </w:p>
        </w:tc>
        <w:tc>
          <w:tcPr>
            <w:tcW w:w="1277" w:type="dxa"/>
          </w:tcPr>
          <w:p w14:paraId="655428E1">
            <w:pPr>
              <w:rPr>
                <w:rFonts w:ascii="Arial"/>
                <w:color w:val="auto"/>
                <w:highlight w:val="none"/>
              </w:rPr>
            </w:pPr>
          </w:p>
        </w:tc>
        <w:tc>
          <w:tcPr>
            <w:tcW w:w="1701" w:type="dxa"/>
          </w:tcPr>
          <w:p w14:paraId="6A4FA464">
            <w:pPr>
              <w:rPr>
                <w:rFonts w:ascii="Arial"/>
                <w:color w:val="auto"/>
                <w:highlight w:val="none"/>
              </w:rPr>
            </w:pPr>
          </w:p>
        </w:tc>
        <w:tc>
          <w:tcPr>
            <w:tcW w:w="1279" w:type="dxa"/>
          </w:tcPr>
          <w:p w14:paraId="7AC8FC61">
            <w:pPr>
              <w:rPr>
                <w:rFonts w:ascii="Arial"/>
                <w:color w:val="auto"/>
                <w:highlight w:val="none"/>
              </w:rPr>
            </w:pPr>
          </w:p>
        </w:tc>
      </w:tr>
      <w:tr w14:paraId="2724DF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672" w:type="dxa"/>
          </w:tcPr>
          <w:p w14:paraId="04C5A110">
            <w:pPr>
              <w:rPr>
                <w:rFonts w:ascii="Arial"/>
                <w:color w:val="auto"/>
                <w:highlight w:val="none"/>
              </w:rPr>
            </w:pPr>
          </w:p>
        </w:tc>
        <w:tc>
          <w:tcPr>
            <w:tcW w:w="1878" w:type="dxa"/>
          </w:tcPr>
          <w:p w14:paraId="39820F12">
            <w:pPr>
              <w:rPr>
                <w:rFonts w:ascii="Arial"/>
                <w:color w:val="auto"/>
                <w:highlight w:val="none"/>
              </w:rPr>
            </w:pPr>
          </w:p>
        </w:tc>
        <w:tc>
          <w:tcPr>
            <w:tcW w:w="1135" w:type="dxa"/>
          </w:tcPr>
          <w:p w14:paraId="772D9E01">
            <w:pPr>
              <w:rPr>
                <w:rFonts w:ascii="Arial"/>
                <w:color w:val="auto"/>
                <w:highlight w:val="none"/>
              </w:rPr>
            </w:pPr>
          </w:p>
        </w:tc>
        <w:tc>
          <w:tcPr>
            <w:tcW w:w="991" w:type="dxa"/>
          </w:tcPr>
          <w:p w14:paraId="2829D206">
            <w:pPr>
              <w:rPr>
                <w:rFonts w:ascii="Arial"/>
                <w:color w:val="auto"/>
                <w:highlight w:val="none"/>
              </w:rPr>
            </w:pPr>
          </w:p>
        </w:tc>
        <w:tc>
          <w:tcPr>
            <w:tcW w:w="852" w:type="dxa"/>
          </w:tcPr>
          <w:p w14:paraId="34F22AE9">
            <w:pPr>
              <w:rPr>
                <w:rFonts w:ascii="Arial"/>
                <w:color w:val="auto"/>
                <w:highlight w:val="none"/>
              </w:rPr>
            </w:pPr>
          </w:p>
        </w:tc>
        <w:tc>
          <w:tcPr>
            <w:tcW w:w="883" w:type="dxa"/>
          </w:tcPr>
          <w:p w14:paraId="355B50E3">
            <w:pPr>
              <w:rPr>
                <w:rFonts w:ascii="Arial"/>
                <w:color w:val="auto"/>
                <w:highlight w:val="none"/>
              </w:rPr>
            </w:pPr>
          </w:p>
        </w:tc>
        <w:tc>
          <w:tcPr>
            <w:tcW w:w="1133" w:type="dxa"/>
          </w:tcPr>
          <w:p w14:paraId="086E8A74">
            <w:pPr>
              <w:rPr>
                <w:rFonts w:ascii="Arial"/>
                <w:color w:val="auto"/>
                <w:highlight w:val="none"/>
              </w:rPr>
            </w:pPr>
          </w:p>
        </w:tc>
        <w:tc>
          <w:tcPr>
            <w:tcW w:w="1135" w:type="dxa"/>
          </w:tcPr>
          <w:p w14:paraId="52CA005F">
            <w:pPr>
              <w:rPr>
                <w:rFonts w:ascii="Arial"/>
                <w:color w:val="auto"/>
                <w:highlight w:val="none"/>
              </w:rPr>
            </w:pPr>
          </w:p>
        </w:tc>
        <w:tc>
          <w:tcPr>
            <w:tcW w:w="1132" w:type="dxa"/>
          </w:tcPr>
          <w:p w14:paraId="16335990">
            <w:pPr>
              <w:rPr>
                <w:rFonts w:ascii="Arial"/>
                <w:color w:val="auto"/>
                <w:highlight w:val="none"/>
              </w:rPr>
            </w:pPr>
          </w:p>
        </w:tc>
        <w:tc>
          <w:tcPr>
            <w:tcW w:w="1277" w:type="dxa"/>
          </w:tcPr>
          <w:p w14:paraId="48680BAC">
            <w:pPr>
              <w:rPr>
                <w:rFonts w:ascii="Arial"/>
                <w:color w:val="auto"/>
                <w:highlight w:val="none"/>
              </w:rPr>
            </w:pPr>
          </w:p>
        </w:tc>
        <w:tc>
          <w:tcPr>
            <w:tcW w:w="1701" w:type="dxa"/>
          </w:tcPr>
          <w:p w14:paraId="0F61D70B">
            <w:pPr>
              <w:rPr>
                <w:rFonts w:ascii="Arial"/>
                <w:color w:val="auto"/>
                <w:highlight w:val="none"/>
              </w:rPr>
            </w:pPr>
          </w:p>
        </w:tc>
        <w:tc>
          <w:tcPr>
            <w:tcW w:w="1279" w:type="dxa"/>
          </w:tcPr>
          <w:p w14:paraId="60EF24EA">
            <w:pPr>
              <w:rPr>
                <w:rFonts w:ascii="Arial"/>
                <w:color w:val="auto"/>
                <w:highlight w:val="none"/>
              </w:rPr>
            </w:pPr>
          </w:p>
        </w:tc>
      </w:tr>
      <w:tr w14:paraId="7B734D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672" w:type="dxa"/>
          </w:tcPr>
          <w:p w14:paraId="3F283942">
            <w:pPr>
              <w:rPr>
                <w:rFonts w:ascii="Arial"/>
                <w:color w:val="auto"/>
                <w:highlight w:val="none"/>
              </w:rPr>
            </w:pPr>
          </w:p>
        </w:tc>
        <w:tc>
          <w:tcPr>
            <w:tcW w:w="1878" w:type="dxa"/>
          </w:tcPr>
          <w:p w14:paraId="21473E4A">
            <w:pPr>
              <w:rPr>
                <w:rFonts w:ascii="Arial"/>
                <w:color w:val="auto"/>
                <w:highlight w:val="none"/>
              </w:rPr>
            </w:pPr>
          </w:p>
        </w:tc>
        <w:tc>
          <w:tcPr>
            <w:tcW w:w="1135" w:type="dxa"/>
          </w:tcPr>
          <w:p w14:paraId="68234A10">
            <w:pPr>
              <w:rPr>
                <w:rFonts w:ascii="Arial"/>
                <w:color w:val="auto"/>
                <w:highlight w:val="none"/>
              </w:rPr>
            </w:pPr>
          </w:p>
        </w:tc>
        <w:tc>
          <w:tcPr>
            <w:tcW w:w="991" w:type="dxa"/>
          </w:tcPr>
          <w:p w14:paraId="6E45959C">
            <w:pPr>
              <w:rPr>
                <w:rFonts w:ascii="Arial"/>
                <w:color w:val="auto"/>
                <w:highlight w:val="none"/>
              </w:rPr>
            </w:pPr>
          </w:p>
        </w:tc>
        <w:tc>
          <w:tcPr>
            <w:tcW w:w="852" w:type="dxa"/>
          </w:tcPr>
          <w:p w14:paraId="34B9E793">
            <w:pPr>
              <w:rPr>
                <w:rFonts w:ascii="Arial"/>
                <w:color w:val="auto"/>
                <w:highlight w:val="none"/>
              </w:rPr>
            </w:pPr>
          </w:p>
        </w:tc>
        <w:tc>
          <w:tcPr>
            <w:tcW w:w="883" w:type="dxa"/>
          </w:tcPr>
          <w:p w14:paraId="738C9527">
            <w:pPr>
              <w:rPr>
                <w:rFonts w:ascii="Arial"/>
                <w:color w:val="auto"/>
                <w:highlight w:val="none"/>
              </w:rPr>
            </w:pPr>
          </w:p>
        </w:tc>
        <w:tc>
          <w:tcPr>
            <w:tcW w:w="1133" w:type="dxa"/>
          </w:tcPr>
          <w:p w14:paraId="2FE89246">
            <w:pPr>
              <w:rPr>
                <w:rFonts w:ascii="Arial"/>
                <w:color w:val="auto"/>
                <w:highlight w:val="none"/>
              </w:rPr>
            </w:pPr>
          </w:p>
        </w:tc>
        <w:tc>
          <w:tcPr>
            <w:tcW w:w="1135" w:type="dxa"/>
          </w:tcPr>
          <w:p w14:paraId="682E7B9C">
            <w:pPr>
              <w:rPr>
                <w:rFonts w:ascii="Arial"/>
                <w:color w:val="auto"/>
                <w:highlight w:val="none"/>
              </w:rPr>
            </w:pPr>
          </w:p>
        </w:tc>
        <w:tc>
          <w:tcPr>
            <w:tcW w:w="1132" w:type="dxa"/>
          </w:tcPr>
          <w:p w14:paraId="1426A0AF">
            <w:pPr>
              <w:rPr>
                <w:rFonts w:ascii="Arial"/>
                <w:color w:val="auto"/>
                <w:highlight w:val="none"/>
              </w:rPr>
            </w:pPr>
          </w:p>
        </w:tc>
        <w:tc>
          <w:tcPr>
            <w:tcW w:w="1277" w:type="dxa"/>
          </w:tcPr>
          <w:p w14:paraId="736B008E">
            <w:pPr>
              <w:rPr>
                <w:rFonts w:ascii="Arial"/>
                <w:color w:val="auto"/>
                <w:highlight w:val="none"/>
              </w:rPr>
            </w:pPr>
          </w:p>
        </w:tc>
        <w:tc>
          <w:tcPr>
            <w:tcW w:w="1701" w:type="dxa"/>
          </w:tcPr>
          <w:p w14:paraId="4B6433F5">
            <w:pPr>
              <w:rPr>
                <w:rFonts w:ascii="Arial"/>
                <w:color w:val="auto"/>
                <w:highlight w:val="none"/>
              </w:rPr>
            </w:pPr>
          </w:p>
        </w:tc>
        <w:tc>
          <w:tcPr>
            <w:tcW w:w="1279" w:type="dxa"/>
          </w:tcPr>
          <w:p w14:paraId="239F62EB">
            <w:pPr>
              <w:rPr>
                <w:rFonts w:ascii="Arial"/>
                <w:color w:val="auto"/>
                <w:highlight w:val="none"/>
              </w:rPr>
            </w:pPr>
          </w:p>
        </w:tc>
      </w:tr>
      <w:tr w14:paraId="62634F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672" w:type="dxa"/>
          </w:tcPr>
          <w:p w14:paraId="7D80EDE8">
            <w:pPr>
              <w:rPr>
                <w:rFonts w:ascii="Arial"/>
                <w:color w:val="auto"/>
                <w:highlight w:val="none"/>
              </w:rPr>
            </w:pPr>
          </w:p>
        </w:tc>
        <w:tc>
          <w:tcPr>
            <w:tcW w:w="1878" w:type="dxa"/>
          </w:tcPr>
          <w:p w14:paraId="24F09C10">
            <w:pPr>
              <w:rPr>
                <w:rFonts w:ascii="Arial"/>
                <w:color w:val="auto"/>
                <w:highlight w:val="none"/>
              </w:rPr>
            </w:pPr>
          </w:p>
        </w:tc>
        <w:tc>
          <w:tcPr>
            <w:tcW w:w="1135" w:type="dxa"/>
          </w:tcPr>
          <w:p w14:paraId="5160C24D">
            <w:pPr>
              <w:rPr>
                <w:rFonts w:ascii="Arial"/>
                <w:color w:val="auto"/>
                <w:highlight w:val="none"/>
              </w:rPr>
            </w:pPr>
          </w:p>
        </w:tc>
        <w:tc>
          <w:tcPr>
            <w:tcW w:w="991" w:type="dxa"/>
          </w:tcPr>
          <w:p w14:paraId="09417121">
            <w:pPr>
              <w:rPr>
                <w:rFonts w:ascii="Arial"/>
                <w:color w:val="auto"/>
                <w:highlight w:val="none"/>
              </w:rPr>
            </w:pPr>
          </w:p>
        </w:tc>
        <w:tc>
          <w:tcPr>
            <w:tcW w:w="852" w:type="dxa"/>
          </w:tcPr>
          <w:p w14:paraId="32ADFBDC">
            <w:pPr>
              <w:rPr>
                <w:rFonts w:ascii="Arial"/>
                <w:color w:val="auto"/>
                <w:highlight w:val="none"/>
              </w:rPr>
            </w:pPr>
          </w:p>
        </w:tc>
        <w:tc>
          <w:tcPr>
            <w:tcW w:w="883" w:type="dxa"/>
          </w:tcPr>
          <w:p w14:paraId="6DF0A043">
            <w:pPr>
              <w:rPr>
                <w:rFonts w:ascii="Arial"/>
                <w:color w:val="auto"/>
                <w:highlight w:val="none"/>
              </w:rPr>
            </w:pPr>
          </w:p>
        </w:tc>
        <w:tc>
          <w:tcPr>
            <w:tcW w:w="1133" w:type="dxa"/>
          </w:tcPr>
          <w:p w14:paraId="0865D332">
            <w:pPr>
              <w:rPr>
                <w:rFonts w:ascii="Arial"/>
                <w:color w:val="auto"/>
                <w:highlight w:val="none"/>
              </w:rPr>
            </w:pPr>
          </w:p>
        </w:tc>
        <w:tc>
          <w:tcPr>
            <w:tcW w:w="1135" w:type="dxa"/>
          </w:tcPr>
          <w:p w14:paraId="16529D74">
            <w:pPr>
              <w:rPr>
                <w:rFonts w:ascii="Arial"/>
                <w:color w:val="auto"/>
                <w:highlight w:val="none"/>
              </w:rPr>
            </w:pPr>
          </w:p>
        </w:tc>
        <w:tc>
          <w:tcPr>
            <w:tcW w:w="1132" w:type="dxa"/>
          </w:tcPr>
          <w:p w14:paraId="31940F85">
            <w:pPr>
              <w:rPr>
                <w:rFonts w:ascii="Arial"/>
                <w:color w:val="auto"/>
                <w:highlight w:val="none"/>
              </w:rPr>
            </w:pPr>
          </w:p>
        </w:tc>
        <w:tc>
          <w:tcPr>
            <w:tcW w:w="1277" w:type="dxa"/>
          </w:tcPr>
          <w:p w14:paraId="4204B0D2">
            <w:pPr>
              <w:rPr>
                <w:rFonts w:ascii="Arial"/>
                <w:color w:val="auto"/>
                <w:highlight w:val="none"/>
              </w:rPr>
            </w:pPr>
          </w:p>
        </w:tc>
        <w:tc>
          <w:tcPr>
            <w:tcW w:w="1701" w:type="dxa"/>
          </w:tcPr>
          <w:p w14:paraId="662926FD">
            <w:pPr>
              <w:rPr>
                <w:rFonts w:ascii="Arial"/>
                <w:color w:val="auto"/>
                <w:highlight w:val="none"/>
              </w:rPr>
            </w:pPr>
          </w:p>
        </w:tc>
        <w:tc>
          <w:tcPr>
            <w:tcW w:w="1279" w:type="dxa"/>
          </w:tcPr>
          <w:p w14:paraId="2B574E50">
            <w:pPr>
              <w:rPr>
                <w:rFonts w:ascii="Arial"/>
                <w:color w:val="auto"/>
                <w:highlight w:val="none"/>
              </w:rPr>
            </w:pPr>
          </w:p>
        </w:tc>
      </w:tr>
      <w:tr w14:paraId="2B4840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672" w:type="dxa"/>
          </w:tcPr>
          <w:p w14:paraId="470ED302">
            <w:pPr>
              <w:rPr>
                <w:rFonts w:ascii="Arial"/>
                <w:color w:val="auto"/>
                <w:highlight w:val="none"/>
              </w:rPr>
            </w:pPr>
          </w:p>
        </w:tc>
        <w:tc>
          <w:tcPr>
            <w:tcW w:w="1878" w:type="dxa"/>
          </w:tcPr>
          <w:p w14:paraId="1F58BA8D">
            <w:pPr>
              <w:rPr>
                <w:rFonts w:ascii="Arial"/>
                <w:color w:val="auto"/>
                <w:highlight w:val="none"/>
              </w:rPr>
            </w:pPr>
          </w:p>
        </w:tc>
        <w:tc>
          <w:tcPr>
            <w:tcW w:w="1135" w:type="dxa"/>
          </w:tcPr>
          <w:p w14:paraId="18ECA422">
            <w:pPr>
              <w:rPr>
                <w:rFonts w:ascii="Arial"/>
                <w:color w:val="auto"/>
                <w:highlight w:val="none"/>
              </w:rPr>
            </w:pPr>
          </w:p>
        </w:tc>
        <w:tc>
          <w:tcPr>
            <w:tcW w:w="991" w:type="dxa"/>
          </w:tcPr>
          <w:p w14:paraId="080A8300">
            <w:pPr>
              <w:rPr>
                <w:rFonts w:ascii="Arial"/>
                <w:color w:val="auto"/>
                <w:highlight w:val="none"/>
              </w:rPr>
            </w:pPr>
          </w:p>
        </w:tc>
        <w:tc>
          <w:tcPr>
            <w:tcW w:w="852" w:type="dxa"/>
          </w:tcPr>
          <w:p w14:paraId="2EBACE20">
            <w:pPr>
              <w:rPr>
                <w:rFonts w:ascii="Arial"/>
                <w:color w:val="auto"/>
                <w:highlight w:val="none"/>
              </w:rPr>
            </w:pPr>
          </w:p>
        </w:tc>
        <w:tc>
          <w:tcPr>
            <w:tcW w:w="883" w:type="dxa"/>
          </w:tcPr>
          <w:p w14:paraId="38211AC2">
            <w:pPr>
              <w:rPr>
                <w:rFonts w:ascii="Arial"/>
                <w:color w:val="auto"/>
                <w:highlight w:val="none"/>
              </w:rPr>
            </w:pPr>
          </w:p>
        </w:tc>
        <w:tc>
          <w:tcPr>
            <w:tcW w:w="1133" w:type="dxa"/>
          </w:tcPr>
          <w:p w14:paraId="4A5E02E9">
            <w:pPr>
              <w:rPr>
                <w:rFonts w:ascii="Arial"/>
                <w:color w:val="auto"/>
                <w:highlight w:val="none"/>
              </w:rPr>
            </w:pPr>
          </w:p>
        </w:tc>
        <w:tc>
          <w:tcPr>
            <w:tcW w:w="1135" w:type="dxa"/>
          </w:tcPr>
          <w:p w14:paraId="0DB035F5">
            <w:pPr>
              <w:rPr>
                <w:rFonts w:ascii="Arial"/>
                <w:color w:val="auto"/>
                <w:highlight w:val="none"/>
              </w:rPr>
            </w:pPr>
          </w:p>
        </w:tc>
        <w:tc>
          <w:tcPr>
            <w:tcW w:w="1132" w:type="dxa"/>
          </w:tcPr>
          <w:p w14:paraId="6950CC02">
            <w:pPr>
              <w:rPr>
                <w:rFonts w:ascii="Arial"/>
                <w:color w:val="auto"/>
                <w:highlight w:val="none"/>
              </w:rPr>
            </w:pPr>
          </w:p>
        </w:tc>
        <w:tc>
          <w:tcPr>
            <w:tcW w:w="1277" w:type="dxa"/>
          </w:tcPr>
          <w:p w14:paraId="149C03ED">
            <w:pPr>
              <w:rPr>
                <w:rFonts w:ascii="Arial"/>
                <w:color w:val="auto"/>
                <w:highlight w:val="none"/>
              </w:rPr>
            </w:pPr>
          </w:p>
        </w:tc>
        <w:tc>
          <w:tcPr>
            <w:tcW w:w="1701" w:type="dxa"/>
          </w:tcPr>
          <w:p w14:paraId="2AA643A3">
            <w:pPr>
              <w:rPr>
                <w:rFonts w:ascii="Arial"/>
                <w:color w:val="auto"/>
                <w:highlight w:val="none"/>
              </w:rPr>
            </w:pPr>
          </w:p>
        </w:tc>
        <w:tc>
          <w:tcPr>
            <w:tcW w:w="1279" w:type="dxa"/>
          </w:tcPr>
          <w:p w14:paraId="7322F9DA">
            <w:pPr>
              <w:rPr>
                <w:rFonts w:ascii="Arial"/>
                <w:color w:val="auto"/>
                <w:highlight w:val="none"/>
              </w:rPr>
            </w:pPr>
          </w:p>
        </w:tc>
      </w:tr>
      <w:tr w14:paraId="2FC98C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36" w:hRule="atLeast"/>
        </w:trPr>
        <w:tc>
          <w:tcPr>
            <w:tcW w:w="672" w:type="dxa"/>
          </w:tcPr>
          <w:p w14:paraId="1E53AAA1">
            <w:pPr>
              <w:rPr>
                <w:rFonts w:ascii="Arial"/>
                <w:color w:val="auto"/>
                <w:highlight w:val="none"/>
              </w:rPr>
            </w:pPr>
          </w:p>
        </w:tc>
        <w:tc>
          <w:tcPr>
            <w:tcW w:w="1878" w:type="dxa"/>
          </w:tcPr>
          <w:p w14:paraId="084F565E">
            <w:pPr>
              <w:rPr>
                <w:rFonts w:ascii="Arial"/>
                <w:color w:val="auto"/>
                <w:highlight w:val="none"/>
              </w:rPr>
            </w:pPr>
          </w:p>
        </w:tc>
        <w:tc>
          <w:tcPr>
            <w:tcW w:w="1135" w:type="dxa"/>
          </w:tcPr>
          <w:p w14:paraId="1A0E26BD">
            <w:pPr>
              <w:rPr>
                <w:rFonts w:ascii="Arial"/>
                <w:color w:val="auto"/>
                <w:highlight w:val="none"/>
              </w:rPr>
            </w:pPr>
          </w:p>
        </w:tc>
        <w:tc>
          <w:tcPr>
            <w:tcW w:w="991" w:type="dxa"/>
          </w:tcPr>
          <w:p w14:paraId="0CA380ED">
            <w:pPr>
              <w:rPr>
                <w:rFonts w:ascii="Arial"/>
                <w:color w:val="auto"/>
                <w:highlight w:val="none"/>
              </w:rPr>
            </w:pPr>
          </w:p>
        </w:tc>
        <w:tc>
          <w:tcPr>
            <w:tcW w:w="852" w:type="dxa"/>
          </w:tcPr>
          <w:p w14:paraId="4E28D128">
            <w:pPr>
              <w:rPr>
                <w:rFonts w:ascii="Arial"/>
                <w:color w:val="auto"/>
                <w:highlight w:val="none"/>
              </w:rPr>
            </w:pPr>
          </w:p>
        </w:tc>
        <w:tc>
          <w:tcPr>
            <w:tcW w:w="883" w:type="dxa"/>
          </w:tcPr>
          <w:p w14:paraId="40BBEF1A">
            <w:pPr>
              <w:rPr>
                <w:rFonts w:ascii="Arial"/>
                <w:color w:val="auto"/>
                <w:highlight w:val="none"/>
              </w:rPr>
            </w:pPr>
          </w:p>
        </w:tc>
        <w:tc>
          <w:tcPr>
            <w:tcW w:w="1133" w:type="dxa"/>
          </w:tcPr>
          <w:p w14:paraId="633D30BF">
            <w:pPr>
              <w:rPr>
                <w:rFonts w:ascii="Arial"/>
                <w:color w:val="auto"/>
                <w:highlight w:val="none"/>
              </w:rPr>
            </w:pPr>
          </w:p>
        </w:tc>
        <w:tc>
          <w:tcPr>
            <w:tcW w:w="1135" w:type="dxa"/>
          </w:tcPr>
          <w:p w14:paraId="4FE6F37F">
            <w:pPr>
              <w:rPr>
                <w:rFonts w:ascii="Arial"/>
                <w:color w:val="auto"/>
                <w:highlight w:val="none"/>
              </w:rPr>
            </w:pPr>
          </w:p>
        </w:tc>
        <w:tc>
          <w:tcPr>
            <w:tcW w:w="1132" w:type="dxa"/>
          </w:tcPr>
          <w:p w14:paraId="0F77F030">
            <w:pPr>
              <w:rPr>
                <w:rFonts w:ascii="Arial"/>
                <w:color w:val="auto"/>
                <w:highlight w:val="none"/>
              </w:rPr>
            </w:pPr>
          </w:p>
        </w:tc>
        <w:tc>
          <w:tcPr>
            <w:tcW w:w="1277" w:type="dxa"/>
          </w:tcPr>
          <w:p w14:paraId="11716E54">
            <w:pPr>
              <w:rPr>
                <w:rFonts w:ascii="Arial"/>
                <w:color w:val="auto"/>
                <w:highlight w:val="none"/>
              </w:rPr>
            </w:pPr>
          </w:p>
        </w:tc>
        <w:tc>
          <w:tcPr>
            <w:tcW w:w="1701" w:type="dxa"/>
          </w:tcPr>
          <w:p w14:paraId="24D0875C">
            <w:pPr>
              <w:rPr>
                <w:rFonts w:ascii="Arial"/>
                <w:color w:val="auto"/>
                <w:highlight w:val="none"/>
              </w:rPr>
            </w:pPr>
          </w:p>
        </w:tc>
        <w:tc>
          <w:tcPr>
            <w:tcW w:w="1279" w:type="dxa"/>
          </w:tcPr>
          <w:p w14:paraId="30D83F5C">
            <w:pPr>
              <w:rPr>
                <w:rFonts w:ascii="Arial"/>
                <w:color w:val="auto"/>
                <w:highlight w:val="none"/>
              </w:rPr>
            </w:pPr>
          </w:p>
        </w:tc>
      </w:tr>
      <w:tr w14:paraId="2CD643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2550" w:type="dxa"/>
            <w:gridSpan w:val="2"/>
          </w:tcPr>
          <w:p w14:paraId="4728D6A6">
            <w:pPr>
              <w:pStyle w:val="185"/>
              <w:spacing w:before="159" w:line="219" w:lineRule="auto"/>
              <w:ind w:left="339"/>
              <w:rPr>
                <w:color w:val="auto"/>
                <w:highlight w:val="none"/>
              </w:rPr>
            </w:pPr>
            <w:r>
              <w:rPr>
                <w:color w:val="auto"/>
                <w:spacing w:val="-3"/>
                <w:highlight w:val="none"/>
              </w:rPr>
              <w:t>最高投标限价（元）</w:t>
            </w:r>
          </w:p>
        </w:tc>
        <w:tc>
          <w:tcPr>
            <w:tcW w:w="11518" w:type="dxa"/>
            <w:gridSpan w:val="10"/>
          </w:tcPr>
          <w:p w14:paraId="4E27CDC4">
            <w:pPr>
              <w:rPr>
                <w:rFonts w:ascii="Arial"/>
                <w:color w:val="auto"/>
                <w:highlight w:val="none"/>
              </w:rPr>
            </w:pPr>
          </w:p>
        </w:tc>
      </w:tr>
      <w:tr w14:paraId="0620E7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2550" w:type="dxa"/>
            <w:gridSpan w:val="2"/>
          </w:tcPr>
          <w:p w14:paraId="549FA23B">
            <w:pPr>
              <w:pStyle w:val="185"/>
              <w:spacing w:before="146" w:line="221" w:lineRule="auto"/>
              <w:ind w:left="126"/>
              <w:rPr>
                <w:color w:val="auto"/>
                <w:highlight w:val="none"/>
                <w:lang w:eastAsia="zh-CN"/>
              </w:rPr>
            </w:pPr>
            <w:r>
              <w:rPr>
                <w:color w:val="auto"/>
                <w:spacing w:val="-1"/>
                <w:highlight w:val="none"/>
                <w:lang w:eastAsia="zh-CN"/>
              </w:rPr>
              <w:t>开标过程需记录的其他事</w:t>
            </w:r>
          </w:p>
          <w:p w14:paraId="10035A96">
            <w:pPr>
              <w:pStyle w:val="185"/>
              <w:spacing w:before="147" w:line="221" w:lineRule="auto"/>
              <w:ind w:left="1180"/>
              <w:rPr>
                <w:color w:val="auto"/>
                <w:highlight w:val="none"/>
              </w:rPr>
            </w:pPr>
            <w:r>
              <w:rPr>
                <w:color w:val="auto"/>
                <w:highlight w:val="none"/>
              </w:rPr>
              <w:t>项</w:t>
            </w:r>
          </w:p>
        </w:tc>
        <w:tc>
          <w:tcPr>
            <w:tcW w:w="11518" w:type="dxa"/>
            <w:gridSpan w:val="10"/>
          </w:tcPr>
          <w:p w14:paraId="40B19C75">
            <w:pPr>
              <w:rPr>
                <w:rFonts w:ascii="Arial"/>
                <w:color w:val="auto"/>
                <w:highlight w:val="none"/>
              </w:rPr>
            </w:pPr>
          </w:p>
        </w:tc>
      </w:tr>
    </w:tbl>
    <w:p w14:paraId="1F4B7656">
      <w:pPr>
        <w:spacing w:before="137" w:line="221" w:lineRule="auto"/>
        <w:ind w:left="4210"/>
        <w:rPr>
          <w:rFonts w:ascii="宋体" w:hAnsi="宋体" w:cs="宋体"/>
          <w:color w:val="auto"/>
          <w:szCs w:val="21"/>
          <w:highlight w:val="none"/>
        </w:rPr>
        <w:sectPr>
          <w:footerReference r:id="rId13" w:type="default"/>
          <w:pgSz w:w="16839" w:h="11907"/>
          <w:pgMar w:top="1012" w:right="1324" w:bottom="1154" w:left="1440" w:header="0" w:footer="954" w:gutter="0"/>
          <w:pgNumType w:fmt="decimal"/>
          <w:cols w:space="720" w:num="1"/>
        </w:sectPr>
      </w:pPr>
      <w:r>
        <w:rPr>
          <w:rFonts w:ascii="宋体" w:hAnsi="宋体" w:cs="宋体"/>
          <w:color w:val="auto"/>
          <w:spacing w:val="-2"/>
          <w:szCs w:val="21"/>
          <w:highlight w:val="none"/>
        </w:rPr>
        <w:t>主持人：</w:t>
      </w:r>
      <w:r>
        <w:rPr>
          <w:rFonts w:ascii="黑体" w:hAnsi="黑体" w:eastAsia="黑体" w:cs="黑体"/>
          <w:color w:val="auto"/>
          <w:sz w:val="28"/>
          <w:szCs w:val="28"/>
          <w:highlight w:val="none"/>
          <w:u w:val="single"/>
        </w:rPr>
        <w:tab/>
      </w:r>
      <w:r>
        <w:rPr>
          <w:rFonts w:ascii="黑体" w:hAnsi="黑体" w:eastAsia="黑体" w:cs="黑体"/>
          <w:color w:val="auto"/>
          <w:sz w:val="28"/>
          <w:szCs w:val="28"/>
          <w:highlight w:val="none"/>
          <w:u w:val="single"/>
        </w:rPr>
        <w:tab/>
      </w:r>
      <w:r>
        <w:rPr>
          <w:rFonts w:ascii="黑体" w:hAnsi="黑体" w:eastAsia="黑体" w:cs="黑体"/>
          <w:color w:val="auto"/>
          <w:sz w:val="28"/>
          <w:szCs w:val="28"/>
          <w:highlight w:val="none"/>
          <w:u w:val="single"/>
        </w:rPr>
        <w:tab/>
      </w:r>
      <w:r>
        <w:rPr>
          <w:rFonts w:ascii="黑体" w:hAnsi="黑体" w:eastAsia="黑体" w:cs="黑体"/>
          <w:color w:val="auto"/>
          <w:sz w:val="28"/>
          <w:szCs w:val="28"/>
          <w:highlight w:val="none"/>
          <w:u w:val="single"/>
        </w:rPr>
        <w:tab/>
      </w:r>
      <w:r>
        <w:rPr>
          <w:rFonts w:ascii="宋体" w:hAnsi="宋体" w:cs="宋体"/>
          <w:color w:val="auto"/>
          <w:spacing w:val="-2"/>
          <w:szCs w:val="21"/>
          <w:highlight w:val="none"/>
        </w:rPr>
        <w:t>招标人代表：</w:t>
      </w:r>
      <w:r>
        <w:rPr>
          <w:rFonts w:ascii="黑体" w:hAnsi="黑体" w:eastAsia="黑体" w:cs="黑体"/>
          <w:color w:val="auto"/>
          <w:sz w:val="28"/>
          <w:szCs w:val="28"/>
          <w:highlight w:val="none"/>
          <w:u w:val="single"/>
        </w:rPr>
        <w:tab/>
      </w:r>
      <w:r>
        <w:rPr>
          <w:rFonts w:ascii="黑体" w:hAnsi="黑体" w:eastAsia="黑体" w:cs="黑体"/>
          <w:color w:val="auto"/>
          <w:sz w:val="28"/>
          <w:szCs w:val="28"/>
          <w:highlight w:val="none"/>
          <w:u w:val="single"/>
        </w:rPr>
        <w:tab/>
      </w:r>
      <w:r>
        <w:rPr>
          <w:rFonts w:hint="eastAsia" w:ascii="黑体" w:hAnsi="黑体" w:eastAsia="黑体" w:cs="黑体"/>
          <w:color w:val="auto"/>
          <w:sz w:val="28"/>
          <w:szCs w:val="28"/>
          <w:highlight w:val="none"/>
          <w:u w:val="single"/>
          <w:lang w:val="en-US" w:eastAsia="zh-CN"/>
        </w:rPr>
        <w:t xml:space="preserve">      </w:t>
      </w:r>
      <w:r>
        <w:rPr>
          <w:rFonts w:ascii="黑体" w:hAnsi="黑体" w:eastAsia="黑体" w:cs="黑体"/>
          <w:color w:val="auto"/>
          <w:sz w:val="28"/>
          <w:szCs w:val="28"/>
          <w:highlight w:val="none"/>
          <w:u w:val="single"/>
        </w:rPr>
        <w:tab/>
      </w:r>
      <w:r>
        <w:rPr>
          <w:rFonts w:ascii="宋体" w:hAnsi="宋体" w:cs="宋体"/>
          <w:color w:val="auto"/>
          <w:spacing w:val="-2"/>
          <w:szCs w:val="21"/>
          <w:highlight w:val="none"/>
        </w:rPr>
        <w:t>监标人：</w:t>
      </w:r>
      <w:r>
        <w:rPr>
          <w:rFonts w:ascii="黑体" w:hAnsi="黑体" w:eastAsia="黑体" w:cs="黑体"/>
          <w:color w:val="auto"/>
          <w:sz w:val="28"/>
          <w:szCs w:val="28"/>
          <w:highlight w:val="none"/>
          <w:u w:val="single"/>
        </w:rPr>
        <w:tab/>
      </w:r>
      <w:r>
        <w:rPr>
          <w:rFonts w:ascii="黑体" w:hAnsi="黑体" w:eastAsia="黑体" w:cs="黑体"/>
          <w:color w:val="auto"/>
          <w:sz w:val="28"/>
          <w:szCs w:val="28"/>
          <w:highlight w:val="none"/>
          <w:u w:val="single"/>
        </w:rPr>
        <w:tab/>
      </w:r>
      <w:r>
        <w:rPr>
          <w:rFonts w:ascii="黑体" w:hAnsi="黑体" w:eastAsia="黑体" w:cs="黑体"/>
          <w:color w:val="auto"/>
          <w:sz w:val="28"/>
          <w:szCs w:val="28"/>
          <w:highlight w:val="none"/>
          <w:u w:val="single"/>
        </w:rPr>
        <w:tab/>
      </w:r>
      <w:r>
        <w:rPr>
          <w:rFonts w:ascii="黑体" w:hAnsi="黑体" w:eastAsia="黑体" w:cs="黑体"/>
          <w:color w:val="auto"/>
          <w:sz w:val="28"/>
          <w:szCs w:val="28"/>
          <w:highlight w:val="none"/>
          <w:u w:val="single"/>
        </w:rPr>
        <w:tab/>
      </w:r>
      <w:r>
        <w:rPr>
          <w:rFonts w:ascii="黑体" w:hAnsi="黑体" w:eastAsia="黑体" w:cs="黑体"/>
          <w:color w:val="auto"/>
          <w:sz w:val="28"/>
          <w:szCs w:val="28"/>
          <w:highlight w:val="none"/>
          <w:u w:val="single"/>
        </w:rPr>
        <w:tab/>
      </w:r>
    </w:p>
    <w:p w14:paraId="038E5F48">
      <w:pPr>
        <w:spacing w:before="304" w:line="219" w:lineRule="auto"/>
        <w:ind w:left="34"/>
        <w:outlineLvl w:val="9"/>
        <w:rPr>
          <w:rFonts w:ascii="黑体" w:hAnsi="黑体" w:eastAsia="黑体" w:cs="黑体"/>
          <w:color w:val="auto"/>
          <w:spacing w:val="-2"/>
          <w:sz w:val="24"/>
          <w:highlight w:val="none"/>
        </w:rPr>
      </w:pPr>
      <w:bookmarkStart w:id="212" w:name="bookmark97"/>
      <w:bookmarkEnd w:id="212"/>
      <w:bookmarkStart w:id="213" w:name="_Toc8478"/>
    </w:p>
    <w:p w14:paraId="6725EFE1">
      <w:pPr>
        <w:spacing w:before="304" w:line="219" w:lineRule="auto"/>
        <w:ind w:left="34"/>
        <w:outlineLvl w:val="2"/>
        <w:rPr>
          <w:rFonts w:ascii="黑体" w:hAnsi="黑体" w:eastAsia="黑体" w:cs="黑体"/>
          <w:color w:val="auto"/>
          <w:sz w:val="24"/>
          <w:highlight w:val="none"/>
        </w:rPr>
      </w:pPr>
      <w:r>
        <w:rPr>
          <w:rFonts w:ascii="黑体" w:hAnsi="黑体" w:eastAsia="黑体" w:cs="黑体"/>
          <w:color w:val="auto"/>
          <w:spacing w:val="-2"/>
          <w:sz w:val="24"/>
          <w:highlight w:val="none"/>
        </w:rPr>
        <w:t>附表六：投标文件问题澄清通知</w:t>
      </w:r>
      <w:bookmarkEnd w:id="213"/>
    </w:p>
    <w:p w14:paraId="1ADC7BDA">
      <w:pPr>
        <w:pStyle w:val="17"/>
        <w:spacing w:line="314" w:lineRule="auto"/>
        <w:rPr>
          <w:color w:val="auto"/>
          <w:highlight w:val="none"/>
        </w:rPr>
      </w:pPr>
    </w:p>
    <w:p w14:paraId="3412AEDB">
      <w:pPr>
        <w:pStyle w:val="17"/>
        <w:spacing w:line="315" w:lineRule="auto"/>
        <w:rPr>
          <w:color w:val="auto"/>
          <w:highlight w:val="none"/>
        </w:rPr>
      </w:pPr>
    </w:p>
    <w:p w14:paraId="12DBD147">
      <w:pPr>
        <w:pStyle w:val="17"/>
        <w:spacing w:line="315" w:lineRule="auto"/>
        <w:rPr>
          <w:color w:val="auto"/>
          <w:highlight w:val="none"/>
        </w:rPr>
      </w:pPr>
    </w:p>
    <w:p w14:paraId="0937030B">
      <w:pPr>
        <w:spacing w:before="91" w:line="219" w:lineRule="auto"/>
        <w:ind w:left="2776"/>
        <w:rPr>
          <w:rFonts w:ascii="黑体" w:hAnsi="黑体" w:eastAsia="黑体" w:cs="黑体"/>
          <w:color w:val="auto"/>
          <w:sz w:val="28"/>
          <w:szCs w:val="28"/>
          <w:highlight w:val="none"/>
        </w:rPr>
      </w:pPr>
      <w:r>
        <w:rPr>
          <w:rFonts w:ascii="黑体" w:hAnsi="黑体" w:eastAsia="黑体" w:cs="黑体"/>
          <w:color w:val="auto"/>
          <w:spacing w:val="-1"/>
          <w:sz w:val="28"/>
          <w:szCs w:val="28"/>
          <w:highlight w:val="none"/>
        </w:rPr>
        <w:t>投标文件问题澄清通知</w:t>
      </w:r>
    </w:p>
    <w:p w14:paraId="1D9D307F">
      <w:pPr>
        <w:pStyle w:val="17"/>
        <w:spacing w:line="294" w:lineRule="auto"/>
        <w:rPr>
          <w:color w:val="auto"/>
          <w:highlight w:val="none"/>
        </w:rPr>
      </w:pPr>
    </w:p>
    <w:p w14:paraId="4DC83CB7">
      <w:pPr>
        <w:spacing w:before="69" w:line="221" w:lineRule="auto"/>
        <w:ind w:left="5377"/>
        <w:rPr>
          <w:rFonts w:ascii="宋体" w:hAnsi="宋体" w:cs="宋体"/>
          <w:color w:val="auto"/>
          <w:szCs w:val="21"/>
          <w:highlight w:val="none"/>
        </w:rPr>
      </w:pPr>
      <w:r>
        <w:rPr>
          <w:rFonts w:ascii="宋体" w:hAnsi="宋体" w:cs="宋体"/>
          <w:color w:val="auto"/>
          <w:spacing w:val="-3"/>
          <w:szCs w:val="21"/>
          <w:highlight w:val="none"/>
        </w:rPr>
        <w:t>编号：</w:t>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p>
    <w:p w14:paraId="2B72109F">
      <w:pPr>
        <w:tabs>
          <w:tab w:val="left" w:pos="2848"/>
        </w:tabs>
        <w:spacing w:before="212" w:line="221" w:lineRule="auto"/>
        <w:ind w:left="12"/>
        <w:rPr>
          <w:rFonts w:ascii="宋体" w:hAnsi="宋体" w:cs="宋体"/>
          <w:color w:val="auto"/>
          <w:szCs w:val="21"/>
          <w:highlight w:val="none"/>
        </w:rPr>
      </w:pPr>
      <w:r>
        <w:rPr>
          <w:rFonts w:ascii="宋体" w:hAnsi="宋体" w:cs="宋体"/>
          <w:color w:val="auto"/>
          <w:szCs w:val="21"/>
          <w:highlight w:val="none"/>
          <w:u w:val="single"/>
        </w:rPr>
        <w:tab/>
      </w:r>
      <w:r>
        <w:rPr>
          <w:rFonts w:ascii="宋体" w:hAnsi="宋体" w:cs="宋体"/>
          <w:color w:val="auto"/>
          <w:spacing w:val="-10"/>
          <w:szCs w:val="21"/>
          <w:highlight w:val="none"/>
        </w:rPr>
        <w:t>（投标人名称</w:t>
      </w:r>
      <w:r>
        <w:rPr>
          <w:rFonts w:ascii="宋体" w:hAnsi="宋体" w:cs="宋体"/>
          <w:color w:val="auto"/>
          <w:spacing w:val="-30"/>
          <w:szCs w:val="21"/>
          <w:highlight w:val="none"/>
        </w:rPr>
        <w:t>）：</w:t>
      </w:r>
    </w:p>
    <w:p w14:paraId="747A79AE">
      <w:pPr>
        <w:pStyle w:val="17"/>
        <w:spacing w:line="318" w:lineRule="auto"/>
        <w:rPr>
          <w:color w:val="auto"/>
          <w:highlight w:val="none"/>
        </w:rPr>
      </w:pPr>
    </w:p>
    <w:p w14:paraId="193B5A22">
      <w:pPr>
        <w:pStyle w:val="17"/>
        <w:spacing w:line="319" w:lineRule="auto"/>
        <w:rPr>
          <w:color w:val="auto"/>
          <w:highlight w:val="none"/>
        </w:rPr>
      </w:pPr>
    </w:p>
    <w:p w14:paraId="6FAEEC3D">
      <w:pPr>
        <w:tabs>
          <w:tab w:val="left" w:pos="2220"/>
        </w:tabs>
        <w:spacing w:before="68" w:line="415" w:lineRule="auto"/>
        <w:ind w:left="19" w:firstLine="518"/>
        <w:rPr>
          <w:rFonts w:ascii="宋体" w:hAnsi="宋体" w:cs="宋体"/>
          <w:color w:val="auto"/>
          <w:szCs w:val="21"/>
          <w:highlight w:val="none"/>
        </w:rPr>
      </w:pPr>
      <w:r>
        <w:rPr>
          <w:rFonts w:ascii="宋体" w:hAnsi="宋体" w:cs="宋体"/>
          <w:color w:val="auto"/>
          <w:szCs w:val="21"/>
          <w:highlight w:val="none"/>
          <w:u w:val="single"/>
        </w:rPr>
        <w:tab/>
      </w:r>
      <w:r>
        <w:rPr>
          <w:rFonts w:ascii="宋体" w:hAnsi="宋体" w:cs="宋体"/>
          <w:color w:val="auto"/>
          <w:spacing w:val="-2"/>
          <w:szCs w:val="21"/>
          <w:highlight w:val="none"/>
        </w:rPr>
        <w:t>（标段名称）项目（标段唯一标识码</w:t>
      </w:r>
      <w:r>
        <w:rPr>
          <w:rFonts w:ascii="宋体" w:hAnsi="宋体" w:cs="宋体"/>
          <w:color w:val="auto"/>
          <w:spacing w:val="-7"/>
          <w:szCs w:val="21"/>
          <w:highlight w:val="none"/>
        </w:rPr>
        <w:t>：</w:t>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pacing w:val="-7"/>
          <w:szCs w:val="21"/>
          <w:highlight w:val="none"/>
        </w:rPr>
        <w:t>）</w:t>
      </w:r>
      <w:r>
        <w:rPr>
          <w:rFonts w:ascii="宋体" w:hAnsi="宋体" w:cs="宋体"/>
          <w:color w:val="auto"/>
          <w:spacing w:val="-2"/>
          <w:szCs w:val="21"/>
          <w:highlight w:val="none"/>
        </w:rPr>
        <w:t>招标的评标委员会，</w:t>
      </w:r>
      <w:r>
        <w:rPr>
          <w:rFonts w:ascii="宋体" w:hAnsi="宋体" w:cs="宋体"/>
          <w:color w:val="auto"/>
          <w:spacing w:val="3"/>
          <w:szCs w:val="21"/>
          <w:highlight w:val="none"/>
        </w:rPr>
        <w:t>对你方的投标文件进行了仔细的审查，现需你方对下列问题以书面形式予以澄清、说</w:t>
      </w:r>
      <w:r>
        <w:rPr>
          <w:rFonts w:ascii="宋体" w:hAnsi="宋体" w:cs="宋体"/>
          <w:color w:val="auto"/>
          <w:spacing w:val="2"/>
          <w:szCs w:val="21"/>
          <w:highlight w:val="none"/>
        </w:rPr>
        <w:t>明或</w:t>
      </w:r>
      <w:r>
        <w:rPr>
          <w:rFonts w:ascii="宋体" w:hAnsi="宋体" w:cs="宋体"/>
          <w:color w:val="auto"/>
          <w:spacing w:val="7"/>
          <w:szCs w:val="21"/>
          <w:highlight w:val="none"/>
        </w:rPr>
        <w:t>者补正，并将投标文件的澄清、说明或者补正于</w:t>
      </w:r>
      <w:r>
        <w:rPr>
          <w:rFonts w:ascii="宋体" w:hAnsi="宋体" w:cs="宋体"/>
          <w:color w:val="auto"/>
          <w:szCs w:val="21"/>
          <w:highlight w:val="none"/>
          <w:u w:val="single"/>
        </w:rPr>
        <w:tab/>
      </w:r>
      <w:r>
        <w:rPr>
          <w:rFonts w:ascii="宋体" w:hAnsi="宋体" w:cs="宋体"/>
          <w:color w:val="auto"/>
          <w:spacing w:val="7"/>
          <w:szCs w:val="21"/>
          <w:highlight w:val="none"/>
        </w:rPr>
        <w:t>年</w:t>
      </w:r>
      <w:r>
        <w:rPr>
          <w:rFonts w:ascii="宋体" w:hAnsi="宋体" w:cs="宋体"/>
          <w:color w:val="auto"/>
          <w:szCs w:val="21"/>
          <w:highlight w:val="none"/>
          <w:u w:val="single"/>
        </w:rPr>
        <w:tab/>
      </w:r>
      <w:r>
        <w:rPr>
          <w:rFonts w:ascii="宋体" w:hAnsi="宋体" w:cs="宋体"/>
          <w:color w:val="auto"/>
          <w:spacing w:val="7"/>
          <w:szCs w:val="21"/>
          <w:highlight w:val="none"/>
        </w:rPr>
        <w:t>月</w:t>
      </w:r>
      <w:r>
        <w:rPr>
          <w:rFonts w:ascii="宋体" w:hAnsi="宋体" w:cs="宋体"/>
          <w:color w:val="auto"/>
          <w:szCs w:val="21"/>
          <w:highlight w:val="none"/>
          <w:u w:val="single"/>
        </w:rPr>
        <w:tab/>
      </w:r>
      <w:r>
        <w:rPr>
          <w:rFonts w:ascii="宋体" w:hAnsi="宋体" w:cs="宋体"/>
          <w:color w:val="auto"/>
          <w:spacing w:val="7"/>
          <w:szCs w:val="21"/>
          <w:highlight w:val="none"/>
        </w:rPr>
        <w:t>日</w:t>
      </w:r>
      <w:r>
        <w:rPr>
          <w:rFonts w:ascii="宋体" w:hAnsi="宋体" w:cs="宋体"/>
          <w:color w:val="auto"/>
          <w:szCs w:val="21"/>
          <w:highlight w:val="none"/>
          <w:u w:val="single"/>
        </w:rPr>
        <w:tab/>
      </w:r>
      <w:r>
        <w:rPr>
          <w:rFonts w:ascii="宋体" w:hAnsi="宋体" w:cs="宋体"/>
          <w:color w:val="auto"/>
          <w:spacing w:val="7"/>
          <w:szCs w:val="21"/>
          <w:highlight w:val="none"/>
        </w:rPr>
        <w:t>时</w:t>
      </w:r>
      <w:r>
        <w:rPr>
          <w:rFonts w:ascii="宋体" w:hAnsi="宋体" w:cs="宋体"/>
          <w:color w:val="auto"/>
          <w:szCs w:val="21"/>
          <w:highlight w:val="none"/>
          <w:u w:val="single"/>
        </w:rPr>
        <w:tab/>
      </w:r>
      <w:r>
        <w:rPr>
          <w:rFonts w:ascii="宋体" w:hAnsi="宋体" w:cs="宋体"/>
          <w:color w:val="auto"/>
          <w:szCs w:val="21"/>
          <w:highlight w:val="none"/>
        </w:rPr>
        <w:t>分前，通过</w:t>
      </w:r>
      <w:r>
        <w:rPr>
          <w:rFonts w:hint="eastAsia" w:ascii="宋体" w:hAnsi="宋体" w:cs="宋体"/>
          <w:color w:val="auto"/>
          <w:szCs w:val="21"/>
          <w:highlight w:val="none"/>
          <w:lang w:val="en-US" w:eastAsia="zh-CN"/>
        </w:rPr>
        <w:t>电子招标投标系统（辽宁省工程建设项目数字化开标评标系统）提交给本评标委员会。</w:t>
      </w:r>
    </w:p>
    <w:p w14:paraId="2AFAD09D">
      <w:pPr>
        <w:spacing w:line="285" w:lineRule="exact"/>
        <w:ind w:left="456"/>
        <w:rPr>
          <w:rFonts w:ascii="宋体" w:hAnsi="宋体" w:cs="宋体"/>
          <w:color w:val="auto"/>
          <w:szCs w:val="21"/>
          <w:highlight w:val="none"/>
        </w:rPr>
      </w:pPr>
      <w:r>
        <w:rPr>
          <w:rFonts w:eastAsia="Times New Roman"/>
          <w:color w:val="auto"/>
          <w:spacing w:val="-6"/>
          <w:position w:val="2"/>
          <w:szCs w:val="21"/>
          <w:highlight w:val="none"/>
        </w:rPr>
        <w:t>1.</w:t>
      </w:r>
      <w:r>
        <w:rPr>
          <w:rFonts w:ascii="宋体" w:hAnsi="宋体" w:cs="宋体"/>
          <w:color w:val="auto"/>
          <w:spacing w:val="-6"/>
          <w:position w:val="2"/>
          <w:szCs w:val="21"/>
          <w:highlight w:val="none"/>
        </w:rPr>
        <w:t>……</w:t>
      </w:r>
    </w:p>
    <w:p w14:paraId="75A78860">
      <w:pPr>
        <w:spacing w:before="154" w:line="286" w:lineRule="exact"/>
        <w:ind w:left="436"/>
        <w:rPr>
          <w:rFonts w:ascii="宋体" w:hAnsi="宋体" w:cs="宋体"/>
          <w:color w:val="auto"/>
          <w:szCs w:val="21"/>
          <w:highlight w:val="none"/>
        </w:rPr>
      </w:pPr>
      <w:r>
        <w:rPr>
          <w:rFonts w:eastAsia="Times New Roman"/>
          <w:color w:val="auto"/>
          <w:spacing w:val="-1"/>
          <w:position w:val="2"/>
          <w:szCs w:val="21"/>
          <w:highlight w:val="none"/>
        </w:rPr>
        <w:t>2.</w:t>
      </w:r>
      <w:r>
        <w:rPr>
          <w:rFonts w:ascii="宋体" w:hAnsi="宋体" w:cs="宋体"/>
          <w:color w:val="auto"/>
          <w:spacing w:val="-1"/>
          <w:position w:val="2"/>
          <w:szCs w:val="21"/>
          <w:highlight w:val="none"/>
        </w:rPr>
        <w:t>……</w:t>
      </w:r>
    </w:p>
    <w:p w14:paraId="60A3C581">
      <w:pPr>
        <w:spacing w:before="156" w:line="332" w:lineRule="exact"/>
        <w:ind w:left="453"/>
        <w:rPr>
          <w:rFonts w:ascii="宋体" w:hAnsi="宋体" w:cs="宋体"/>
          <w:color w:val="auto"/>
          <w:szCs w:val="21"/>
          <w:highlight w:val="none"/>
        </w:rPr>
      </w:pPr>
      <w:r>
        <w:rPr>
          <w:rFonts w:ascii="宋体" w:hAnsi="宋体" w:cs="宋体"/>
          <w:color w:val="auto"/>
          <w:spacing w:val="-5"/>
          <w:position w:val="2"/>
          <w:szCs w:val="21"/>
          <w:highlight w:val="none"/>
        </w:rPr>
        <w:t>……</w:t>
      </w:r>
    </w:p>
    <w:p w14:paraId="3AFA81A0">
      <w:pPr>
        <w:pStyle w:val="17"/>
        <w:spacing w:line="273" w:lineRule="auto"/>
        <w:rPr>
          <w:color w:val="auto"/>
          <w:highlight w:val="none"/>
        </w:rPr>
      </w:pPr>
    </w:p>
    <w:p w14:paraId="42CE955C">
      <w:pPr>
        <w:pStyle w:val="17"/>
        <w:spacing w:line="273" w:lineRule="auto"/>
        <w:rPr>
          <w:color w:val="auto"/>
          <w:highlight w:val="none"/>
        </w:rPr>
      </w:pPr>
    </w:p>
    <w:p w14:paraId="159D5545">
      <w:pPr>
        <w:tabs>
          <w:tab w:val="left" w:pos="4006"/>
        </w:tabs>
        <w:spacing w:before="69" w:line="220" w:lineRule="auto"/>
        <w:ind w:left="2743"/>
        <w:rPr>
          <w:rFonts w:ascii="宋体" w:hAnsi="宋体" w:cs="宋体"/>
          <w:color w:val="auto"/>
          <w:szCs w:val="21"/>
          <w:highlight w:val="none"/>
        </w:rPr>
      </w:pPr>
      <w:r>
        <w:rPr>
          <w:rFonts w:ascii="宋体" w:hAnsi="宋体" w:cs="宋体"/>
          <w:color w:val="auto"/>
          <w:szCs w:val="21"/>
          <w:highlight w:val="none"/>
          <w:u w:val="single"/>
        </w:rPr>
        <w:tab/>
      </w:r>
      <w:r>
        <w:rPr>
          <w:rFonts w:ascii="宋体" w:hAnsi="宋体" w:cs="宋体"/>
          <w:color w:val="auto"/>
          <w:szCs w:val="21"/>
          <w:highlight w:val="none"/>
        </w:rPr>
        <w:t>（标段名称）项目招标评标委员会</w:t>
      </w:r>
    </w:p>
    <w:p w14:paraId="67EFA538">
      <w:pPr>
        <w:pStyle w:val="17"/>
        <w:spacing w:line="318" w:lineRule="auto"/>
        <w:rPr>
          <w:color w:val="auto"/>
          <w:highlight w:val="none"/>
        </w:rPr>
      </w:pPr>
    </w:p>
    <w:p w14:paraId="529EE4DA">
      <w:pPr>
        <w:pStyle w:val="17"/>
        <w:spacing w:line="319" w:lineRule="auto"/>
        <w:rPr>
          <w:color w:val="auto"/>
          <w:highlight w:val="none"/>
        </w:rPr>
      </w:pPr>
    </w:p>
    <w:p w14:paraId="72AF20FC">
      <w:pPr>
        <w:tabs>
          <w:tab w:val="left" w:pos="6209"/>
        </w:tabs>
        <w:spacing w:before="69" w:line="221" w:lineRule="auto"/>
        <w:ind w:left="5578"/>
        <w:rPr>
          <w:rFonts w:ascii="宋体" w:hAnsi="宋体" w:cs="宋体"/>
          <w:color w:val="auto"/>
          <w:szCs w:val="21"/>
          <w:highlight w:val="none"/>
        </w:rPr>
      </w:pPr>
      <w:r>
        <w:rPr>
          <w:rFonts w:ascii="宋体" w:hAnsi="宋体" w:cs="宋体"/>
          <w:color w:val="auto"/>
          <w:szCs w:val="21"/>
          <w:highlight w:val="none"/>
          <w:u w:val="single"/>
        </w:rPr>
        <w:tab/>
      </w:r>
      <w:r>
        <w:rPr>
          <w:rFonts w:ascii="宋体" w:hAnsi="宋体" w:cs="宋体"/>
          <w:color w:val="auto"/>
          <w:spacing w:val="-7"/>
          <w:szCs w:val="21"/>
          <w:highlight w:val="none"/>
        </w:rPr>
        <w:t>年</w:t>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pacing w:val="-7"/>
          <w:szCs w:val="21"/>
          <w:highlight w:val="none"/>
        </w:rPr>
        <w:t>月</w:t>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pacing w:val="-7"/>
          <w:szCs w:val="21"/>
          <w:highlight w:val="none"/>
        </w:rPr>
        <w:t>日</w:t>
      </w:r>
    </w:p>
    <w:p w14:paraId="3D93699D">
      <w:pPr>
        <w:spacing w:line="221" w:lineRule="auto"/>
        <w:rPr>
          <w:rFonts w:ascii="宋体" w:hAnsi="宋体" w:cs="宋体"/>
          <w:color w:val="auto"/>
          <w:szCs w:val="21"/>
          <w:highlight w:val="none"/>
        </w:rPr>
        <w:sectPr>
          <w:footerReference r:id="rId14" w:type="default"/>
          <w:pgSz w:w="11907" w:h="16839"/>
          <w:pgMar w:top="1431" w:right="1630" w:bottom="1012" w:left="1785" w:header="0" w:footer="812" w:gutter="0"/>
          <w:pgNumType w:fmt="decimal"/>
          <w:cols w:space="720" w:num="1"/>
        </w:sectPr>
      </w:pPr>
    </w:p>
    <w:p w14:paraId="1C2EA5F8">
      <w:pPr>
        <w:spacing w:before="47" w:line="219" w:lineRule="auto"/>
        <w:ind w:left="34"/>
        <w:outlineLvl w:val="9"/>
        <w:rPr>
          <w:rFonts w:ascii="黑体" w:hAnsi="黑体" w:eastAsia="黑体" w:cs="黑体"/>
          <w:color w:val="auto"/>
          <w:spacing w:val="-2"/>
          <w:sz w:val="24"/>
          <w:highlight w:val="none"/>
        </w:rPr>
      </w:pPr>
      <w:bookmarkStart w:id="214" w:name="bookmark98"/>
      <w:bookmarkEnd w:id="214"/>
      <w:bookmarkStart w:id="215" w:name="_Toc11300"/>
    </w:p>
    <w:p w14:paraId="1BFFF5F3">
      <w:pPr>
        <w:spacing w:before="47" w:line="219" w:lineRule="auto"/>
        <w:ind w:left="34"/>
        <w:outlineLvl w:val="2"/>
        <w:rPr>
          <w:rFonts w:ascii="黑体" w:hAnsi="黑体" w:eastAsia="黑体" w:cs="黑体"/>
          <w:color w:val="auto"/>
          <w:sz w:val="24"/>
          <w:highlight w:val="none"/>
        </w:rPr>
      </w:pPr>
      <w:r>
        <w:rPr>
          <w:rFonts w:ascii="黑体" w:hAnsi="黑体" w:eastAsia="黑体" w:cs="黑体"/>
          <w:color w:val="auto"/>
          <w:spacing w:val="-2"/>
          <w:sz w:val="24"/>
          <w:highlight w:val="none"/>
        </w:rPr>
        <w:t>附表七：投标文件问题的澄清</w:t>
      </w:r>
      <w:bookmarkEnd w:id="215"/>
    </w:p>
    <w:p w14:paraId="244DF926">
      <w:pPr>
        <w:pStyle w:val="17"/>
        <w:spacing w:line="248" w:lineRule="auto"/>
        <w:rPr>
          <w:color w:val="auto"/>
          <w:highlight w:val="none"/>
        </w:rPr>
      </w:pPr>
    </w:p>
    <w:p w14:paraId="191F9CF0">
      <w:pPr>
        <w:pStyle w:val="17"/>
        <w:spacing w:line="248" w:lineRule="auto"/>
        <w:rPr>
          <w:color w:val="auto"/>
          <w:highlight w:val="none"/>
        </w:rPr>
      </w:pPr>
    </w:p>
    <w:p w14:paraId="196C6DAE">
      <w:pPr>
        <w:pStyle w:val="17"/>
        <w:spacing w:line="248" w:lineRule="auto"/>
        <w:rPr>
          <w:color w:val="auto"/>
          <w:highlight w:val="none"/>
        </w:rPr>
      </w:pPr>
    </w:p>
    <w:p w14:paraId="117FB9E0">
      <w:pPr>
        <w:pStyle w:val="17"/>
        <w:spacing w:line="249" w:lineRule="auto"/>
        <w:rPr>
          <w:color w:val="auto"/>
          <w:highlight w:val="none"/>
        </w:rPr>
      </w:pPr>
    </w:p>
    <w:p w14:paraId="00C7CEFF">
      <w:pPr>
        <w:pStyle w:val="17"/>
        <w:spacing w:line="249" w:lineRule="auto"/>
        <w:rPr>
          <w:color w:val="auto"/>
          <w:highlight w:val="none"/>
        </w:rPr>
      </w:pPr>
    </w:p>
    <w:p w14:paraId="00975504">
      <w:pPr>
        <w:spacing w:before="91" w:line="219" w:lineRule="auto"/>
        <w:ind w:left="2075"/>
        <w:rPr>
          <w:rFonts w:ascii="黑体" w:hAnsi="黑体" w:eastAsia="黑体" w:cs="黑体"/>
          <w:color w:val="auto"/>
          <w:sz w:val="28"/>
          <w:szCs w:val="28"/>
          <w:highlight w:val="none"/>
        </w:rPr>
      </w:pPr>
      <w:r>
        <w:rPr>
          <w:rFonts w:ascii="黑体" w:hAnsi="黑体" w:eastAsia="黑体" w:cs="黑体"/>
          <w:color w:val="auto"/>
          <w:spacing w:val="-1"/>
          <w:sz w:val="28"/>
          <w:szCs w:val="28"/>
          <w:highlight w:val="none"/>
        </w:rPr>
        <w:t>投标文件问题的澄清、说明或补正</w:t>
      </w:r>
    </w:p>
    <w:p w14:paraId="26136B69">
      <w:pPr>
        <w:pStyle w:val="17"/>
        <w:spacing w:line="312" w:lineRule="auto"/>
        <w:rPr>
          <w:color w:val="auto"/>
          <w:highlight w:val="none"/>
        </w:rPr>
      </w:pPr>
    </w:p>
    <w:p w14:paraId="5B6A4289">
      <w:pPr>
        <w:spacing w:before="69" w:line="221" w:lineRule="auto"/>
        <w:ind w:left="5377"/>
        <w:rPr>
          <w:rFonts w:ascii="宋体" w:hAnsi="宋体" w:cs="宋体"/>
          <w:color w:val="auto"/>
          <w:szCs w:val="21"/>
          <w:highlight w:val="none"/>
        </w:rPr>
      </w:pPr>
      <w:r>
        <w:rPr>
          <w:rFonts w:ascii="宋体" w:hAnsi="宋体" w:cs="宋体"/>
          <w:color w:val="auto"/>
          <w:spacing w:val="-3"/>
          <w:szCs w:val="21"/>
          <w:highlight w:val="none"/>
        </w:rPr>
        <w:t>编号：</w:t>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p>
    <w:p w14:paraId="5633E52B">
      <w:pPr>
        <w:tabs>
          <w:tab w:val="left" w:pos="1903"/>
        </w:tabs>
        <w:spacing w:before="212" w:line="220" w:lineRule="auto"/>
        <w:ind w:left="223"/>
        <w:rPr>
          <w:rFonts w:ascii="宋体" w:hAnsi="宋体" w:cs="宋体"/>
          <w:color w:val="auto"/>
          <w:szCs w:val="21"/>
          <w:highlight w:val="none"/>
        </w:rPr>
      </w:pPr>
      <w:r>
        <w:rPr>
          <w:rFonts w:ascii="宋体" w:hAnsi="宋体" w:cs="宋体"/>
          <w:color w:val="auto"/>
          <w:szCs w:val="21"/>
          <w:highlight w:val="none"/>
          <w:u w:val="single"/>
        </w:rPr>
        <w:tab/>
      </w:r>
      <w:r>
        <w:rPr>
          <w:rFonts w:ascii="宋体" w:hAnsi="宋体" w:cs="宋体"/>
          <w:color w:val="auto"/>
          <w:spacing w:val="-2"/>
          <w:szCs w:val="21"/>
          <w:highlight w:val="none"/>
        </w:rPr>
        <w:t>（标段名称）项目招标评标委员会：</w:t>
      </w:r>
    </w:p>
    <w:p w14:paraId="2BB92C00">
      <w:pPr>
        <w:spacing w:before="230" w:line="221" w:lineRule="auto"/>
        <w:ind w:left="442"/>
        <w:rPr>
          <w:rFonts w:ascii="宋体" w:hAnsi="宋体" w:cs="宋体"/>
          <w:color w:val="auto"/>
          <w:szCs w:val="21"/>
          <w:highlight w:val="none"/>
        </w:rPr>
      </w:pPr>
      <w:r>
        <w:rPr>
          <w:rFonts w:ascii="宋体" w:hAnsi="宋体" w:cs="宋体"/>
          <w:color w:val="auto"/>
          <w:spacing w:val="-3"/>
          <w:szCs w:val="21"/>
          <w:highlight w:val="none"/>
        </w:rPr>
        <w:t>投标文件问题澄清通知（编号</w:t>
      </w:r>
      <w:r>
        <w:rPr>
          <w:rFonts w:ascii="宋体" w:hAnsi="宋体" w:cs="宋体"/>
          <w:color w:val="auto"/>
          <w:spacing w:val="-1"/>
          <w:szCs w:val="21"/>
          <w:highlight w:val="none"/>
        </w:rPr>
        <w:t>：</w:t>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pacing w:val="-1"/>
          <w:szCs w:val="21"/>
          <w:highlight w:val="none"/>
        </w:rPr>
        <w:t>）</w:t>
      </w:r>
      <w:r>
        <w:rPr>
          <w:rFonts w:ascii="宋体" w:hAnsi="宋体" w:cs="宋体"/>
          <w:color w:val="auto"/>
          <w:spacing w:val="-3"/>
          <w:szCs w:val="21"/>
          <w:highlight w:val="none"/>
        </w:rPr>
        <w:t>已收悉，现澄清、说明或者补正如下：</w:t>
      </w:r>
    </w:p>
    <w:p w14:paraId="57155596">
      <w:pPr>
        <w:spacing w:before="229" w:line="285" w:lineRule="exact"/>
        <w:ind w:left="456"/>
        <w:rPr>
          <w:rFonts w:ascii="宋体" w:hAnsi="宋体" w:cs="宋体"/>
          <w:color w:val="auto"/>
          <w:szCs w:val="21"/>
          <w:highlight w:val="none"/>
        </w:rPr>
      </w:pPr>
      <w:r>
        <w:rPr>
          <w:rFonts w:eastAsia="Times New Roman"/>
          <w:color w:val="auto"/>
          <w:spacing w:val="-6"/>
          <w:position w:val="2"/>
          <w:szCs w:val="21"/>
          <w:highlight w:val="none"/>
        </w:rPr>
        <w:t>1.</w:t>
      </w:r>
      <w:r>
        <w:rPr>
          <w:rFonts w:ascii="宋体" w:hAnsi="宋体" w:cs="宋体"/>
          <w:color w:val="auto"/>
          <w:spacing w:val="-6"/>
          <w:position w:val="2"/>
          <w:szCs w:val="21"/>
          <w:highlight w:val="none"/>
        </w:rPr>
        <w:t>……</w:t>
      </w:r>
    </w:p>
    <w:p w14:paraId="219EE292">
      <w:pPr>
        <w:spacing w:before="194" w:line="285" w:lineRule="exact"/>
        <w:ind w:left="436"/>
        <w:rPr>
          <w:rFonts w:ascii="宋体" w:hAnsi="宋体" w:cs="宋体"/>
          <w:color w:val="auto"/>
          <w:szCs w:val="21"/>
          <w:highlight w:val="none"/>
        </w:rPr>
      </w:pPr>
      <w:r>
        <w:rPr>
          <w:rFonts w:eastAsia="Times New Roman"/>
          <w:color w:val="auto"/>
          <w:spacing w:val="-1"/>
          <w:position w:val="2"/>
          <w:szCs w:val="21"/>
          <w:highlight w:val="none"/>
        </w:rPr>
        <w:t>2.</w:t>
      </w:r>
      <w:r>
        <w:rPr>
          <w:rFonts w:ascii="宋体" w:hAnsi="宋体" w:cs="宋体"/>
          <w:color w:val="auto"/>
          <w:spacing w:val="-1"/>
          <w:position w:val="2"/>
          <w:szCs w:val="21"/>
          <w:highlight w:val="none"/>
        </w:rPr>
        <w:t>……</w:t>
      </w:r>
    </w:p>
    <w:p w14:paraId="0179418C">
      <w:pPr>
        <w:pStyle w:val="17"/>
        <w:spacing w:line="301" w:lineRule="auto"/>
        <w:rPr>
          <w:color w:val="auto"/>
          <w:highlight w:val="none"/>
        </w:rPr>
      </w:pPr>
    </w:p>
    <w:p w14:paraId="08BC9091">
      <w:pPr>
        <w:pStyle w:val="17"/>
        <w:spacing w:line="301" w:lineRule="auto"/>
        <w:rPr>
          <w:color w:val="auto"/>
          <w:highlight w:val="none"/>
        </w:rPr>
      </w:pPr>
    </w:p>
    <w:p w14:paraId="4C1F6DF9">
      <w:pPr>
        <w:spacing w:before="69" w:line="332" w:lineRule="exact"/>
        <w:ind w:left="453"/>
        <w:rPr>
          <w:rFonts w:ascii="宋体" w:hAnsi="宋体" w:cs="宋体"/>
          <w:color w:val="auto"/>
          <w:szCs w:val="21"/>
          <w:highlight w:val="none"/>
        </w:rPr>
      </w:pPr>
      <w:r>
        <w:rPr>
          <w:rFonts w:ascii="宋体" w:hAnsi="宋体" w:cs="宋体"/>
          <w:color w:val="auto"/>
          <w:spacing w:val="-5"/>
          <w:position w:val="2"/>
          <w:szCs w:val="21"/>
          <w:highlight w:val="none"/>
        </w:rPr>
        <w:t>……</w:t>
      </w:r>
    </w:p>
    <w:p w14:paraId="5C48B141">
      <w:pPr>
        <w:pStyle w:val="17"/>
        <w:spacing w:line="245" w:lineRule="auto"/>
        <w:rPr>
          <w:color w:val="auto"/>
          <w:highlight w:val="none"/>
        </w:rPr>
      </w:pPr>
    </w:p>
    <w:p w14:paraId="50CBAE4C">
      <w:pPr>
        <w:pStyle w:val="17"/>
        <w:spacing w:line="245" w:lineRule="auto"/>
        <w:rPr>
          <w:color w:val="auto"/>
          <w:highlight w:val="none"/>
        </w:rPr>
      </w:pPr>
    </w:p>
    <w:p w14:paraId="387572FC">
      <w:pPr>
        <w:pStyle w:val="17"/>
        <w:spacing w:line="245" w:lineRule="auto"/>
        <w:rPr>
          <w:color w:val="auto"/>
          <w:highlight w:val="none"/>
        </w:rPr>
      </w:pPr>
    </w:p>
    <w:p w14:paraId="1821B2B6">
      <w:pPr>
        <w:pStyle w:val="17"/>
        <w:spacing w:line="245" w:lineRule="auto"/>
        <w:rPr>
          <w:color w:val="auto"/>
          <w:highlight w:val="none"/>
        </w:rPr>
      </w:pPr>
    </w:p>
    <w:p w14:paraId="3B4B2512">
      <w:pPr>
        <w:pStyle w:val="17"/>
        <w:spacing w:line="245" w:lineRule="auto"/>
        <w:rPr>
          <w:color w:val="auto"/>
          <w:highlight w:val="none"/>
        </w:rPr>
      </w:pPr>
    </w:p>
    <w:p w14:paraId="2D2E366C">
      <w:pPr>
        <w:pStyle w:val="17"/>
        <w:spacing w:line="245" w:lineRule="auto"/>
        <w:rPr>
          <w:color w:val="auto"/>
          <w:highlight w:val="none"/>
        </w:rPr>
      </w:pPr>
    </w:p>
    <w:p w14:paraId="0B917084">
      <w:pPr>
        <w:pStyle w:val="17"/>
        <w:spacing w:line="245" w:lineRule="auto"/>
        <w:rPr>
          <w:color w:val="auto"/>
          <w:highlight w:val="none"/>
        </w:rPr>
      </w:pPr>
    </w:p>
    <w:p w14:paraId="17EA8B67">
      <w:pPr>
        <w:pStyle w:val="17"/>
        <w:spacing w:line="245" w:lineRule="auto"/>
        <w:rPr>
          <w:color w:val="auto"/>
          <w:highlight w:val="none"/>
        </w:rPr>
      </w:pPr>
    </w:p>
    <w:p w14:paraId="07C72F4D">
      <w:pPr>
        <w:pStyle w:val="17"/>
        <w:spacing w:line="246" w:lineRule="auto"/>
        <w:rPr>
          <w:color w:val="auto"/>
          <w:highlight w:val="none"/>
        </w:rPr>
      </w:pPr>
    </w:p>
    <w:p w14:paraId="79DC9885">
      <w:pPr>
        <w:spacing w:before="69" w:line="220" w:lineRule="auto"/>
        <w:ind w:left="3191"/>
        <w:rPr>
          <w:rFonts w:ascii="宋体" w:hAnsi="宋体" w:cs="宋体"/>
          <w:color w:val="auto"/>
          <w:szCs w:val="21"/>
          <w:highlight w:val="none"/>
        </w:rPr>
      </w:pPr>
      <w:r>
        <w:rPr>
          <w:rFonts w:ascii="宋体" w:hAnsi="宋体" w:cs="宋体"/>
          <w:color w:val="auto"/>
          <w:spacing w:val="-1"/>
          <w:szCs w:val="21"/>
          <w:highlight w:val="none"/>
        </w:rPr>
        <w:t>投标人：</w:t>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pacing w:val="-1"/>
          <w:szCs w:val="21"/>
          <w:highlight w:val="none"/>
        </w:rPr>
        <w:t>（盖单位章）</w:t>
      </w:r>
    </w:p>
    <w:p w14:paraId="4801EB73">
      <w:pPr>
        <w:pStyle w:val="17"/>
        <w:spacing w:line="279" w:lineRule="auto"/>
        <w:rPr>
          <w:color w:val="auto"/>
          <w:highlight w:val="none"/>
        </w:rPr>
      </w:pPr>
    </w:p>
    <w:p w14:paraId="212EBD04">
      <w:pPr>
        <w:spacing w:before="69" w:line="220" w:lineRule="auto"/>
        <w:ind w:left="3189"/>
        <w:rPr>
          <w:rFonts w:ascii="宋体" w:hAnsi="宋体" w:cs="宋体"/>
          <w:color w:val="auto"/>
          <w:szCs w:val="21"/>
          <w:highlight w:val="none"/>
        </w:rPr>
      </w:pPr>
      <w:r>
        <w:rPr>
          <w:rFonts w:ascii="宋体" w:hAnsi="宋体" w:cs="宋体"/>
          <w:color w:val="auto"/>
          <w:spacing w:val="3"/>
          <w:szCs w:val="21"/>
          <w:highlight w:val="none"/>
        </w:rPr>
        <w:t>法定代表人</w:t>
      </w:r>
      <w:r>
        <w:rPr>
          <w:rFonts w:ascii="宋体" w:hAnsi="宋体" w:cs="宋体"/>
          <w:color w:val="auto"/>
          <w:spacing w:val="-16"/>
          <w:szCs w:val="21"/>
          <w:highlight w:val="none"/>
        </w:rPr>
        <w:t>：</w:t>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pacing w:val="-16"/>
          <w:szCs w:val="21"/>
          <w:highlight w:val="none"/>
        </w:rPr>
        <w:t>（</w:t>
      </w:r>
      <w:r>
        <w:rPr>
          <w:rFonts w:ascii="宋体" w:hAnsi="宋体" w:cs="宋体"/>
          <w:color w:val="auto"/>
          <w:spacing w:val="3"/>
          <w:szCs w:val="21"/>
          <w:highlight w:val="none"/>
        </w:rPr>
        <w:t>签章）</w:t>
      </w:r>
    </w:p>
    <w:p w14:paraId="184B38FB">
      <w:pPr>
        <w:pStyle w:val="17"/>
        <w:spacing w:line="280" w:lineRule="auto"/>
        <w:rPr>
          <w:color w:val="auto"/>
          <w:highlight w:val="none"/>
        </w:rPr>
      </w:pPr>
    </w:p>
    <w:p w14:paraId="7424253C">
      <w:pPr>
        <w:tabs>
          <w:tab w:val="left" w:pos="6417"/>
        </w:tabs>
        <w:spacing w:before="68" w:line="221" w:lineRule="auto"/>
        <w:ind w:left="5787"/>
        <w:rPr>
          <w:rFonts w:ascii="宋体" w:hAnsi="宋体" w:cs="宋体"/>
          <w:color w:val="auto"/>
          <w:szCs w:val="21"/>
          <w:highlight w:val="none"/>
        </w:rPr>
      </w:pPr>
      <w:r>
        <w:rPr>
          <w:rFonts w:ascii="宋体" w:hAnsi="宋体" w:cs="宋体"/>
          <w:color w:val="auto"/>
          <w:szCs w:val="21"/>
          <w:highlight w:val="none"/>
          <w:u w:val="single"/>
        </w:rPr>
        <w:tab/>
      </w:r>
      <w:r>
        <w:rPr>
          <w:rFonts w:ascii="宋体" w:hAnsi="宋体" w:cs="宋体"/>
          <w:color w:val="auto"/>
          <w:spacing w:val="-7"/>
          <w:szCs w:val="21"/>
          <w:highlight w:val="none"/>
        </w:rPr>
        <w:t>年</w:t>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pacing w:val="-7"/>
          <w:szCs w:val="21"/>
          <w:highlight w:val="none"/>
        </w:rPr>
        <w:t>月</w:t>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pacing w:val="-7"/>
          <w:szCs w:val="21"/>
          <w:highlight w:val="none"/>
        </w:rPr>
        <w:t>日</w:t>
      </w:r>
    </w:p>
    <w:p w14:paraId="10000E30">
      <w:pPr>
        <w:spacing w:line="221" w:lineRule="auto"/>
        <w:rPr>
          <w:rFonts w:ascii="宋体" w:hAnsi="宋体" w:cs="宋体"/>
          <w:color w:val="auto"/>
          <w:szCs w:val="21"/>
          <w:highlight w:val="none"/>
        </w:rPr>
        <w:sectPr>
          <w:footerReference r:id="rId15" w:type="default"/>
          <w:pgSz w:w="11907" w:h="16839"/>
          <w:pgMar w:top="1428" w:right="1785" w:bottom="1012" w:left="1785" w:header="0" w:footer="812" w:gutter="0"/>
          <w:pgNumType w:fmt="decimal"/>
          <w:cols w:space="720" w:num="1"/>
        </w:sectPr>
      </w:pPr>
    </w:p>
    <w:p w14:paraId="243B2F63">
      <w:pPr>
        <w:pStyle w:val="17"/>
        <w:spacing w:line="281" w:lineRule="auto"/>
        <w:rPr>
          <w:color w:val="auto"/>
          <w:highlight w:val="none"/>
        </w:rPr>
      </w:pPr>
    </w:p>
    <w:p w14:paraId="49407C17">
      <w:pPr>
        <w:spacing w:before="78" w:line="220" w:lineRule="auto"/>
        <w:ind w:left="22"/>
        <w:outlineLvl w:val="2"/>
        <w:rPr>
          <w:rFonts w:ascii="黑体" w:hAnsi="黑体" w:eastAsia="黑体" w:cs="黑体"/>
          <w:color w:val="auto"/>
          <w:sz w:val="24"/>
          <w:highlight w:val="none"/>
        </w:rPr>
      </w:pPr>
      <w:bookmarkStart w:id="216" w:name="bookmark400"/>
      <w:bookmarkEnd w:id="216"/>
      <w:bookmarkStart w:id="217" w:name="_Toc6789"/>
      <w:r>
        <w:rPr>
          <w:rFonts w:ascii="黑体" w:hAnsi="黑体" w:eastAsia="黑体" w:cs="黑体"/>
          <w:color w:val="auto"/>
          <w:spacing w:val="-3"/>
          <w:sz w:val="24"/>
          <w:highlight w:val="none"/>
        </w:rPr>
        <w:t>附表八：中标通知书</w:t>
      </w:r>
      <w:bookmarkEnd w:id="217"/>
    </w:p>
    <w:p w14:paraId="6848F800">
      <w:pPr>
        <w:spacing w:before="251" w:line="225" w:lineRule="auto"/>
        <w:ind w:left="6213"/>
        <w:rPr>
          <w:rFonts w:ascii="黑体" w:hAnsi="黑体" w:eastAsia="黑体" w:cs="黑体"/>
          <w:color w:val="auto"/>
          <w:sz w:val="31"/>
          <w:szCs w:val="31"/>
          <w:highlight w:val="none"/>
        </w:rPr>
      </w:pPr>
      <w:bookmarkStart w:id="218" w:name="bookmark99"/>
      <w:bookmarkEnd w:id="218"/>
      <w:r>
        <w:rPr>
          <w:rFonts w:ascii="黑体" w:hAnsi="黑体" w:eastAsia="黑体" w:cs="黑体"/>
          <w:b/>
          <w:bCs/>
          <w:color w:val="auto"/>
          <w:sz w:val="31"/>
          <w:szCs w:val="31"/>
          <w:highlight w:val="none"/>
        </w:rPr>
        <w:t>中标通知书</w:t>
      </w:r>
    </w:p>
    <w:p w14:paraId="3EF4ED8F">
      <w:pPr>
        <w:spacing w:before="228" w:line="214" w:lineRule="auto"/>
        <w:ind w:left="108"/>
        <w:rPr>
          <w:rFonts w:ascii="宋体" w:hAnsi="宋体" w:cs="宋体"/>
          <w:color w:val="auto"/>
          <w:szCs w:val="21"/>
          <w:highlight w:val="none"/>
        </w:rPr>
      </w:pPr>
      <w:r>
        <w:rPr>
          <w:rFonts w:ascii="宋体" w:hAnsi="宋体" w:cs="宋体"/>
          <w:color w:val="auto"/>
          <w:szCs w:val="21"/>
          <w:highlight w:val="none"/>
        </w:rPr>
        <w:t>____________：                                                                                                   编号：_______</w:t>
      </w:r>
      <w:r>
        <w:rPr>
          <w:rFonts w:ascii="宋体" w:hAnsi="宋体" w:cs="宋体"/>
          <w:color w:val="auto"/>
          <w:spacing w:val="-1"/>
          <w:szCs w:val="21"/>
          <w:highlight w:val="none"/>
        </w:rPr>
        <w:t>_____</w:t>
      </w:r>
    </w:p>
    <w:p w14:paraId="41ABAB98">
      <w:pPr>
        <w:spacing w:before="165" w:line="357" w:lineRule="auto"/>
        <w:ind w:left="7" w:right="194" w:firstLine="422"/>
        <w:rPr>
          <w:rFonts w:ascii="宋体" w:hAnsi="宋体" w:cs="宋体"/>
          <w:color w:val="auto"/>
          <w:szCs w:val="21"/>
          <w:highlight w:val="none"/>
        </w:rPr>
      </w:pPr>
      <w:r>
        <w:rPr>
          <w:rFonts w:ascii="宋体" w:hAnsi="宋体" w:cs="宋体"/>
          <w:color w:val="auto"/>
          <w:spacing w:val="1"/>
          <w:szCs w:val="21"/>
          <w:highlight w:val="none"/>
        </w:rPr>
        <w:t>你方于_____年____月____日所递交的</w:t>
      </w:r>
      <w:r>
        <w:rPr>
          <w:rFonts w:ascii="宋体" w:hAnsi="宋体" w:cs="宋体"/>
          <w:color w:val="auto"/>
          <w:szCs w:val="21"/>
          <w:highlight w:val="none"/>
          <w:u w:val="single"/>
        </w:rPr>
        <w:t xml:space="preserve">（标段名称）     </w:t>
      </w:r>
      <w:r>
        <w:rPr>
          <w:rFonts w:ascii="宋体" w:hAnsi="宋体" w:cs="宋体"/>
          <w:color w:val="auto"/>
          <w:szCs w:val="21"/>
          <w:highlight w:val="none"/>
        </w:rPr>
        <w:t xml:space="preserve">的投标文件已被我方接受，被确定为中标人，请你单位派代表持本通知书及相关资料 </w:t>
      </w:r>
      <w:r>
        <w:rPr>
          <w:rFonts w:ascii="宋体" w:hAnsi="宋体" w:cs="宋体"/>
          <w:color w:val="auto"/>
          <w:spacing w:val="-1"/>
          <w:szCs w:val="21"/>
          <w:highlight w:val="none"/>
        </w:rPr>
        <w:t>在接到本通知书后30 日内到  ______  与我方签订承包</w:t>
      </w:r>
      <w:r>
        <w:rPr>
          <w:rFonts w:ascii="宋体" w:hAnsi="宋体" w:cs="宋体"/>
          <w:color w:val="auto"/>
          <w:spacing w:val="-2"/>
          <w:szCs w:val="21"/>
          <w:highlight w:val="none"/>
        </w:rPr>
        <w:t>合同。在此之前按照招标文件规定向我方提交履约担保。</w:t>
      </w:r>
    </w:p>
    <w:p w14:paraId="549EFBEE">
      <w:pPr>
        <w:spacing w:before="2" w:line="221" w:lineRule="auto"/>
        <w:ind w:left="6040"/>
        <w:rPr>
          <w:rFonts w:ascii="宋体" w:hAnsi="宋体" w:cs="宋体"/>
          <w:color w:val="auto"/>
          <w:szCs w:val="21"/>
          <w:highlight w:val="none"/>
        </w:rPr>
      </w:pPr>
      <w:r>
        <w:rPr>
          <w:rFonts w:ascii="宋体" w:hAnsi="宋体" w:cs="宋体"/>
          <w:b/>
          <w:bCs/>
          <w:color w:val="auto"/>
          <w:spacing w:val="-3"/>
          <w:szCs w:val="21"/>
          <w:highlight w:val="none"/>
        </w:rPr>
        <w:t>工程概况及中标内容</w:t>
      </w:r>
    </w:p>
    <w:p w14:paraId="7AC1A519">
      <w:pPr>
        <w:spacing w:line="127" w:lineRule="exact"/>
        <w:rPr>
          <w:color w:val="auto"/>
          <w:highlight w:val="none"/>
        </w:rPr>
      </w:pPr>
    </w:p>
    <w:tbl>
      <w:tblPr>
        <w:tblStyle w:val="42"/>
        <w:tblW w:w="141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51"/>
        <w:gridCol w:w="2767"/>
        <w:gridCol w:w="2343"/>
        <w:gridCol w:w="2342"/>
        <w:gridCol w:w="20"/>
        <w:gridCol w:w="4731"/>
      </w:tblGrid>
      <w:tr w14:paraId="6CC5C5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951" w:type="dxa"/>
          </w:tcPr>
          <w:p w14:paraId="63247D60">
            <w:pPr>
              <w:pStyle w:val="185"/>
              <w:spacing w:before="94" w:line="221" w:lineRule="auto"/>
              <w:ind w:left="563"/>
              <w:rPr>
                <w:color w:val="auto"/>
                <w:highlight w:val="none"/>
              </w:rPr>
            </w:pPr>
            <w:r>
              <w:rPr>
                <w:color w:val="auto"/>
                <w:spacing w:val="-3"/>
                <w:highlight w:val="none"/>
              </w:rPr>
              <w:t>项目名称</w:t>
            </w:r>
          </w:p>
        </w:tc>
        <w:tc>
          <w:tcPr>
            <w:tcW w:w="12203" w:type="dxa"/>
            <w:gridSpan w:val="5"/>
          </w:tcPr>
          <w:p w14:paraId="6D7C64E7">
            <w:pPr>
              <w:rPr>
                <w:rFonts w:ascii="Arial"/>
                <w:color w:val="auto"/>
                <w:highlight w:val="none"/>
              </w:rPr>
            </w:pPr>
          </w:p>
        </w:tc>
      </w:tr>
      <w:tr w14:paraId="76B9B0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1951" w:type="dxa"/>
          </w:tcPr>
          <w:p w14:paraId="55E80157">
            <w:pPr>
              <w:pStyle w:val="185"/>
              <w:spacing w:before="87" w:line="221" w:lineRule="auto"/>
              <w:ind w:left="561"/>
              <w:rPr>
                <w:color w:val="auto"/>
                <w:highlight w:val="none"/>
              </w:rPr>
            </w:pPr>
            <w:r>
              <w:rPr>
                <w:color w:val="auto"/>
                <w:spacing w:val="-2"/>
                <w:highlight w:val="none"/>
              </w:rPr>
              <w:t>标段名称</w:t>
            </w:r>
          </w:p>
        </w:tc>
        <w:tc>
          <w:tcPr>
            <w:tcW w:w="12203" w:type="dxa"/>
            <w:gridSpan w:val="5"/>
          </w:tcPr>
          <w:p w14:paraId="018D4F52">
            <w:pPr>
              <w:rPr>
                <w:rFonts w:ascii="Arial"/>
                <w:color w:val="auto"/>
                <w:highlight w:val="none"/>
              </w:rPr>
            </w:pPr>
          </w:p>
        </w:tc>
      </w:tr>
      <w:tr w14:paraId="224412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951" w:type="dxa"/>
          </w:tcPr>
          <w:p w14:paraId="39BA33B9">
            <w:pPr>
              <w:pStyle w:val="185"/>
              <w:spacing w:before="88" w:line="221" w:lineRule="auto"/>
              <w:ind w:left="563"/>
              <w:rPr>
                <w:color w:val="auto"/>
                <w:highlight w:val="none"/>
              </w:rPr>
            </w:pPr>
            <w:r>
              <w:rPr>
                <w:color w:val="auto"/>
                <w:spacing w:val="-2"/>
                <w:highlight w:val="none"/>
              </w:rPr>
              <w:t>工程性质</w:t>
            </w:r>
          </w:p>
        </w:tc>
        <w:tc>
          <w:tcPr>
            <w:tcW w:w="5110" w:type="dxa"/>
            <w:gridSpan w:val="2"/>
          </w:tcPr>
          <w:p w14:paraId="19C38E44">
            <w:pPr>
              <w:rPr>
                <w:rFonts w:ascii="Arial"/>
                <w:color w:val="auto"/>
                <w:highlight w:val="none"/>
              </w:rPr>
            </w:pPr>
          </w:p>
        </w:tc>
        <w:tc>
          <w:tcPr>
            <w:tcW w:w="2342" w:type="dxa"/>
          </w:tcPr>
          <w:p w14:paraId="3EC909BF">
            <w:pPr>
              <w:pStyle w:val="185"/>
              <w:spacing w:before="87" w:line="221" w:lineRule="auto"/>
              <w:ind w:left="421"/>
              <w:rPr>
                <w:color w:val="auto"/>
                <w:highlight w:val="none"/>
              </w:rPr>
            </w:pPr>
            <w:r>
              <w:rPr>
                <w:color w:val="auto"/>
                <w:spacing w:val="-2"/>
                <w:highlight w:val="none"/>
              </w:rPr>
              <w:t>资金来源及比例</w:t>
            </w:r>
          </w:p>
        </w:tc>
        <w:tc>
          <w:tcPr>
            <w:tcW w:w="4751" w:type="dxa"/>
            <w:gridSpan w:val="2"/>
          </w:tcPr>
          <w:p w14:paraId="16886CC3">
            <w:pPr>
              <w:rPr>
                <w:rFonts w:ascii="Arial"/>
                <w:color w:val="auto"/>
                <w:highlight w:val="none"/>
              </w:rPr>
            </w:pPr>
          </w:p>
        </w:tc>
      </w:tr>
      <w:tr w14:paraId="368CD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1951" w:type="dxa"/>
          </w:tcPr>
          <w:p w14:paraId="233C1CF7">
            <w:pPr>
              <w:pStyle w:val="185"/>
              <w:spacing w:before="90" w:line="222" w:lineRule="auto"/>
              <w:ind w:left="563"/>
              <w:rPr>
                <w:color w:val="auto"/>
                <w:highlight w:val="none"/>
              </w:rPr>
            </w:pPr>
            <w:r>
              <w:rPr>
                <w:color w:val="auto"/>
                <w:spacing w:val="-2"/>
                <w:highlight w:val="none"/>
              </w:rPr>
              <w:t>建设地址</w:t>
            </w:r>
          </w:p>
        </w:tc>
        <w:tc>
          <w:tcPr>
            <w:tcW w:w="12203" w:type="dxa"/>
            <w:gridSpan w:val="5"/>
          </w:tcPr>
          <w:p w14:paraId="3B70A016">
            <w:pPr>
              <w:rPr>
                <w:rFonts w:ascii="Arial"/>
                <w:color w:val="auto"/>
                <w:highlight w:val="none"/>
              </w:rPr>
            </w:pPr>
          </w:p>
        </w:tc>
      </w:tr>
      <w:tr w14:paraId="6E7914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1951" w:type="dxa"/>
          </w:tcPr>
          <w:p w14:paraId="3FC27EA5">
            <w:pPr>
              <w:pStyle w:val="185"/>
              <w:spacing w:before="90" w:line="221" w:lineRule="auto"/>
              <w:ind w:left="580"/>
              <w:rPr>
                <w:color w:val="auto"/>
                <w:highlight w:val="none"/>
              </w:rPr>
            </w:pPr>
            <w:r>
              <w:rPr>
                <w:color w:val="auto"/>
                <w:spacing w:val="-7"/>
                <w:highlight w:val="none"/>
              </w:rPr>
              <w:t>中标内容</w:t>
            </w:r>
          </w:p>
        </w:tc>
        <w:tc>
          <w:tcPr>
            <w:tcW w:w="12203" w:type="dxa"/>
            <w:gridSpan w:val="5"/>
          </w:tcPr>
          <w:p w14:paraId="0E0E34C2">
            <w:pPr>
              <w:rPr>
                <w:rFonts w:ascii="Arial"/>
                <w:color w:val="auto"/>
                <w:highlight w:val="none"/>
              </w:rPr>
            </w:pPr>
          </w:p>
        </w:tc>
      </w:tr>
      <w:tr w14:paraId="34625D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1951" w:type="dxa"/>
          </w:tcPr>
          <w:p w14:paraId="3024A98C">
            <w:pPr>
              <w:pStyle w:val="185"/>
              <w:spacing w:before="97" w:line="221" w:lineRule="auto"/>
              <w:ind w:left="560"/>
              <w:rPr>
                <w:color w:val="auto"/>
                <w:highlight w:val="none"/>
              </w:rPr>
            </w:pPr>
            <w:r>
              <w:rPr>
                <w:color w:val="auto"/>
                <w:spacing w:val="-2"/>
                <w:highlight w:val="none"/>
              </w:rPr>
              <w:t>计划工期</w:t>
            </w:r>
          </w:p>
        </w:tc>
        <w:tc>
          <w:tcPr>
            <w:tcW w:w="5110" w:type="dxa"/>
            <w:gridSpan w:val="2"/>
          </w:tcPr>
          <w:p w14:paraId="62B39EAA">
            <w:pPr>
              <w:rPr>
                <w:rFonts w:ascii="Arial"/>
                <w:color w:val="auto"/>
                <w:highlight w:val="none"/>
              </w:rPr>
            </w:pPr>
          </w:p>
        </w:tc>
        <w:tc>
          <w:tcPr>
            <w:tcW w:w="2362" w:type="dxa"/>
            <w:gridSpan w:val="2"/>
          </w:tcPr>
          <w:p w14:paraId="1244CD36">
            <w:pPr>
              <w:pStyle w:val="185"/>
              <w:spacing w:before="97" w:line="221" w:lineRule="auto"/>
              <w:ind w:left="362"/>
              <w:rPr>
                <w:color w:val="auto"/>
                <w:highlight w:val="none"/>
              </w:rPr>
            </w:pPr>
            <w:r>
              <w:rPr>
                <w:color w:val="auto"/>
                <w:spacing w:val="-2"/>
                <w:highlight w:val="none"/>
              </w:rPr>
              <w:t>总工期（日历天）</w:t>
            </w:r>
          </w:p>
        </w:tc>
        <w:tc>
          <w:tcPr>
            <w:tcW w:w="4731" w:type="dxa"/>
          </w:tcPr>
          <w:p w14:paraId="5D695FC7">
            <w:pPr>
              <w:rPr>
                <w:rFonts w:ascii="Arial"/>
                <w:color w:val="auto"/>
                <w:highlight w:val="none"/>
              </w:rPr>
            </w:pPr>
          </w:p>
        </w:tc>
      </w:tr>
      <w:tr w14:paraId="4D21F5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1951" w:type="dxa"/>
          </w:tcPr>
          <w:p w14:paraId="3DB126F4">
            <w:pPr>
              <w:pStyle w:val="185"/>
              <w:spacing w:before="91" w:line="221" w:lineRule="auto"/>
              <w:ind w:left="569"/>
              <w:rPr>
                <w:color w:val="auto"/>
                <w:highlight w:val="none"/>
              </w:rPr>
            </w:pPr>
            <w:r>
              <w:rPr>
                <w:color w:val="auto"/>
                <w:spacing w:val="-4"/>
                <w:highlight w:val="none"/>
              </w:rPr>
              <w:t>资质等级</w:t>
            </w:r>
          </w:p>
        </w:tc>
        <w:tc>
          <w:tcPr>
            <w:tcW w:w="5110" w:type="dxa"/>
            <w:gridSpan w:val="2"/>
          </w:tcPr>
          <w:p w14:paraId="76F61403">
            <w:pPr>
              <w:rPr>
                <w:rFonts w:ascii="Arial"/>
                <w:color w:val="auto"/>
                <w:highlight w:val="none"/>
              </w:rPr>
            </w:pPr>
          </w:p>
        </w:tc>
        <w:tc>
          <w:tcPr>
            <w:tcW w:w="2362" w:type="dxa"/>
            <w:gridSpan w:val="2"/>
          </w:tcPr>
          <w:p w14:paraId="1EF6526D">
            <w:pPr>
              <w:pStyle w:val="185"/>
              <w:spacing w:before="92" w:line="221" w:lineRule="auto"/>
              <w:ind w:left="778"/>
              <w:rPr>
                <w:color w:val="auto"/>
                <w:highlight w:val="none"/>
              </w:rPr>
            </w:pPr>
            <w:r>
              <w:rPr>
                <w:color w:val="auto"/>
                <w:spacing w:val="-2"/>
                <w:highlight w:val="none"/>
              </w:rPr>
              <w:t>质量标准</w:t>
            </w:r>
          </w:p>
        </w:tc>
        <w:tc>
          <w:tcPr>
            <w:tcW w:w="4731" w:type="dxa"/>
          </w:tcPr>
          <w:p w14:paraId="0F759D6F">
            <w:pPr>
              <w:rPr>
                <w:rFonts w:ascii="Arial"/>
                <w:color w:val="auto"/>
                <w:highlight w:val="none"/>
              </w:rPr>
            </w:pPr>
          </w:p>
        </w:tc>
      </w:tr>
      <w:tr w14:paraId="3AFAF5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951" w:type="dxa"/>
          </w:tcPr>
          <w:p w14:paraId="4333DD63">
            <w:pPr>
              <w:pStyle w:val="185"/>
              <w:spacing w:before="93" w:line="221" w:lineRule="auto"/>
              <w:ind w:left="563"/>
              <w:rPr>
                <w:color w:val="auto"/>
                <w:highlight w:val="none"/>
              </w:rPr>
            </w:pPr>
            <w:r>
              <w:rPr>
                <w:color w:val="auto"/>
                <w:spacing w:val="-3"/>
                <w:highlight w:val="none"/>
              </w:rPr>
              <w:t>项目经理</w:t>
            </w:r>
          </w:p>
        </w:tc>
        <w:tc>
          <w:tcPr>
            <w:tcW w:w="2767" w:type="dxa"/>
          </w:tcPr>
          <w:p w14:paraId="6185FDCF">
            <w:pPr>
              <w:rPr>
                <w:rFonts w:ascii="Arial"/>
                <w:color w:val="auto"/>
                <w:highlight w:val="none"/>
              </w:rPr>
            </w:pPr>
          </w:p>
        </w:tc>
        <w:tc>
          <w:tcPr>
            <w:tcW w:w="2343" w:type="dxa"/>
          </w:tcPr>
          <w:p w14:paraId="684270F8">
            <w:pPr>
              <w:pStyle w:val="185"/>
              <w:spacing w:before="92" w:line="220" w:lineRule="auto"/>
              <w:ind w:left="455"/>
              <w:rPr>
                <w:color w:val="auto"/>
                <w:highlight w:val="none"/>
              </w:rPr>
            </w:pPr>
            <w:r>
              <w:rPr>
                <w:color w:val="auto"/>
                <w:spacing w:val="-2"/>
                <w:highlight w:val="none"/>
              </w:rPr>
              <w:t>资格证书及编号</w:t>
            </w:r>
          </w:p>
        </w:tc>
        <w:tc>
          <w:tcPr>
            <w:tcW w:w="7093" w:type="dxa"/>
            <w:gridSpan w:val="3"/>
          </w:tcPr>
          <w:p w14:paraId="34AB70B0">
            <w:pPr>
              <w:rPr>
                <w:rFonts w:ascii="Arial"/>
                <w:color w:val="auto"/>
                <w:highlight w:val="none"/>
              </w:rPr>
            </w:pPr>
          </w:p>
        </w:tc>
      </w:tr>
      <w:tr w14:paraId="48037E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1951" w:type="dxa"/>
            <w:vMerge w:val="restart"/>
            <w:tcBorders>
              <w:bottom w:val="nil"/>
            </w:tcBorders>
          </w:tcPr>
          <w:p w14:paraId="026EE25D">
            <w:pPr>
              <w:pStyle w:val="185"/>
              <w:spacing w:before="248" w:line="221" w:lineRule="auto"/>
              <w:ind w:left="580"/>
              <w:rPr>
                <w:color w:val="auto"/>
                <w:highlight w:val="none"/>
              </w:rPr>
            </w:pPr>
            <w:r>
              <w:rPr>
                <w:color w:val="auto"/>
                <w:spacing w:val="-7"/>
                <w:highlight w:val="none"/>
              </w:rPr>
              <w:t>中标金额</w:t>
            </w:r>
          </w:p>
        </w:tc>
        <w:tc>
          <w:tcPr>
            <w:tcW w:w="12203" w:type="dxa"/>
            <w:gridSpan w:val="5"/>
          </w:tcPr>
          <w:p w14:paraId="4554B2DB">
            <w:pPr>
              <w:pStyle w:val="185"/>
              <w:spacing w:before="92" w:line="221" w:lineRule="auto"/>
              <w:ind w:left="111"/>
              <w:rPr>
                <w:color w:val="auto"/>
                <w:highlight w:val="none"/>
              </w:rPr>
            </w:pPr>
            <w:r>
              <w:rPr>
                <w:color w:val="auto"/>
                <w:spacing w:val="-13"/>
                <w:highlight w:val="none"/>
              </w:rPr>
              <w:t>大写：</w:t>
            </w:r>
          </w:p>
        </w:tc>
      </w:tr>
      <w:tr w14:paraId="5E85F2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951" w:type="dxa"/>
            <w:vMerge w:val="continue"/>
            <w:tcBorders>
              <w:top w:val="nil"/>
            </w:tcBorders>
          </w:tcPr>
          <w:p w14:paraId="4E15CA30">
            <w:pPr>
              <w:rPr>
                <w:rFonts w:ascii="Arial"/>
                <w:color w:val="auto"/>
                <w:highlight w:val="none"/>
              </w:rPr>
            </w:pPr>
          </w:p>
        </w:tc>
        <w:tc>
          <w:tcPr>
            <w:tcW w:w="12203" w:type="dxa"/>
            <w:gridSpan w:val="5"/>
          </w:tcPr>
          <w:p w14:paraId="0AF973ED">
            <w:pPr>
              <w:pStyle w:val="185"/>
              <w:spacing w:before="48" w:line="216" w:lineRule="auto"/>
              <w:ind w:left="115"/>
              <w:rPr>
                <w:color w:val="auto"/>
                <w:highlight w:val="none"/>
              </w:rPr>
            </w:pPr>
            <w:r>
              <w:rPr>
                <w:color w:val="auto"/>
                <w:spacing w:val="-14"/>
                <w:highlight w:val="none"/>
              </w:rPr>
              <w:t>小写：</w:t>
            </w:r>
          </w:p>
        </w:tc>
      </w:tr>
      <w:tr w14:paraId="201022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951" w:type="dxa"/>
          </w:tcPr>
          <w:p w14:paraId="36F4A695">
            <w:pPr>
              <w:pStyle w:val="185"/>
              <w:spacing w:before="93" w:line="221" w:lineRule="auto"/>
              <w:ind w:left="255"/>
              <w:rPr>
                <w:color w:val="auto"/>
                <w:highlight w:val="none"/>
              </w:rPr>
            </w:pPr>
            <w:r>
              <w:rPr>
                <w:color w:val="auto"/>
                <w:spacing w:val="-3"/>
                <w:highlight w:val="none"/>
              </w:rPr>
              <w:t>需要说明的事项</w:t>
            </w:r>
          </w:p>
        </w:tc>
        <w:tc>
          <w:tcPr>
            <w:tcW w:w="12203" w:type="dxa"/>
            <w:gridSpan w:val="5"/>
          </w:tcPr>
          <w:p w14:paraId="514605FA">
            <w:pPr>
              <w:rPr>
                <w:rFonts w:ascii="Arial"/>
                <w:color w:val="auto"/>
                <w:highlight w:val="none"/>
              </w:rPr>
            </w:pPr>
          </w:p>
        </w:tc>
      </w:tr>
      <w:tr w14:paraId="62EE83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9" w:hRule="atLeast"/>
        </w:trPr>
        <w:tc>
          <w:tcPr>
            <w:tcW w:w="4718" w:type="dxa"/>
            <w:gridSpan w:val="2"/>
          </w:tcPr>
          <w:p w14:paraId="57927265">
            <w:pPr>
              <w:spacing w:line="474" w:lineRule="auto"/>
              <w:rPr>
                <w:rFonts w:ascii="Arial"/>
                <w:color w:val="auto"/>
                <w:highlight w:val="none"/>
              </w:rPr>
            </w:pPr>
          </w:p>
          <w:p w14:paraId="3F77B3EB">
            <w:pPr>
              <w:pStyle w:val="185"/>
              <w:spacing w:before="68" w:line="220" w:lineRule="auto"/>
              <w:ind w:left="748"/>
              <w:rPr>
                <w:color w:val="auto"/>
                <w:highlight w:val="none"/>
                <w:lang w:eastAsia="zh-CN"/>
              </w:rPr>
            </w:pPr>
            <w:r>
              <w:rPr>
                <w:color w:val="auto"/>
                <w:spacing w:val="-3"/>
                <w:highlight w:val="none"/>
                <w:lang w:eastAsia="zh-CN"/>
              </w:rPr>
              <w:t>招标人（盖章）</w:t>
            </w:r>
          </w:p>
          <w:p w14:paraId="698AEE23">
            <w:pPr>
              <w:pStyle w:val="185"/>
              <w:spacing w:before="150" w:line="220" w:lineRule="auto"/>
              <w:ind w:left="748"/>
              <w:rPr>
                <w:color w:val="auto"/>
                <w:highlight w:val="none"/>
                <w:lang w:eastAsia="zh-CN"/>
              </w:rPr>
            </w:pPr>
            <w:r>
              <w:rPr>
                <w:color w:val="auto"/>
                <w:spacing w:val="-1"/>
                <w:highlight w:val="none"/>
                <w:lang w:eastAsia="zh-CN"/>
              </w:rPr>
              <w:t>法定代表（签章）</w:t>
            </w:r>
          </w:p>
          <w:p w14:paraId="1317746E">
            <w:pPr>
              <w:pStyle w:val="185"/>
              <w:spacing w:before="147" w:line="221" w:lineRule="auto"/>
              <w:ind w:left="2733"/>
              <w:rPr>
                <w:color w:val="auto"/>
                <w:highlight w:val="none"/>
              </w:rPr>
            </w:pPr>
            <w:r>
              <w:rPr>
                <w:color w:val="auto"/>
                <w:spacing w:val="-7"/>
                <w:highlight w:val="none"/>
              </w:rPr>
              <w:t>年月日</w:t>
            </w:r>
          </w:p>
        </w:tc>
        <w:tc>
          <w:tcPr>
            <w:tcW w:w="4705" w:type="dxa"/>
            <w:gridSpan w:val="3"/>
          </w:tcPr>
          <w:p w14:paraId="7E58C63F">
            <w:pPr>
              <w:spacing w:line="474" w:lineRule="auto"/>
              <w:rPr>
                <w:rFonts w:ascii="Arial"/>
                <w:color w:val="auto"/>
                <w:highlight w:val="none"/>
              </w:rPr>
            </w:pPr>
          </w:p>
          <w:p w14:paraId="4953FBE4">
            <w:pPr>
              <w:pStyle w:val="185"/>
              <w:spacing w:before="68" w:line="220" w:lineRule="auto"/>
              <w:ind w:left="744"/>
              <w:rPr>
                <w:color w:val="auto"/>
                <w:highlight w:val="none"/>
                <w:lang w:eastAsia="zh-CN"/>
              </w:rPr>
            </w:pPr>
            <w:r>
              <w:rPr>
                <w:color w:val="auto"/>
                <w:spacing w:val="-1"/>
                <w:highlight w:val="none"/>
                <w:lang w:eastAsia="zh-CN"/>
              </w:rPr>
              <w:t>招标代理（盖章）</w:t>
            </w:r>
          </w:p>
          <w:p w14:paraId="5FCC1C2A">
            <w:pPr>
              <w:pStyle w:val="185"/>
              <w:spacing w:before="150" w:line="220" w:lineRule="auto"/>
              <w:ind w:left="744"/>
              <w:rPr>
                <w:color w:val="auto"/>
                <w:highlight w:val="none"/>
                <w:lang w:eastAsia="zh-CN"/>
              </w:rPr>
            </w:pPr>
            <w:r>
              <w:rPr>
                <w:color w:val="auto"/>
                <w:spacing w:val="-1"/>
                <w:highlight w:val="none"/>
                <w:lang w:eastAsia="zh-CN"/>
              </w:rPr>
              <w:t>法定代表（签章）</w:t>
            </w:r>
          </w:p>
          <w:p w14:paraId="729DA2C4">
            <w:pPr>
              <w:pStyle w:val="185"/>
              <w:spacing w:before="147" w:line="221" w:lineRule="auto"/>
              <w:ind w:left="2782"/>
              <w:rPr>
                <w:color w:val="auto"/>
                <w:highlight w:val="none"/>
              </w:rPr>
            </w:pPr>
            <w:r>
              <w:rPr>
                <w:color w:val="auto"/>
                <w:spacing w:val="-7"/>
                <w:highlight w:val="none"/>
              </w:rPr>
              <w:t>年月日</w:t>
            </w:r>
          </w:p>
        </w:tc>
        <w:tc>
          <w:tcPr>
            <w:tcW w:w="4731" w:type="dxa"/>
          </w:tcPr>
          <w:p w14:paraId="78F131FD">
            <w:pPr>
              <w:spacing w:line="474" w:lineRule="auto"/>
              <w:rPr>
                <w:rFonts w:ascii="Arial"/>
                <w:color w:val="auto"/>
                <w:highlight w:val="none"/>
              </w:rPr>
            </w:pPr>
          </w:p>
          <w:p w14:paraId="0B0CCAF4">
            <w:pPr>
              <w:pStyle w:val="185"/>
              <w:spacing w:before="68" w:line="220" w:lineRule="auto"/>
              <w:ind w:left="651"/>
              <w:rPr>
                <w:color w:val="auto"/>
                <w:highlight w:val="none"/>
                <w:lang w:eastAsia="zh-CN"/>
              </w:rPr>
            </w:pPr>
            <w:r>
              <w:rPr>
                <w:color w:val="auto"/>
                <w:spacing w:val="-1"/>
                <w:highlight w:val="none"/>
                <w:lang w:eastAsia="zh-CN"/>
              </w:rPr>
              <w:t>监管部门（盖章）</w:t>
            </w:r>
          </w:p>
          <w:p w14:paraId="22B79C2A">
            <w:pPr>
              <w:pStyle w:val="185"/>
              <w:spacing w:before="150" w:line="220" w:lineRule="auto"/>
              <w:ind w:left="651"/>
              <w:rPr>
                <w:color w:val="auto"/>
                <w:highlight w:val="none"/>
                <w:lang w:eastAsia="zh-CN"/>
              </w:rPr>
            </w:pPr>
            <w:r>
              <w:rPr>
                <w:color w:val="auto"/>
                <w:spacing w:val="-3"/>
                <w:highlight w:val="none"/>
                <w:lang w:eastAsia="zh-CN"/>
              </w:rPr>
              <w:t>经办人（签章）</w:t>
            </w:r>
          </w:p>
          <w:p w14:paraId="1BE91A79">
            <w:pPr>
              <w:pStyle w:val="185"/>
              <w:spacing w:before="147" w:line="221" w:lineRule="auto"/>
              <w:ind w:left="2640"/>
              <w:rPr>
                <w:color w:val="auto"/>
                <w:highlight w:val="none"/>
              </w:rPr>
            </w:pPr>
            <w:r>
              <w:rPr>
                <w:color w:val="auto"/>
                <w:spacing w:val="-7"/>
                <w:highlight w:val="none"/>
              </w:rPr>
              <w:t>年月日</w:t>
            </w:r>
          </w:p>
        </w:tc>
      </w:tr>
    </w:tbl>
    <w:p w14:paraId="5712DB61">
      <w:pPr>
        <w:pStyle w:val="17"/>
        <w:rPr>
          <w:color w:val="auto"/>
          <w:highlight w:val="none"/>
        </w:rPr>
      </w:pPr>
    </w:p>
    <w:p w14:paraId="78E4738D">
      <w:pPr>
        <w:rPr>
          <w:color w:val="auto"/>
          <w:highlight w:val="none"/>
        </w:rPr>
        <w:sectPr>
          <w:footerReference r:id="rId16" w:type="default"/>
          <w:pgSz w:w="16839" w:h="11907"/>
          <w:pgMar w:top="1012" w:right="1238" w:bottom="1013" w:left="1440" w:header="0" w:footer="812" w:gutter="0"/>
          <w:pgNumType w:fmt="decimal"/>
          <w:cols w:space="720" w:num="1"/>
        </w:sectPr>
      </w:pPr>
    </w:p>
    <w:p w14:paraId="7251BAA9">
      <w:pPr>
        <w:pStyle w:val="17"/>
        <w:spacing w:line="351" w:lineRule="auto"/>
        <w:rPr>
          <w:color w:val="auto"/>
          <w:highlight w:val="none"/>
        </w:rPr>
      </w:pPr>
    </w:p>
    <w:p w14:paraId="31F51C3C">
      <w:pPr>
        <w:spacing w:before="78" w:line="220" w:lineRule="auto"/>
        <w:ind w:left="34"/>
        <w:outlineLvl w:val="2"/>
        <w:rPr>
          <w:rFonts w:ascii="黑体" w:hAnsi="黑体" w:eastAsia="黑体" w:cs="黑体"/>
          <w:color w:val="auto"/>
          <w:sz w:val="24"/>
          <w:highlight w:val="none"/>
        </w:rPr>
      </w:pPr>
      <w:bookmarkStart w:id="219" w:name="bookmark100"/>
      <w:bookmarkEnd w:id="219"/>
      <w:bookmarkStart w:id="220" w:name="_Toc20918"/>
      <w:r>
        <w:rPr>
          <w:rFonts w:ascii="黑体" w:hAnsi="黑体" w:eastAsia="黑体" w:cs="黑体"/>
          <w:color w:val="auto"/>
          <w:spacing w:val="-2"/>
          <w:sz w:val="24"/>
          <w:highlight w:val="none"/>
        </w:rPr>
        <w:t>附表九：中标结果通知书</w:t>
      </w:r>
      <w:bookmarkEnd w:id="220"/>
    </w:p>
    <w:p w14:paraId="0E574C21">
      <w:pPr>
        <w:pStyle w:val="17"/>
        <w:spacing w:line="263" w:lineRule="auto"/>
        <w:rPr>
          <w:color w:val="auto"/>
          <w:highlight w:val="none"/>
        </w:rPr>
      </w:pPr>
    </w:p>
    <w:p w14:paraId="7B54172C">
      <w:pPr>
        <w:pStyle w:val="17"/>
        <w:spacing w:line="263" w:lineRule="auto"/>
        <w:rPr>
          <w:color w:val="auto"/>
          <w:highlight w:val="none"/>
        </w:rPr>
      </w:pPr>
    </w:p>
    <w:p w14:paraId="682E916E">
      <w:pPr>
        <w:spacing w:before="91" w:line="220" w:lineRule="auto"/>
        <w:ind w:left="3220"/>
        <w:rPr>
          <w:rFonts w:ascii="黑体" w:hAnsi="黑体" w:eastAsia="黑体" w:cs="黑体"/>
          <w:color w:val="auto"/>
          <w:sz w:val="28"/>
          <w:szCs w:val="28"/>
          <w:highlight w:val="none"/>
        </w:rPr>
      </w:pPr>
      <w:r>
        <w:rPr>
          <w:rFonts w:ascii="黑体" w:hAnsi="黑体" w:eastAsia="黑体" w:cs="黑体"/>
          <w:color w:val="auto"/>
          <w:spacing w:val="-5"/>
          <w:sz w:val="28"/>
          <w:szCs w:val="28"/>
          <w:highlight w:val="none"/>
        </w:rPr>
        <w:t>中标结果通知书</w:t>
      </w:r>
    </w:p>
    <w:p w14:paraId="5513D32F">
      <w:pPr>
        <w:pStyle w:val="17"/>
        <w:spacing w:line="375" w:lineRule="auto"/>
        <w:rPr>
          <w:color w:val="auto"/>
          <w:highlight w:val="none"/>
        </w:rPr>
      </w:pPr>
    </w:p>
    <w:p w14:paraId="79AD15AF">
      <w:pPr>
        <w:tabs>
          <w:tab w:val="left" w:pos="2323"/>
        </w:tabs>
        <w:spacing w:before="69" w:line="221" w:lineRule="auto"/>
        <w:ind w:left="12"/>
        <w:rPr>
          <w:rFonts w:ascii="宋体" w:hAnsi="宋体" w:cs="宋体"/>
          <w:color w:val="auto"/>
          <w:szCs w:val="21"/>
          <w:highlight w:val="none"/>
        </w:rPr>
      </w:pPr>
      <w:r>
        <w:rPr>
          <w:rFonts w:ascii="宋体" w:hAnsi="宋体" w:cs="宋体"/>
          <w:color w:val="auto"/>
          <w:szCs w:val="21"/>
          <w:highlight w:val="none"/>
          <w:u w:val="single"/>
        </w:rPr>
        <w:tab/>
      </w:r>
      <w:r>
        <w:rPr>
          <w:rFonts w:ascii="宋体" w:hAnsi="宋体" w:cs="宋体"/>
          <w:color w:val="auto"/>
          <w:szCs w:val="21"/>
          <w:highlight w:val="none"/>
        </w:rPr>
        <w:t>（未中标人名称</w:t>
      </w:r>
      <w:r>
        <w:rPr>
          <w:rFonts w:ascii="宋体" w:hAnsi="宋体" w:cs="宋体"/>
          <w:color w:val="auto"/>
          <w:spacing w:val="-54"/>
          <w:w w:val="97"/>
          <w:szCs w:val="21"/>
          <w:highlight w:val="none"/>
        </w:rPr>
        <w:t>）：</w:t>
      </w:r>
    </w:p>
    <w:p w14:paraId="081F3E0C">
      <w:pPr>
        <w:pStyle w:val="17"/>
        <w:spacing w:line="317" w:lineRule="auto"/>
        <w:rPr>
          <w:color w:val="auto"/>
          <w:highlight w:val="none"/>
        </w:rPr>
      </w:pPr>
    </w:p>
    <w:p w14:paraId="6E9D7022">
      <w:pPr>
        <w:pStyle w:val="17"/>
        <w:spacing w:line="318" w:lineRule="auto"/>
        <w:rPr>
          <w:color w:val="auto"/>
          <w:highlight w:val="none"/>
        </w:rPr>
      </w:pPr>
    </w:p>
    <w:p w14:paraId="546B7794">
      <w:pPr>
        <w:spacing w:before="68" w:line="424" w:lineRule="auto"/>
        <w:ind w:left="20" w:right="13" w:firstLine="421"/>
        <w:rPr>
          <w:rFonts w:ascii="宋体" w:hAnsi="宋体" w:cs="宋体"/>
          <w:color w:val="auto"/>
          <w:szCs w:val="21"/>
          <w:highlight w:val="none"/>
        </w:rPr>
      </w:pPr>
      <w:r>
        <w:rPr>
          <w:rFonts w:ascii="宋体" w:hAnsi="宋体" w:cs="宋体"/>
          <w:color w:val="auto"/>
          <w:spacing w:val="2"/>
          <w:szCs w:val="21"/>
          <w:highlight w:val="none"/>
        </w:rPr>
        <w:t>我方已接受</w:t>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pacing w:val="2"/>
          <w:szCs w:val="21"/>
          <w:highlight w:val="none"/>
        </w:rPr>
        <w:t>（中标人名称）于</w:t>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pacing w:val="2"/>
          <w:szCs w:val="21"/>
          <w:highlight w:val="none"/>
        </w:rPr>
        <w:t>（投标日期）所递交的</w:t>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pacing w:val="2"/>
          <w:szCs w:val="21"/>
          <w:highlight w:val="none"/>
        </w:rPr>
        <w:t>（标段名称）项目（标段唯一标识码</w:t>
      </w:r>
      <w:r>
        <w:rPr>
          <w:rFonts w:ascii="宋体" w:hAnsi="宋体" w:cs="宋体"/>
          <w:color w:val="auto"/>
          <w:spacing w:val="4"/>
          <w:szCs w:val="21"/>
          <w:highlight w:val="none"/>
        </w:rPr>
        <w:t>：</w:t>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pacing w:val="4"/>
          <w:szCs w:val="21"/>
          <w:highlight w:val="none"/>
        </w:rPr>
        <w:t>）</w:t>
      </w:r>
      <w:r>
        <w:rPr>
          <w:rFonts w:ascii="宋体" w:hAnsi="宋体" w:cs="宋体"/>
          <w:color w:val="auto"/>
          <w:spacing w:val="2"/>
          <w:szCs w:val="21"/>
          <w:highlight w:val="none"/>
        </w:rPr>
        <w:t>投标文件，</w:t>
      </w:r>
      <w:r>
        <w:rPr>
          <w:rFonts w:ascii="宋体" w:hAnsi="宋体" w:cs="宋体"/>
          <w:color w:val="auto"/>
          <w:spacing w:val="-1"/>
          <w:szCs w:val="21"/>
          <w:highlight w:val="none"/>
        </w:rPr>
        <w:t>确定</w:t>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pacing w:val="-1"/>
          <w:szCs w:val="21"/>
          <w:highlight w:val="none"/>
        </w:rPr>
        <w:t>（中标人名称）为中标人。</w:t>
      </w:r>
    </w:p>
    <w:p w14:paraId="1969051E">
      <w:pPr>
        <w:pStyle w:val="17"/>
        <w:spacing w:line="404" w:lineRule="auto"/>
        <w:rPr>
          <w:color w:val="auto"/>
          <w:highlight w:val="none"/>
        </w:rPr>
      </w:pPr>
    </w:p>
    <w:p w14:paraId="59AE54D1">
      <w:pPr>
        <w:spacing w:before="68" w:line="234" w:lineRule="auto"/>
        <w:ind w:left="441"/>
        <w:rPr>
          <w:rFonts w:eastAsia="Times New Roman"/>
          <w:color w:val="auto"/>
          <w:szCs w:val="21"/>
          <w:highlight w:val="none"/>
        </w:rPr>
      </w:pPr>
      <w:r>
        <w:rPr>
          <w:rFonts w:ascii="宋体" w:hAnsi="宋体" w:cs="宋体"/>
          <w:color w:val="auto"/>
          <w:spacing w:val="-1"/>
          <w:szCs w:val="21"/>
          <w:highlight w:val="none"/>
        </w:rPr>
        <w:t>感谢你单位对我方工作的大力支持</w:t>
      </w:r>
      <w:r>
        <w:rPr>
          <w:rFonts w:eastAsia="Times New Roman"/>
          <w:color w:val="auto"/>
          <w:spacing w:val="-1"/>
          <w:szCs w:val="21"/>
          <w:highlight w:val="none"/>
        </w:rPr>
        <w:t>!</w:t>
      </w:r>
    </w:p>
    <w:p w14:paraId="05DFD5AF">
      <w:pPr>
        <w:pStyle w:val="17"/>
        <w:spacing w:line="256" w:lineRule="auto"/>
        <w:rPr>
          <w:color w:val="auto"/>
          <w:highlight w:val="none"/>
        </w:rPr>
      </w:pPr>
    </w:p>
    <w:p w14:paraId="1EF456F7">
      <w:pPr>
        <w:pStyle w:val="17"/>
        <w:spacing w:line="256" w:lineRule="auto"/>
        <w:rPr>
          <w:color w:val="auto"/>
          <w:highlight w:val="none"/>
        </w:rPr>
      </w:pPr>
    </w:p>
    <w:p w14:paraId="249488F8">
      <w:pPr>
        <w:pStyle w:val="17"/>
        <w:spacing w:line="256" w:lineRule="auto"/>
        <w:rPr>
          <w:color w:val="auto"/>
          <w:highlight w:val="none"/>
        </w:rPr>
      </w:pPr>
    </w:p>
    <w:p w14:paraId="7F4A0D2D">
      <w:pPr>
        <w:pStyle w:val="17"/>
        <w:spacing w:line="256" w:lineRule="auto"/>
        <w:rPr>
          <w:color w:val="auto"/>
          <w:highlight w:val="none"/>
        </w:rPr>
      </w:pPr>
    </w:p>
    <w:p w14:paraId="18838709">
      <w:pPr>
        <w:pStyle w:val="17"/>
        <w:spacing w:line="257" w:lineRule="auto"/>
        <w:rPr>
          <w:color w:val="auto"/>
          <w:highlight w:val="none"/>
        </w:rPr>
      </w:pPr>
    </w:p>
    <w:p w14:paraId="5594028E">
      <w:pPr>
        <w:pStyle w:val="17"/>
        <w:spacing w:line="257" w:lineRule="auto"/>
        <w:rPr>
          <w:color w:val="auto"/>
          <w:highlight w:val="none"/>
        </w:rPr>
      </w:pPr>
    </w:p>
    <w:p w14:paraId="4CF120DD">
      <w:pPr>
        <w:pStyle w:val="17"/>
        <w:spacing w:line="257" w:lineRule="auto"/>
        <w:rPr>
          <w:color w:val="auto"/>
          <w:highlight w:val="none"/>
        </w:rPr>
      </w:pPr>
    </w:p>
    <w:p w14:paraId="4F82724C">
      <w:pPr>
        <w:pStyle w:val="17"/>
        <w:spacing w:line="257" w:lineRule="auto"/>
        <w:rPr>
          <w:color w:val="auto"/>
          <w:highlight w:val="none"/>
        </w:rPr>
      </w:pPr>
    </w:p>
    <w:p w14:paraId="47970ABA">
      <w:pPr>
        <w:spacing w:before="68" w:line="220" w:lineRule="auto"/>
        <w:ind w:left="4553"/>
        <w:rPr>
          <w:rFonts w:ascii="宋体" w:hAnsi="宋体" w:cs="宋体"/>
          <w:color w:val="auto"/>
          <w:szCs w:val="21"/>
          <w:highlight w:val="none"/>
        </w:rPr>
      </w:pPr>
      <w:r>
        <w:rPr>
          <w:rFonts w:ascii="宋体" w:hAnsi="宋体" w:cs="宋体"/>
          <w:color w:val="auto"/>
          <w:szCs w:val="21"/>
          <w:highlight w:val="none"/>
        </w:rPr>
        <w:t>招标人</w:t>
      </w:r>
      <w:r>
        <w:rPr>
          <w:rFonts w:ascii="宋体" w:hAnsi="宋体" w:cs="宋体"/>
          <w:color w:val="auto"/>
          <w:spacing w:val="-2"/>
          <w:szCs w:val="21"/>
          <w:highlight w:val="none"/>
        </w:rPr>
        <w:t>：</w:t>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pacing w:val="-2"/>
          <w:szCs w:val="21"/>
          <w:highlight w:val="none"/>
        </w:rPr>
        <w:t>（</w:t>
      </w:r>
      <w:r>
        <w:rPr>
          <w:rFonts w:ascii="宋体" w:hAnsi="宋体" w:cs="宋体"/>
          <w:color w:val="auto"/>
          <w:szCs w:val="21"/>
          <w:highlight w:val="none"/>
        </w:rPr>
        <w:t>盖单位章）</w:t>
      </w:r>
    </w:p>
    <w:p w14:paraId="0E2FD34E">
      <w:pPr>
        <w:tabs>
          <w:tab w:val="left" w:pos="6015"/>
        </w:tabs>
        <w:spacing w:before="230" w:line="424" w:lineRule="auto"/>
        <w:ind w:left="5278" w:right="127" w:hanging="725"/>
        <w:rPr>
          <w:rFonts w:ascii="宋体" w:hAnsi="宋体" w:cs="宋体"/>
          <w:color w:val="auto"/>
          <w:spacing w:val="1"/>
          <w:szCs w:val="21"/>
          <w:highlight w:val="none"/>
        </w:rPr>
      </w:pPr>
      <w:r>
        <w:rPr>
          <w:rFonts w:ascii="宋体" w:hAnsi="宋体" w:cs="宋体"/>
          <w:color w:val="auto"/>
          <w:spacing w:val="1"/>
          <w:szCs w:val="21"/>
          <w:highlight w:val="none"/>
        </w:rPr>
        <w:t>法定代表人</w:t>
      </w:r>
      <w:r>
        <w:rPr>
          <w:rFonts w:ascii="宋体" w:hAnsi="宋体" w:cs="宋体"/>
          <w:color w:val="auto"/>
          <w:spacing w:val="-16"/>
          <w:szCs w:val="21"/>
          <w:highlight w:val="none"/>
        </w:rPr>
        <w:t>：</w:t>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pacing w:val="-16"/>
          <w:szCs w:val="21"/>
          <w:highlight w:val="none"/>
        </w:rPr>
        <w:t>（</w:t>
      </w:r>
      <w:r>
        <w:rPr>
          <w:rFonts w:ascii="宋体" w:hAnsi="宋体" w:cs="宋体"/>
          <w:color w:val="auto"/>
          <w:spacing w:val="1"/>
          <w:szCs w:val="21"/>
          <w:highlight w:val="none"/>
        </w:rPr>
        <w:t>签章）</w:t>
      </w:r>
    </w:p>
    <w:p w14:paraId="30822779">
      <w:pPr>
        <w:tabs>
          <w:tab w:val="left" w:pos="6015"/>
        </w:tabs>
        <w:spacing w:before="230" w:line="424" w:lineRule="auto"/>
        <w:ind w:left="5278" w:right="127" w:hanging="725"/>
        <w:rPr>
          <w:rFonts w:ascii="宋体" w:hAnsi="宋体" w:cs="宋体"/>
          <w:color w:val="auto"/>
          <w:szCs w:val="21"/>
          <w:highlight w:val="none"/>
        </w:rPr>
      </w:pPr>
      <w:r>
        <w:rPr>
          <w:rFonts w:ascii="宋体" w:hAnsi="宋体" w:cs="宋体"/>
          <w:color w:val="auto"/>
          <w:szCs w:val="21"/>
          <w:highlight w:val="none"/>
          <w:u w:val="single"/>
        </w:rPr>
        <w:tab/>
      </w:r>
      <w:r>
        <w:rPr>
          <w:rFonts w:ascii="宋体" w:hAnsi="宋体" w:cs="宋体"/>
          <w:color w:val="auto"/>
          <w:spacing w:val="-7"/>
          <w:szCs w:val="21"/>
          <w:highlight w:val="none"/>
        </w:rPr>
        <w:t>年</w:t>
      </w:r>
      <w:r>
        <w:rPr>
          <w:rFonts w:ascii="宋体" w:hAnsi="宋体" w:cs="宋体"/>
          <w:color w:val="auto"/>
          <w:szCs w:val="21"/>
          <w:highlight w:val="none"/>
          <w:u w:val="single"/>
        </w:rPr>
        <w:tab/>
      </w:r>
      <w:r>
        <w:rPr>
          <w:rFonts w:ascii="宋体" w:hAnsi="宋体" w:cs="宋体"/>
          <w:color w:val="auto"/>
          <w:spacing w:val="-7"/>
          <w:szCs w:val="21"/>
          <w:highlight w:val="none"/>
        </w:rPr>
        <w:t>月</w:t>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pacing w:val="-7"/>
          <w:szCs w:val="21"/>
          <w:highlight w:val="none"/>
        </w:rPr>
        <w:t>日</w:t>
      </w:r>
    </w:p>
    <w:p w14:paraId="70726274">
      <w:pPr>
        <w:spacing w:line="424" w:lineRule="auto"/>
        <w:rPr>
          <w:rFonts w:ascii="宋体" w:hAnsi="宋体" w:cs="宋体"/>
          <w:color w:val="auto"/>
          <w:szCs w:val="21"/>
          <w:highlight w:val="none"/>
        </w:rPr>
        <w:sectPr>
          <w:footerReference r:id="rId17" w:type="default"/>
          <w:pgSz w:w="11907" w:h="16839"/>
          <w:pgMar w:top="1431" w:right="1785" w:bottom="1012" w:left="1785" w:header="0" w:footer="812" w:gutter="0"/>
          <w:pgNumType w:fmt="decimal"/>
          <w:cols w:space="720" w:num="1"/>
        </w:sectPr>
      </w:pPr>
    </w:p>
    <w:p w14:paraId="0D225728">
      <w:pPr>
        <w:spacing w:before="47" w:line="219" w:lineRule="auto"/>
        <w:ind w:left="34"/>
        <w:outlineLvl w:val="9"/>
        <w:rPr>
          <w:rFonts w:ascii="黑体" w:hAnsi="黑体" w:eastAsia="黑体" w:cs="黑体"/>
          <w:color w:val="auto"/>
          <w:spacing w:val="-3"/>
          <w:sz w:val="24"/>
          <w:highlight w:val="none"/>
        </w:rPr>
      </w:pPr>
      <w:bookmarkStart w:id="221" w:name="bookmark101"/>
      <w:bookmarkEnd w:id="221"/>
      <w:bookmarkStart w:id="222" w:name="_Toc21275"/>
    </w:p>
    <w:p w14:paraId="48929047">
      <w:pPr>
        <w:spacing w:before="47" w:line="219" w:lineRule="auto"/>
        <w:ind w:left="34"/>
        <w:outlineLvl w:val="2"/>
        <w:rPr>
          <w:rFonts w:ascii="黑体" w:hAnsi="黑体" w:eastAsia="黑体" w:cs="黑体"/>
          <w:color w:val="auto"/>
          <w:sz w:val="24"/>
          <w:highlight w:val="none"/>
        </w:rPr>
      </w:pPr>
      <w:r>
        <w:rPr>
          <w:rFonts w:ascii="黑体" w:hAnsi="黑体" w:eastAsia="黑体" w:cs="黑体"/>
          <w:color w:val="auto"/>
          <w:spacing w:val="-3"/>
          <w:sz w:val="24"/>
          <w:highlight w:val="none"/>
        </w:rPr>
        <w:t>附表十：异议书</w:t>
      </w:r>
      <w:bookmarkEnd w:id="222"/>
    </w:p>
    <w:p w14:paraId="714D904D">
      <w:pPr>
        <w:pStyle w:val="17"/>
        <w:spacing w:line="263" w:lineRule="auto"/>
        <w:rPr>
          <w:color w:val="auto"/>
          <w:highlight w:val="none"/>
        </w:rPr>
      </w:pPr>
    </w:p>
    <w:p w14:paraId="5E69E767">
      <w:pPr>
        <w:pStyle w:val="17"/>
        <w:spacing w:line="264" w:lineRule="auto"/>
        <w:rPr>
          <w:color w:val="auto"/>
          <w:highlight w:val="none"/>
        </w:rPr>
      </w:pPr>
    </w:p>
    <w:p w14:paraId="1C47D3ED">
      <w:pPr>
        <w:spacing w:before="91" w:line="219" w:lineRule="auto"/>
        <w:ind w:left="3763"/>
        <w:rPr>
          <w:rFonts w:ascii="黑体" w:hAnsi="黑体" w:eastAsia="黑体" w:cs="黑体"/>
          <w:color w:val="auto"/>
          <w:sz w:val="28"/>
          <w:szCs w:val="28"/>
          <w:highlight w:val="none"/>
        </w:rPr>
      </w:pPr>
      <w:r>
        <w:rPr>
          <w:rFonts w:ascii="黑体" w:hAnsi="黑体" w:eastAsia="黑体" w:cs="黑体"/>
          <w:color w:val="auto"/>
          <w:spacing w:val="-4"/>
          <w:sz w:val="28"/>
          <w:szCs w:val="28"/>
          <w:highlight w:val="none"/>
        </w:rPr>
        <w:t>异议书</w:t>
      </w:r>
    </w:p>
    <w:p w14:paraId="48AFF8A7">
      <w:pPr>
        <w:pStyle w:val="17"/>
        <w:spacing w:line="393" w:lineRule="auto"/>
        <w:rPr>
          <w:color w:val="auto"/>
          <w:highlight w:val="none"/>
        </w:rPr>
      </w:pPr>
    </w:p>
    <w:p w14:paraId="74F62AD2">
      <w:pPr>
        <w:spacing w:before="68" w:line="220" w:lineRule="auto"/>
        <w:ind w:left="23"/>
        <w:rPr>
          <w:rFonts w:ascii="宋体" w:hAnsi="宋体" w:cs="宋体"/>
          <w:color w:val="auto"/>
          <w:szCs w:val="21"/>
          <w:highlight w:val="none"/>
        </w:rPr>
      </w:pPr>
      <w:r>
        <w:rPr>
          <w:rFonts w:ascii="宋体" w:hAnsi="宋体" w:cs="宋体"/>
          <w:b/>
          <w:bCs/>
          <w:color w:val="auto"/>
          <w:spacing w:val="-4"/>
          <w:szCs w:val="21"/>
          <w:highlight w:val="none"/>
        </w:rPr>
        <w:t>一、异议项目基本情况</w:t>
      </w:r>
    </w:p>
    <w:p w14:paraId="10131F3F">
      <w:pPr>
        <w:spacing w:before="249" w:line="221" w:lineRule="auto"/>
        <w:ind w:left="441"/>
        <w:rPr>
          <w:rFonts w:ascii="宋体" w:hAnsi="宋体" w:cs="宋体"/>
          <w:color w:val="auto"/>
          <w:szCs w:val="21"/>
          <w:highlight w:val="none"/>
        </w:rPr>
      </w:pPr>
      <w:r>
        <w:rPr>
          <w:rFonts w:ascii="宋体" w:hAnsi="宋体" w:cs="宋体"/>
          <w:color w:val="auto"/>
          <w:spacing w:val="-1"/>
          <w:szCs w:val="21"/>
          <w:highlight w:val="none"/>
        </w:rPr>
        <w:t>标段名称：</w:t>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hint="eastAsia" w:ascii="宋体" w:hAnsi="宋体" w:cs="宋体"/>
          <w:color w:val="auto"/>
          <w:szCs w:val="21"/>
          <w:highlight w:val="none"/>
          <w:u w:val="single"/>
          <w:lang w:val="en-US" w:eastAsia="zh-CN"/>
        </w:rPr>
        <w:t xml:space="preserve">     </w:t>
      </w:r>
      <w:r>
        <w:rPr>
          <w:rFonts w:ascii="宋体" w:hAnsi="宋体" w:cs="宋体"/>
          <w:color w:val="auto"/>
          <w:szCs w:val="21"/>
          <w:highlight w:val="none"/>
          <w:u w:val="single"/>
        </w:rPr>
        <w:tab/>
      </w:r>
      <w:r>
        <w:rPr>
          <w:rFonts w:ascii="宋体" w:hAnsi="宋体" w:cs="宋体"/>
          <w:color w:val="auto"/>
          <w:szCs w:val="21"/>
          <w:highlight w:val="none"/>
          <w:u w:val="single"/>
        </w:rPr>
        <w:tab/>
      </w:r>
    </w:p>
    <w:p w14:paraId="1A699C32">
      <w:pPr>
        <w:spacing w:before="247" w:line="221" w:lineRule="auto"/>
        <w:ind w:left="441"/>
        <w:rPr>
          <w:rFonts w:ascii="宋体" w:hAnsi="宋体" w:cs="宋体"/>
          <w:color w:val="auto"/>
          <w:szCs w:val="21"/>
          <w:highlight w:val="none"/>
        </w:rPr>
      </w:pPr>
      <w:r>
        <w:rPr>
          <w:rFonts w:ascii="宋体" w:hAnsi="宋体" w:cs="宋体"/>
          <w:color w:val="auto"/>
          <w:spacing w:val="-1"/>
          <w:szCs w:val="21"/>
          <w:highlight w:val="none"/>
        </w:rPr>
        <w:t>标段唯一标识码：</w:t>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p>
    <w:p w14:paraId="5C34D0A7">
      <w:pPr>
        <w:spacing w:before="251" w:line="221" w:lineRule="auto"/>
        <w:ind w:left="441"/>
        <w:rPr>
          <w:rFonts w:ascii="宋体" w:hAnsi="宋体" w:cs="宋体"/>
          <w:color w:val="auto"/>
          <w:szCs w:val="21"/>
          <w:highlight w:val="none"/>
        </w:rPr>
      </w:pPr>
      <w:r>
        <w:rPr>
          <w:rFonts w:ascii="宋体" w:hAnsi="宋体" w:cs="宋体"/>
          <w:color w:val="auto"/>
          <w:spacing w:val="-1"/>
          <w:szCs w:val="21"/>
          <w:highlight w:val="none"/>
        </w:rPr>
        <w:t>招标人名称：</w:t>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p>
    <w:p w14:paraId="07D4E18A">
      <w:pPr>
        <w:spacing w:before="248" w:line="220" w:lineRule="auto"/>
        <w:ind w:left="441"/>
        <w:rPr>
          <w:rFonts w:ascii="宋体" w:hAnsi="宋体" w:cs="宋体"/>
          <w:color w:val="auto"/>
          <w:szCs w:val="21"/>
          <w:highlight w:val="none"/>
        </w:rPr>
      </w:pPr>
      <w:r>
        <w:rPr>
          <w:rFonts w:ascii="宋体" w:hAnsi="宋体" w:cs="宋体"/>
          <w:color w:val="auto"/>
          <w:spacing w:val="-1"/>
          <w:szCs w:val="21"/>
          <w:highlight w:val="none"/>
        </w:rPr>
        <w:t>招标代理机构名称：</w:t>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p>
    <w:p w14:paraId="1A7B5D73">
      <w:pPr>
        <w:spacing w:before="248" w:line="220" w:lineRule="auto"/>
        <w:ind w:left="23"/>
        <w:rPr>
          <w:rFonts w:ascii="宋体" w:hAnsi="宋体" w:cs="宋体"/>
          <w:color w:val="auto"/>
          <w:szCs w:val="21"/>
          <w:highlight w:val="none"/>
        </w:rPr>
      </w:pPr>
      <w:r>
        <w:rPr>
          <w:rFonts w:ascii="宋体" w:hAnsi="宋体" w:cs="宋体"/>
          <w:b/>
          <w:bCs/>
          <w:color w:val="auto"/>
          <w:spacing w:val="-3"/>
          <w:szCs w:val="21"/>
          <w:highlight w:val="none"/>
        </w:rPr>
        <w:t>二、异议人基本情况</w:t>
      </w:r>
    </w:p>
    <w:p w14:paraId="7A83D26A">
      <w:pPr>
        <w:spacing w:before="252" w:line="221" w:lineRule="auto"/>
        <w:ind w:left="441"/>
        <w:rPr>
          <w:rFonts w:ascii="宋体" w:hAnsi="宋体" w:cs="宋体"/>
          <w:color w:val="auto"/>
          <w:szCs w:val="21"/>
          <w:highlight w:val="none"/>
        </w:rPr>
      </w:pPr>
      <w:r>
        <w:rPr>
          <w:rFonts w:ascii="宋体" w:hAnsi="宋体" w:cs="宋体"/>
          <w:color w:val="auto"/>
          <w:spacing w:val="-1"/>
          <w:szCs w:val="21"/>
          <w:highlight w:val="none"/>
        </w:rPr>
        <w:t>单位名称：</w:t>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hint="eastAsia" w:ascii="宋体" w:hAnsi="宋体" w:cs="宋体"/>
          <w:color w:val="auto"/>
          <w:szCs w:val="21"/>
          <w:highlight w:val="none"/>
          <w:u w:val="single"/>
          <w:lang w:val="en-US" w:eastAsia="zh-CN"/>
        </w:rPr>
        <w:t xml:space="preserve">     </w:t>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p>
    <w:p w14:paraId="5B39AEC5">
      <w:pPr>
        <w:spacing w:before="247" w:line="221" w:lineRule="auto"/>
        <w:ind w:left="439"/>
        <w:rPr>
          <w:rFonts w:ascii="宋体" w:hAnsi="宋体" w:cs="宋体"/>
          <w:color w:val="auto"/>
          <w:szCs w:val="21"/>
          <w:highlight w:val="none"/>
        </w:rPr>
      </w:pPr>
      <w:r>
        <w:rPr>
          <w:rFonts w:ascii="宋体" w:hAnsi="宋体" w:cs="宋体"/>
          <w:color w:val="auto"/>
          <w:spacing w:val="-5"/>
          <w:szCs w:val="21"/>
          <w:highlight w:val="none"/>
        </w:rPr>
        <w:t>住所地：</w:t>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pacing w:val="-5"/>
          <w:szCs w:val="21"/>
          <w:highlight w:val="none"/>
        </w:rPr>
        <w:t>邮编：</w:t>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p>
    <w:p w14:paraId="7C3AEEA3">
      <w:pPr>
        <w:spacing w:before="247" w:line="221" w:lineRule="auto"/>
        <w:ind w:left="439"/>
        <w:rPr>
          <w:rFonts w:ascii="宋体" w:hAnsi="宋体" w:cs="宋体"/>
          <w:color w:val="auto"/>
          <w:szCs w:val="21"/>
          <w:highlight w:val="none"/>
        </w:rPr>
      </w:pPr>
      <w:r>
        <w:rPr>
          <w:rFonts w:ascii="宋体" w:hAnsi="宋体" w:cs="宋体"/>
          <w:color w:val="auto"/>
          <w:spacing w:val="-1"/>
          <w:szCs w:val="21"/>
          <w:highlight w:val="none"/>
        </w:rPr>
        <w:t>法定代表人：</w:t>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pacing w:val="-2"/>
          <w:szCs w:val="21"/>
          <w:highlight w:val="none"/>
        </w:rPr>
        <w:t>联系电话：</w:t>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p>
    <w:p w14:paraId="128BC26A">
      <w:pPr>
        <w:spacing w:before="247" w:line="221" w:lineRule="auto"/>
        <w:ind w:left="439"/>
        <w:rPr>
          <w:rFonts w:ascii="宋体" w:hAnsi="宋体" w:cs="宋体"/>
          <w:color w:val="auto"/>
          <w:szCs w:val="21"/>
          <w:highlight w:val="none"/>
        </w:rPr>
      </w:pPr>
      <w:r>
        <w:rPr>
          <w:rFonts w:ascii="宋体" w:hAnsi="宋体" w:cs="宋体"/>
          <w:color w:val="auto"/>
          <w:spacing w:val="-1"/>
          <w:szCs w:val="21"/>
          <w:highlight w:val="none"/>
        </w:rPr>
        <w:t>异议人授权代表：</w:t>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hint="eastAsia" w:ascii="宋体" w:hAnsi="宋体" w:cs="宋体"/>
          <w:color w:val="auto"/>
          <w:szCs w:val="21"/>
          <w:highlight w:val="none"/>
          <w:u w:val="single"/>
          <w:lang w:val="en-US" w:eastAsia="zh-CN"/>
        </w:rPr>
        <w:t xml:space="preserve">    </w:t>
      </w:r>
      <w:r>
        <w:rPr>
          <w:rFonts w:ascii="宋体" w:hAnsi="宋体" w:cs="宋体"/>
          <w:color w:val="auto"/>
          <w:spacing w:val="-2"/>
          <w:szCs w:val="21"/>
          <w:highlight w:val="none"/>
        </w:rPr>
        <w:t>性别：</w:t>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p>
    <w:p w14:paraId="4397B740">
      <w:pPr>
        <w:spacing w:before="247" w:line="221" w:lineRule="auto"/>
        <w:ind w:left="439"/>
        <w:rPr>
          <w:rFonts w:ascii="宋体" w:hAnsi="宋体" w:cs="宋体"/>
          <w:color w:val="auto"/>
          <w:szCs w:val="21"/>
          <w:highlight w:val="none"/>
        </w:rPr>
      </w:pPr>
      <w:r>
        <w:rPr>
          <w:rFonts w:ascii="宋体" w:hAnsi="宋体" w:cs="宋体"/>
          <w:color w:val="auto"/>
          <w:spacing w:val="-1"/>
          <w:szCs w:val="21"/>
          <w:highlight w:val="none"/>
        </w:rPr>
        <w:t>地址：</w:t>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hint="eastAsia" w:ascii="宋体" w:hAnsi="宋体" w:cs="宋体"/>
          <w:color w:val="auto"/>
          <w:szCs w:val="21"/>
          <w:highlight w:val="none"/>
          <w:u w:val="single"/>
          <w:lang w:val="en-US" w:eastAsia="zh-CN"/>
        </w:rPr>
        <w:t xml:space="preserve">                </w:t>
      </w:r>
      <w:r>
        <w:rPr>
          <w:rFonts w:ascii="宋体" w:hAnsi="宋体" w:cs="宋体"/>
          <w:color w:val="auto"/>
          <w:spacing w:val="-2"/>
          <w:szCs w:val="21"/>
          <w:highlight w:val="none"/>
        </w:rPr>
        <w:t>联系电话：</w:t>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p>
    <w:p w14:paraId="603ED79C">
      <w:pPr>
        <w:spacing w:before="245" w:line="220" w:lineRule="auto"/>
        <w:ind w:left="20"/>
        <w:rPr>
          <w:rFonts w:ascii="宋体" w:hAnsi="宋体" w:cs="宋体"/>
          <w:color w:val="auto"/>
          <w:szCs w:val="21"/>
          <w:highlight w:val="none"/>
        </w:rPr>
      </w:pPr>
      <w:r>
        <w:rPr>
          <w:rFonts w:ascii="宋体" w:hAnsi="宋体" w:cs="宋体"/>
          <w:b/>
          <w:bCs/>
          <w:color w:val="auto"/>
          <w:spacing w:val="-2"/>
          <w:szCs w:val="21"/>
          <w:highlight w:val="none"/>
        </w:rPr>
        <w:t>三、异议事项基本事实</w:t>
      </w:r>
    </w:p>
    <w:p w14:paraId="77076DF2">
      <w:pPr>
        <w:spacing w:before="251" w:line="221" w:lineRule="auto"/>
        <w:ind w:left="442"/>
        <w:rPr>
          <w:rFonts w:ascii="宋体" w:hAnsi="宋体" w:cs="宋体"/>
          <w:color w:val="auto"/>
          <w:szCs w:val="21"/>
          <w:highlight w:val="none"/>
        </w:rPr>
      </w:pPr>
      <w:r>
        <w:rPr>
          <w:rFonts w:ascii="宋体" w:hAnsi="宋体" w:cs="宋体"/>
          <w:color w:val="auto"/>
          <w:spacing w:val="-2"/>
          <w:szCs w:val="21"/>
          <w:highlight w:val="none"/>
        </w:rPr>
        <w:t>异议事项1</w:t>
      </w:r>
      <w:r>
        <w:rPr>
          <w:rFonts w:ascii="宋体" w:hAnsi="宋体" w:cs="宋体"/>
          <w:color w:val="auto"/>
          <w:spacing w:val="-14"/>
          <w:szCs w:val="21"/>
          <w:highlight w:val="none"/>
        </w:rPr>
        <w:t>：</w:t>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pacing w:val="-14"/>
          <w:szCs w:val="21"/>
          <w:highlight w:val="none"/>
        </w:rPr>
        <w:t>；</w:t>
      </w:r>
    </w:p>
    <w:p w14:paraId="59A58F4E">
      <w:pPr>
        <w:spacing w:before="248" w:line="221" w:lineRule="auto"/>
        <w:ind w:left="442"/>
        <w:rPr>
          <w:rFonts w:ascii="宋体" w:hAnsi="宋体" w:cs="宋体"/>
          <w:color w:val="auto"/>
          <w:szCs w:val="21"/>
          <w:highlight w:val="none"/>
        </w:rPr>
      </w:pPr>
      <w:r>
        <w:rPr>
          <w:rFonts w:ascii="宋体" w:hAnsi="宋体" w:cs="宋体"/>
          <w:color w:val="auto"/>
          <w:spacing w:val="1"/>
          <w:szCs w:val="21"/>
          <w:highlight w:val="none"/>
        </w:rPr>
        <w:t>异议事项2</w:t>
      </w:r>
      <w:r>
        <w:rPr>
          <w:rFonts w:ascii="宋体" w:hAnsi="宋体" w:cs="宋体"/>
          <w:color w:val="auto"/>
          <w:spacing w:val="-14"/>
          <w:szCs w:val="21"/>
          <w:highlight w:val="none"/>
        </w:rPr>
        <w:t>：</w:t>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pacing w:val="-14"/>
          <w:szCs w:val="21"/>
          <w:highlight w:val="none"/>
        </w:rPr>
        <w:t>；</w:t>
      </w:r>
    </w:p>
    <w:p w14:paraId="37FCFC0F">
      <w:pPr>
        <w:spacing w:before="248" w:line="221" w:lineRule="auto"/>
        <w:ind w:left="442"/>
        <w:rPr>
          <w:rFonts w:ascii="宋体" w:hAnsi="宋体" w:cs="宋体"/>
          <w:color w:val="auto"/>
          <w:szCs w:val="21"/>
          <w:highlight w:val="none"/>
        </w:rPr>
      </w:pPr>
      <w:r>
        <w:rPr>
          <w:rFonts w:ascii="宋体" w:hAnsi="宋体" w:cs="宋体"/>
          <w:color w:val="auto"/>
          <w:spacing w:val="-1"/>
          <w:szCs w:val="21"/>
          <w:highlight w:val="none"/>
        </w:rPr>
        <w:t>异议事项3：</w:t>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pacing w:val="-2"/>
          <w:szCs w:val="21"/>
          <w:highlight w:val="none"/>
        </w:rPr>
        <w:t>。</w:t>
      </w:r>
    </w:p>
    <w:p w14:paraId="2DF483D5">
      <w:pPr>
        <w:spacing w:before="251" w:line="220" w:lineRule="auto"/>
        <w:ind w:left="40"/>
        <w:rPr>
          <w:rFonts w:ascii="宋体" w:hAnsi="宋体" w:cs="宋体"/>
          <w:color w:val="auto"/>
          <w:szCs w:val="21"/>
          <w:highlight w:val="none"/>
        </w:rPr>
      </w:pPr>
      <w:r>
        <w:rPr>
          <w:rFonts w:ascii="宋体" w:hAnsi="宋体" w:cs="宋体"/>
          <w:b/>
          <w:bCs/>
          <w:color w:val="auto"/>
          <w:spacing w:val="-3"/>
          <w:szCs w:val="21"/>
          <w:highlight w:val="none"/>
        </w:rPr>
        <w:t>四、有效线索和相关证明材料：见附件</w:t>
      </w:r>
    </w:p>
    <w:p w14:paraId="5D982EEC">
      <w:pPr>
        <w:spacing w:before="250" w:line="221" w:lineRule="auto"/>
        <w:ind w:left="23"/>
        <w:rPr>
          <w:rFonts w:ascii="宋体" w:hAnsi="宋体" w:cs="宋体"/>
          <w:color w:val="auto"/>
          <w:szCs w:val="21"/>
          <w:highlight w:val="none"/>
        </w:rPr>
      </w:pPr>
      <w:r>
        <w:rPr>
          <w:rFonts w:ascii="宋体" w:hAnsi="宋体" w:cs="宋体"/>
          <w:b/>
          <w:bCs/>
          <w:color w:val="auto"/>
          <w:spacing w:val="-3"/>
          <w:szCs w:val="21"/>
          <w:highlight w:val="none"/>
        </w:rPr>
        <w:t>五、相关请求及主张：</w:t>
      </w:r>
    </w:p>
    <w:p w14:paraId="349A8847">
      <w:pPr>
        <w:spacing w:before="247" w:line="223" w:lineRule="auto"/>
        <w:ind w:left="446"/>
        <w:rPr>
          <w:rFonts w:ascii="宋体" w:hAnsi="宋体" w:cs="宋体"/>
          <w:color w:val="auto"/>
          <w:szCs w:val="21"/>
          <w:highlight w:val="none"/>
        </w:rPr>
      </w:pPr>
      <w:r>
        <w:rPr>
          <w:rFonts w:ascii="宋体" w:hAnsi="宋体" w:cs="宋体"/>
          <w:color w:val="auto"/>
          <w:spacing w:val="-7"/>
          <w:szCs w:val="21"/>
          <w:highlight w:val="none"/>
        </w:rPr>
        <w:t>（一</w:t>
      </w:r>
      <w:r>
        <w:rPr>
          <w:rFonts w:ascii="宋体" w:hAnsi="宋体" w:cs="宋体"/>
          <w:color w:val="auto"/>
          <w:spacing w:val="-1"/>
          <w:szCs w:val="21"/>
          <w:highlight w:val="none"/>
        </w:rPr>
        <w:t>）</w:t>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pacing w:val="-1"/>
          <w:szCs w:val="21"/>
          <w:highlight w:val="none"/>
        </w:rPr>
        <w:t>；</w:t>
      </w:r>
    </w:p>
    <w:p w14:paraId="70149548">
      <w:pPr>
        <w:spacing w:before="248" w:line="223" w:lineRule="auto"/>
        <w:ind w:left="446"/>
        <w:rPr>
          <w:rFonts w:ascii="宋体" w:hAnsi="宋体" w:cs="宋体"/>
          <w:color w:val="auto"/>
          <w:szCs w:val="21"/>
          <w:highlight w:val="none"/>
        </w:rPr>
      </w:pPr>
      <w:r>
        <w:rPr>
          <w:rFonts w:ascii="宋体" w:hAnsi="宋体" w:cs="宋体"/>
          <w:color w:val="auto"/>
          <w:spacing w:val="-5"/>
          <w:szCs w:val="21"/>
          <w:highlight w:val="none"/>
        </w:rPr>
        <w:t>（二</w:t>
      </w:r>
      <w:r>
        <w:rPr>
          <w:rFonts w:ascii="宋体" w:hAnsi="宋体" w:cs="宋体"/>
          <w:color w:val="auto"/>
          <w:spacing w:val="-3"/>
          <w:szCs w:val="21"/>
          <w:highlight w:val="none"/>
        </w:rPr>
        <w:t>）</w:t>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pacing w:val="-3"/>
          <w:szCs w:val="21"/>
          <w:highlight w:val="none"/>
        </w:rPr>
        <w:t>；</w:t>
      </w:r>
    </w:p>
    <w:p w14:paraId="2F35459F">
      <w:pPr>
        <w:spacing w:before="245" w:line="233" w:lineRule="auto"/>
        <w:ind w:left="446"/>
        <w:rPr>
          <w:rFonts w:ascii="宋体" w:hAnsi="宋体" w:cs="宋体"/>
          <w:color w:val="auto"/>
          <w:szCs w:val="21"/>
          <w:highlight w:val="none"/>
        </w:rPr>
      </w:pPr>
      <w:r>
        <w:rPr>
          <w:rFonts w:ascii="宋体" w:hAnsi="宋体" w:cs="宋体"/>
          <w:color w:val="auto"/>
          <w:spacing w:val="-1"/>
          <w:szCs w:val="21"/>
          <w:highlight w:val="none"/>
        </w:rPr>
        <w:t>（三）</w:t>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pacing w:val="-2"/>
          <w:szCs w:val="21"/>
          <w:highlight w:val="none"/>
        </w:rPr>
        <w:t>。</w:t>
      </w:r>
    </w:p>
    <w:p w14:paraId="2E1B68AF">
      <w:pPr>
        <w:pStyle w:val="17"/>
        <w:spacing w:line="475" w:lineRule="auto"/>
        <w:rPr>
          <w:color w:val="auto"/>
          <w:highlight w:val="none"/>
        </w:rPr>
      </w:pPr>
    </w:p>
    <w:p w14:paraId="329237C9">
      <w:pPr>
        <w:spacing w:before="69" w:line="220" w:lineRule="auto"/>
        <w:ind w:left="4321"/>
        <w:rPr>
          <w:rFonts w:ascii="宋体" w:hAnsi="宋体" w:cs="宋体"/>
          <w:color w:val="auto"/>
          <w:szCs w:val="21"/>
          <w:highlight w:val="none"/>
        </w:rPr>
      </w:pPr>
      <w:r>
        <w:rPr>
          <w:rFonts w:ascii="宋体" w:hAnsi="宋体" w:cs="宋体"/>
          <w:color w:val="auto"/>
          <w:spacing w:val="-4"/>
          <w:szCs w:val="21"/>
          <w:highlight w:val="none"/>
        </w:rPr>
        <w:t>异议人（公章</w:t>
      </w:r>
      <w:r>
        <w:rPr>
          <w:rFonts w:ascii="宋体" w:hAnsi="宋体" w:cs="宋体"/>
          <w:color w:val="auto"/>
          <w:spacing w:val="7"/>
          <w:szCs w:val="21"/>
          <w:highlight w:val="none"/>
        </w:rPr>
        <w:t>）：</w:t>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p>
    <w:p w14:paraId="4062ED5B">
      <w:pPr>
        <w:spacing w:before="157" w:line="220" w:lineRule="auto"/>
        <w:ind w:left="2640"/>
        <w:rPr>
          <w:rFonts w:ascii="宋体" w:hAnsi="宋体" w:cs="宋体"/>
          <w:color w:val="auto"/>
          <w:szCs w:val="21"/>
          <w:highlight w:val="none"/>
        </w:rPr>
      </w:pPr>
      <w:r>
        <w:rPr>
          <w:rFonts w:ascii="宋体" w:hAnsi="宋体" w:cs="宋体"/>
          <w:color w:val="auto"/>
          <w:spacing w:val="-1"/>
          <w:szCs w:val="21"/>
          <w:highlight w:val="none"/>
        </w:rPr>
        <w:t>法定代表人或授权代表（签字或盖章）</w:t>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p>
    <w:p w14:paraId="546F6123">
      <w:pPr>
        <w:spacing w:before="158" w:line="221" w:lineRule="auto"/>
        <w:ind w:left="4257"/>
        <w:rPr>
          <w:rFonts w:ascii="宋体" w:hAnsi="宋体" w:cs="宋体"/>
          <w:color w:val="auto"/>
          <w:szCs w:val="21"/>
          <w:highlight w:val="none"/>
        </w:rPr>
      </w:pPr>
      <w:r>
        <w:rPr>
          <w:rFonts w:ascii="宋体" w:hAnsi="宋体" w:cs="宋体"/>
          <w:color w:val="auto"/>
          <w:spacing w:val="-13"/>
          <w:szCs w:val="21"/>
          <w:highlight w:val="none"/>
        </w:rPr>
        <w:t>日</w:t>
      </w:r>
      <w:r>
        <w:rPr>
          <w:rFonts w:hint="eastAsia" w:ascii="宋体" w:hAnsi="宋体" w:cs="宋体"/>
          <w:color w:val="auto"/>
          <w:spacing w:val="-13"/>
          <w:szCs w:val="21"/>
          <w:highlight w:val="none"/>
          <w:lang w:val="en-US" w:eastAsia="zh-CN"/>
        </w:rPr>
        <w:t xml:space="preserve">      </w:t>
      </w:r>
      <w:r>
        <w:rPr>
          <w:rFonts w:ascii="宋体" w:hAnsi="宋体" w:cs="宋体"/>
          <w:color w:val="auto"/>
          <w:spacing w:val="-13"/>
          <w:szCs w:val="21"/>
          <w:highlight w:val="none"/>
        </w:rPr>
        <w:t>期：</w:t>
      </w:r>
      <w:r>
        <w:rPr>
          <w:rFonts w:hint="eastAsia" w:ascii="宋体" w:hAnsi="宋体" w:cs="宋体"/>
          <w:color w:val="auto"/>
          <w:spacing w:val="-13"/>
          <w:szCs w:val="21"/>
          <w:highlight w:val="none"/>
          <w:lang w:val="en-US" w:eastAsia="zh-CN"/>
        </w:rPr>
        <w:t xml:space="preserve">      </w:t>
      </w:r>
      <w:r>
        <w:rPr>
          <w:rFonts w:ascii="宋体" w:hAnsi="宋体" w:cs="宋体"/>
          <w:color w:val="auto"/>
          <w:spacing w:val="-13"/>
          <w:szCs w:val="21"/>
          <w:highlight w:val="none"/>
        </w:rPr>
        <w:t>年</w:t>
      </w:r>
      <w:r>
        <w:rPr>
          <w:rFonts w:hint="eastAsia" w:ascii="宋体" w:hAnsi="宋体" w:cs="宋体"/>
          <w:color w:val="auto"/>
          <w:spacing w:val="-13"/>
          <w:szCs w:val="21"/>
          <w:highlight w:val="none"/>
          <w:lang w:val="en-US" w:eastAsia="zh-CN"/>
        </w:rPr>
        <w:t xml:space="preserve">      </w:t>
      </w:r>
      <w:r>
        <w:rPr>
          <w:rFonts w:ascii="宋体" w:hAnsi="宋体" w:cs="宋体"/>
          <w:color w:val="auto"/>
          <w:spacing w:val="-13"/>
          <w:szCs w:val="21"/>
          <w:highlight w:val="none"/>
        </w:rPr>
        <w:t>月</w:t>
      </w:r>
      <w:r>
        <w:rPr>
          <w:rFonts w:hint="eastAsia" w:ascii="宋体" w:hAnsi="宋体" w:cs="宋体"/>
          <w:color w:val="auto"/>
          <w:spacing w:val="-13"/>
          <w:szCs w:val="21"/>
          <w:highlight w:val="none"/>
          <w:lang w:val="en-US" w:eastAsia="zh-CN"/>
        </w:rPr>
        <w:t xml:space="preserve">      </w:t>
      </w:r>
      <w:r>
        <w:rPr>
          <w:rFonts w:ascii="宋体" w:hAnsi="宋体" w:cs="宋体"/>
          <w:color w:val="auto"/>
          <w:spacing w:val="-13"/>
          <w:szCs w:val="21"/>
          <w:highlight w:val="none"/>
        </w:rPr>
        <w:t>日</w:t>
      </w:r>
    </w:p>
    <w:p w14:paraId="4EA8BF03">
      <w:pPr>
        <w:spacing w:line="221" w:lineRule="auto"/>
        <w:rPr>
          <w:rFonts w:ascii="宋体" w:hAnsi="宋体" w:cs="宋体"/>
          <w:color w:val="auto"/>
          <w:szCs w:val="21"/>
          <w:highlight w:val="none"/>
        </w:rPr>
        <w:sectPr>
          <w:footerReference r:id="rId18" w:type="default"/>
          <w:pgSz w:w="11907" w:h="16839"/>
          <w:pgMar w:top="1428" w:right="1785" w:bottom="1012" w:left="1785" w:header="0" w:footer="812" w:gutter="0"/>
          <w:pgNumType w:fmt="decimal"/>
          <w:cols w:space="720" w:num="1"/>
        </w:sectPr>
      </w:pPr>
    </w:p>
    <w:p w14:paraId="781D667B">
      <w:pPr>
        <w:pStyle w:val="17"/>
        <w:spacing w:line="247" w:lineRule="auto"/>
        <w:rPr>
          <w:color w:val="auto"/>
          <w:highlight w:val="none"/>
        </w:rPr>
      </w:pPr>
    </w:p>
    <w:p w14:paraId="293B3525">
      <w:pPr>
        <w:spacing w:before="78" w:line="219" w:lineRule="auto"/>
        <w:ind w:left="34"/>
        <w:outlineLvl w:val="2"/>
        <w:rPr>
          <w:rFonts w:ascii="黑体" w:hAnsi="黑体" w:eastAsia="黑体" w:cs="黑体"/>
          <w:color w:val="auto"/>
          <w:sz w:val="24"/>
          <w:highlight w:val="none"/>
        </w:rPr>
      </w:pPr>
      <w:bookmarkStart w:id="223" w:name="bookmark102"/>
      <w:bookmarkEnd w:id="223"/>
      <w:r>
        <w:rPr>
          <w:rFonts w:ascii="黑体" w:hAnsi="黑体" w:eastAsia="黑体" w:cs="黑体"/>
          <w:color w:val="auto"/>
          <w:spacing w:val="-5"/>
          <w:sz w:val="24"/>
          <w:highlight w:val="none"/>
        </w:rPr>
        <w:t>附表十一：异议答复函</w:t>
      </w:r>
    </w:p>
    <w:p w14:paraId="253AD905">
      <w:pPr>
        <w:pStyle w:val="17"/>
        <w:spacing w:line="263" w:lineRule="auto"/>
        <w:rPr>
          <w:color w:val="auto"/>
          <w:highlight w:val="none"/>
        </w:rPr>
      </w:pPr>
    </w:p>
    <w:p w14:paraId="3F3F9CFE">
      <w:pPr>
        <w:pStyle w:val="17"/>
        <w:spacing w:line="264" w:lineRule="auto"/>
        <w:rPr>
          <w:color w:val="auto"/>
          <w:highlight w:val="none"/>
        </w:rPr>
      </w:pPr>
    </w:p>
    <w:p w14:paraId="4740B885">
      <w:pPr>
        <w:spacing w:before="91" w:line="219" w:lineRule="auto"/>
        <w:ind w:left="3485"/>
        <w:rPr>
          <w:rFonts w:ascii="黑体" w:hAnsi="黑体" w:eastAsia="黑体" w:cs="黑体"/>
          <w:color w:val="auto"/>
          <w:sz w:val="28"/>
          <w:szCs w:val="28"/>
          <w:highlight w:val="none"/>
        </w:rPr>
      </w:pPr>
      <w:r>
        <w:rPr>
          <w:rFonts w:ascii="黑体" w:hAnsi="黑体" w:eastAsia="黑体" w:cs="黑体"/>
          <w:color w:val="auto"/>
          <w:spacing w:val="-3"/>
          <w:sz w:val="28"/>
          <w:szCs w:val="28"/>
          <w:highlight w:val="none"/>
        </w:rPr>
        <w:t>异议答复函</w:t>
      </w:r>
    </w:p>
    <w:p w14:paraId="341E88A6">
      <w:pPr>
        <w:tabs>
          <w:tab w:val="left" w:pos="131"/>
        </w:tabs>
        <w:spacing w:before="274" w:line="212" w:lineRule="auto"/>
        <w:ind w:left="12"/>
        <w:rPr>
          <w:rFonts w:ascii="宋体" w:hAnsi="宋体" w:cs="宋体"/>
          <w:color w:val="auto"/>
          <w:szCs w:val="21"/>
          <w:highlight w:val="none"/>
        </w:rPr>
      </w:pPr>
      <w:r>
        <w:rPr>
          <w:rFonts w:ascii="宋体" w:hAnsi="宋体" w:cs="宋体"/>
          <w:color w:val="auto"/>
          <w:szCs w:val="21"/>
          <w:highlight w:val="none"/>
          <w:u w:val="single"/>
        </w:rPr>
        <w:tab/>
      </w:r>
      <w:r>
        <w:rPr>
          <w:rFonts w:ascii="宋体" w:hAnsi="宋体" w:cs="宋体"/>
          <w:color w:val="auto"/>
          <w:spacing w:val="-25"/>
          <w:w w:val="97"/>
          <w:szCs w:val="21"/>
          <w:highlight w:val="none"/>
          <w:u w:val="single"/>
        </w:rPr>
        <w:t>（</w:t>
      </w:r>
      <w:r>
        <w:rPr>
          <w:rFonts w:ascii="宋体" w:hAnsi="宋体" w:cs="宋体"/>
          <w:i/>
          <w:iCs/>
          <w:color w:val="auto"/>
          <w:spacing w:val="-25"/>
          <w:w w:val="97"/>
          <w:sz w:val="22"/>
          <w:szCs w:val="22"/>
          <w:highlight w:val="none"/>
          <w:u w:val="single"/>
        </w:rPr>
        <w:t>异议人名称</w:t>
      </w:r>
      <w:r>
        <w:rPr>
          <w:rFonts w:ascii="宋体" w:hAnsi="宋体" w:cs="宋体"/>
          <w:color w:val="auto"/>
          <w:spacing w:val="-13"/>
          <w:szCs w:val="21"/>
          <w:highlight w:val="none"/>
          <w:u w:val="single"/>
        </w:rPr>
        <w:t>）</w:t>
      </w:r>
      <w:r>
        <w:rPr>
          <w:rFonts w:ascii="宋体" w:hAnsi="宋体" w:cs="宋体"/>
          <w:color w:val="auto"/>
          <w:spacing w:val="-13"/>
          <w:szCs w:val="21"/>
          <w:highlight w:val="none"/>
        </w:rPr>
        <w:t>：</w:t>
      </w:r>
    </w:p>
    <w:p w14:paraId="70CBA219">
      <w:pPr>
        <w:pStyle w:val="17"/>
        <w:spacing w:line="358" w:lineRule="auto"/>
        <w:rPr>
          <w:color w:val="auto"/>
          <w:highlight w:val="none"/>
        </w:rPr>
      </w:pPr>
    </w:p>
    <w:p w14:paraId="231FA87F">
      <w:pPr>
        <w:spacing w:before="68" w:line="360" w:lineRule="auto"/>
        <w:ind w:left="23" w:right="4" w:firstLine="418"/>
        <w:rPr>
          <w:rFonts w:ascii="宋体" w:hAnsi="宋体" w:cs="宋体"/>
          <w:color w:val="auto"/>
          <w:szCs w:val="21"/>
          <w:highlight w:val="none"/>
        </w:rPr>
      </w:pPr>
      <w:r>
        <w:rPr>
          <w:rFonts w:ascii="宋体" w:hAnsi="宋体" w:cs="宋体"/>
          <w:color w:val="auto"/>
          <w:szCs w:val="21"/>
          <w:highlight w:val="none"/>
        </w:rPr>
        <w:t>您单位对</w:t>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rPr>
        <w:t>（标段名称）</w:t>
      </w:r>
      <w:r>
        <w:rPr>
          <w:rFonts w:ascii="宋体" w:hAnsi="宋体" w:cs="宋体"/>
          <w:color w:val="auto"/>
          <w:spacing w:val="-1"/>
          <w:szCs w:val="21"/>
          <w:highlight w:val="none"/>
        </w:rPr>
        <w:t>项目（标段唯一标识码</w:t>
      </w:r>
      <w:r>
        <w:rPr>
          <w:rFonts w:ascii="宋体" w:hAnsi="宋体" w:cs="宋体"/>
          <w:color w:val="auto"/>
          <w:spacing w:val="-3"/>
          <w:szCs w:val="21"/>
          <w:highlight w:val="none"/>
        </w:rPr>
        <w:t>：</w:t>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pacing w:val="-3"/>
          <w:szCs w:val="21"/>
          <w:highlight w:val="none"/>
        </w:rPr>
        <w:t>）</w:t>
      </w:r>
      <w:r>
        <w:rPr>
          <w:rFonts w:ascii="宋体" w:hAnsi="宋体" w:cs="宋体"/>
          <w:color w:val="auto"/>
          <w:spacing w:val="-1"/>
          <w:szCs w:val="21"/>
          <w:highlight w:val="none"/>
        </w:rPr>
        <w:t>的异议书</w:t>
      </w:r>
      <w:r>
        <w:rPr>
          <w:rFonts w:ascii="宋体" w:hAnsi="宋体" w:cs="宋体"/>
          <w:color w:val="auto"/>
          <w:spacing w:val="-3"/>
          <w:szCs w:val="21"/>
          <w:highlight w:val="none"/>
        </w:rPr>
        <w:t>于</w:t>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pacing w:val="-3"/>
          <w:szCs w:val="21"/>
          <w:highlight w:val="none"/>
        </w:rPr>
        <w:t>年</w:t>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pacing w:val="-3"/>
          <w:szCs w:val="21"/>
          <w:highlight w:val="none"/>
        </w:rPr>
        <w:t>月</w:t>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pacing w:val="-3"/>
          <w:szCs w:val="21"/>
          <w:highlight w:val="none"/>
        </w:rPr>
        <w:t>日收悉。经查，针对异议内容，现答复如下：</w:t>
      </w:r>
    </w:p>
    <w:p w14:paraId="6C90752E">
      <w:pPr>
        <w:spacing w:line="220" w:lineRule="auto"/>
        <w:ind w:left="442"/>
        <w:rPr>
          <w:rFonts w:ascii="宋体" w:hAnsi="宋体" w:cs="宋体"/>
          <w:color w:val="auto"/>
          <w:szCs w:val="21"/>
          <w:highlight w:val="none"/>
          <w:u w:val="single"/>
        </w:rPr>
      </w:pPr>
      <w:r>
        <w:rPr>
          <w:rFonts w:ascii="宋体" w:hAnsi="宋体" w:cs="宋体"/>
          <w:color w:val="auto"/>
          <w:spacing w:val="-3"/>
          <w:szCs w:val="21"/>
          <w:highlight w:val="none"/>
        </w:rPr>
        <w:t>异议事项1：</w:t>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p>
    <w:p w14:paraId="160BE0C4">
      <w:pPr>
        <w:pStyle w:val="17"/>
        <w:spacing w:line="247" w:lineRule="auto"/>
        <w:rPr>
          <w:color w:val="auto"/>
          <w:highlight w:val="none"/>
        </w:rPr>
      </w:pPr>
    </w:p>
    <w:p w14:paraId="47F29767">
      <w:pPr>
        <w:pStyle w:val="17"/>
        <w:spacing w:line="247" w:lineRule="auto"/>
        <w:rPr>
          <w:color w:val="auto"/>
          <w:highlight w:val="none"/>
        </w:rPr>
      </w:pPr>
    </w:p>
    <w:p w14:paraId="4331435B">
      <w:pPr>
        <w:spacing w:before="69" w:line="221" w:lineRule="auto"/>
        <w:ind w:left="440"/>
        <w:rPr>
          <w:rFonts w:ascii="宋体" w:hAnsi="宋体" w:cs="宋体"/>
          <w:color w:val="auto"/>
          <w:szCs w:val="21"/>
          <w:highlight w:val="none"/>
        </w:rPr>
      </w:pPr>
      <w:r>
        <w:rPr>
          <w:rFonts w:ascii="宋体" w:hAnsi="宋体" w:cs="宋体"/>
          <w:color w:val="auto"/>
          <w:spacing w:val="-8"/>
          <w:szCs w:val="21"/>
          <w:highlight w:val="none"/>
        </w:rPr>
        <w:t>答复1：</w:t>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p>
    <w:p w14:paraId="3B38AACB">
      <w:pPr>
        <w:pStyle w:val="17"/>
        <w:spacing w:line="246" w:lineRule="auto"/>
        <w:rPr>
          <w:color w:val="auto"/>
          <w:highlight w:val="none"/>
        </w:rPr>
      </w:pPr>
    </w:p>
    <w:p w14:paraId="2AC3766F">
      <w:pPr>
        <w:pStyle w:val="17"/>
        <w:spacing w:line="246" w:lineRule="auto"/>
        <w:rPr>
          <w:color w:val="auto"/>
          <w:highlight w:val="none"/>
        </w:rPr>
      </w:pPr>
    </w:p>
    <w:p w14:paraId="6D6D7986">
      <w:pPr>
        <w:spacing w:before="69" w:line="221" w:lineRule="auto"/>
        <w:ind w:left="440"/>
        <w:rPr>
          <w:rFonts w:ascii="宋体" w:hAnsi="宋体" w:cs="宋体"/>
          <w:color w:val="auto"/>
          <w:szCs w:val="21"/>
          <w:highlight w:val="none"/>
        </w:rPr>
      </w:pPr>
      <w:r>
        <w:rPr>
          <w:rFonts w:ascii="宋体" w:hAnsi="宋体" w:cs="宋体"/>
          <w:color w:val="auto"/>
          <w:spacing w:val="-2"/>
          <w:szCs w:val="21"/>
          <w:highlight w:val="none"/>
        </w:rPr>
        <w:t>异议事项2：</w:t>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p>
    <w:p w14:paraId="33A454DD">
      <w:pPr>
        <w:pStyle w:val="17"/>
        <w:spacing w:line="248" w:lineRule="auto"/>
        <w:rPr>
          <w:color w:val="auto"/>
          <w:highlight w:val="none"/>
        </w:rPr>
      </w:pPr>
    </w:p>
    <w:p w14:paraId="3E88FA33">
      <w:pPr>
        <w:pStyle w:val="17"/>
        <w:spacing w:line="248" w:lineRule="auto"/>
        <w:rPr>
          <w:color w:val="auto"/>
          <w:highlight w:val="none"/>
        </w:rPr>
      </w:pPr>
    </w:p>
    <w:p w14:paraId="1E7BED20">
      <w:pPr>
        <w:spacing w:before="69" w:line="221" w:lineRule="auto"/>
        <w:ind w:left="440"/>
        <w:rPr>
          <w:rFonts w:ascii="宋体" w:hAnsi="宋体" w:cs="宋体"/>
          <w:color w:val="auto"/>
          <w:szCs w:val="21"/>
          <w:highlight w:val="none"/>
        </w:rPr>
      </w:pPr>
      <w:r>
        <w:rPr>
          <w:rFonts w:ascii="宋体" w:hAnsi="宋体" w:cs="宋体"/>
          <w:color w:val="auto"/>
          <w:spacing w:val="-5"/>
          <w:szCs w:val="21"/>
          <w:highlight w:val="none"/>
        </w:rPr>
        <w:t>答复2：</w:t>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hint="eastAsia" w:ascii="宋体" w:hAnsi="宋体" w:cs="宋体"/>
          <w:color w:val="auto"/>
          <w:szCs w:val="21"/>
          <w:highlight w:val="none"/>
          <w:u w:val="single"/>
          <w:lang w:val="en-US" w:eastAsia="zh-CN"/>
        </w:rPr>
        <w:t xml:space="preserve">     </w:t>
      </w:r>
      <w:r>
        <w:rPr>
          <w:rFonts w:ascii="宋体" w:hAnsi="宋体" w:cs="宋体"/>
          <w:color w:val="auto"/>
          <w:szCs w:val="21"/>
          <w:highlight w:val="none"/>
          <w:u w:val="single"/>
        </w:rPr>
        <w:tab/>
      </w:r>
      <w:r>
        <w:rPr>
          <w:rFonts w:ascii="宋体" w:hAnsi="宋体" w:cs="宋体"/>
          <w:color w:val="auto"/>
          <w:szCs w:val="21"/>
          <w:highlight w:val="none"/>
          <w:u w:val="single"/>
        </w:rPr>
        <w:tab/>
      </w:r>
    </w:p>
    <w:p w14:paraId="5BB386F9">
      <w:pPr>
        <w:pStyle w:val="17"/>
        <w:spacing w:line="246" w:lineRule="auto"/>
        <w:rPr>
          <w:color w:val="auto"/>
          <w:highlight w:val="none"/>
        </w:rPr>
      </w:pPr>
    </w:p>
    <w:p w14:paraId="7B5EB30F">
      <w:pPr>
        <w:pStyle w:val="17"/>
        <w:spacing w:line="246" w:lineRule="auto"/>
        <w:rPr>
          <w:color w:val="auto"/>
          <w:highlight w:val="none"/>
        </w:rPr>
      </w:pPr>
    </w:p>
    <w:p w14:paraId="1E18883B">
      <w:pPr>
        <w:spacing w:before="69" w:line="221" w:lineRule="auto"/>
        <w:ind w:left="440"/>
        <w:rPr>
          <w:rFonts w:ascii="宋体" w:hAnsi="宋体" w:cs="宋体"/>
          <w:color w:val="auto"/>
          <w:szCs w:val="21"/>
          <w:highlight w:val="none"/>
        </w:rPr>
      </w:pPr>
      <w:r>
        <w:rPr>
          <w:rFonts w:ascii="宋体" w:hAnsi="宋体" w:cs="宋体"/>
          <w:color w:val="auto"/>
          <w:spacing w:val="-2"/>
          <w:szCs w:val="21"/>
          <w:highlight w:val="none"/>
        </w:rPr>
        <w:t>异议事项3：</w:t>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hint="eastAsia" w:ascii="宋体" w:hAnsi="宋体" w:cs="宋体"/>
          <w:color w:val="auto"/>
          <w:szCs w:val="21"/>
          <w:highlight w:val="none"/>
          <w:u w:val="single"/>
          <w:lang w:val="en-US" w:eastAsia="zh-CN"/>
        </w:rPr>
        <w:t xml:space="preserve">     </w:t>
      </w:r>
      <w:r>
        <w:rPr>
          <w:rFonts w:ascii="宋体" w:hAnsi="宋体" w:cs="宋体"/>
          <w:color w:val="auto"/>
          <w:szCs w:val="21"/>
          <w:highlight w:val="none"/>
          <w:u w:val="single"/>
        </w:rPr>
        <w:tab/>
      </w:r>
    </w:p>
    <w:p w14:paraId="2468AB37">
      <w:pPr>
        <w:pStyle w:val="17"/>
        <w:spacing w:line="248" w:lineRule="auto"/>
        <w:rPr>
          <w:color w:val="auto"/>
          <w:highlight w:val="none"/>
        </w:rPr>
      </w:pPr>
    </w:p>
    <w:p w14:paraId="0E8CE89E">
      <w:pPr>
        <w:pStyle w:val="17"/>
        <w:spacing w:line="248" w:lineRule="auto"/>
        <w:rPr>
          <w:color w:val="auto"/>
          <w:highlight w:val="none"/>
        </w:rPr>
      </w:pPr>
    </w:p>
    <w:p w14:paraId="7F11A358">
      <w:pPr>
        <w:spacing w:before="69" w:line="221" w:lineRule="auto"/>
        <w:ind w:left="440"/>
        <w:rPr>
          <w:rFonts w:ascii="宋体" w:hAnsi="宋体" w:cs="宋体"/>
          <w:color w:val="auto"/>
          <w:szCs w:val="21"/>
          <w:highlight w:val="none"/>
        </w:rPr>
      </w:pPr>
      <w:r>
        <w:rPr>
          <w:rFonts w:ascii="宋体" w:hAnsi="宋体" w:cs="宋体"/>
          <w:color w:val="auto"/>
          <w:spacing w:val="-2"/>
          <w:szCs w:val="21"/>
          <w:highlight w:val="none"/>
        </w:rPr>
        <w:t>答复3：</w:t>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ascii="宋体" w:hAnsi="宋体" w:cs="宋体"/>
          <w:color w:val="auto"/>
          <w:szCs w:val="21"/>
          <w:highlight w:val="none"/>
          <w:u w:val="single"/>
        </w:rPr>
        <w:tab/>
      </w:r>
      <w:r>
        <w:rPr>
          <w:rFonts w:hint="eastAsia" w:ascii="宋体" w:hAnsi="宋体" w:cs="宋体"/>
          <w:color w:val="auto"/>
          <w:szCs w:val="21"/>
          <w:highlight w:val="none"/>
          <w:u w:val="single"/>
          <w:lang w:val="en-US" w:eastAsia="zh-CN"/>
        </w:rPr>
        <w:t xml:space="preserve">     </w:t>
      </w:r>
      <w:r>
        <w:rPr>
          <w:rFonts w:ascii="宋体" w:hAnsi="宋体" w:cs="宋体"/>
          <w:color w:val="auto"/>
          <w:szCs w:val="21"/>
          <w:highlight w:val="none"/>
          <w:u w:val="single"/>
        </w:rPr>
        <w:tab/>
      </w:r>
      <w:r>
        <w:rPr>
          <w:rFonts w:ascii="宋体" w:hAnsi="宋体" w:cs="宋体"/>
          <w:color w:val="auto"/>
          <w:szCs w:val="21"/>
          <w:highlight w:val="none"/>
          <w:u w:val="single"/>
        </w:rPr>
        <w:tab/>
      </w:r>
    </w:p>
    <w:p w14:paraId="69F6AD4B">
      <w:pPr>
        <w:spacing w:before="69" w:line="360" w:lineRule="auto"/>
        <w:ind w:left="442" w:right="9" w:hanging="2"/>
        <w:rPr>
          <w:rFonts w:ascii="宋体" w:hAnsi="宋体" w:cs="宋体"/>
          <w:color w:val="auto"/>
          <w:spacing w:val="-2"/>
          <w:szCs w:val="21"/>
          <w:highlight w:val="none"/>
        </w:rPr>
      </w:pPr>
    </w:p>
    <w:p w14:paraId="4F377F56">
      <w:pPr>
        <w:spacing w:before="69" w:line="360" w:lineRule="auto"/>
        <w:ind w:left="442" w:right="9" w:hanging="2"/>
        <w:rPr>
          <w:rFonts w:ascii="宋体" w:hAnsi="宋体" w:cs="宋体"/>
          <w:color w:val="auto"/>
          <w:szCs w:val="21"/>
          <w:highlight w:val="none"/>
        </w:rPr>
      </w:pPr>
      <w:r>
        <w:rPr>
          <w:rFonts w:ascii="宋体" w:hAnsi="宋体" w:cs="宋体"/>
          <w:b/>
          <w:bCs/>
          <w:color w:val="auto"/>
          <w:spacing w:val="-3"/>
          <w:szCs w:val="21"/>
          <w:highlight w:val="none"/>
        </w:rPr>
        <w:t>相关证明材料：见附件（如有）</w:t>
      </w:r>
    </w:p>
    <w:p w14:paraId="239B2229">
      <w:pPr>
        <w:spacing w:before="270" w:line="361" w:lineRule="auto"/>
        <w:ind w:left="22" w:right="7" w:firstLine="420"/>
        <w:rPr>
          <w:rFonts w:ascii="宋体" w:hAnsi="宋体" w:cs="宋体"/>
          <w:color w:val="auto"/>
          <w:szCs w:val="21"/>
          <w:highlight w:val="none"/>
        </w:rPr>
      </w:pPr>
      <w:r>
        <w:rPr>
          <w:rFonts w:ascii="宋体" w:hAnsi="宋体" w:cs="宋体"/>
          <w:color w:val="auto"/>
          <w:spacing w:val="3"/>
          <w:szCs w:val="21"/>
          <w:highlight w:val="none"/>
        </w:rPr>
        <w:t>如您单位对本答复不满意，可以在异议答复期满十日内向有关行政监督部门依法提起</w:t>
      </w:r>
      <w:r>
        <w:rPr>
          <w:rFonts w:ascii="宋体" w:hAnsi="宋体" w:cs="宋体"/>
          <w:color w:val="auto"/>
          <w:spacing w:val="-2"/>
          <w:szCs w:val="21"/>
          <w:highlight w:val="none"/>
        </w:rPr>
        <w:t>投诉。感谢您对我们工作的监督和支持。</w:t>
      </w:r>
    </w:p>
    <w:p w14:paraId="2B16A0CA">
      <w:pPr>
        <w:pStyle w:val="17"/>
        <w:spacing w:line="286" w:lineRule="auto"/>
        <w:rPr>
          <w:color w:val="auto"/>
          <w:highlight w:val="none"/>
        </w:rPr>
      </w:pPr>
    </w:p>
    <w:p w14:paraId="0C923E03">
      <w:pPr>
        <w:spacing w:before="68" w:line="220" w:lineRule="auto"/>
        <w:ind w:left="4221"/>
        <w:rPr>
          <w:rFonts w:ascii="宋体" w:hAnsi="宋体" w:cs="宋体"/>
          <w:color w:val="auto"/>
          <w:szCs w:val="21"/>
          <w:highlight w:val="none"/>
        </w:rPr>
      </w:pPr>
      <w:r>
        <w:rPr>
          <w:rFonts w:ascii="宋体" w:hAnsi="宋体" w:cs="宋体"/>
          <w:color w:val="auto"/>
          <w:spacing w:val="-3"/>
          <w:szCs w:val="21"/>
          <w:highlight w:val="none"/>
        </w:rPr>
        <w:t>招标人或招标代理机构（公章</w:t>
      </w:r>
      <w:r>
        <w:rPr>
          <w:rFonts w:ascii="宋体" w:hAnsi="宋体" w:cs="宋体"/>
          <w:color w:val="auto"/>
          <w:spacing w:val="-12"/>
          <w:szCs w:val="21"/>
          <w:highlight w:val="none"/>
        </w:rPr>
        <w:t>）：</w:t>
      </w:r>
      <w:r>
        <w:rPr>
          <w:rFonts w:ascii="宋体" w:hAnsi="宋体" w:cs="宋体"/>
          <w:color w:val="auto"/>
          <w:szCs w:val="21"/>
          <w:highlight w:val="none"/>
          <w:u w:val="single"/>
        </w:rPr>
        <w:tab/>
      </w:r>
      <w:r>
        <w:rPr>
          <w:rFonts w:ascii="宋体" w:hAnsi="宋体" w:cs="宋体"/>
          <w:color w:val="auto"/>
          <w:szCs w:val="21"/>
          <w:highlight w:val="none"/>
          <w:u w:val="single"/>
        </w:rPr>
        <w:tab/>
      </w:r>
    </w:p>
    <w:p w14:paraId="77D80CCA">
      <w:pPr>
        <w:wordWrap w:val="0"/>
        <w:spacing w:before="158" w:line="220" w:lineRule="auto"/>
        <w:jc w:val="center"/>
        <w:rPr>
          <w:rFonts w:hint="default" w:ascii="宋体" w:hAnsi="宋体" w:eastAsia="宋体" w:cs="宋体"/>
          <w:color w:val="auto"/>
          <w:szCs w:val="21"/>
          <w:highlight w:val="none"/>
          <w:u w:val="single"/>
          <w:lang w:val="en-US" w:eastAsia="zh-CN"/>
        </w:rPr>
      </w:pPr>
      <w:r>
        <w:rPr>
          <w:rFonts w:hint="eastAsia" w:ascii="宋体" w:hAnsi="宋体" w:cs="宋体"/>
          <w:color w:val="auto"/>
          <w:spacing w:val="-1"/>
          <w:szCs w:val="21"/>
          <w:highlight w:val="none"/>
          <w:lang w:val="en-US" w:eastAsia="zh-CN"/>
        </w:rPr>
        <w:t xml:space="preserve">                               </w:t>
      </w:r>
      <w:r>
        <w:rPr>
          <w:rFonts w:ascii="宋体" w:hAnsi="宋体" w:cs="宋体"/>
          <w:color w:val="auto"/>
          <w:spacing w:val="-1"/>
          <w:szCs w:val="21"/>
          <w:highlight w:val="none"/>
        </w:rPr>
        <w:t>法定代表人或授权代表（签字或盖章</w:t>
      </w:r>
      <w:r>
        <w:rPr>
          <w:rFonts w:ascii="宋体" w:hAnsi="宋体" w:cs="宋体"/>
          <w:color w:val="auto"/>
          <w:spacing w:val="4"/>
          <w:szCs w:val="21"/>
          <w:highlight w:val="none"/>
        </w:rPr>
        <w:t>）：</w:t>
      </w:r>
      <w:r>
        <w:rPr>
          <w:rFonts w:ascii="宋体" w:hAnsi="宋体" w:cs="宋体"/>
          <w:color w:val="auto"/>
          <w:szCs w:val="21"/>
          <w:highlight w:val="none"/>
          <w:u w:val="single"/>
        </w:rPr>
        <w:tab/>
      </w:r>
      <w:r>
        <w:rPr>
          <w:rFonts w:ascii="宋体" w:hAnsi="宋体" w:cs="宋体"/>
          <w:color w:val="auto"/>
          <w:szCs w:val="21"/>
          <w:highlight w:val="none"/>
          <w:u w:val="single"/>
        </w:rPr>
        <w:tab/>
      </w:r>
    </w:p>
    <w:p w14:paraId="0A7DC4DD">
      <w:pPr>
        <w:spacing w:before="157" w:line="221" w:lineRule="auto"/>
        <w:ind w:left="4257"/>
        <w:rPr>
          <w:rFonts w:ascii="宋体" w:hAnsi="宋体" w:cs="宋体"/>
          <w:color w:val="auto"/>
          <w:szCs w:val="21"/>
          <w:highlight w:val="none"/>
        </w:rPr>
      </w:pPr>
      <w:r>
        <w:rPr>
          <w:rFonts w:ascii="宋体" w:hAnsi="宋体" w:cs="宋体"/>
          <w:color w:val="auto"/>
          <w:spacing w:val="-13"/>
          <w:szCs w:val="21"/>
          <w:highlight w:val="none"/>
        </w:rPr>
        <w:t>日</w:t>
      </w:r>
      <w:r>
        <w:rPr>
          <w:rFonts w:hint="eastAsia" w:ascii="宋体" w:hAnsi="宋体" w:cs="宋体"/>
          <w:color w:val="auto"/>
          <w:spacing w:val="-13"/>
          <w:szCs w:val="21"/>
          <w:highlight w:val="none"/>
          <w:lang w:val="en-US" w:eastAsia="zh-CN"/>
        </w:rPr>
        <w:t xml:space="preserve">    </w:t>
      </w:r>
      <w:r>
        <w:rPr>
          <w:rFonts w:ascii="宋体" w:hAnsi="宋体" w:cs="宋体"/>
          <w:color w:val="auto"/>
          <w:spacing w:val="-13"/>
          <w:szCs w:val="21"/>
          <w:highlight w:val="none"/>
        </w:rPr>
        <w:t>期：</w:t>
      </w:r>
      <w:r>
        <w:rPr>
          <w:rFonts w:hint="eastAsia" w:ascii="宋体" w:hAnsi="宋体" w:cs="宋体"/>
          <w:color w:val="auto"/>
          <w:spacing w:val="-13"/>
          <w:szCs w:val="21"/>
          <w:highlight w:val="none"/>
          <w:lang w:val="en-US" w:eastAsia="zh-CN"/>
        </w:rPr>
        <w:t xml:space="preserve">    </w:t>
      </w:r>
      <w:r>
        <w:rPr>
          <w:rFonts w:ascii="宋体" w:hAnsi="宋体" w:cs="宋体"/>
          <w:color w:val="auto"/>
          <w:spacing w:val="-13"/>
          <w:szCs w:val="21"/>
          <w:highlight w:val="none"/>
        </w:rPr>
        <w:t>年</w:t>
      </w:r>
      <w:r>
        <w:rPr>
          <w:rFonts w:hint="eastAsia" w:ascii="宋体" w:hAnsi="宋体" w:cs="宋体"/>
          <w:color w:val="auto"/>
          <w:spacing w:val="-13"/>
          <w:szCs w:val="21"/>
          <w:highlight w:val="none"/>
          <w:lang w:val="en-US" w:eastAsia="zh-CN"/>
        </w:rPr>
        <w:t xml:space="preserve">    </w:t>
      </w:r>
      <w:r>
        <w:rPr>
          <w:rFonts w:ascii="宋体" w:hAnsi="宋体" w:cs="宋体"/>
          <w:color w:val="auto"/>
          <w:spacing w:val="-13"/>
          <w:szCs w:val="21"/>
          <w:highlight w:val="none"/>
        </w:rPr>
        <w:t>月</w:t>
      </w:r>
      <w:r>
        <w:rPr>
          <w:rFonts w:hint="eastAsia" w:ascii="宋体" w:hAnsi="宋体" w:cs="宋体"/>
          <w:color w:val="auto"/>
          <w:spacing w:val="-13"/>
          <w:szCs w:val="21"/>
          <w:highlight w:val="none"/>
          <w:lang w:val="en-US" w:eastAsia="zh-CN"/>
        </w:rPr>
        <w:t xml:space="preserve">    </w:t>
      </w:r>
      <w:r>
        <w:rPr>
          <w:rFonts w:ascii="宋体" w:hAnsi="宋体" w:cs="宋体"/>
          <w:color w:val="auto"/>
          <w:spacing w:val="-13"/>
          <w:szCs w:val="21"/>
          <w:highlight w:val="none"/>
        </w:rPr>
        <w:t>日</w:t>
      </w:r>
    </w:p>
    <w:p w14:paraId="13E4FDB9">
      <w:pPr>
        <w:spacing w:line="400" w:lineRule="exact"/>
        <w:rPr>
          <w:color w:val="auto"/>
          <w:highlight w:val="none"/>
        </w:rPr>
      </w:pPr>
      <w:r>
        <w:rPr>
          <w:color w:val="auto"/>
          <w:highlight w:val="none"/>
        </w:rPr>
        <w:br w:type="page"/>
      </w:r>
    </w:p>
    <w:p w14:paraId="645AC211">
      <w:pPr>
        <w:spacing w:before="63" w:line="224" w:lineRule="auto"/>
        <w:ind w:left="3132"/>
        <w:outlineLvl w:val="1"/>
        <w:rPr>
          <w:rFonts w:ascii="黑体" w:hAnsi="黑体" w:eastAsia="黑体" w:cs="黑体"/>
          <w:color w:val="auto"/>
          <w:sz w:val="31"/>
          <w:szCs w:val="31"/>
          <w:highlight w:val="none"/>
        </w:rPr>
      </w:pPr>
      <w:bookmarkStart w:id="224" w:name="_Toc17159"/>
      <w:bookmarkStart w:id="225" w:name="_Toc4148"/>
      <w:r>
        <w:rPr>
          <w:rFonts w:ascii="黑体" w:hAnsi="黑体" w:eastAsia="黑体" w:cs="黑体"/>
          <w:b/>
          <w:bCs/>
          <w:color w:val="auto"/>
          <w:spacing w:val="6"/>
          <w:sz w:val="31"/>
          <w:szCs w:val="31"/>
          <w:highlight w:val="none"/>
        </w:rPr>
        <w:t>第三章评标办法</w:t>
      </w:r>
      <w:bookmarkEnd w:id="224"/>
      <w:bookmarkEnd w:id="225"/>
    </w:p>
    <w:p w14:paraId="20440135">
      <w:pPr>
        <w:spacing w:before="286" w:line="224" w:lineRule="auto"/>
        <w:ind w:left="2087"/>
        <w:outlineLvl w:val="1"/>
        <w:rPr>
          <w:rFonts w:ascii="黑体" w:hAnsi="黑体" w:eastAsia="黑体" w:cs="黑体"/>
          <w:color w:val="auto"/>
          <w:sz w:val="31"/>
          <w:szCs w:val="31"/>
          <w:highlight w:val="none"/>
        </w:rPr>
      </w:pPr>
      <w:bookmarkStart w:id="226" w:name="bookmark401"/>
      <w:bookmarkEnd w:id="226"/>
      <w:bookmarkStart w:id="227" w:name="_Toc12927"/>
      <w:bookmarkStart w:id="228" w:name="_Toc6526"/>
      <w:r>
        <w:rPr>
          <w:rFonts w:ascii="黑体" w:hAnsi="黑体" w:eastAsia="黑体" w:cs="黑体"/>
          <w:b/>
          <w:bCs/>
          <w:color w:val="auto"/>
          <w:spacing w:val="4"/>
          <w:sz w:val="31"/>
          <w:szCs w:val="31"/>
          <w:highlight w:val="none"/>
        </w:rPr>
        <w:t>评标办法前附表（综合评估法）</w:t>
      </w:r>
      <w:bookmarkEnd w:id="227"/>
      <w:bookmarkEnd w:id="228"/>
    </w:p>
    <w:tbl>
      <w:tblPr>
        <w:tblStyle w:val="42"/>
        <w:tblW w:w="86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6"/>
        <w:gridCol w:w="1058"/>
        <w:gridCol w:w="2339"/>
        <w:gridCol w:w="4505"/>
      </w:tblGrid>
      <w:tr w14:paraId="7C7049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804" w:type="dxa"/>
            <w:gridSpan w:val="2"/>
          </w:tcPr>
          <w:p w14:paraId="3917A5C9">
            <w:pPr>
              <w:pStyle w:val="185"/>
              <w:spacing w:before="177" w:line="221" w:lineRule="auto"/>
              <w:ind w:left="592"/>
              <w:rPr>
                <w:color w:val="auto"/>
                <w:highlight w:val="none"/>
              </w:rPr>
            </w:pPr>
            <w:r>
              <w:rPr>
                <w:b/>
                <w:bCs/>
                <w:color w:val="auto"/>
                <w:spacing w:val="-4"/>
                <w:highlight w:val="none"/>
              </w:rPr>
              <w:t>条款号</w:t>
            </w:r>
          </w:p>
        </w:tc>
        <w:tc>
          <w:tcPr>
            <w:tcW w:w="2339" w:type="dxa"/>
          </w:tcPr>
          <w:p w14:paraId="77966335">
            <w:pPr>
              <w:pStyle w:val="185"/>
              <w:spacing w:before="177" w:line="221" w:lineRule="auto"/>
              <w:ind w:left="752"/>
              <w:rPr>
                <w:color w:val="auto"/>
                <w:highlight w:val="none"/>
              </w:rPr>
            </w:pPr>
            <w:r>
              <w:rPr>
                <w:b/>
                <w:bCs/>
                <w:color w:val="auto"/>
                <w:spacing w:val="-3"/>
                <w:highlight w:val="none"/>
              </w:rPr>
              <w:t>评审因素</w:t>
            </w:r>
          </w:p>
        </w:tc>
        <w:tc>
          <w:tcPr>
            <w:tcW w:w="4505" w:type="dxa"/>
          </w:tcPr>
          <w:p w14:paraId="5C022879">
            <w:pPr>
              <w:pStyle w:val="185"/>
              <w:spacing w:before="178" w:line="221" w:lineRule="auto"/>
              <w:ind w:left="1833"/>
              <w:rPr>
                <w:color w:val="auto"/>
                <w:highlight w:val="none"/>
              </w:rPr>
            </w:pPr>
            <w:r>
              <w:rPr>
                <w:b/>
                <w:bCs/>
                <w:color w:val="auto"/>
                <w:spacing w:val="-3"/>
                <w:highlight w:val="none"/>
              </w:rPr>
              <w:t>评审标准</w:t>
            </w:r>
          </w:p>
        </w:tc>
      </w:tr>
      <w:tr w14:paraId="0DEECE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746" w:type="dxa"/>
            <w:vMerge w:val="restart"/>
            <w:tcBorders>
              <w:bottom w:val="nil"/>
            </w:tcBorders>
          </w:tcPr>
          <w:p w14:paraId="1F8EC5C1">
            <w:pPr>
              <w:spacing w:line="245" w:lineRule="auto"/>
              <w:rPr>
                <w:rFonts w:ascii="Arial"/>
                <w:color w:val="auto"/>
                <w:highlight w:val="none"/>
              </w:rPr>
            </w:pPr>
          </w:p>
          <w:p w14:paraId="7B481B6A">
            <w:pPr>
              <w:spacing w:line="245" w:lineRule="auto"/>
              <w:rPr>
                <w:rFonts w:ascii="Arial"/>
                <w:color w:val="auto"/>
                <w:highlight w:val="none"/>
              </w:rPr>
            </w:pPr>
          </w:p>
          <w:p w14:paraId="58FD1CF2">
            <w:pPr>
              <w:spacing w:line="245" w:lineRule="auto"/>
              <w:rPr>
                <w:rFonts w:ascii="Arial"/>
                <w:color w:val="auto"/>
                <w:highlight w:val="none"/>
              </w:rPr>
            </w:pPr>
          </w:p>
          <w:p w14:paraId="41459E0D">
            <w:pPr>
              <w:spacing w:line="245" w:lineRule="auto"/>
              <w:rPr>
                <w:rFonts w:ascii="Arial"/>
                <w:color w:val="auto"/>
                <w:highlight w:val="none"/>
              </w:rPr>
            </w:pPr>
          </w:p>
          <w:p w14:paraId="5054B182">
            <w:pPr>
              <w:spacing w:line="245" w:lineRule="auto"/>
              <w:rPr>
                <w:rFonts w:ascii="Arial"/>
                <w:color w:val="auto"/>
                <w:highlight w:val="none"/>
              </w:rPr>
            </w:pPr>
          </w:p>
          <w:p w14:paraId="52E470CF">
            <w:pPr>
              <w:spacing w:line="246" w:lineRule="auto"/>
              <w:rPr>
                <w:rFonts w:ascii="Arial"/>
                <w:color w:val="auto"/>
                <w:highlight w:val="none"/>
              </w:rPr>
            </w:pPr>
          </w:p>
          <w:p w14:paraId="6A2EBDE7">
            <w:pPr>
              <w:spacing w:line="246" w:lineRule="auto"/>
              <w:rPr>
                <w:rFonts w:ascii="Arial"/>
                <w:color w:val="auto"/>
                <w:highlight w:val="none"/>
              </w:rPr>
            </w:pPr>
          </w:p>
          <w:p w14:paraId="66D070D7">
            <w:pPr>
              <w:spacing w:line="246" w:lineRule="auto"/>
              <w:rPr>
                <w:rFonts w:ascii="Arial"/>
                <w:color w:val="auto"/>
                <w:highlight w:val="none"/>
              </w:rPr>
            </w:pPr>
          </w:p>
          <w:p w14:paraId="701A9429">
            <w:pPr>
              <w:spacing w:line="246" w:lineRule="auto"/>
              <w:rPr>
                <w:rFonts w:ascii="Arial"/>
                <w:color w:val="auto"/>
                <w:highlight w:val="none"/>
              </w:rPr>
            </w:pPr>
          </w:p>
          <w:p w14:paraId="1C2F8542">
            <w:pPr>
              <w:spacing w:line="246" w:lineRule="auto"/>
              <w:rPr>
                <w:rFonts w:ascii="Arial"/>
                <w:color w:val="auto"/>
                <w:highlight w:val="none"/>
              </w:rPr>
            </w:pPr>
          </w:p>
          <w:p w14:paraId="08DB1A0D">
            <w:pPr>
              <w:spacing w:line="246" w:lineRule="auto"/>
              <w:rPr>
                <w:rFonts w:ascii="Arial"/>
                <w:color w:val="auto"/>
                <w:highlight w:val="none"/>
              </w:rPr>
            </w:pPr>
          </w:p>
          <w:p w14:paraId="231D2F34">
            <w:pPr>
              <w:spacing w:line="246" w:lineRule="auto"/>
              <w:rPr>
                <w:rFonts w:ascii="Arial"/>
                <w:color w:val="auto"/>
                <w:highlight w:val="none"/>
              </w:rPr>
            </w:pPr>
          </w:p>
          <w:p w14:paraId="2FCEF8E0">
            <w:pPr>
              <w:spacing w:line="246" w:lineRule="auto"/>
              <w:rPr>
                <w:rFonts w:ascii="Arial"/>
                <w:color w:val="auto"/>
                <w:highlight w:val="none"/>
              </w:rPr>
            </w:pPr>
          </w:p>
          <w:p w14:paraId="74C38AE7">
            <w:pPr>
              <w:spacing w:line="246" w:lineRule="auto"/>
              <w:rPr>
                <w:rFonts w:ascii="Arial"/>
                <w:color w:val="auto"/>
                <w:highlight w:val="none"/>
              </w:rPr>
            </w:pPr>
          </w:p>
          <w:p w14:paraId="1A39127D">
            <w:pPr>
              <w:spacing w:line="246" w:lineRule="auto"/>
              <w:rPr>
                <w:rFonts w:ascii="Arial"/>
                <w:color w:val="auto"/>
                <w:highlight w:val="none"/>
              </w:rPr>
            </w:pPr>
          </w:p>
          <w:p w14:paraId="75762EBA">
            <w:pPr>
              <w:spacing w:line="246" w:lineRule="auto"/>
              <w:rPr>
                <w:rFonts w:ascii="Arial"/>
                <w:color w:val="auto"/>
                <w:highlight w:val="none"/>
              </w:rPr>
            </w:pPr>
          </w:p>
          <w:p w14:paraId="51F94022">
            <w:pPr>
              <w:spacing w:line="246" w:lineRule="auto"/>
              <w:rPr>
                <w:rFonts w:ascii="Arial"/>
                <w:color w:val="auto"/>
                <w:highlight w:val="none"/>
              </w:rPr>
            </w:pPr>
          </w:p>
          <w:p w14:paraId="27961E85">
            <w:pPr>
              <w:spacing w:before="60" w:line="233" w:lineRule="auto"/>
              <w:ind w:left="165"/>
              <w:rPr>
                <w:rFonts w:eastAsia="Times New Roman"/>
                <w:color w:val="auto"/>
                <w:szCs w:val="21"/>
                <w:highlight w:val="none"/>
              </w:rPr>
            </w:pPr>
            <w:r>
              <w:rPr>
                <w:rFonts w:eastAsia="Times New Roman"/>
                <w:color w:val="auto"/>
                <w:spacing w:val="-1"/>
                <w:szCs w:val="21"/>
                <w:highlight w:val="none"/>
              </w:rPr>
              <w:t>2.1.1</w:t>
            </w:r>
          </w:p>
        </w:tc>
        <w:tc>
          <w:tcPr>
            <w:tcW w:w="1058" w:type="dxa"/>
            <w:vMerge w:val="restart"/>
            <w:tcBorders>
              <w:bottom w:val="nil"/>
            </w:tcBorders>
          </w:tcPr>
          <w:p w14:paraId="15B66353">
            <w:pPr>
              <w:spacing w:line="247" w:lineRule="auto"/>
              <w:rPr>
                <w:rFonts w:ascii="Arial"/>
                <w:color w:val="auto"/>
                <w:highlight w:val="none"/>
              </w:rPr>
            </w:pPr>
          </w:p>
          <w:p w14:paraId="78ACC4C4">
            <w:pPr>
              <w:spacing w:line="247" w:lineRule="auto"/>
              <w:rPr>
                <w:rFonts w:ascii="Arial"/>
                <w:color w:val="auto"/>
                <w:highlight w:val="none"/>
              </w:rPr>
            </w:pPr>
          </w:p>
          <w:p w14:paraId="54A8D45E">
            <w:pPr>
              <w:spacing w:line="247" w:lineRule="auto"/>
              <w:rPr>
                <w:rFonts w:ascii="Arial"/>
                <w:color w:val="auto"/>
                <w:highlight w:val="none"/>
              </w:rPr>
            </w:pPr>
          </w:p>
          <w:p w14:paraId="7ADA5DD9">
            <w:pPr>
              <w:spacing w:line="248" w:lineRule="auto"/>
              <w:rPr>
                <w:rFonts w:ascii="Arial"/>
                <w:color w:val="auto"/>
                <w:highlight w:val="none"/>
              </w:rPr>
            </w:pPr>
          </w:p>
          <w:p w14:paraId="743A0621">
            <w:pPr>
              <w:spacing w:line="248" w:lineRule="auto"/>
              <w:rPr>
                <w:rFonts w:ascii="Arial"/>
                <w:color w:val="auto"/>
                <w:highlight w:val="none"/>
              </w:rPr>
            </w:pPr>
          </w:p>
          <w:p w14:paraId="779CDFA7">
            <w:pPr>
              <w:spacing w:line="248" w:lineRule="auto"/>
              <w:rPr>
                <w:rFonts w:ascii="Arial"/>
                <w:color w:val="auto"/>
                <w:highlight w:val="none"/>
              </w:rPr>
            </w:pPr>
          </w:p>
          <w:p w14:paraId="4736630C">
            <w:pPr>
              <w:spacing w:line="248" w:lineRule="auto"/>
              <w:rPr>
                <w:rFonts w:ascii="Arial"/>
                <w:color w:val="auto"/>
                <w:highlight w:val="none"/>
              </w:rPr>
            </w:pPr>
          </w:p>
          <w:p w14:paraId="355EEABD">
            <w:pPr>
              <w:spacing w:line="248" w:lineRule="auto"/>
              <w:rPr>
                <w:rFonts w:ascii="Arial"/>
                <w:color w:val="auto"/>
                <w:highlight w:val="none"/>
              </w:rPr>
            </w:pPr>
          </w:p>
          <w:p w14:paraId="2BF73DDE">
            <w:pPr>
              <w:spacing w:line="248" w:lineRule="auto"/>
              <w:rPr>
                <w:rFonts w:ascii="Arial"/>
                <w:color w:val="auto"/>
                <w:highlight w:val="none"/>
              </w:rPr>
            </w:pPr>
          </w:p>
          <w:p w14:paraId="53D4E149">
            <w:pPr>
              <w:spacing w:line="248" w:lineRule="auto"/>
              <w:rPr>
                <w:rFonts w:ascii="Arial"/>
                <w:color w:val="auto"/>
                <w:highlight w:val="none"/>
              </w:rPr>
            </w:pPr>
          </w:p>
          <w:p w14:paraId="70101039">
            <w:pPr>
              <w:spacing w:line="248" w:lineRule="auto"/>
              <w:rPr>
                <w:rFonts w:ascii="Arial"/>
                <w:color w:val="auto"/>
                <w:highlight w:val="none"/>
              </w:rPr>
            </w:pPr>
          </w:p>
          <w:p w14:paraId="04CE1D49">
            <w:pPr>
              <w:spacing w:line="248" w:lineRule="auto"/>
              <w:rPr>
                <w:rFonts w:ascii="Arial"/>
                <w:color w:val="auto"/>
                <w:highlight w:val="none"/>
              </w:rPr>
            </w:pPr>
          </w:p>
          <w:p w14:paraId="49CD4692">
            <w:pPr>
              <w:spacing w:line="248" w:lineRule="auto"/>
              <w:rPr>
                <w:rFonts w:ascii="Arial"/>
                <w:color w:val="auto"/>
                <w:highlight w:val="none"/>
              </w:rPr>
            </w:pPr>
          </w:p>
          <w:p w14:paraId="15CEE540">
            <w:pPr>
              <w:spacing w:line="248" w:lineRule="auto"/>
              <w:rPr>
                <w:rFonts w:ascii="Arial"/>
                <w:color w:val="auto"/>
                <w:highlight w:val="none"/>
              </w:rPr>
            </w:pPr>
          </w:p>
          <w:p w14:paraId="10C217A5">
            <w:pPr>
              <w:spacing w:line="248" w:lineRule="auto"/>
              <w:rPr>
                <w:rFonts w:ascii="Arial"/>
                <w:color w:val="auto"/>
                <w:highlight w:val="none"/>
              </w:rPr>
            </w:pPr>
          </w:p>
          <w:p w14:paraId="1B1FEE1D">
            <w:pPr>
              <w:pStyle w:val="185"/>
              <w:spacing w:before="68" w:line="222" w:lineRule="auto"/>
              <w:ind w:left="325"/>
              <w:rPr>
                <w:color w:val="auto"/>
                <w:highlight w:val="none"/>
              </w:rPr>
            </w:pPr>
            <w:r>
              <w:rPr>
                <w:color w:val="auto"/>
                <w:spacing w:val="-3"/>
                <w:highlight w:val="none"/>
              </w:rPr>
              <w:t>形式</w:t>
            </w:r>
          </w:p>
          <w:p w14:paraId="1EBDBA7B">
            <w:pPr>
              <w:pStyle w:val="185"/>
              <w:spacing w:before="167" w:line="221" w:lineRule="auto"/>
              <w:ind w:left="321"/>
              <w:rPr>
                <w:color w:val="auto"/>
                <w:highlight w:val="none"/>
              </w:rPr>
            </w:pPr>
            <w:r>
              <w:rPr>
                <w:color w:val="auto"/>
                <w:spacing w:val="-2"/>
                <w:highlight w:val="none"/>
              </w:rPr>
              <w:t>评审</w:t>
            </w:r>
          </w:p>
          <w:p w14:paraId="03790868">
            <w:pPr>
              <w:pStyle w:val="185"/>
              <w:spacing w:before="169" w:line="221" w:lineRule="auto"/>
              <w:ind w:left="323"/>
              <w:rPr>
                <w:color w:val="auto"/>
                <w:highlight w:val="none"/>
              </w:rPr>
            </w:pPr>
            <w:r>
              <w:rPr>
                <w:color w:val="auto"/>
                <w:spacing w:val="-2"/>
                <w:highlight w:val="none"/>
              </w:rPr>
              <w:t>标准</w:t>
            </w:r>
          </w:p>
        </w:tc>
        <w:tc>
          <w:tcPr>
            <w:tcW w:w="2339" w:type="dxa"/>
            <w:vAlign w:val="center"/>
          </w:tcPr>
          <w:p w14:paraId="527CE71C">
            <w:pPr>
              <w:pStyle w:val="185"/>
              <w:spacing w:before="69" w:line="221" w:lineRule="auto"/>
              <w:ind w:left="650"/>
              <w:jc w:val="left"/>
              <w:rPr>
                <w:color w:val="auto"/>
                <w:highlight w:val="none"/>
              </w:rPr>
            </w:pPr>
            <w:r>
              <w:rPr>
                <w:color w:val="auto"/>
                <w:spacing w:val="-2"/>
                <w:highlight w:val="none"/>
              </w:rPr>
              <w:t>投标人名称</w:t>
            </w:r>
          </w:p>
        </w:tc>
        <w:tc>
          <w:tcPr>
            <w:tcW w:w="4505" w:type="dxa"/>
          </w:tcPr>
          <w:p w14:paraId="271B37C2">
            <w:pPr>
              <w:pStyle w:val="185"/>
              <w:spacing w:before="153" w:line="299" w:lineRule="auto"/>
              <w:ind w:left="114" w:right="110" w:firstLine="3"/>
              <w:rPr>
                <w:color w:val="auto"/>
                <w:highlight w:val="none"/>
                <w:lang w:eastAsia="zh-CN"/>
              </w:rPr>
            </w:pPr>
            <w:r>
              <w:rPr>
                <w:color w:val="auto"/>
                <w:spacing w:val="3"/>
                <w:highlight w:val="none"/>
                <w:lang w:eastAsia="zh-CN"/>
              </w:rPr>
              <w:t>与营业执照、资质证书、安全生产许可证</w:t>
            </w:r>
            <w:r>
              <w:rPr>
                <w:color w:val="auto"/>
                <w:spacing w:val="-2"/>
                <w:highlight w:val="none"/>
                <w:lang w:eastAsia="zh-CN"/>
              </w:rPr>
              <w:t>一致</w:t>
            </w:r>
          </w:p>
        </w:tc>
      </w:tr>
      <w:tr w14:paraId="362E6E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46" w:type="dxa"/>
            <w:vMerge w:val="continue"/>
            <w:tcBorders>
              <w:top w:val="nil"/>
              <w:bottom w:val="nil"/>
            </w:tcBorders>
          </w:tcPr>
          <w:p w14:paraId="245E52A3">
            <w:pPr>
              <w:rPr>
                <w:rFonts w:ascii="Arial"/>
                <w:color w:val="auto"/>
                <w:highlight w:val="none"/>
              </w:rPr>
            </w:pPr>
          </w:p>
        </w:tc>
        <w:tc>
          <w:tcPr>
            <w:tcW w:w="1058" w:type="dxa"/>
            <w:vMerge w:val="continue"/>
            <w:tcBorders>
              <w:top w:val="nil"/>
              <w:bottom w:val="nil"/>
            </w:tcBorders>
          </w:tcPr>
          <w:p w14:paraId="489B2AEA">
            <w:pPr>
              <w:rPr>
                <w:rFonts w:ascii="Arial"/>
                <w:color w:val="auto"/>
                <w:highlight w:val="none"/>
              </w:rPr>
            </w:pPr>
          </w:p>
        </w:tc>
        <w:tc>
          <w:tcPr>
            <w:tcW w:w="2339" w:type="dxa"/>
            <w:vAlign w:val="center"/>
          </w:tcPr>
          <w:p w14:paraId="27A0587E">
            <w:pPr>
              <w:pStyle w:val="185"/>
              <w:spacing w:before="69" w:line="220" w:lineRule="auto"/>
              <w:ind w:left="335"/>
              <w:jc w:val="left"/>
              <w:rPr>
                <w:color w:val="auto"/>
                <w:highlight w:val="none"/>
              </w:rPr>
            </w:pPr>
            <w:r>
              <w:rPr>
                <w:color w:val="auto"/>
                <w:spacing w:val="-1"/>
                <w:highlight w:val="none"/>
              </w:rPr>
              <w:t>投标文件签字盖章</w:t>
            </w:r>
          </w:p>
        </w:tc>
        <w:tc>
          <w:tcPr>
            <w:tcW w:w="4505" w:type="dxa"/>
          </w:tcPr>
          <w:p w14:paraId="69749ACC">
            <w:pPr>
              <w:pStyle w:val="185"/>
              <w:spacing w:before="154" w:line="299" w:lineRule="auto"/>
              <w:ind w:left="118" w:right="113" w:hanging="3"/>
              <w:rPr>
                <w:color w:val="auto"/>
                <w:highlight w:val="none"/>
                <w:lang w:eastAsia="zh-CN"/>
              </w:rPr>
            </w:pPr>
            <w:r>
              <w:rPr>
                <w:color w:val="auto"/>
                <w:spacing w:val="-2"/>
                <w:highlight w:val="none"/>
                <w:lang w:eastAsia="zh-CN"/>
              </w:rPr>
              <w:t>符合第二章“</w:t>
            </w:r>
            <w:r>
              <w:rPr>
                <w:rFonts w:hint="eastAsia"/>
                <w:color w:val="auto"/>
                <w:spacing w:val="-2"/>
                <w:highlight w:val="none"/>
                <w:lang w:eastAsia="zh-CN"/>
              </w:rPr>
              <w:t>投标人须知前附表</w:t>
            </w:r>
            <w:r>
              <w:rPr>
                <w:color w:val="auto"/>
                <w:spacing w:val="-2"/>
                <w:highlight w:val="none"/>
                <w:lang w:eastAsia="zh-CN"/>
              </w:rPr>
              <w:t xml:space="preserve">”第 </w:t>
            </w:r>
            <w:r>
              <w:rPr>
                <w:rFonts w:hint="eastAsia"/>
                <w:color w:val="auto"/>
                <w:spacing w:val="-2"/>
                <w:highlight w:val="none"/>
                <w:lang w:eastAsia="zh-CN"/>
              </w:rPr>
              <w:t>10</w:t>
            </w:r>
            <w:r>
              <w:rPr>
                <w:color w:val="auto"/>
                <w:spacing w:val="-2"/>
                <w:highlight w:val="none"/>
                <w:lang w:eastAsia="zh-CN"/>
              </w:rPr>
              <w:t>.</w:t>
            </w:r>
            <w:r>
              <w:rPr>
                <w:rFonts w:hint="eastAsia"/>
                <w:color w:val="auto"/>
                <w:spacing w:val="-2"/>
                <w:highlight w:val="none"/>
                <w:lang w:eastAsia="zh-CN"/>
              </w:rPr>
              <w:t>1</w:t>
            </w:r>
            <w:r>
              <w:rPr>
                <w:color w:val="auto"/>
                <w:spacing w:val="-2"/>
                <w:highlight w:val="none"/>
                <w:lang w:eastAsia="zh-CN"/>
              </w:rPr>
              <w:t>.</w:t>
            </w:r>
            <w:r>
              <w:rPr>
                <w:rFonts w:hint="eastAsia"/>
                <w:color w:val="auto"/>
                <w:spacing w:val="-2"/>
                <w:highlight w:val="none"/>
                <w:lang w:eastAsia="zh-CN"/>
              </w:rPr>
              <w:t>4</w:t>
            </w:r>
            <w:r>
              <w:rPr>
                <w:color w:val="auto"/>
                <w:spacing w:val="-2"/>
                <w:highlight w:val="none"/>
                <w:lang w:eastAsia="zh-CN"/>
              </w:rPr>
              <w:t>规</w:t>
            </w:r>
            <w:r>
              <w:rPr>
                <w:color w:val="auto"/>
                <w:highlight w:val="none"/>
                <w:lang w:eastAsia="zh-CN"/>
              </w:rPr>
              <w:t>定</w:t>
            </w:r>
          </w:p>
        </w:tc>
      </w:tr>
      <w:tr w14:paraId="4A06A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6" w:type="dxa"/>
            <w:vMerge w:val="continue"/>
            <w:tcBorders>
              <w:top w:val="nil"/>
              <w:bottom w:val="nil"/>
            </w:tcBorders>
          </w:tcPr>
          <w:p w14:paraId="74D85436">
            <w:pPr>
              <w:rPr>
                <w:rFonts w:ascii="Arial"/>
                <w:color w:val="auto"/>
                <w:highlight w:val="none"/>
              </w:rPr>
            </w:pPr>
          </w:p>
        </w:tc>
        <w:tc>
          <w:tcPr>
            <w:tcW w:w="1058" w:type="dxa"/>
            <w:vMerge w:val="continue"/>
            <w:tcBorders>
              <w:top w:val="nil"/>
              <w:bottom w:val="nil"/>
            </w:tcBorders>
          </w:tcPr>
          <w:p w14:paraId="6150E578">
            <w:pPr>
              <w:rPr>
                <w:rFonts w:ascii="Arial"/>
                <w:color w:val="auto"/>
                <w:highlight w:val="none"/>
              </w:rPr>
            </w:pPr>
          </w:p>
        </w:tc>
        <w:tc>
          <w:tcPr>
            <w:tcW w:w="2339" w:type="dxa"/>
            <w:vAlign w:val="center"/>
          </w:tcPr>
          <w:p w14:paraId="62FA6C53">
            <w:pPr>
              <w:pStyle w:val="185"/>
              <w:spacing w:before="68" w:line="221" w:lineRule="auto"/>
              <w:ind w:left="229"/>
              <w:jc w:val="left"/>
              <w:rPr>
                <w:color w:val="auto"/>
                <w:highlight w:val="none"/>
              </w:rPr>
            </w:pPr>
            <w:r>
              <w:rPr>
                <w:color w:val="auto"/>
                <w:spacing w:val="-1"/>
                <w:highlight w:val="none"/>
              </w:rPr>
              <w:t>投标文件格式、内容</w:t>
            </w:r>
          </w:p>
        </w:tc>
        <w:tc>
          <w:tcPr>
            <w:tcW w:w="4505" w:type="dxa"/>
          </w:tcPr>
          <w:p w14:paraId="6BF528B3">
            <w:pPr>
              <w:pStyle w:val="185"/>
              <w:spacing w:before="156" w:line="298" w:lineRule="auto"/>
              <w:ind w:left="138" w:right="105" w:hanging="23"/>
              <w:rPr>
                <w:color w:val="auto"/>
                <w:highlight w:val="none"/>
                <w:lang w:eastAsia="zh-CN"/>
              </w:rPr>
            </w:pPr>
            <w:r>
              <w:rPr>
                <w:color w:val="auto"/>
                <w:spacing w:val="3"/>
                <w:highlight w:val="none"/>
                <w:lang w:eastAsia="zh-CN"/>
              </w:rPr>
              <w:t>符合第七章“投标文件格式”的要求</w:t>
            </w:r>
          </w:p>
        </w:tc>
      </w:tr>
      <w:tr w14:paraId="048AC8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46" w:type="dxa"/>
            <w:vMerge w:val="continue"/>
            <w:tcBorders>
              <w:top w:val="nil"/>
              <w:bottom w:val="nil"/>
            </w:tcBorders>
          </w:tcPr>
          <w:p w14:paraId="79A5DE32">
            <w:pPr>
              <w:rPr>
                <w:rFonts w:ascii="Arial"/>
                <w:color w:val="auto"/>
                <w:highlight w:val="none"/>
              </w:rPr>
            </w:pPr>
          </w:p>
        </w:tc>
        <w:tc>
          <w:tcPr>
            <w:tcW w:w="1058" w:type="dxa"/>
            <w:vMerge w:val="continue"/>
            <w:tcBorders>
              <w:top w:val="nil"/>
              <w:bottom w:val="nil"/>
            </w:tcBorders>
          </w:tcPr>
          <w:p w14:paraId="2EA2968C">
            <w:pPr>
              <w:rPr>
                <w:rFonts w:ascii="Arial"/>
                <w:color w:val="auto"/>
                <w:highlight w:val="none"/>
              </w:rPr>
            </w:pPr>
          </w:p>
        </w:tc>
        <w:tc>
          <w:tcPr>
            <w:tcW w:w="2339" w:type="dxa"/>
            <w:vAlign w:val="center"/>
          </w:tcPr>
          <w:p w14:paraId="310F59D0">
            <w:pPr>
              <w:pStyle w:val="185"/>
              <w:spacing w:before="68" w:line="221" w:lineRule="auto"/>
              <w:ind w:left="124"/>
              <w:jc w:val="center"/>
              <w:rPr>
                <w:color w:val="auto"/>
                <w:highlight w:val="none"/>
              </w:rPr>
            </w:pPr>
            <w:r>
              <w:rPr>
                <w:color w:val="auto"/>
                <w:spacing w:val="-1"/>
                <w:highlight w:val="none"/>
              </w:rPr>
              <w:t>联合体投标人</w:t>
            </w:r>
          </w:p>
        </w:tc>
        <w:tc>
          <w:tcPr>
            <w:tcW w:w="4505" w:type="dxa"/>
          </w:tcPr>
          <w:p w14:paraId="2185B7AE">
            <w:pPr>
              <w:pStyle w:val="185"/>
              <w:spacing w:before="156" w:line="298" w:lineRule="auto"/>
              <w:ind w:left="114" w:right="110"/>
              <w:rPr>
                <w:color w:val="auto"/>
                <w:highlight w:val="none"/>
                <w:lang w:eastAsia="zh-CN"/>
              </w:rPr>
            </w:pPr>
            <w:r>
              <w:rPr>
                <w:color w:val="auto"/>
                <w:spacing w:val="3"/>
                <w:highlight w:val="none"/>
                <w:lang w:eastAsia="zh-CN"/>
              </w:rPr>
              <w:t>提交联合体协议书，并明确联合体牵头人和各</w:t>
            </w:r>
            <w:r>
              <w:rPr>
                <w:color w:val="auto"/>
                <w:spacing w:val="-1"/>
                <w:highlight w:val="none"/>
                <w:lang w:eastAsia="zh-CN"/>
              </w:rPr>
              <w:t>方的权利义务</w:t>
            </w:r>
          </w:p>
        </w:tc>
      </w:tr>
      <w:tr w14:paraId="3120D2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7" w:hRule="atLeast"/>
        </w:trPr>
        <w:tc>
          <w:tcPr>
            <w:tcW w:w="746" w:type="dxa"/>
            <w:vMerge w:val="continue"/>
            <w:tcBorders>
              <w:top w:val="nil"/>
              <w:bottom w:val="nil"/>
            </w:tcBorders>
          </w:tcPr>
          <w:p w14:paraId="2D51B128">
            <w:pPr>
              <w:rPr>
                <w:rFonts w:ascii="Arial"/>
                <w:color w:val="auto"/>
                <w:highlight w:val="none"/>
              </w:rPr>
            </w:pPr>
          </w:p>
        </w:tc>
        <w:tc>
          <w:tcPr>
            <w:tcW w:w="1058" w:type="dxa"/>
            <w:vMerge w:val="continue"/>
            <w:tcBorders>
              <w:top w:val="nil"/>
              <w:bottom w:val="nil"/>
            </w:tcBorders>
          </w:tcPr>
          <w:p w14:paraId="6A2C732F">
            <w:pPr>
              <w:rPr>
                <w:rFonts w:ascii="Arial"/>
                <w:color w:val="auto"/>
                <w:highlight w:val="none"/>
              </w:rPr>
            </w:pPr>
          </w:p>
        </w:tc>
        <w:tc>
          <w:tcPr>
            <w:tcW w:w="2339" w:type="dxa"/>
            <w:vAlign w:val="center"/>
          </w:tcPr>
          <w:p w14:paraId="0A4B737B">
            <w:pPr>
              <w:spacing w:line="298" w:lineRule="auto"/>
              <w:jc w:val="left"/>
              <w:rPr>
                <w:rFonts w:ascii="Arial"/>
                <w:strike w:val="0"/>
                <w:dstrike w:val="0"/>
                <w:color w:val="auto"/>
                <w:highlight w:val="none"/>
              </w:rPr>
            </w:pPr>
          </w:p>
          <w:p w14:paraId="3CFEE5D3">
            <w:pPr>
              <w:pStyle w:val="185"/>
              <w:spacing w:before="68" w:line="219" w:lineRule="auto"/>
              <w:ind w:left="751"/>
              <w:jc w:val="left"/>
              <w:rPr>
                <w:strike w:val="0"/>
                <w:dstrike w:val="0"/>
                <w:color w:val="auto"/>
                <w:highlight w:val="none"/>
              </w:rPr>
            </w:pPr>
            <w:r>
              <w:rPr>
                <w:strike w:val="0"/>
                <w:dstrike w:val="0"/>
                <w:color w:val="auto"/>
                <w:spacing w:val="1"/>
                <w:highlight w:val="none"/>
              </w:rPr>
              <w:t>报价唯一</w:t>
            </w:r>
          </w:p>
        </w:tc>
        <w:tc>
          <w:tcPr>
            <w:tcW w:w="4505" w:type="dxa"/>
          </w:tcPr>
          <w:p w14:paraId="07B22A57">
            <w:pPr>
              <w:pStyle w:val="185"/>
              <w:spacing w:before="159" w:line="298" w:lineRule="auto"/>
              <w:ind w:left="114" w:right="141" w:firstLine="1"/>
              <w:rPr>
                <w:strike w:val="0"/>
                <w:dstrike w:val="0"/>
                <w:color w:val="auto"/>
                <w:highlight w:val="none"/>
                <w:lang w:eastAsia="zh-CN"/>
              </w:rPr>
            </w:pPr>
            <w:r>
              <w:rPr>
                <w:strike w:val="0"/>
                <w:dstrike w:val="0"/>
                <w:color w:val="auto"/>
                <w:spacing w:val="2"/>
                <w:highlight w:val="none"/>
                <w:lang w:eastAsia="zh-CN"/>
              </w:rPr>
              <w:t>投标报价文件（包括投标函）中的任何单价、</w:t>
            </w:r>
            <w:r>
              <w:rPr>
                <w:strike w:val="0"/>
                <w:dstrike w:val="0"/>
                <w:color w:val="auto"/>
                <w:spacing w:val="-1"/>
                <w:highlight w:val="none"/>
                <w:lang w:eastAsia="zh-CN"/>
              </w:rPr>
              <w:t>合价或总价只能有一个有效报价</w:t>
            </w:r>
          </w:p>
        </w:tc>
      </w:tr>
      <w:tr w14:paraId="6B1FD9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46" w:type="dxa"/>
            <w:vMerge w:val="continue"/>
            <w:tcBorders>
              <w:top w:val="nil"/>
              <w:bottom w:val="nil"/>
            </w:tcBorders>
          </w:tcPr>
          <w:p w14:paraId="1F13E912">
            <w:pPr>
              <w:rPr>
                <w:rFonts w:ascii="Arial"/>
                <w:color w:val="auto"/>
                <w:highlight w:val="none"/>
              </w:rPr>
            </w:pPr>
          </w:p>
        </w:tc>
        <w:tc>
          <w:tcPr>
            <w:tcW w:w="1058" w:type="dxa"/>
            <w:vMerge w:val="continue"/>
            <w:tcBorders>
              <w:top w:val="nil"/>
              <w:bottom w:val="nil"/>
            </w:tcBorders>
          </w:tcPr>
          <w:p w14:paraId="772E325E">
            <w:pPr>
              <w:rPr>
                <w:rFonts w:ascii="Arial"/>
                <w:color w:val="auto"/>
                <w:highlight w:val="none"/>
              </w:rPr>
            </w:pPr>
          </w:p>
        </w:tc>
        <w:tc>
          <w:tcPr>
            <w:tcW w:w="2339" w:type="dxa"/>
            <w:vAlign w:val="center"/>
          </w:tcPr>
          <w:p w14:paraId="20C802DC">
            <w:pPr>
              <w:spacing w:line="295" w:lineRule="auto"/>
              <w:jc w:val="left"/>
              <w:rPr>
                <w:rFonts w:ascii="Arial"/>
                <w:strike w:val="0"/>
                <w:dstrike w:val="0"/>
                <w:color w:val="auto"/>
                <w:highlight w:val="none"/>
              </w:rPr>
            </w:pPr>
          </w:p>
          <w:p w14:paraId="0196E973">
            <w:pPr>
              <w:pStyle w:val="185"/>
              <w:spacing w:before="69" w:line="221" w:lineRule="auto"/>
              <w:ind w:left="336"/>
              <w:jc w:val="left"/>
              <w:rPr>
                <w:strike w:val="0"/>
                <w:dstrike w:val="0"/>
                <w:color w:val="auto"/>
                <w:highlight w:val="none"/>
              </w:rPr>
            </w:pPr>
            <w:r>
              <w:rPr>
                <w:strike w:val="0"/>
                <w:dstrike w:val="0"/>
                <w:color w:val="auto"/>
                <w:spacing w:val="-1"/>
                <w:highlight w:val="none"/>
              </w:rPr>
              <w:t>项目经理实名认证</w:t>
            </w:r>
          </w:p>
        </w:tc>
        <w:tc>
          <w:tcPr>
            <w:tcW w:w="4505" w:type="dxa"/>
          </w:tcPr>
          <w:p w14:paraId="1145FCF2">
            <w:pPr>
              <w:pStyle w:val="185"/>
              <w:spacing w:before="156" w:line="298" w:lineRule="auto"/>
              <w:ind w:left="114" w:right="110" w:firstLine="2"/>
              <w:rPr>
                <w:strike w:val="0"/>
                <w:dstrike w:val="0"/>
                <w:color w:val="auto"/>
                <w:highlight w:val="none"/>
                <w:lang w:eastAsia="zh-CN"/>
              </w:rPr>
            </w:pPr>
            <w:r>
              <w:rPr>
                <w:strike w:val="0"/>
                <w:dstrike w:val="0"/>
                <w:color w:val="auto"/>
                <w:spacing w:val="3"/>
                <w:highlight w:val="none"/>
                <w:lang w:eastAsia="zh-CN"/>
              </w:rPr>
              <w:t>项目经理二次刷卡完成实名认证（无在建工程</w:t>
            </w:r>
            <w:r>
              <w:rPr>
                <w:strike w:val="0"/>
                <w:dstrike w:val="0"/>
                <w:color w:val="auto"/>
                <w:spacing w:val="-1"/>
                <w:highlight w:val="none"/>
                <w:lang w:eastAsia="zh-CN"/>
              </w:rPr>
              <w:t>和不良行为）</w:t>
            </w:r>
          </w:p>
        </w:tc>
      </w:tr>
      <w:tr w14:paraId="2961D2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46" w:type="dxa"/>
            <w:vMerge w:val="continue"/>
            <w:tcBorders>
              <w:top w:val="nil"/>
              <w:bottom w:val="nil"/>
            </w:tcBorders>
          </w:tcPr>
          <w:p w14:paraId="543A738D">
            <w:pPr>
              <w:rPr>
                <w:rFonts w:ascii="Arial"/>
                <w:color w:val="auto"/>
                <w:highlight w:val="none"/>
              </w:rPr>
            </w:pPr>
          </w:p>
        </w:tc>
        <w:tc>
          <w:tcPr>
            <w:tcW w:w="1058" w:type="dxa"/>
            <w:vMerge w:val="continue"/>
            <w:tcBorders>
              <w:top w:val="nil"/>
              <w:bottom w:val="nil"/>
            </w:tcBorders>
          </w:tcPr>
          <w:p w14:paraId="5D0C65E4">
            <w:pPr>
              <w:rPr>
                <w:rFonts w:ascii="Arial"/>
                <w:color w:val="auto"/>
                <w:highlight w:val="none"/>
              </w:rPr>
            </w:pPr>
          </w:p>
        </w:tc>
        <w:tc>
          <w:tcPr>
            <w:tcW w:w="2339" w:type="dxa"/>
            <w:vAlign w:val="center"/>
          </w:tcPr>
          <w:p w14:paraId="2C8CED48">
            <w:pPr>
              <w:pStyle w:val="185"/>
              <w:spacing w:before="158" w:line="297" w:lineRule="auto"/>
              <w:ind w:left="648" w:right="115" w:hanging="524"/>
              <w:jc w:val="left"/>
              <w:rPr>
                <w:strike w:val="0"/>
                <w:dstrike w:val="0"/>
                <w:color w:val="auto"/>
                <w:highlight w:val="none"/>
                <w:lang w:eastAsia="zh-CN"/>
              </w:rPr>
            </w:pPr>
            <w:r>
              <w:rPr>
                <w:strike w:val="0"/>
                <w:dstrike w:val="0"/>
                <w:color w:val="auto"/>
                <w:spacing w:val="-1"/>
                <w:highlight w:val="none"/>
                <w:lang w:eastAsia="zh-CN"/>
              </w:rPr>
              <w:t>法定代表人或授权委托</w:t>
            </w:r>
            <w:r>
              <w:rPr>
                <w:strike w:val="0"/>
                <w:dstrike w:val="0"/>
                <w:color w:val="auto"/>
                <w:spacing w:val="-2"/>
                <w:highlight w:val="none"/>
                <w:lang w:eastAsia="zh-CN"/>
              </w:rPr>
              <w:t>人实名认证</w:t>
            </w:r>
          </w:p>
        </w:tc>
        <w:tc>
          <w:tcPr>
            <w:tcW w:w="4505" w:type="dxa"/>
          </w:tcPr>
          <w:p w14:paraId="7FBEA6C2">
            <w:pPr>
              <w:spacing w:line="298" w:lineRule="auto"/>
              <w:rPr>
                <w:rFonts w:ascii="Arial"/>
                <w:strike w:val="0"/>
                <w:dstrike w:val="0"/>
                <w:color w:val="auto"/>
                <w:highlight w:val="none"/>
              </w:rPr>
            </w:pPr>
          </w:p>
          <w:p w14:paraId="2CACDEE4">
            <w:pPr>
              <w:pStyle w:val="185"/>
              <w:spacing w:before="68" w:line="221" w:lineRule="auto"/>
              <w:ind w:left="114"/>
              <w:rPr>
                <w:strike w:val="0"/>
                <w:dstrike w:val="0"/>
                <w:color w:val="auto"/>
                <w:highlight w:val="none"/>
                <w:lang w:eastAsia="zh-CN"/>
              </w:rPr>
            </w:pPr>
            <w:r>
              <w:rPr>
                <w:strike w:val="0"/>
                <w:dstrike w:val="0"/>
                <w:color w:val="auto"/>
                <w:spacing w:val="-1"/>
                <w:highlight w:val="none"/>
                <w:lang w:eastAsia="zh-CN"/>
              </w:rPr>
              <w:t>法定代表人或授权委托人完成实名认证</w:t>
            </w:r>
          </w:p>
        </w:tc>
      </w:tr>
      <w:tr w14:paraId="03813F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746" w:type="dxa"/>
            <w:vMerge w:val="continue"/>
            <w:tcBorders>
              <w:top w:val="nil"/>
              <w:bottom w:val="single" w:color="auto" w:sz="4" w:space="0"/>
            </w:tcBorders>
          </w:tcPr>
          <w:p w14:paraId="0852CC49">
            <w:pPr>
              <w:rPr>
                <w:rFonts w:ascii="Arial"/>
                <w:color w:val="auto"/>
                <w:highlight w:val="none"/>
              </w:rPr>
            </w:pPr>
          </w:p>
        </w:tc>
        <w:tc>
          <w:tcPr>
            <w:tcW w:w="1058" w:type="dxa"/>
            <w:vMerge w:val="continue"/>
            <w:tcBorders>
              <w:top w:val="nil"/>
              <w:bottom w:val="single" w:color="auto" w:sz="4" w:space="0"/>
            </w:tcBorders>
          </w:tcPr>
          <w:p w14:paraId="20676333">
            <w:pPr>
              <w:rPr>
                <w:rFonts w:ascii="Arial"/>
                <w:color w:val="auto"/>
                <w:highlight w:val="none"/>
              </w:rPr>
            </w:pPr>
          </w:p>
        </w:tc>
        <w:tc>
          <w:tcPr>
            <w:tcW w:w="2339" w:type="dxa"/>
            <w:shd w:val="clear" w:color="auto" w:fill="auto"/>
            <w:vAlign w:val="center"/>
          </w:tcPr>
          <w:p w14:paraId="2D96C7AA">
            <w:pPr>
              <w:pStyle w:val="185"/>
              <w:spacing w:before="175" w:line="221" w:lineRule="auto"/>
              <w:ind w:left="646" w:leftChars="0"/>
              <w:jc w:val="left"/>
              <w:rPr>
                <w:rFonts w:ascii="宋体" w:hAnsi="宋体" w:eastAsia="宋体" w:cs="宋体"/>
                <w:strike w:val="0"/>
                <w:dstrike w:val="0"/>
                <w:color w:val="auto"/>
                <w:kern w:val="2"/>
                <w:sz w:val="21"/>
                <w:szCs w:val="21"/>
                <w:highlight w:val="none"/>
                <w:lang w:val="en-US" w:eastAsia="en-US" w:bidi="ar-SA"/>
              </w:rPr>
            </w:pPr>
            <w:r>
              <w:rPr>
                <w:strike w:val="0"/>
                <w:dstrike w:val="0"/>
                <w:color w:val="auto"/>
                <w:spacing w:val="-1"/>
                <w:highlight w:val="none"/>
              </w:rPr>
              <w:t>模块化暗标</w:t>
            </w:r>
          </w:p>
        </w:tc>
        <w:tc>
          <w:tcPr>
            <w:tcW w:w="4505" w:type="dxa"/>
            <w:shd w:val="clear" w:color="auto" w:fill="auto"/>
            <w:vAlign w:val="top"/>
          </w:tcPr>
          <w:p w14:paraId="123F30B9">
            <w:pPr>
              <w:pStyle w:val="185"/>
              <w:spacing w:before="175" w:line="220" w:lineRule="auto"/>
              <w:ind w:left="115" w:leftChars="0"/>
              <w:rPr>
                <w:rFonts w:ascii="宋体" w:hAnsi="宋体" w:eastAsia="宋体" w:cs="宋体"/>
                <w:strike w:val="0"/>
                <w:dstrike w:val="0"/>
                <w:color w:val="auto"/>
                <w:kern w:val="2"/>
                <w:sz w:val="21"/>
                <w:szCs w:val="21"/>
                <w:highlight w:val="none"/>
                <w:lang w:val="en-US" w:eastAsia="zh-CN" w:bidi="ar-SA"/>
              </w:rPr>
            </w:pPr>
            <w:r>
              <w:rPr>
                <w:strike w:val="0"/>
                <w:dstrike w:val="0"/>
                <w:color w:val="auto"/>
                <w:spacing w:val="-2"/>
                <w:highlight w:val="none"/>
                <w:lang w:eastAsia="zh-CN"/>
              </w:rPr>
              <w:t>符合第二章“投标人须知”第3.7.4项规定</w:t>
            </w:r>
          </w:p>
        </w:tc>
      </w:tr>
      <w:tr w14:paraId="1FBCEF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46" w:type="dxa"/>
            <w:vMerge w:val="restart"/>
            <w:tcBorders>
              <w:top w:val="single" w:color="auto" w:sz="4" w:space="0"/>
              <w:left w:val="single" w:color="auto" w:sz="4" w:space="0"/>
              <w:bottom w:val="single" w:color="auto" w:sz="4" w:space="0"/>
            </w:tcBorders>
          </w:tcPr>
          <w:p w14:paraId="01BB585D">
            <w:pPr>
              <w:spacing w:line="255" w:lineRule="auto"/>
              <w:rPr>
                <w:rFonts w:ascii="Arial"/>
                <w:color w:val="auto"/>
                <w:highlight w:val="none"/>
              </w:rPr>
            </w:pPr>
          </w:p>
          <w:p w14:paraId="3CA2761B">
            <w:pPr>
              <w:spacing w:line="255" w:lineRule="auto"/>
              <w:rPr>
                <w:rFonts w:ascii="Arial"/>
                <w:color w:val="auto"/>
                <w:highlight w:val="none"/>
              </w:rPr>
            </w:pPr>
          </w:p>
          <w:p w14:paraId="1A3DF472">
            <w:pPr>
              <w:spacing w:line="255" w:lineRule="auto"/>
              <w:rPr>
                <w:rFonts w:ascii="Arial"/>
                <w:color w:val="auto"/>
                <w:highlight w:val="none"/>
              </w:rPr>
            </w:pPr>
          </w:p>
          <w:p w14:paraId="7BE3CB29">
            <w:pPr>
              <w:spacing w:line="256" w:lineRule="auto"/>
              <w:rPr>
                <w:rFonts w:ascii="Arial"/>
                <w:color w:val="auto"/>
                <w:highlight w:val="none"/>
              </w:rPr>
            </w:pPr>
          </w:p>
          <w:p w14:paraId="6809F86B">
            <w:pPr>
              <w:spacing w:line="256" w:lineRule="auto"/>
              <w:rPr>
                <w:rFonts w:ascii="Arial"/>
                <w:color w:val="auto"/>
                <w:highlight w:val="none"/>
              </w:rPr>
            </w:pPr>
          </w:p>
          <w:p w14:paraId="0B8B247B">
            <w:pPr>
              <w:spacing w:line="256" w:lineRule="auto"/>
              <w:rPr>
                <w:rFonts w:ascii="Arial"/>
                <w:color w:val="auto"/>
                <w:highlight w:val="none"/>
              </w:rPr>
            </w:pPr>
          </w:p>
          <w:p w14:paraId="0A8C861E">
            <w:pPr>
              <w:spacing w:before="60" w:line="233" w:lineRule="auto"/>
              <w:ind w:left="165"/>
              <w:rPr>
                <w:rFonts w:eastAsia="Times New Roman"/>
                <w:color w:val="auto"/>
                <w:szCs w:val="21"/>
                <w:highlight w:val="none"/>
              </w:rPr>
            </w:pPr>
            <w:r>
              <w:rPr>
                <w:rFonts w:eastAsia="Times New Roman"/>
                <w:color w:val="auto"/>
                <w:spacing w:val="-1"/>
                <w:szCs w:val="21"/>
                <w:highlight w:val="none"/>
              </w:rPr>
              <w:t>2.1.2</w:t>
            </w:r>
          </w:p>
        </w:tc>
        <w:tc>
          <w:tcPr>
            <w:tcW w:w="1058" w:type="dxa"/>
            <w:vMerge w:val="restart"/>
            <w:tcBorders>
              <w:top w:val="single" w:color="auto" w:sz="4" w:space="0"/>
              <w:bottom w:val="single" w:color="auto" w:sz="4" w:space="0"/>
              <w:right w:val="single" w:color="auto" w:sz="4" w:space="0"/>
            </w:tcBorders>
          </w:tcPr>
          <w:p w14:paraId="0B079535">
            <w:pPr>
              <w:spacing w:line="268" w:lineRule="auto"/>
              <w:rPr>
                <w:rFonts w:ascii="Arial"/>
                <w:color w:val="auto"/>
                <w:highlight w:val="none"/>
              </w:rPr>
            </w:pPr>
          </w:p>
          <w:p w14:paraId="34C4E94B">
            <w:pPr>
              <w:spacing w:line="268" w:lineRule="auto"/>
              <w:rPr>
                <w:rFonts w:ascii="Arial"/>
                <w:color w:val="auto"/>
                <w:highlight w:val="none"/>
              </w:rPr>
            </w:pPr>
          </w:p>
          <w:p w14:paraId="02F26AEA">
            <w:pPr>
              <w:spacing w:line="268" w:lineRule="auto"/>
              <w:rPr>
                <w:rFonts w:ascii="Arial"/>
                <w:color w:val="auto"/>
                <w:highlight w:val="none"/>
              </w:rPr>
            </w:pPr>
          </w:p>
          <w:p w14:paraId="5BF6414D">
            <w:pPr>
              <w:spacing w:line="268" w:lineRule="auto"/>
              <w:rPr>
                <w:rFonts w:ascii="Arial"/>
                <w:color w:val="auto"/>
                <w:highlight w:val="none"/>
              </w:rPr>
            </w:pPr>
          </w:p>
          <w:p w14:paraId="22628FF0">
            <w:pPr>
              <w:pStyle w:val="185"/>
              <w:spacing w:before="68" w:line="221" w:lineRule="auto"/>
              <w:ind w:left="331"/>
              <w:rPr>
                <w:color w:val="auto"/>
                <w:highlight w:val="none"/>
              </w:rPr>
            </w:pPr>
            <w:r>
              <w:rPr>
                <w:color w:val="auto"/>
                <w:spacing w:val="-4"/>
                <w:highlight w:val="none"/>
              </w:rPr>
              <w:t>资格</w:t>
            </w:r>
          </w:p>
          <w:p w14:paraId="56E29875">
            <w:pPr>
              <w:pStyle w:val="185"/>
              <w:spacing w:before="169" w:line="221" w:lineRule="auto"/>
              <w:ind w:left="321"/>
              <w:rPr>
                <w:color w:val="auto"/>
                <w:highlight w:val="none"/>
              </w:rPr>
            </w:pPr>
            <w:r>
              <w:rPr>
                <w:color w:val="auto"/>
                <w:spacing w:val="-2"/>
                <w:highlight w:val="none"/>
              </w:rPr>
              <w:t>评审</w:t>
            </w:r>
          </w:p>
          <w:p w14:paraId="7A478DAD">
            <w:pPr>
              <w:pStyle w:val="185"/>
              <w:spacing w:before="168" w:line="221" w:lineRule="auto"/>
              <w:ind w:left="323"/>
              <w:rPr>
                <w:color w:val="auto"/>
                <w:highlight w:val="none"/>
              </w:rPr>
            </w:pPr>
            <w:r>
              <w:rPr>
                <w:color w:val="auto"/>
                <w:spacing w:val="-2"/>
                <w:highlight w:val="none"/>
              </w:rPr>
              <w:t>标准</w:t>
            </w:r>
          </w:p>
        </w:tc>
        <w:tc>
          <w:tcPr>
            <w:tcW w:w="2339" w:type="dxa"/>
            <w:tcBorders>
              <w:left w:val="single" w:color="auto" w:sz="4" w:space="0"/>
            </w:tcBorders>
          </w:tcPr>
          <w:p w14:paraId="18C18CA4">
            <w:pPr>
              <w:pStyle w:val="185"/>
              <w:spacing w:before="175" w:line="221" w:lineRule="auto"/>
              <w:ind w:left="759"/>
              <w:jc w:val="left"/>
              <w:rPr>
                <w:color w:val="auto"/>
                <w:highlight w:val="none"/>
              </w:rPr>
            </w:pPr>
            <w:r>
              <w:rPr>
                <w:color w:val="auto"/>
                <w:spacing w:val="-3"/>
                <w:highlight w:val="none"/>
              </w:rPr>
              <w:t>营业执照</w:t>
            </w:r>
          </w:p>
        </w:tc>
        <w:tc>
          <w:tcPr>
            <w:tcW w:w="4505" w:type="dxa"/>
          </w:tcPr>
          <w:p w14:paraId="411EBDF6">
            <w:pPr>
              <w:pStyle w:val="185"/>
              <w:spacing w:before="175" w:line="221" w:lineRule="auto"/>
              <w:ind w:left="117"/>
              <w:rPr>
                <w:color w:val="auto"/>
                <w:highlight w:val="none"/>
              </w:rPr>
            </w:pPr>
            <w:r>
              <w:rPr>
                <w:color w:val="auto"/>
                <w:spacing w:val="-1"/>
                <w:highlight w:val="none"/>
              </w:rPr>
              <w:t>具备有效的营业执照</w:t>
            </w:r>
          </w:p>
        </w:tc>
      </w:tr>
      <w:tr w14:paraId="50C371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46" w:type="dxa"/>
            <w:vMerge w:val="continue"/>
            <w:tcBorders>
              <w:top w:val="single" w:color="auto" w:sz="4" w:space="0"/>
              <w:left w:val="single" w:color="auto" w:sz="4" w:space="0"/>
              <w:bottom w:val="single" w:color="auto" w:sz="4" w:space="0"/>
            </w:tcBorders>
          </w:tcPr>
          <w:p w14:paraId="58AE34FC">
            <w:pPr>
              <w:rPr>
                <w:rFonts w:ascii="Arial"/>
                <w:color w:val="auto"/>
                <w:highlight w:val="none"/>
              </w:rPr>
            </w:pPr>
          </w:p>
        </w:tc>
        <w:tc>
          <w:tcPr>
            <w:tcW w:w="1058" w:type="dxa"/>
            <w:vMerge w:val="continue"/>
            <w:tcBorders>
              <w:top w:val="single" w:color="auto" w:sz="4" w:space="0"/>
              <w:bottom w:val="single" w:color="auto" w:sz="4" w:space="0"/>
              <w:right w:val="single" w:color="auto" w:sz="4" w:space="0"/>
            </w:tcBorders>
          </w:tcPr>
          <w:p w14:paraId="50A3BFD2">
            <w:pPr>
              <w:rPr>
                <w:rFonts w:ascii="Arial"/>
                <w:color w:val="auto"/>
                <w:highlight w:val="none"/>
              </w:rPr>
            </w:pPr>
          </w:p>
        </w:tc>
        <w:tc>
          <w:tcPr>
            <w:tcW w:w="2339" w:type="dxa"/>
            <w:tcBorders>
              <w:left w:val="single" w:color="auto" w:sz="4" w:space="0"/>
            </w:tcBorders>
          </w:tcPr>
          <w:p w14:paraId="081ED27B">
            <w:pPr>
              <w:pStyle w:val="185"/>
              <w:spacing w:before="175" w:line="221" w:lineRule="auto"/>
              <w:ind w:left="443"/>
              <w:jc w:val="left"/>
              <w:rPr>
                <w:color w:val="auto"/>
                <w:highlight w:val="none"/>
              </w:rPr>
            </w:pPr>
            <w:r>
              <w:rPr>
                <w:color w:val="auto"/>
                <w:spacing w:val="-2"/>
                <w:highlight w:val="none"/>
              </w:rPr>
              <w:t>安全生产许可证</w:t>
            </w:r>
          </w:p>
        </w:tc>
        <w:tc>
          <w:tcPr>
            <w:tcW w:w="4505" w:type="dxa"/>
          </w:tcPr>
          <w:p w14:paraId="741EEFE9">
            <w:pPr>
              <w:pStyle w:val="185"/>
              <w:spacing w:before="175" w:line="221" w:lineRule="auto"/>
              <w:ind w:left="117"/>
              <w:rPr>
                <w:color w:val="auto"/>
                <w:highlight w:val="none"/>
                <w:lang w:eastAsia="zh-CN"/>
              </w:rPr>
            </w:pPr>
            <w:r>
              <w:rPr>
                <w:color w:val="auto"/>
                <w:spacing w:val="-1"/>
                <w:highlight w:val="none"/>
                <w:lang w:eastAsia="zh-CN"/>
              </w:rPr>
              <w:t>具备有效的安全生产许可证</w:t>
            </w:r>
          </w:p>
        </w:tc>
      </w:tr>
      <w:tr w14:paraId="45BE0C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6" w:type="dxa"/>
            <w:vMerge w:val="continue"/>
            <w:tcBorders>
              <w:top w:val="single" w:color="auto" w:sz="4" w:space="0"/>
              <w:left w:val="single" w:color="auto" w:sz="4" w:space="0"/>
              <w:bottom w:val="single" w:color="auto" w:sz="4" w:space="0"/>
            </w:tcBorders>
          </w:tcPr>
          <w:p w14:paraId="3ACA7E37">
            <w:pPr>
              <w:rPr>
                <w:rFonts w:ascii="Arial"/>
                <w:color w:val="auto"/>
                <w:highlight w:val="none"/>
              </w:rPr>
            </w:pPr>
          </w:p>
        </w:tc>
        <w:tc>
          <w:tcPr>
            <w:tcW w:w="1058" w:type="dxa"/>
            <w:vMerge w:val="continue"/>
            <w:tcBorders>
              <w:top w:val="single" w:color="auto" w:sz="4" w:space="0"/>
              <w:bottom w:val="single" w:color="auto" w:sz="4" w:space="0"/>
              <w:right w:val="single" w:color="auto" w:sz="4" w:space="0"/>
            </w:tcBorders>
          </w:tcPr>
          <w:p w14:paraId="01438978">
            <w:pPr>
              <w:rPr>
                <w:rFonts w:ascii="Arial"/>
                <w:color w:val="auto"/>
                <w:highlight w:val="none"/>
              </w:rPr>
            </w:pPr>
          </w:p>
        </w:tc>
        <w:tc>
          <w:tcPr>
            <w:tcW w:w="2339" w:type="dxa"/>
            <w:tcBorders>
              <w:left w:val="single" w:color="auto" w:sz="4" w:space="0"/>
            </w:tcBorders>
          </w:tcPr>
          <w:p w14:paraId="58964C15">
            <w:pPr>
              <w:pStyle w:val="185"/>
              <w:spacing w:before="178" w:line="221" w:lineRule="auto"/>
              <w:ind w:left="762"/>
              <w:jc w:val="left"/>
              <w:rPr>
                <w:color w:val="auto"/>
                <w:highlight w:val="none"/>
              </w:rPr>
            </w:pPr>
            <w:r>
              <w:rPr>
                <w:color w:val="auto"/>
                <w:spacing w:val="-4"/>
                <w:highlight w:val="none"/>
              </w:rPr>
              <w:t>资质等级</w:t>
            </w:r>
          </w:p>
        </w:tc>
        <w:tc>
          <w:tcPr>
            <w:tcW w:w="4505" w:type="dxa"/>
          </w:tcPr>
          <w:p w14:paraId="7722522B">
            <w:pPr>
              <w:pStyle w:val="185"/>
              <w:spacing w:before="178" w:line="234" w:lineRule="auto"/>
              <w:ind w:left="115"/>
              <w:rPr>
                <w:color w:val="auto"/>
                <w:highlight w:val="none"/>
                <w:lang w:eastAsia="zh-CN"/>
              </w:rPr>
            </w:pPr>
            <w:r>
              <w:rPr>
                <w:color w:val="auto"/>
                <w:spacing w:val="-2"/>
                <w:highlight w:val="none"/>
                <w:lang w:eastAsia="zh-CN"/>
              </w:rPr>
              <w:t>符合第二章“投标人须知”第</w:t>
            </w:r>
            <w:r>
              <w:rPr>
                <w:rFonts w:ascii="Times New Roman" w:hAnsi="Times New Roman" w:eastAsia="Times New Roman" w:cs="Times New Roman"/>
                <w:color w:val="auto"/>
                <w:spacing w:val="-2"/>
                <w:highlight w:val="none"/>
                <w:lang w:eastAsia="zh-CN"/>
              </w:rPr>
              <w:t xml:space="preserve">1.4.1 </w:t>
            </w:r>
            <w:r>
              <w:rPr>
                <w:color w:val="auto"/>
                <w:spacing w:val="-2"/>
                <w:highlight w:val="none"/>
                <w:lang w:eastAsia="zh-CN"/>
              </w:rPr>
              <w:t>项规定</w:t>
            </w:r>
          </w:p>
        </w:tc>
      </w:tr>
      <w:tr w14:paraId="25885B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46" w:type="dxa"/>
            <w:vMerge w:val="continue"/>
            <w:tcBorders>
              <w:top w:val="single" w:color="auto" w:sz="4" w:space="0"/>
              <w:left w:val="single" w:color="auto" w:sz="4" w:space="0"/>
              <w:bottom w:val="single" w:color="auto" w:sz="4" w:space="0"/>
            </w:tcBorders>
          </w:tcPr>
          <w:p w14:paraId="434FEF9D">
            <w:pPr>
              <w:rPr>
                <w:rFonts w:ascii="Arial"/>
                <w:color w:val="auto"/>
                <w:highlight w:val="none"/>
              </w:rPr>
            </w:pPr>
          </w:p>
        </w:tc>
        <w:tc>
          <w:tcPr>
            <w:tcW w:w="1058" w:type="dxa"/>
            <w:vMerge w:val="continue"/>
            <w:tcBorders>
              <w:top w:val="single" w:color="auto" w:sz="4" w:space="0"/>
              <w:bottom w:val="single" w:color="auto" w:sz="4" w:space="0"/>
              <w:right w:val="single" w:color="auto" w:sz="4" w:space="0"/>
            </w:tcBorders>
          </w:tcPr>
          <w:p w14:paraId="70A9E9BE">
            <w:pPr>
              <w:rPr>
                <w:rFonts w:ascii="Arial"/>
                <w:color w:val="auto"/>
                <w:highlight w:val="none"/>
              </w:rPr>
            </w:pPr>
          </w:p>
        </w:tc>
        <w:tc>
          <w:tcPr>
            <w:tcW w:w="2339" w:type="dxa"/>
            <w:tcBorders>
              <w:left w:val="single" w:color="auto" w:sz="4" w:space="0"/>
            </w:tcBorders>
          </w:tcPr>
          <w:p w14:paraId="15F32D5F">
            <w:pPr>
              <w:pStyle w:val="185"/>
              <w:spacing w:before="176" w:line="220" w:lineRule="auto"/>
              <w:ind w:left="964"/>
              <w:jc w:val="left"/>
              <w:rPr>
                <w:color w:val="auto"/>
                <w:highlight w:val="none"/>
              </w:rPr>
            </w:pPr>
            <w:r>
              <w:rPr>
                <w:color w:val="auto"/>
                <w:spacing w:val="-2"/>
                <w:highlight w:val="none"/>
              </w:rPr>
              <w:t>信誉</w:t>
            </w:r>
          </w:p>
        </w:tc>
        <w:tc>
          <w:tcPr>
            <w:tcW w:w="4505" w:type="dxa"/>
          </w:tcPr>
          <w:p w14:paraId="7EAEF85D">
            <w:pPr>
              <w:pStyle w:val="185"/>
              <w:spacing w:before="176" w:line="234" w:lineRule="auto"/>
              <w:ind w:left="115"/>
              <w:rPr>
                <w:color w:val="auto"/>
                <w:highlight w:val="none"/>
                <w:lang w:eastAsia="zh-CN"/>
              </w:rPr>
            </w:pPr>
            <w:r>
              <w:rPr>
                <w:color w:val="auto"/>
                <w:spacing w:val="-2"/>
                <w:highlight w:val="none"/>
                <w:lang w:eastAsia="zh-CN"/>
              </w:rPr>
              <w:t>符合第二章“投标人须知”第</w:t>
            </w:r>
            <w:r>
              <w:rPr>
                <w:rFonts w:ascii="Times New Roman" w:hAnsi="Times New Roman" w:eastAsia="Times New Roman" w:cs="Times New Roman"/>
                <w:color w:val="auto"/>
                <w:spacing w:val="-2"/>
                <w:highlight w:val="none"/>
                <w:lang w:eastAsia="zh-CN"/>
              </w:rPr>
              <w:t xml:space="preserve">1.4.1 </w:t>
            </w:r>
            <w:r>
              <w:rPr>
                <w:color w:val="auto"/>
                <w:spacing w:val="-2"/>
                <w:highlight w:val="none"/>
                <w:lang w:eastAsia="zh-CN"/>
              </w:rPr>
              <w:t>项规定</w:t>
            </w:r>
          </w:p>
        </w:tc>
      </w:tr>
      <w:tr w14:paraId="6BE2D1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46" w:type="dxa"/>
            <w:vMerge w:val="continue"/>
            <w:tcBorders>
              <w:top w:val="single" w:color="auto" w:sz="4" w:space="0"/>
              <w:left w:val="single" w:color="auto" w:sz="4" w:space="0"/>
              <w:bottom w:val="single" w:color="auto" w:sz="4" w:space="0"/>
            </w:tcBorders>
          </w:tcPr>
          <w:p w14:paraId="721AE623">
            <w:pPr>
              <w:rPr>
                <w:rFonts w:ascii="Arial"/>
                <w:color w:val="auto"/>
                <w:highlight w:val="none"/>
              </w:rPr>
            </w:pPr>
          </w:p>
        </w:tc>
        <w:tc>
          <w:tcPr>
            <w:tcW w:w="1058" w:type="dxa"/>
            <w:vMerge w:val="continue"/>
            <w:tcBorders>
              <w:top w:val="single" w:color="auto" w:sz="4" w:space="0"/>
              <w:bottom w:val="single" w:color="auto" w:sz="4" w:space="0"/>
              <w:right w:val="single" w:color="auto" w:sz="4" w:space="0"/>
            </w:tcBorders>
          </w:tcPr>
          <w:p w14:paraId="5D2D74BA">
            <w:pPr>
              <w:rPr>
                <w:rFonts w:ascii="Arial"/>
                <w:color w:val="auto"/>
                <w:highlight w:val="none"/>
              </w:rPr>
            </w:pPr>
          </w:p>
        </w:tc>
        <w:tc>
          <w:tcPr>
            <w:tcW w:w="2339" w:type="dxa"/>
            <w:tcBorders>
              <w:left w:val="single" w:color="auto" w:sz="4" w:space="0"/>
            </w:tcBorders>
          </w:tcPr>
          <w:p w14:paraId="63A623F4">
            <w:pPr>
              <w:pStyle w:val="185"/>
              <w:spacing w:before="176" w:line="221" w:lineRule="auto"/>
              <w:ind w:left="547"/>
              <w:jc w:val="left"/>
              <w:rPr>
                <w:color w:val="auto"/>
                <w:highlight w:val="none"/>
              </w:rPr>
            </w:pPr>
            <w:r>
              <w:rPr>
                <w:color w:val="auto"/>
                <w:spacing w:val="-2"/>
                <w:highlight w:val="none"/>
              </w:rPr>
              <w:t>项目经理资格</w:t>
            </w:r>
          </w:p>
        </w:tc>
        <w:tc>
          <w:tcPr>
            <w:tcW w:w="4505" w:type="dxa"/>
          </w:tcPr>
          <w:p w14:paraId="4041010C">
            <w:pPr>
              <w:pStyle w:val="185"/>
              <w:spacing w:before="176" w:line="234" w:lineRule="auto"/>
              <w:ind w:left="115"/>
              <w:rPr>
                <w:color w:val="auto"/>
                <w:highlight w:val="none"/>
                <w:lang w:eastAsia="zh-CN"/>
              </w:rPr>
            </w:pPr>
            <w:r>
              <w:rPr>
                <w:color w:val="auto"/>
                <w:spacing w:val="-2"/>
                <w:highlight w:val="none"/>
                <w:lang w:eastAsia="zh-CN"/>
              </w:rPr>
              <w:t>符合第二章“投标人须知”第</w:t>
            </w:r>
            <w:r>
              <w:rPr>
                <w:rFonts w:ascii="Times New Roman" w:hAnsi="Times New Roman" w:eastAsia="Times New Roman" w:cs="Times New Roman"/>
                <w:color w:val="auto"/>
                <w:spacing w:val="-2"/>
                <w:highlight w:val="none"/>
                <w:lang w:eastAsia="zh-CN"/>
              </w:rPr>
              <w:t xml:space="preserve">1.4.1 </w:t>
            </w:r>
            <w:r>
              <w:rPr>
                <w:color w:val="auto"/>
                <w:spacing w:val="-2"/>
                <w:highlight w:val="none"/>
                <w:lang w:eastAsia="zh-CN"/>
              </w:rPr>
              <w:t>项规定</w:t>
            </w:r>
          </w:p>
        </w:tc>
      </w:tr>
      <w:tr w14:paraId="72B7BE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746" w:type="dxa"/>
            <w:vMerge w:val="continue"/>
            <w:tcBorders>
              <w:top w:val="single" w:color="auto" w:sz="4" w:space="0"/>
              <w:left w:val="single" w:color="auto" w:sz="4" w:space="0"/>
              <w:bottom w:val="single" w:color="auto" w:sz="4" w:space="0"/>
            </w:tcBorders>
          </w:tcPr>
          <w:p w14:paraId="0CAE9F07">
            <w:pPr>
              <w:rPr>
                <w:rFonts w:ascii="Arial"/>
                <w:color w:val="auto"/>
                <w:highlight w:val="none"/>
              </w:rPr>
            </w:pPr>
          </w:p>
        </w:tc>
        <w:tc>
          <w:tcPr>
            <w:tcW w:w="1058" w:type="dxa"/>
            <w:vMerge w:val="continue"/>
            <w:tcBorders>
              <w:top w:val="single" w:color="auto" w:sz="4" w:space="0"/>
              <w:bottom w:val="single" w:color="auto" w:sz="4" w:space="0"/>
              <w:right w:val="single" w:color="auto" w:sz="4" w:space="0"/>
            </w:tcBorders>
          </w:tcPr>
          <w:p w14:paraId="366F0825">
            <w:pPr>
              <w:rPr>
                <w:rFonts w:ascii="Arial"/>
                <w:color w:val="auto"/>
                <w:highlight w:val="none"/>
              </w:rPr>
            </w:pPr>
          </w:p>
        </w:tc>
        <w:tc>
          <w:tcPr>
            <w:tcW w:w="2339" w:type="dxa"/>
            <w:tcBorders>
              <w:left w:val="single" w:color="auto" w:sz="4" w:space="0"/>
            </w:tcBorders>
          </w:tcPr>
          <w:p w14:paraId="338F17EB">
            <w:pPr>
              <w:pStyle w:val="185"/>
              <w:spacing w:before="180" w:line="221" w:lineRule="auto"/>
              <w:ind w:left="754"/>
              <w:jc w:val="left"/>
              <w:rPr>
                <w:color w:val="auto"/>
                <w:highlight w:val="none"/>
              </w:rPr>
            </w:pPr>
            <w:r>
              <w:rPr>
                <w:color w:val="auto"/>
                <w:spacing w:val="-2"/>
                <w:highlight w:val="none"/>
              </w:rPr>
              <w:t>其他要求</w:t>
            </w:r>
          </w:p>
        </w:tc>
        <w:tc>
          <w:tcPr>
            <w:tcW w:w="4505" w:type="dxa"/>
          </w:tcPr>
          <w:p w14:paraId="51EBFA47">
            <w:pPr>
              <w:pStyle w:val="185"/>
              <w:spacing w:before="179" w:line="234" w:lineRule="auto"/>
              <w:ind w:left="115"/>
              <w:rPr>
                <w:color w:val="auto"/>
                <w:highlight w:val="none"/>
                <w:lang w:eastAsia="zh-CN"/>
              </w:rPr>
            </w:pPr>
            <w:r>
              <w:rPr>
                <w:color w:val="auto"/>
                <w:spacing w:val="-2"/>
                <w:highlight w:val="none"/>
                <w:lang w:eastAsia="zh-CN"/>
              </w:rPr>
              <w:t>符合第二章“投标人须知”第</w:t>
            </w:r>
            <w:r>
              <w:rPr>
                <w:rFonts w:ascii="Times New Roman" w:hAnsi="Times New Roman" w:eastAsia="Times New Roman" w:cs="Times New Roman"/>
                <w:color w:val="auto"/>
                <w:spacing w:val="-2"/>
                <w:highlight w:val="none"/>
                <w:lang w:eastAsia="zh-CN"/>
              </w:rPr>
              <w:t xml:space="preserve">1.4.1 </w:t>
            </w:r>
            <w:r>
              <w:rPr>
                <w:color w:val="auto"/>
                <w:spacing w:val="-2"/>
                <w:highlight w:val="none"/>
                <w:lang w:eastAsia="zh-CN"/>
              </w:rPr>
              <w:t>项规定</w:t>
            </w:r>
          </w:p>
        </w:tc>
      </w:tr>
      <w:tr w14:paraId="11669F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746" w:type="dxa"/>
            <w:vMerge w:val="continue"/>
            <w:tcBorders>
              <w:top w:val="single" w:color="auto" w:sz="4" w:space="0"/>
              <w:left w:val="single" w:color="auto" w:sz="4" w:space="0"/>
              <w:bottom w:val="single" w:color="auto" w:sz="4" w:space="0"/>
            </w:tcBorders>
          </w:tcPr>
          <w:p w14:paraId="7919709C">
            <w:pPr>
              <w:rPr>
                <w:rFonts w:ascii="Arial"/>
                <w:color w:val="auto"/>
                <w:highlight w:val="none"/>
              </w:rPr>
            </w:pPr>
          </w:p>
        </w:tc>
        <w:tc>
          <w:tcPr>
            <w:tcW w:w="1058" w:type="dxa"/>
            <w:vMerge w:val="continue"/>
            <w:tcBorders>
              <w:top w:val="single" w:color="auto" w:sz="4" w:space="0"/>
              <w:bottom w:val="single" w:color="auto" w:sz="4" w:space="0"/>
              <w:right w:val="single" w:color="auto" w:sz="4" w:space="0"/>
            </w:tcBorders>
          </w:tcPr>
          <w:p w14:paraId="2C766B2D">
            <w:pPr>
              <w:rPr>
                <w:rFonts w:ascii="Arial"/>
                <w:color w:val="auto"/>
                <w:highlight w:val="none"/>
              </w:rPr>
            </w:pPr>
          </w:p>
        </w:tc>
        <w:tc>
          <w:tcPr>
            <w:tcW w:w="2339" w:type="dxa"/>
            <w:tcBorders>
              <w:left w:val="single" w:color="auto" w:sz="4" w:space="0"/>
            </w:tcBorders>
          </w:tcPr>
          <w:p w14:paraId="7AB4BEF5">
            <w:pPr>
              <w:pStyle w:val="185"/>
              <w:spacing w:before="176" w:line="221" w:lineRule="auto"/>
              <w:ind w:left="651"/>
              <w:jc w:val="left"/>
              <w:rPr>
                <w:color w:val="auto"/>
                <w:highlight w:val="none"/>
              </w:rPr>
            </w:pPr>
            <w:r>
              <w:rPr>
                <w:color w:val="auto"/>
                <w:spacing w:val="-2"/>
                <w:highlight w:val="none"/>
              </w:rPr>
              <w:t>设计负责人</w:t>
            </w:r>
          </w:p>
        </w:tc>
        <w:tc>
          <w:tcPr>
            <w:tcW w:w="4505" w:type="dxa"/>
          </w:tcPr>
          <w:p w14:paraId="1E2145B0">
            <w:pPr>
              <w:pStyle w:val="185"/>
              <w:spacing w:before="160" w:line="234" w:lineRule="auto"/>
              <w:ind w:left="115"/>
              <w:rPr>
                <w:color w:val="auto"/>
                <w:highlight w:val="none"/>
                <w:lang w:eastAsia="zh-CN"/>
              </w:rPr>
            </w:pPr>
            <w:r>
              <w:rPr>
                <w:color w:val="auto"/>
                <w:spacing w:val="-2"/>
                <w:highlight w:val="none"/>
                <w:lang w:eastAsia="zh-CN"/>
              </w:rPr>
              <w:t>符合第二章“投标人须知”第</w:t>
            </w:r>
            <w:r>
              <w:rPr>
                <w:rFonts w:ascii="Times New Roman" w:hAnsi="Times New Roman" w:eastAsia="Times New Roman" w:cs="Times New Roman"/>
                <w:color w:val="auto"/>
                <w:spacing w:val="-2"/>
                <w:highlight w:val="none"/>
                <w:lang w:eastAsia="zh-CN"/>
              </w:rPr>
              <w:t xml:space="preserve">1.4.1 </w:t>
            </w:r>
            <w:r>
              <w:rPr>
                <w:color w:val="auto"/>
                <w:spacing w:val="-2"/>
                <w:highlight w:val="none"/>
                <w:lang w:eastAsia="zh-CN"/>
              </w:rPr>
              <w:t>项规定</w:t>
            </w:r>
          </w:p>
        </w:tc>
      </w:tr>
    </w:tbl>
    <w:p w14:paraId="31515B78">
      <w:pPr>
        <w:rPr>
          <w:color w:val="auto"/>
          <w:sz w:val="44"/>
          <w:szCs w:val="44"/>
          <w:highlight w:val="none"/>
        </w:rPr>
      </w:pPr>
    </w:p>
    <w:p w14:paraId="5B5C3493">
      <w:pPr>
        <w:rPr>
          <w:color w:val="auto"/>
          <w:highlight w:val="none"/>
        </w:rPr>
      </w:pPr>
      <w:r>
        <w:rPr>
          <w:color w:val="auto"/>
          <w:highlight w:val="none"/>
        </w:rPr>
        <w:br w:type="page"/>
      </w:r>
    </w:p>
    <w:tbl>
      <w:tblPr>
        <w:tblStyle w:val="42"/>
        <w:tblW w:w="903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6"/>
        <w:gridCol w:w="156"/>
        <w:gridCol w:w="902"/>
        <w:gridCol w:w="1754"/>
        <w:gridCol w:w="585"/>
        <w:gridCol w:w="270"/>
        <w:gridCol w:w="4620"/>
      </w:tblGrid>
      <w:tr w14:paraId="6E590E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746" w:type="dxa"/>
            <w:vMerge w:val="restart"/>
            <w:tcBorders>
              <w:bottom w:val="nil"/>
            </w:tcBorders>
          </w:tcPr>
          <w:p w14:paraId="55D46F99">
            <w:pPr>
              <w:rPr>
                <w:rFonts w:ascii="Arial"/>
                <w:color w:val="auto"/>
                <w:highlight w:val="none"/>
              </w:rPr>
            </w:pPr>
            <w:bookmarkStart w:id="229" w:name="_Toc2449"/>
            <w:bookmarkStart w:id="230" w:name="_Toc152042377"/>
            <w:bookmarkStart w:id="231" w:name="_Toc144974567"/>
            <w:bookmarkStart w:id="232" w:name="_Toc247514024"/>
            <w:bookmarkStart w:id="233" w:name="_Toc7956634"/>
            <w:bookmarkStart w:id="234" w:name="_Toc10551"/>
            <w:bookmarkStart w:id="235" w:name="_Toc247527625"/>
            <w:bookmarkStart w:id="236" w:name="_Toc152045600"/>
          </w:p>
        </w:tc>
        <w:tc>
          <w:tcPr>
            <w:tcW w:w="1058" w:type="dxa"/>
            <w:gridSpan w:val="2"/>
            <w:vMerge w:val="restart"/>
            <w:tcBorders>
              <w:bottom w:val="nil"/>
            </w:tcBorders>
          </w:tcPr>
          <w:p w14:paraId="27646238">
            <w:pPr>
              <w:rPr>
                <w:rFonts w:ascii="Arial"/>
                <w:color w:val="auto"/>
                <w:highlight w:val="none"/>
              </w:rPr>
            </w:pPr>
          </w:p>
        </w:tc>
        <w:tc>
          <w:tcPr>
            <w:tcW w:w="2339" w:type="dxa"/>
            <w:gridSpan w:val="2"/>
          </w:tcPr>
          <w:p w14:paraId="20FE5CAD">
            <w:pPr>
              <w:pStyle w:val="185"/>
              <w:spacing w:before="175" w:line="221" w:lineRule="auto"/>
              <w:ind w:left="646"/>
              <w:jc w:val="left"/>
              <w:rPr>
                <w:strike w:val="0"/>
                <w:dstrike w:val="0"/>
                <w:color w:val="auto"/>
                <w:highlight w:val="none"/>
              </w:rPr>
            </w:pPr>
            <w:r>
              <w:rPr>
                <w:strike w:val="0"/>
                <w:dstrike w:val="0"/>
                <w:color w:val="auto"/>
                <w:spacing w:val="-1"/>
                <w:highlight w:val="none"/>
              </w:rPr>
              <w:t>施工负责人</w:t>
            </w:r>
          </w:p>
        </w:tc>
        <w:tc>
          <w:tcPr>
            <w:tcW w:w="4890" w:type="dxa"/>
            <w:gridSpan w:val="2"/>
          </w:tcPr>
          <w:p w14:paraId="78E248E8">
            <w:pPr>
              <w:pStyle w:val="185"/>
              <w:spacing w:before="159" w:line="234" w:lineRule="auto"/>
              <w:ind w:left="115"/>
              <w:rPr>
                <w:strike w:val="0"/>
                <w:dstrike w:val="0"/>
                <w:color w:val="auto"/>
                <w:highlight w:val="none"/>
                <w:lang w:eastAsia="zh-CN"/>
              </w:rPr>
            </w:pPr>
            <w:r>
              <w:rPr>
                <w:strike w:val="0"/>
                <w:dstrike w:val="0"/>
                <w:color w:val="auto"/>
                <w:spacing w:val="-2"/>
                <w:highlight w:val="none"/>
                <w:lang w:eastAsia="zh-CN"/>
              </w:rPr>
              <w:t>符合第二章“投标人须知”第</w:t>
            </w:r>
            <w:r>
              <w:rPr>
                <w:rFonts w:ascii="Times New Roman" w:hAnsi="Times New Roman" w:eastAsia="Times New Roman" w:cs="Times New Roman"/>
                <w:strike w:val="0"/>
                <w:dstrike w:val="0"/>
                <w:color w:val="auto"/>
                <w:spacing w:val="-2"/>
                <w:highlight w:val="none"/>
                <w:lang w:eastAsia="zh-CN"/>
              </w:rPr>
              <w:t xml:space="preserve">1.4.1 </w:t>
            </w:r>
            <w:r>
              <w:rPr>
                <w:strike w:val="0"/>
                <w:dstrike w:val="0"/>
                <w:color w:val="auto"/>
                <w:spacing w:val="-2"/>
                <w:highlight w:val="none"/>
                <w:lang w:eastAsia="zh-CN"/>
              </w:rPr>
              <w:t>项规定</w:t>
            </w:r>
          </w:p>
        </w:tc>
      </w:tr>
      <w:tr w14:paraId="465A5C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46" w:type="dxa"/>
            <w:vMerge w:val="continue"/>
            <w:tcBorders>
              <w:top w:val="nil"/>
              <w:bottom w:val="nil"/>
            </w:tcBorders>
          </w:tcPr>
          <w:p w14:paraId="6461DCEA">
            <w:pPr>
              <w:rPr>
                <w:rFonts w:ascii="Arial"/>
                <w:color w:val="auto"/>
                <w:highlight w:val="none"/>
              </w:rPr>
            </w:pPr>
          </w:p>
        </w:tc>
        <w:tc>
          <w:tcPr>
            <w:tcW w:w="1058" w:type="dxa"/>
            <w:gridSpan w:val="2"/>
            <w:vMerge w:val="continue"/>
            <w:tcBorders>
              <w:top w:val="nil"/>
              <w:bottom w:val="nil"/>
            </w:tcBorders>
          </w:tcPr>
          <w:p w14:paraId="115E4D14">
            <w:pPr>
              <w:rPr>
                <w:rFonts w:ascii="Arial"/>
                <w:color w:val="auto"/>
                <w:highlight w:val="none"/>
              </w:rPr>
            </w:pPr>
          </w:p>
        </w:tc>
        <w:tc>
          <w:tcPr>
            <w:tcW w:w="2339" w:type="dxa"/>
            <w:gridSpan w:val="2"/>
          </w:tcPr>
          <w:p w14:paraId="6290E33A">
            <w:pPr>
              <w:pStyle w:val="185"/>
              <w:spacing w:before="173" w:line="221" w:lineRule="auto"/>
              <w:ind w:left="124"/>
              <w:jc w:val="center"/>
              <w:rPr>
                <w:strike w:val="0"/>
                <w:dstrike w:val="0"/>
                <w:color w:val="auto"/>
                <w:highlight w:val="none"/>
              </w:rPr>
            </w:pPr>
            <w:r>
              <w:rPr>
                <w:strike w:val="0"/>
                <w:dstrike w:val="0"/>
                <w:color w:val="auto"/>
                <w:spacing w:val="-1"/>
                <w:highlight w:val="none"/>
              </w:rPr>
              <w:t>联合体投标人</w:t>
            </w:r>
          </w:p>
        </w:tc>
        <w:tc>
          <w:tcPr>
            <w:tcW w:w="4890" w:type="dxa"/>
            <w:gridSpan w:val="2"/>
          </w:tcPr>
          <w:p w14:paraId="6095C06F">
            <w:pPr>
              <w:pStyle w:val="185"/>
              <w:spacing w:before="172" w:line="234" w:lineRule="auto"/>
              <w:ind w:left="115"/>
              <w:rPr>
                <w:strike w:val="0"/>
                <w:dstrike w:val="0"/>
                <w:color w:val="auto"/>
                <w:highlight w:val="none"/>
                <w:lang w:eastAsia="zh-CN"/>
              </w:rPr>
            </w:pPr>
            <w:r>
              <w:rPr>
                <w:strike w:val="0"/>
                <w:dstrike w:val="0"/>
                <w:color w:val="auto"/>
                <w:spacing w:val="-2"/>
                <w:highlight w:val="none"/>
                <w:lang w:eastAsia="zh-CN"/>
              </w:rPr>
              <w:t>符合第二章“投标人须知”第</w:t>
            </w:r>
            <w:r>
              <w:rPr>
                <w:rFonts w:ascii="Times New Roman" w:hAnsi="Times New Roman" w:eastAsia="Times New Roman" w:cs="Times New Roman"/>
                <w:strike w:val="0"/>
                <w:dstrike w:val="0"/>
                <w:color w:val="auto"/>
                <w:spacing w:val="-2"/>
                <w:highlight w:val="none"/>
                <w:lang w:eastAsia="zh-CN"/>
              </w:rPr>
              <w:t xml:space="preserve">1.4.2 </w:t>
            </w:r>
            <w:r>
              <w:rPr>
                <w:strike w:val="0"/>
                <w:dstrike w:val="0"/>
                <w:color w:val="auto"/>
                <w:spacing w:val="-2"/>
                <w:highlight w:val="none"/>
                <w:lang w:eastAsia="zh-CN"/>
              </w:rPr>
              <w:t>项规定</w:t>
            </w:r>
          </w:p>
        </w:tc>
      </w:tr>
      <w:tr w14:paraId="70ED28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46" w:type="dxa"/>
            <w:vMerge w:val="continue"/>
            <w:tcBorders>
              <w:top w:val="nil"/>
              <w:bottom w:val="single" w:color="auto" w:sz="4" w:space="0"/>
            </w:tcBorders>
          </w:tcPr>
          <w:p w14:paraId="450DC72C">
            <w:pPr>
              <w:rPr>
                <w:rFonts w:ascii="Arial"/>
                <w:color w:val="auto"/>
                <w:highlight w:val="none"/>
              </w:rPr>
            </w:pPr>
          </w:p>
        </w:tc>
        <w:tc>
          <w:tcPr>
            <w:tcW w:w="1058" w:type="dxa"/>
            <w:gridSpan w:val="2"/>
            <w:vMerge w:val="continue"/>
            <w:tcBorders>
              <w:top w:val="nil"/>
              <w:bottom w:val="single" w:color="auto" w:sz="4" w:space="0"/>
            </w:tcBorders>
          </w:tcPr>
          <w:p w14:paraId="488651E2">
            <w:pPr>
              <w:rPr>
                <w:rFonts w:ascii="Arial"/>
                <w:color w:val="auto"/>
                <w:highlight w:val="none"/>
              </w:rPr>
            </w:pPr>
          </w:p>
        </w:tc>
        <w:tc>
          <w:tcPr>
            <w:tcW w:w="2339" w:type="dxa"/>
            <w:gridSpan w:val="2"/>
          </w:tcPr>
          <w:p w14:paraId="074A7063">
            <w:pPr>
              <w:spacing w:line="296" w:lineRule="auto"/>
              <w:jc w:val="center"/>
              <w:rPr>
                <w:rFonts w:ascii="Arial"/>
                <w:strike w:val="0"/>
                <w:dstrike w:val="0"/>
                <w:color w:val="auto"/>
                <w:highlight w:val="none"/>
              </w:rPr>
            </w:pPr>
          </w:p>
          <w:p w14:paraId="47031D6B">
            <w:pPr>
              <w:pStyle w:val="185"/>
              <w:spacing w:before="69" w:line="221" w:lineRule="auto"/>
              <w:ind w:left="127"/>
              <w:jc w:val="center"/>
              <w:rPr>
                <w:strike w:val="0"/>
                <w:dstrike w:val="0"/>
                <w:color w:val="auto"/>
                <w:highlight w:val="none"/>
                <w:lang w:eastAsia="zh-CN"/>
              </w:rPr>
            </w:pPr>
            <w:r>
              <w:rPr>
                <w:strike w:val="0"/>
                <w:dstrike w:val="0"/>
                <w:color w:val="auto"/>
                <w:spacing w:val="-1"/>
                <w:highlight w:val="none"/>
                <w:lang w:eastAsia="zh-CN"/>
              </w:rPr>
              <w:t>不存在禁止投标的情形</w:t>
            </w:r>
          </w:p>
        </w:tc>
        <w:tc>
          <w:tcPr>
            <w:tcW w:w="4890" w:type="dxa"/>
            <w:gridSpan w:val="2"/>
          </w:tcPr>
          <w:p w14:paraId="4DC67DB3">
            <w:pPr>
              <w:pStyle w:val="185"/>
              <w:spacing w:before="156" w:line="298" w:lineRule="auto"/>
              <w:ind w:left="112" w:right="104" w:firstLine="4"/>
              <w:rPr>
                <w:strike w:val="0"/>
                <w:dstrike w:val="0"/>
                <w:color w:val="auto"/>
                <w:highlight w:val="none"/>
                <w:lang w:eastAsia="zh-CN"/>
              </w:rPr>
            </w:pPr>
            <w:r>
              <w:rPr>
                <w:strike w:val="0"/>
                <w:dstrike w:val="0"/>
                <w:color w:val="auto"/>
                <w:spacing w:val="-2"/>
                <w:highlight w:val="none"/>
                <w:lang w:eastAsia="zh-CN"/>
              </w:rPr>
              <w:t>不存在第二章“投标人须知”第</w:t>
            </w:r>
            <w:r>
              <w:rPr>
                <w:rFonts w:ascii="Times New Roman" w:hAnsi="Times New Roman" w:eastAsia="Times New Roman" w:cs="Times New Roman"/>
                <w:strike w:val="0"/>
                <w:dstrike w:val="0"/>
                <w:color w:val="auto"/>
                <w:spacing w:val="-2"/>
                <w:highlight w:val="none"/>
                <w:lang w:eastAsia="zh-CN"/>
              </w:rPr>
              <w:t xml:space="preserve">1.4.3 </w:t>
            </w:r>
            <w:r>
              <w:rPr>
                <w:strike w:val="0"/>
                <w:dstrike w:val="0"/>
                <w:color w:val="auto"/>
                <w:spacing w:val="-2"/>
                <w:highlight w:val="none"/>
                <w:lang w:eastAsia="zh-CN"/>
              </w:rPr>
              <w:t>项规定的</w:t>
            </w:r>
            <w:r>
              <w:rPr>
                <w:strike w:val="0"/>
                <w:dstrike w:val="0"/>
                <w:color w:val="auto"/>
                <w:spacing w:val="-1"/>
                <w:highlight w:val="none"/>
                <w:lang w:eastAsia="zh-CN"/>
              </w:rPr>
              <w:t>任何一种情形</w:t>
            </w:r>
          </w:p>
        </w:tc>
      </w:tr>
      <w:tr w14:paraId="50C702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46" w:type="dxa"/>
            <w:vMerge w:val="restart"/>
            <w:tcBorders>
              <w:top w:val="single" w:color="auto" w:sz="4" w:space="0"/>
              <w:left w:val="single" w:color="auto" w:sz="4" w:space="0"/>
              <w:bottom w:val="single" w:color="auto" w:sz="4" w:space="0"/>
            </w:tcBorders>
          </w:tcPr>
          <w:p w14:paraId="2679868C">
            <w:pPr>
              <w:spacing w:line="251" w:lineRule="auto"/>
              <w:rPr>
                <w:rFonts w:ascii="Arial"/>
                <w:color w:val="auto"/>
                <w:highlight w:val="none"/>
              </w:rPr>
            </w:pPr>
          </w:p>
          <w:p w14:paraId="37393155">
            <w:pPr>
              <w:spacing w:line="251" w:lineRule="auto"/>
              <w:rPr>
                <w:rFonts w:ascii="Arial"/>
                <w:color w:val="auto"/>
                <w:highlight w:val="none"/>
              </w:rPr>
            </w:pPr>
          </w:p>
          <w:p w14:paraId="29C843DD">
            <w:pPr>
              <w:spacing w:line="251" w:lineRule="auto"/>
              <w:rPr>
                <w:rFonts w:ascii="Arial"/>
                <w:color w:val="auto"/>
                <w:highlight w:val="none"/>
              </w:rPr>
            </w:pPr>
          </w:p>
          <w:p w14:paraId="60DF901C">
            <w:pPr>
              <w:spacing w:line="251" w:lineRule="auto"/>
              <w:rPr>
                <w:rFonts w:ascii="Arial"/>
                <w:color w:val="auto"/>
                <w:highlight w:val="none"/>
              </w:rPr>
            </w:pPr>
          </w:p>
          <w:p w14:paraId="4152E055">
            <w:pPr>
              <w:spacing w:line="251" w:lineRule="auto"/>
              <w:rPr>
                <w:rFonts w:ascii="Arial"/>
                <w:color w:val="auto"/>
                <w:highlight w:val="none"/>
              </w:rPr>
            </w:pPr>
          </w:p>
          <w:p w14:paraId="09E50079">
            <w:pPr>
              <w:spacing w:line="251" w:lineRule="auto"/>
              <w:rPr>
                <w:rFonts w:ascii="Arial"/>
                <w:color w:val="auto"/>
                <w:highlight w:val="none"/>
              </w:rPr>
            </w:pPr>
          </w:p>
          <w:p w14:paraId="05F5D1A6">
            <w:pPr>
              <w:spacing w:line="251" w:lineRule="auto"/>
              <w:rPr>
                <w:rFonts w:ascii="Arial"/>
                <w:color w:val="auto"/>
                <w:highlight w:val="none"/>
              </w:rPr>
            </w:pPr>
          </w:p>
          <w:p w14:paraId="1312347D">
            <w:pPr>
              <w:spacing w:line="251" w:lineRule="auto"/>
              <w:rPr>
                <w:rFonts w:ascii="Arial"/>
                <w:color w:val="auto"/>
                <w:highlight w:val="none"/>
              </w:rPr>
            </w:pPr>
          </w:p>
          <w:p w14:paraId="2C4343C7">
            <w:pPr>
              <w:spacing w:line="252" w:lineRule="auto"/>
              <w:rPr>
                <w:rFonts w:ascii="Arial"/>
                <w:color w:val="auto"/>
                <w:highlight w:val="none"/>
              </w:rPr>
            </w:pPr>
          </w:p>
          <w:p w14:paraId="7180D30A">
            <w:pPr>
              <w:spacing w:line="252" w:lineRule="auto"/>
              <w:rPr>
                <w:rFonts w:ascii="Arial"/>
                <w:color w:val="auto"/>
                <w:highlight w:val="none"/>
              </w:rPr>
            </w:pPr>
          </w:p>
          <w:p w14:paraId="4BCF8295">
            <w:pPr>
              <w:spacing w:line="252" w:lineRule="auto"/>
              <w:rPr>
                <w:rFonts w:ascii="Arial"/>
                <w:color w:val="auto"/>
                <w:highlight w:val="none"/>
              </w:rPr>
            </w:pPr>
          </w:p>
          <w:p w14:paraId="6819F5A4">
            <w:pPr>
              <w:spacing w:line="252" w:lineRule="auto"/>
              <w:rPr>
                <w:rFonts w:ascii="Arial"/>
                <w:color w:val="auto"/>
                <w:highlight w:val="none"/>
              </w:rPr>
            </w:pPr>
          </w:p>
          <w:p w14:paraId="1EAA1626">
            <w:pPr>
              <w:spacing w:line="252" w:lineRule="auto"/>
              <w:rPr>
                <w:rFonts w:ascii="Arial"/>
                <w:color w:val="auto"/>
                <w:highlight w:val="none"/>
              </w:rPr>
            </w:pPr>
          </w:p>
          <w:p w14:paraId="0E0700D3">
            <w:pPr>
              <w:spacing w:line="252" w:lineRule="auto"/>
              <w:rPr>
                <w:rFonts w:ascii="Arial"/>
                <w:color w:val="auto"/>
                <w:highlight w:val="none"/>
              </w:rPr>
            </w:pPr>
          </w:p>
          <w:p w14:paraId="28B71D3D">
            <w:pPr>
              <w:spacing w:before="61" w:line="233" w:lineRule="auto"/>
              <w:ind w:left="165"/>
              <w:rPr>
                <w:rFonts w:eastAsia="Times New Roman"/>
                <w:color w:val="auto"/>
                <w:szCs w:val="21"/>
                <w:highlight w:val="none"/>
              </w:rPr>
            </w:pPr>
            <w:r>
              <w:rPr>
                <w:rFonts w:eastAsia="Times New Roman"/>
                <w:color w:val="auto"/>
                <w:spacing w:val="-1"/>
                <w:szCs w:val="21"/>
                <w:highlight w:val="none"/>
              </w:rPr>
              <w:t>2.1.3</w:t>
            </w:r>
          </w:p>
        </w:tc>
        <w:tc>
          <w:tcPr>
            <w:tcW w:w="1058" w:type="dxa"/>
            <w:gridSpan w:val="2"/>
            <w:vMerge w:val="restart"/>
            <w:tcBorders>
              <w:top w:val="single" w:color="auto" w:sz="4" w:space="0"/>
              <w:bottom w:val="single" w:color="auto" w:sz="4" w:space="0"/>
              <w:right w:val="single" w:color="auto" w:sz="4" w:space="0"/>
            </w:tcBorders>
          </w:tcPr>
          <w:p w14:paraId="4D8BDE8E">
            <w:pPr>
              <w:spacing w:line="251" w:lineRule="auto"/>
              <w:rPr>
                <w:rFonts w:ascii="Arial"/>
                <w:color w:val="auto"/>
                <w:highlight w:val="none"/>
              </w:rPr>
            </w:pPr>
          </w:p>
          <w:p w14:paraId="74DEEF91">
            <w:pPr>
              <w:spacing w:line="251" w:lineRule="auto"/>
              <w:rPr>
                <w:rFonts w:ascii="Arial"/>
                <w:color w:val="auto"/>
                <w:highlight w:val="none"/>
              </w:rPr>
            </w:pPr>
          </w:p>
          <w:p w14:paraId="1B5D510D">
            <w:pPr>
              <w:spacing w:line="251" w:lineRule="auto"/>
              <w:rPr>
                <w:rFonts w:ascii="Arial"/>
                <w:color w:val="auto"/>
                <w:highlight w:val="none"/>
              </w:rPr>
            </w:pPr>
          </w:p>
          <w:p w14:paraId="2478EE62">
            <w:pPr>
              <w:spacing w:line="251" w:lineRule="auto"/>
              <w:rPr>
                <w:rFonts w:ascii="Arial"/>
                <w:color w:val="auto"/>
                <w:highlight w:val="none"/>
              </w:rPr>
            </w:pPr>
          </w:p>
          <w:p w14:paraId="39F9F7DF">
            <w:pPr>
              <w:spacing w:line="251" w:lineRule="auto"/>
              <w:rPr>
                <w:rFonts w:ascii="Arial"/>
                <w:color w:val="auto"/>
                <w:highlight w:val="none"/>
              </w:rPr>
            </w:pPr>
          </w:p>
          <w:p w14:paraId="56DB3BCA">
            <w:pPr>
              <w:spacing w:line="251" w:lineRule="auto"/>
              <w:rPr>
                <w:rFonts w:ascii="Arial"/>
                <w:color w:val="auto"/>
                <w:highlight w:val="none"/>
              </w:rPr>
            </w:pPr>
          </w:p>
          <w:p w14:paraId="3F4D3303">
            <w:pPr>
              <w:spacing w:line="251" w:lineRule="auto"/>
              <w:rPr>
                <w:rFonts w:ascii="Arial"/>
                <w:color w:val="auto"/>
                <w:highlight w:val="none"/>
              </w:rPr>
            </w:pPr>
          </w:p>
          <w:p w14:paraId="56AE5A30">
            <w:pPr>
              <w:spacing w:line="251" w:lineRule="auto"/>
              <w:rPr>
                <w:rFonts w:ascii="Arial"/>
                <w:color w:val="auto"/>
                <w:highlight w:val="none"/>
              </w:rPr>
            </w:pPr>
          </w:p>
          <w:p w14:paraId="45C3EA4D">
            <w:pPr>
              <w:spacing w:line="251" w:lineRule="auto"/>
              <w:rPr>
                <w:rFonts w:ascii="Arial"/>
                <w:color w:val="auto"/>
                <w:highlight w:val="none"/>
              </w:rPr>
            </w:pPr>
          </w:p>
          <w:p w14:paraId="189B21A5">
            <w:pPr>
              <w:spacing w:line="252" w:lineRule="auto"/>
              <w:rPr>
                <w:rFonts w:ascii="Arial"/>
                <w:color w:val="auto"/>
                <w:highlight w:val="none"/>
              </w:rPr>
            </w:pPr>
          </w:p>
          <w:p w14:paraId="7AA78D72">
            <w:pPr>
              <w:spacing w:line="252" w:lineRule="auto"/>
              <w:rPr>
                <w:rFonts w:ascii="Arial"/>
                <w:color w:val="auto"/>
                <w:highlight w:val="none"/>
              </w:rPr>
            </w:pPr>
          </w:p>
          <w:p w14:paraId="7401D369">
            <w:pPr>
              <w:spacing w:line="252" w:lineRule="auto"/>
              <w:rPr>
                <w:rFonts w:ascii="Arial"/>
                <w:color w:val="auto"/>
                <w:highlight w:val="none"/>
              </w:rPr>
            </w:pPr>
          </w:p>
          <w:p w14:paraId="4FBA7272">
            <w:pPr>
              <w:spacing w:line="252" w:lineRule="auto"/>
              <w:rPr>
                <w:rFonts w:ascii="Arial"/>
                <w:color w:val="auto"/>
                <w:highlight w:val="none"/>
              </w:rPr>
            </w:pPr>
          </w:p>
          <w:p w14:paraId="0F179D0F">
            <w:pPr>
              <w:pStyle w:val="185"/>
              <w:spacing w:before="68" w:line="372" w:lineRule="auto"/>
              <w:ind w:left="110" w:right="107" w:firstLine="11"/>
              <w:rPr>
                <w:color w:val="auto"/>
                <w:highlight w:val="none"/>
              </w:rPr>
            </w:pPr>
            <w:r>
              <w:rPr>
                <w:color w:val="auto"/>
                <w:spacing w:val="-12"/>
                <w:highlight w:val="none"/>
              </w:rPr>
              <w:t>响应性</w:t>
            </w:r>
            <w:r>
              <w:rPr>
                <w:color w:val="auto"/>
                <w:spacing w:val="-2"/>
                <w:highlight w:val="none"/>
              </w:rPr>
              <w:t>评审标准</w:t>
            </w:r>
          </w:p>
        </w:tc>
        <w:tc>
          <w:tcPr>
            <w:tcW w:w="2339" w:type="dxa"/>
            <w:gridSpan w:val="2"/>
            <w:tcBorders>
              <w:left w:val="single" w:color="auto" w:sz="4" w:space="0"/>
            </w:tcBorders>
          </w:tcPr>
          <w:p w14:paraId="31946A5E">
            <w:pPr>
              <w:pStyle w:val="185"/>
              <w:spacing w:before="173" w:line="221" w:lineRule="auto"/>
              <w:ind w:left="755"/>
              <w:rPr>
                <w:color w:val="auto"/>
                <w:highlight w:val="none"/>
              </w:rPr>
            </w:pPr>
            <w:r>
              <w:rPr>
                <w:color w:val="auto"/>
                <w:spacing w:val="-2"/>
                <w:highlight w:val="none"/>
              </w:rPr>
              <w:t>投标内容</w:t>
            </w:r>
          </w:p>
        </w:tc>
        <w:tc>
          <w:tcPr>
            <w:tcW w:w="4890" w:type="dxa"/>
            <w:gridSpan w:val="2"/>
          </w:tcPr>
          <w:p w14:paraId="3F98DA6B">
            <w:pPr>
              <w:pStyle w:val="185"/>
              <w:spacing w:before="173" w:line="234" w:lineRule="auto"/>
              <w:ind w:left="115"/>
              <w:rPr>
                <w:color w:val="auto"/>
                <w:highlight w:val="none"/>
                <w:lang w:eastAsia="zh-CN"/>
              </w:rPr>
            </w:pPr>
            <w:r>
              <w:rPr>
                <w:color w:val="auto"/>
                <w:spacing w:val="-2"/>
                <w:highlight w:val="none"/>
                <w:lang w:eastAsia="zh-CN"/>
              </w:rPr>
              <w:t>符合第二章“投标人须知”第</w:t>
            </w:r>
            <w:r>
              <w:rPr>
                <w:rFonts w:ascii="Times New Roman" w:hAnsi="Times New Roman" w:eastAsia="Times New Roman" w:cs="Times New Roman"/>
                <w:color w:val="auto"/>
                <w:spacing w:val="-2"/>
                <w:highlight w:val="none"/>
                <w:lang w:eastAsia="zh-CN"/>
              </w:rPr>
              <w:t xml:space="preserve">1.3.1 </w:t>
            </w:r>
            <w:r>
              <w:rPr>
                <w:color w:val="auto"/>
                <w:spacing w:val="-2"/>
                <w:highlight w:val="none"/>
                <w:lang w:eastAsia="zh-CN"/>
              </w:rPr>
              <w:t>项规定</w:t>
            </w:r>
          </w:p>
        </w:tc>
      </w:tr>
      <w:tr w14:paraId="16B4AE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46" w:type="dxa"/>
            <w:vMerge w:val="continue"/>
            <w:tcBorders>
              <w:top w:val="single" w:color="auto" w:sz="4" w:space="0"/>
              <w:left w:val="single" w:color="auto" w:sz="4" w:space="0"/>
              <w:bottom w:val="single" w:color="auto" w:sz="4" w:space="0"/>
            </w:tcBorders>
          </w:tcPr>
          <w:p w14:paraId="3F2B2BAE">
            <w:pPr>
              <w:rPr>
                <w:rFonts w:ascii="Arial"/>
                <w:color w:val="auto"/>
                <w:highlight w:val="none"/>
              </w:rPr>
            </w:pPr>
          </w:p>
        </w:tc>
        <w:tc>
          <w:tcPr>
            <w:tcW w:w="1058" w:type="dxa"/>
            <w:gridSpan w:val="2"/>
            <w:vMerge w:val="continue"/>
            <w:tcBorders>
              <w:top w:val="single" w:color="auto" w:sz="4" w:space="0"/>
              <w:bottom w:val="single" w:color="auto" w:sz="4" w:space="0"/>
              <w:right w:val="single" w:color="auto" w:sz="4" w:space="0"/>
            </w:tcBorders>
          </w:tcPr>
          <w:p w14:paraId="75701945">
            <w:pPr>
              <w:rPr>
                <w:rFonts w:ascii="Arial"/>
                <w:color w:val="auto"/>
                <w:highlight w:val="none"/>
              </w:rPr>
            </w:pPr>
          </w:p>
        </w:tc>
        <w:tc>
          <w:tcPr>
            <w:tcW w:w="2339" w:type="dxa"/>
            <w:gridSpan w:val="2"/>
            <w:tcBorders>
              <w:left w:val="single" w:color="auto" w:sz="4" w:space="0"/>
            </w:tcBorders>
          </w:tcPr>
          <w:p w14:paraId="04E34443">
            <w:pPr>
              <w:pStyle w:val="185"/>
              <w:spacing w:before="174" w:line="221" w:lineRule="auto"/>
              <w:ind w:left="753"/>
              <w:rPr>
                <w:color w:val="auto"/>
                <w:highlight w:val="none"/>
              </w:rPr>
            </w:pPr>
            <w:r>
              <w:rPr>
                <w:color w:val="auto"/>
                <w:spacing w:val="-2"/>
                <w:highlight w:val="none"/>
              </w:rPr>
              <w:t>计划工期</w:t>
            </w:r>
          </w:p>
        </w:tc>
        <w:tc>
          <w:tcPr>
            <w:tcW w:w="4890" w:type="dxa"/>
            <w:gridSpan w:val="2"/>
          </w:tcPr>
          <w:p w14:paraId="49BE56C6">
            <w:pPr>
              <w:pStyle w:val="185"/>
              <w:spacing w:before="173" w:line="234" w:lineRule="auto"/>
              <w:ind w:left="115"/>
              <w:rPr>
                <w:color w:val="auto"/>
                <w:highlight w:val="none"/>
                <w:lang w:eastAsia="zh-CN"/>
              </w:rPr>
            </w:pPr>
            <w:r>
              <w:rPr>
                <w:color w:val="auto"/>
                <w:spacing w:val="-2"/>
                <w:highlight w:val="none"/>
                <w:lang w:eastAsia="zh-CN"/>
              </w:rPr>
              <w:t>符合第二章“投标人须知”第</w:t>
            </w:r>
            <w:r>
              <w:rPr>
                <w:rFonts w:ascii="Times New Roman" w:hAnsi="Times New Roman" w:eastAsia="Times New Roman" w:cs="Times New Roman"/>
                <w:color w:val="auto"/>
                <w:spacing w:val="-2"/>
                <w:highlight w:val="none"/>
                <w:lang w:eastAsia="zh-CN"/>
              </w:rPr>
              <w:t xml:space="preserve">1.3.2 </w:t>
            </w:r>
            <w:r>
              <w:rPr>
                <w:color w:val="auto"/>
                <w:spacing w:val="-2"/>
                <w:highlight w:val="none"/>
                <w:lang w:eastAsia="zh-CN"/>
              </w:rPr>
              <w:t>项规定</w:t>
            </w:r>
          </w:p>
        </w:tc>
      </w:tr>
      <w:tr w14:paraId="1D8CC6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746" w:type="dxa"/>
            <w:vMerge w:val="continue"/>
            <w:tcBorders>
              <w:top w:val="single" w:color="auto" w:sz="4" w:space="0"/>
              <w:left w:val="single" w:color="auto" w:sz="4" w:space="0"/>
              <w:bottom w:val="single" w:color="auto" w:sz="4" w:space="0"/>
            </w:tcBorders>
          </w:tcPr>
          <w:p w14:paraId="4BCC7ABB">
            <w:pPr>
              <w:rPr>
                <w:rFonts w:ascii="Arial"/>
                <w:color w:val="auto"/>
                <w:highlight w:val="none"/>
              </w:rPr>
            </w:pPr>
          </w:p>
        </w:tc>
        <w:tc>
          <w:tcPr>
            <w:tcW w:w="1058" w:type="dxa"/>
            <w:gridSpan w:val="2"/>
            <w:vMerge w:val="continue"/>
            <w:tcBorders>
              <w:top w:val="single" w:color="auto" w:sz="4" w:space="0"/>
              <w:bottom w:val="single" w:color="auto" w:sz="4" w:space="0"/>
              <w:right w:val="single" w:color="auto" w:sz="4" w:space="0"/>
            </w:tcBorders>
          </w:tcPr>
          <w:p w14:paraId="7A1F80BA">
            <w:pPr>
              <w:rPr>
                <w:rFonts w:ascii="Arial"/>
                <w:color w:val="auto"/>
                <w:highlight w:val="none"/>
              </w:rPr>
            </w:pPr>
          </w:p>
        </w:tc>
        <w:tc>
          <w:tcPr>
            <w:tcW w:w="2339" w:type="dxa"/>
            <w:gridSpan w:val="2"/>
            <w:tcBorders>
              <w:left w:val="single" w:color="auto" w:sz="4" w:space="0"/>
            </w:tcBorders>
          </w:tcPr>
          <w:p w14:paraId="43E5C236">
            <w:pPr>
              <w:pStyle w:val="185"/>
              <w:spacing w:before="176" w:line="221" w:lineRule="auto"/>
              <w:ind w:left="755"/>
              <w:rPr>
                <w:color w:val="auto"/>
                <w:highlight w:val="none"/>
              </w:rPr>
            </w:pPr>
            <w:r>
              <w:rPr>
                <w:color w:val="auto"/>
                <w:spacing w:val="-2"/>
                <w:highlight w:val="none"/>
              </w:rPr>
              <w:t>工程质量</w:t>
            </w:r>
          </w:p>
        </w:tc>
        <w:tc>
          <w:tcPr>
            <w:tcW w:w="4890" w:type="dxa"/>
            <w:gridSpan w:val="2"/>
          </w:tcPr>
          <w:p w14:paraId="6640C718">
            <w:pPr>
              <w:pStyle w:val="185"/>
              <w:spacing w:before="176" w:line="234" w:lineRule="auto"/>
              <w:ind w:left="115"/>
              <w:rPr>
                <w:color w:val="auto"/>
                <w:highlight w:val="none"/>
                <w:lang w:eastAsia="zh-CN"/>
              </w:rPr>
            </w:pPr>
            <w:r>
              <w:rPr>
                <w:color w:val="auto"/>
                <w:spacing w:val="-2"/>
                <w:highlight w:val="none"/>
                <w:lang w:eastAsia="zh-CN"/>
              </w:rPr>
              <w:t>符合第二章“投标人须知”第</w:t>
            </w:r>
            <w:r>
              <w:rPr>
                <w:rFonts w:ascii="Times New Roman" w:hAnsi="Times New Roman" w:eastAsia="Times New Roman" w:cs="Times New Roman"/>
                <w:color w:val="auto"/>
                <w:spacing w:val="-2"/>
                <w:highlight w:val="none"/>
                <w:lang w:eastAsia="zh-CN"/>
              </w:rPr>
              <w:t xml:space="preserve">1.3.3 </w:t>
            </w:r>
            <w:r>
              <w:rPr>
                <w:color w:val="auto"/>
                <w:spacing w:val="-2"/>
                <w:highlight w:val="none"/>
                <w:lang w:eastAsia="zh-CN"/>
              </w:rPr>
              <w:t>项规定</w:t>
            </w:r>
          </w:p>
        </w:tc>
      </w:tr>
      <w:tr w14:paraId="53B0C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46" w:type="dxa"/>
            <w:vMerge w:val="continue"/>
            <w:tcBorders>
              <w:top w:val="single" w:color="auto" w:sz="4" w:space="0"/>
              <w:left w:val="single" w:color="auto" w:sz="4" w:space="0"/>
              <w:bottom w:val="single" w:color="auto" w:sz="4" w:space="0"/>
            </w:tcBorders>
          </w:tcPr>
          <w:p w14:paraId="27144A7A">
            <w:pPr>
              <w:rPr>
                <w:rFonts w:ascii="Arial"/>
                <w:color w:val="auto"/>
                <w:highlight w:val="none"/>
              </w:rPr>
            </w:pPr>
          </w:p>
        </w:tc>
        <w:tc>
          <w:tcPr>
            <w:tcW w:w="1058" w:type="dxa"/>
            <w:gridSpan w:val="2"/>
            <w:vMerge w:val="continue"/>
            <w:tcBorders>
              <w:top w:val="single" w:color="auto" w:sz="4" w:space="0"/>
              <w:bottom w:val="single" w:color="auto" w:sz="4" w:space="0"/>
              <w:right w:val="single" w:color="auto" w:sz="4" w:space="0"/>
            </w:tcBorders>
          </w:tcPr>
          <w:p w14:paraId="37557B83">
            <w:pPr>
              <w:rPr>
                <w:rFonts w:ascii="Arial"/>
                <w:color w:val="auto"/>
                <w:highlight w:val="none"/>
              </w:rPr>
            </w:pPr>
          </w:p>
        </w:tc>
        <w:tc>
          <w:tcPr>
            <w:tcW w:w="2339" w:type="dxa"/>
            <w:gridSpan w:val="2"/>
            <w:tcBorders>
              <w:left w:val="single" w:color="auto" w:sz="4" w:space="0"/>
            </w:tcBorders>
          </w:tcPr>
          <w:p w14:paraId="0DF8C49F">
            <w:pPr>
              <w:pStyle w:val="185"/>
              <w:spacing w:before="174" w:line="221" w:lineRule="auto"/>
              <w:ind w:left="650"/>
              <w:rPr>
                <w:color w:val="auto"/>
                <w:highlight w:val="none"/>
              </w:rPr>
            </w:pPr>
            <w:r>
              <w:rPr>
                <w:color w:val="auto"/>
                <w:spacing w:val="-2"/>
                <w:highlight w:val="none"/>
              </w:rPr>
              <w:t>投标有效期</w:t>
            </w:r>
          </w:p>
        </w:tc>
        <w:tc>
          <w:tcPr>
            <w:tcW w:w="4890" w:type="dxa"/>
            <w:gridSpan w:val="2"/>
          </w:tcPr>
          <w:p w14:paraId="082EF4F4">
            <w:pPr>
              <w:pStyle w:val="185"/>
              <w:spacing w:before="173" w:line="234" w:lineRule="auto"/>
              <w:ind w:left="115"/>
              <w:rPr>
                <w:color w:val="auto"/>
                <w:highlight w:val="none"/>
                <w:lang w:eastAsia="zh-CN"/>
              </w:rPr>
            </w:pPr>
            <w:r>
              <w:rPr>
                <w:color w:val="auto"/>
                <w:spacing w:val="-1"/>
                <w:highlight w:val="none"/>
                <w:lang w:eastAsia="zh-CN"/>
              </w:rPr>
              <w:t>符合第二章“投标人须知”第</w:t>
            </w:r>
            <w:r>
              <w:rPr>
                <w:rFonts w:ascii="Times New Roman" w:hAnsi="Times New Roman" w:eastAsia="Times New Roman" w:cs="Times New Roman"/>
                <w:color w:val="auto"/>
                <w:spacing w:val="-1"/>
                <w:highlight w:val="none"/>
                <w:lang w:eastAsia="zh-CN"/>
              </w:rPr>
              <w:t xml:space="preserve">3.3.1 </w:t>
            </w:r>
            <w:r>
              <w:rPr>
                <w:color w:val="auto"/>
                <w:spacing w:val="-1"/>
                <w:highlight w:val="none"/>
                <w:lang w:eastAsia="zh-CN"/>
              </w:rPr>
              <w:t>项规定</w:t>
            </w:r>
          </w:p>
        </w:tc>
      </w:tr>
      <w:tr w14:paraId="2FAB85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46" w:type="dxa"/>
            <w:vMerge w:val="continue"/>
            <w:tcBorders>
              <w:top w:val="single" w:color="auto" w:sz="4" w:space="0"/>
              <w:left w:val="single" w:color="auto" w:sz="4" w:space="0"/>
              <w:bottom w:val="single" w:color="auto" w:sz="4" w:space="0"/>
            </w:tcBorders>
          </w:tcPr>
          <w:p w14:paraId="77CA2D6E">
            <w:pPr>
              <w:rPr>
                <w:rFonts w:ascii="Arial"/>
                <w:color w:val="auto"/>
                <w:highlight w:val="none"/>
              </w:rPr>
            </w:pPr>
          </w:p>
        </w:tc>
        <w:tc>
          <w:tcPr>
            <w:tcW w:w="1058" w:type="dxa"/>
            <w:gridSpan w:val="2"/>
            <w:vMerge w:val="continue"/>
            <w:tcBorders>
              <w:top w:val="single" w:color="auto" w:sz="4" w:space="0"/>
              <w:bottom w:val="single" w:color="auto" w:sz="4" w:space="0"/>
              <w:right w:val="single" w:color="auto" w:sz="4" w:space="0"/>
            </w:tcBorders>
          </w:tcPr>
          <w:p w14:paraId="54BDD86D">
            <w:pPr>
              <w:rPr>
                <w:rFonts w:ascii="Arial"/>
                <w:color w:val="auto"/>
                <w:highlight w:val="none"/>
              </w:rPr>
            </w:pPr>
          </w:p>
        </w:tc>
        <w:tc>
          <w:tcPr>
            <w:tcW w:w="2339" w:type="dxa"/>
            <w:gridSpan w:val="2"/>
            <w:tcBorders>
              <w:left w:val="single" w:color="auto" w:sz="4" w:space="0"/>
            </w:tcBorders>
          </w:tcPr>
          <w:p w14:paraId="60013BF3">
            <w:pPr>
              <w:pStyle w:val="185"/>
              <w:spacing w:before="174" w:line="221" w:lineRule="auto"/>
              <w:ind w:left="650"/>
              <w:rPr>
                <w:color w:val="auto"/>
                <w:highlight w:val="none"/>
              </w:rPr>
            </w:pPr>
            <w:r>
              <w:rPr>
                <w:color w:val="auto"/>
                <w:spacing w:val="-2"/>
                <w:highlight w:val="none"/>
              </w:rPr>
              <w:t>投标保证金</w:t>
            </w:r>
          </w:p>
        </w:tc>
        <w:tc>
          <w:tcPr>
            <w:tcW w:w="4890" w:type="dxa"/>
            <w:gridSpan w:val="2"/>
          </w:tcPr>
          <w:p w14:paraId="082FB0F8">
            <w:pPr>
              <w:pStyle w:val="185"/>
              <w:spacing w:before="173" w:line="234" w:lineRule="auto"/>
              <w:ind w:left="115"/>
              <w:rPr>
                <w:color w:val="auto"/>
                <w:highlight w:val="none"/>
                <w:lang w:eastAsia="zh-CN"/>
              </w:rPr>
            </w:pPr>
            <w:r>
              <w:rPr>
                <w:color w:val="auto"/>
                <w:spacing w:val="-1"/>
                <w:highlight w:val="none"/>
                <w:lang w:eastAsia="zh-CN"/>
              </w:rPr>
              <w:t>符合第二章“投标人须知”第</w:t>
            </w:r>
            <w:r>
              <w:rPr>
                <w:rFonts w:ascii="Times New Roman" w:hAnsi="Times New Roman" w:eastAsia="Times New Roman" w:cs="Times New Roman"/>
                <w:color w:val="auto"/>
                <w:spacing w:val="-1"/>
                <w:highlight w:val="none"/>
                <w:lang w:eastAsia="zh-CN"/>
              </w:rPr>
              <w:t xml:space="preserve">3.4.1 </w:t>
            </w:r>
            <w:r>
              <w:rPr>
                <w:color w:val="auto"/>
                <w:spacing w:val="-1"/>
                <w:highlight w:val="none"/>
                <w:lang w:eastAsia="zh-CN"/>
              </w:rPr>
              <w:t>项规定</w:t>
            </w:r>
          </w:p>
        </w:tc>
      </w:tr>
      <w:tr w14:paraId="3433F7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46" w:type="dxa"/>
            <w:vMerge w:val="continue"/>
            <w:tcBorders>
              <w:top w:val="single" w:color="auto" w:sz="4" w:space="0"/>
              <w:left w:val="single" w:color="auto" w:sz="4" w:space="0"/>
              <w:bottom w:val="single" w:color="auto" w:sz="4" w:space="0"/>
            </w:tcBorders>
          </w:tcPr>
          <w:p w14:paraId="26EB6220">
            <w:pPr>
              <w:rPr>
                <w:rFonts w:ascii="Arial"/>
                <w:color w:val="auto"/>
                <w:highlight w:val="none"/>
              </w:rPr>
            </w:pPr>
          </w:p>
        </w:tc>
        <w:tc>
          <w:tcPr>
            <w:tcW w:w="1058" w:type="dxa"/>
            <w:gridSpan w:val="2"/>
            <w:vMerge w:val="continue"/>
            <w:tcBorders>
              <w:top w:val="single" w:color="auto" w:sz="4" w:space="0"/>
              <w:bottom w:val="single" w:color="auto" w:sz="4" w:space="0"/>
              <w:right w:val="single" w:color="auto" w:sz="4" w:space="0"/>
            </w:tcBorders>
          </w:tcPr>
          <w:p w14:paraId="707EAF5E">
            <w:pPr>
              <w:rPr>
                <w:rFonts w:ascii="Arial"/>
                <w:color w:val="auto"/>
                <w:highlight w:val="none"/>
              </w:rPr>
            </w:pPr>
          </w:p>
        </w:tc>
        <w:tc>
          <w:tcPr>
            <w:tcW w:w="2339" w:type="dxa"/>
            <w:gridSpan w:val="2"/>
            <w:tcBorders>
              <w:left w:val="single" w:color="auto" w:sz="4" w:space="0"/>
            </w:tcBorders>
          </w:tcPr>
          <w:p w14:paraId="192D04F9">
            <w:pPr>
              <w:spacing w:line="298" w:lineRule="auto"/>
              <w:rPr>
                <w:rFonts w:ascii="Arial"/>
                <w:color w:val="auto"/>
                <w:highlight w:val="none"/>
              </w:rPr>
            </w:pPr>
          </w:p>
          <w:p w14:paraId="6120AA4C">
            <w:pPr>
              <w:pStyle w:val="185"/>
              <w:spacing w:before="68" w:line="221" w:lineRule="auto"/>
              <w:ind w:left="752"/>
              <w:rPr>
                <w:color w:val="auto"/>
                <w:highlight w:val="none"/>
              </w:rPr>
            </w:pPr>
            <w:r>
              <w:rPr>
                <w:color w:val="auto"/>
                <w:spacing w:val="-1"/>
                <w:highlight w:val="none"/>
              </w:rPr>
              <w:t>权利义务</w:t>
            </w:r>
          </w:p>
        </w:tc>
        <w:tc>
          <w:tcPr>
            <w:tcW w:w="4890" w:type="dxa"/>
            <w:gridSpan w:val="2"/>
          </w:tcPr>
          <w:p w14:paraId="38E5CD7B">
            <w:pPr>
              <w:pStyle w:val="185"/>
              <w:spacing w:before="157" w:line="298" w:lineRule="auto"/>
              <w:ind w:left="99" w:right="109" w:firstLine="16"/>
              <w:rPr>
                <w:color w:val="auto"/>
                <w:highlight w:val="none"/>
                <w:lang w:eastAsia="zh-CN"/>
              </w:rPr>
            </w:pPr>
            <w:r>
              <w:rPr>
                <w:color w:val="auto"/>
                <w:spacing w:val="14"/>
                <w:highlight w:val="none"/>
                <w:lang w:eastAsia="zh-CN"/>
              </w:rPr>
              <w:t>投标函附录中的相关承诺符合或优于第四章</w:t>
            </w:r>
            <w:r>
              <w:rPr>
                <w:color w:val="auto"/>
                <w:highlight w:val="none"/>
                <w:lang w:eastAsia="zh-CN"/>
              </w:rPr>
              <w:t>“合同条款及格式”的相关规定</w:t>
            </w:r>
          </w:p>
        </w:tc>
      </w:tr>
      <w:tr w14:paraId="2A2E41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746" w:type="dxa"/>
            <w:vMerge w:val="continue"/>
            <w:tcBorders>
              <w:top w:val="single" w:color="auto" w:sz="4" w:space="0"/>
              <w:left w:val="single" w:color="auto" w:sz="4" w:space="0"/>
              <w:bottom w:val="single" w:color="auto" w:sz="4" w:space="0"/>
            </w:tcBorders>
          </w:tcPr>
          <w:p w14:paraId="406CE951">
            <w:pPr>
              <w:rPr>
                <w:rFonts w:ascii="Arial"/>
                <w:color w:val="auto"/>
                <w:highlight w:val="none"/>
              </w:rPr>
            </w:pPr>
          </w:p>
        </w:tc>
        <w:tc>
          <w:tcPr>
            <w:tcW w:w="1058" w:type="dxa"/>
            <w:gridSpan w:val="2"/>
            <w:vMerge w:val="continue"/>
            <w:tcBorders>
              <w:top w:val="single" w:color="auto" w:sz="4" w:space="0"/>
              <w:bottom w:val="single" w:color="auto" w:sz="4" w:space="0"/>
              <w:right w:val="single" w:color="auto" w:sz="4" w:space="0"/>
            </w:tcBorders>
          </w:tcPr>
          <w:p w14:paraId="0232E186">
            <w:pPr>
              <w:rPr>
                <w:rFonts w:ascii="Arial"/>
                <w:color w:val="auto"/>
                <w:highlight w:val="none"/>
              </w:rPr>
            </w:pPr>
          </w:p>
        </w:tc>
        <w:tc>
          <w:tcPr>
            <w:tcW w:w="2339" w:type="dxa"/>
            <w:gridSpan w:val="2"/>
            <w:tcBorders>
              <w:left w:val="single" w:color="auto" w:sz="4" w:space="0"/>
            </w:tcBorders>
            <w:shd w:val="clear" w:color="auto" w:fill="auto"/>
            <w:vAlign w:val="center"/>
          </w:tcPr>
          <w:p w14:paraId="6CC68165">
            <w:pPr>
              <w:spacing w:line="298" w:lineRule="auto"/>
              <w:jc w:val="center"/>
              <w:rPr>
                <w:rFonts w:ascii="Arial" w:hAnsi="Times New Roman" w:eastAsia="宋体" w:cs="Times New Roman"/>
                <w:color w:val="auto"/>
                <w:kern w:val="2"/>
                <w:sz w:val="21"/>
                <w:szCs w:val="24"/>
                <w:highlight w:val="none"/>
                <w:lang w:val="en-US" w:eastAsia="zh-CN" w:bidi="ar-SA"/>
              </w:rPr>
            </w:pPr>
            <w:r>
              <w:rPr>
                <w:rFonts w:ascii="Arial"/>
                <w:color w:val="auto"/>
                <w:highlight w:val="none"/>
              </w:rPr>
              <w:t>分包计划</w:t>
            </w:r>
          </w:p>
        </w:tc>
        <w:tc>
          <w:tcPr>
            <w:tcW w:w="4890" w:type="dxa"/>
            <w:gridSpan w:val="2"/>
            <w:shd w:val="clear" w:color="auto" w:fill="auto"/>
            <w:vAlign w:val="center"/>
          </w:tcPr>
          <w:p w14:paraId="6AF44C6F">
            <w:pPr>
              <w:spacing w:line="298" w:lineRule="auto"/>
              <w:jc w:val="center"/>
              <w:rPr>
                <w:rFonts w:ascii="Arial" w:hAnsi="Times New Roman" w:eastAsia="宋体" w:cs="Times New Roman"/>
                <w:color w:val="auto"/>
                <w:kern w:val="2"/>
                <w:sz w:val="21"/>
                <w:szCs w:val="24"/>
                <w:highlight w:val="none"/>
                <w:lang w:val="en-US" w:eastAsia="zh-CN" w:bidi="ar-SA"/>
              </w:rPr>
            </w:pPr>
            <w:r>
              <w:rPr>
                <w:rFonts w:ascii="Arial"/>
                <w:color w:val="auto"/>
                <w:highlight w:val="none"/>
                <w:lang w:eastAsia="zh-CN"/>
              </w:rPr>
              <w:t>符合第二章“</w:t>
            </w:r>
            <w:r>
              <w:rPr>
                <w:rFonts w:hint="eastAsia" w:ascii="Arial"/>
                <w:color w:val="auto"/>
                <w:highlight w:val="none"/>
                <w:lang w:eastAsia="zh-CN"/>
              </w:rPr>
              <w:t>投标人须知前附表</w:t>
            </w:r>
            <w:r>
              <w:rPr>
                <w:rFonts w:ascii="Arial"/>
                <w:color w:val="auto"/>
                <w:highlight w:val="none"/>
                <w:lang w:eastAsia="zh-CN"/>
              </w:rPr>
              <w:t>”第1.11</w:t>
            </w:r>
            <w:r>
              <w:rPr>
                <w:rFonts w:hint="eastAsia" w:ascii="Arial"/>
                <w:color w:val="auto"/>
                <w:highlight w:val="none"/>
                <w:lang w:eastAsia="zh-CN"/>
              </w:rPr>
              <w:t>.2</w:t>
            </w:r>
            <w:r>
              <w:rPr>
                <w:rFonts w:ascii="Arial"/>
                <w:color w:val="auto"/>
                <w:highlight w:val="none"/>
                <w:lang w:eastAsia="zh-CN"/>
              </w:rPr>
              <w:t>款规定</w:t>
            </w:r>
          </w:p>
        </w:tc>
      </w:tr>
      <w:tr w14:paraId="0DBDCF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6" w:type="dxa"/>
            <w:vMerge w:val="continue"/>
            <w:tcBorders>
              <w:top w:val="single" w:color="auto" w:sz="4" w:space="0"/>
              <w:left w:val="single" w:color="auto" w:sz="4" w:space="0"/>
              <w:bottom w:val="single" w:color="auto" w:sz="4" w:space="0"/>
            </w:tcBorders>
          </w:tcPr>
          <w:p w14:paraId="02C02103">
            <w:pPr>
              <w:rPr>
                <w:rFonts w:ascii="Arial"/>
                <w:color w:val="auto"/>
                <w:highlight w:val="none"/>
              </w:rPr>
            </w:pPr>
          </w:p>
        </w:tc>
        <w:tc>
          <w:tcPr>
            <w:tcW w:w="1058" w:type="dxa"/>
            <w:gridSpan w:val="2"/>
            <w:vMerge w:val="continue"/>
            <w:tcBorders>
              <w:top w:val="single" w:color="auto" w:sz="4" w:space="0"/>
              <w:bottom w:val="single" w:color="auto" w:sz="4" w:space="0"/>
              <w:right w:val="single" w:color="auto" w:sz="4" w:space="0"/>
            </w:tcBorders>
          </w:tcPr>
          <w:p w14:paraId="764C93AF">
            <w:pPr>
              <w:rPr>
                <w:rFonts w:ascii="Arial"/>
                <w:color w:val="auto"/>
                <w:highlight w:val="none"/>
              </w:rPr>
            </w:pPr>
          </w:p>
        </w:tc>
        <w:tc>
          <w:tcPr>
            <w:tcW w:w="2339" w:type="dxa"/>
            <w:gridSpan w:val="2"/>
            <w:tcBorders>
              <w:left w:val="single" w:color="auto" w:sz="4" w:space="0"/>
            </w:tcBorders>
          </w:tcPr>
          <w:p w14:paraId="45F44ACD">
            <w:pPr>
              <w:pStyle w:val="185"/>
              <w:spacing w:before="68" w:line="219" w:lineRule="auto"/>
              <w:ind w:left="755"/>
              <w:rPr>
                <w:color w:val="auto"/>
                <w:highlight w:val="none"/>
              </w:rPr>
            </w:pPr>
            <w:r>
              <w:rPr>
                <w:color w:val="auto"/>
                <w:spacing w:val="-2"/>
                <w:highlight w:val="none"/>
              </w:rPr>
              <w:t>投标价格</w:t>
            </w:r>
          </w:p>
        </w:tc>
        <w:tc>
          <w:tcPr>
            <w:tcW w:w="4890" w:type="dxa"/>
            <w:gridSpan w:val="2"/>
          </w:tcPr>
          <w:p w14:paraId="4E2CDBCB">
            <w:pPr>
              <w:pStyle w:val="185"/>
              <w:spacing w:before="158" w:line="297" w:lineRule="auto"/>
              <w:ind w:left="128" w:right="110" w:hanging="12"/>
              <w:rPr>
                <w:color w:val="auto"/>
                <w:highlight w:val="none"/>
                <w:lang w:eastAsia="zh-CN"/>
              </w:rPr>
            </w:pPr>
            <w:r>
              <w:rPr>
                <w:color w:val="auto"/>
                <w:spacing w:val="3"/>
                <w:highlight w:val="none"/>
                <w:lang w:eastAsia="zh-CN"/>
              </w:rPr>
              <w:t>投标报价不大于本标段最高投标</w:t>
            </w:r>
            <w:r>
              <w:rPr>
                <w:color w:val="auto"/>
                <w:spacing w:val="-6"/>
                <w:highlight w:val="none"/>
                <w:lang w:eastAsia="zh-CN"/>
              </w:rPr>
              <w:t>限价</w:t>
            </w:r>
          </w:p>
        </w:tc>
      </w:tr>
      <w:tr w14:paraId="2A2445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46" w:type="dxa"/>
            <w:vMerge w:val="continue"/>
            <w:tcBorders>
              <w:top w:val="single" w:color="auto" w:sz="4" w:space="0"/>
              <w:left w:val="single" w:color="auto" w:sz="4" w:space="0"/>
              <w:bottom w:val="single" w:color="auto" w:sz="4" w:space="0"/>
            </w:tcBorders>
          </w:tcPr>
          <w:p w14:paraId="685F24E1">
            <w:pPr>
              <w:rPr>
                <w:rFonts w:ascii="Arial"/>
                <w:color w:val="auto"/>
                <w:highlight w:val="none"/>
              </w:rPr>
            </w:pPr>
          </w:p>
        </w:tc>
        <w:tc>
          <w:tcPr>
            <w:tcW w:w="1058" w:type="dxa"/>
            <w:gridSpan w:val="2"/>
            <w:vMerge w:val="continue"/>
            <w:tcBorders>
              <w:top w:val="single" w:color="auto" w:sz="4" w:space="0"/>
              <w:bottom w:val="single" w:color="auto" w:sz="4" w:space="0"/>
              <w:right w:val="single" w:color="auto" w:sz="4" w:space="0"/>
            </w:tcBorders>
          </w:tcPr>
          <w:p w14:paraId="2EBF0F21">
            <w:pPr>
              <w:rPr>
                <w:rFonts w:ascii="Arial"/>
                <w:color w:val="auto"/>
                <w:highlight w:val="none"/>
              </w:rPr>
            </w:pPr>
          </w:p>
        </w:tc>
        <w:tc>
          <w:tcPr>
            <w:tcW w:w="2339" w:type="dxa"/>
            <w:gridSpan w:val="2"/>
            <w:tcBorders>
              <w:left w:val="single" w:color="auto" w:sz="4" w:space="0"/>
            </w:tcBorders>
          </w:tcPr>
          <w:p w14:paraId="61472FE3">
            <w:pPr>
              <w:spacing w:line="298" w:lineRule="auto"/>
              <w:rPr>
                <w:rFonts w:ascii="Arial"/>
                <w:color w:val="auto"/>
                <w:highlight w:val="none"/>
              </w:rPr>
            </w:pPr>
          </w:p>
          <w:p w14:paraId="2669057C">
            <w:pPr>
              <w:pStyle w:val="185"/>
              <w:spacing w:before="68" w:line="219" w:lineRule="auto"/>
              <w:ind w:left="754"/>
              <w:rPr>
                <w:color w:val="auto"/>
                <w:highlight w:val="none"/>
              </w:rPr>
            </w:pPr>
            <w:r>
              <w:rPr>
                <w:color w:val="auto"/>
                <w:spacing w:val="-2"/>
                <w:highlight w:val="none"/>
              </w:rPr>
              <w:t>价格清单</w:t>
            </w:r>
          </w:p>
        </w:tc>
        <w:tc>
          <w:tcPr>
            <w:tcW w:w="4890" w:type="dxa"/>
            <w:gridSpan w:val="2"/>
          </w:tcPr>
          <w:p w14:paraId="4B623EA7">
            <w:pPr>
              <w:pStyle w:val="185"/>
              <w:spacing w:before="159" w:line="297" w:lineRule="auto"/>
              <w:ind w:left="99" w:right="5" w:firstLine="37"/>
              <w:rPr>
                <w:color w:val="auto"/>
                <w:highlight w:val="none"/>
                <w:lang w:eastAsia="zh-CN"/>
              </w:rPr>
            </w:pPr>
            <w:r>
              <w:rPr>
                <w:color w:val="auto"/>
                <w:spacing w:val="7"/>
                <w:highlight w:val="none"/>
                <w:lang w:eastAsia="zh-CN"/>
              </w:rPr>
              <w:t>已标价价格清单符合第七章“投标文件格式”</w:t>
            </w:r>
            <w:r>
              <w:rPr>
                <w:color w:val="auto"/>
                <w:highlight w:val="none"/>
                <w:lang w:eastAsia="zh-CN"/>
              </w:rPr>
              <w:t>“五、价格清单”的有关要求</w:t>
            </w:r>
          </w:p>
        </w:tc>
      </w:tr>
      <w:tr w14:paraId="3043B4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7" w:hRule="atLeast"/>
        </w:trPr>
        <w:tc>
          <w:tcPr>
            <w:tcW w:w="1804" w:type="dxa"/>
            <w:gridSpan w:val="3"/>
            <w:tcBorders>
              <w:top w:val="single" w:color="auto" w:sz="4" w:space="0"/>
            </w:tcBorders>
          </w:tcPr>
          <w:p w14:paraId="2AF70D46">
            <w:pPr>
              <w:spacing w:line="276" w:lineRule="auto"/>
              <w:rPr>
                <w:rFonts w:ascii="Arial"/>
                <w:color w:val="auto"/>
                <w:highlight w:val="none"/>
              </w:rPr>
            </w:pPr>
          </w:p>
          <w:p w14:paraId="4150D741">
            <w:pPr>
              <w:spacing w:line="276" w:lineRule="auto"/>
              <w:rPr>
                <w:rFonts w:ascii="Arial"/>
                <w:color w:val="auto"/>
                <w:highlight w:val="none"/>
              </w:rPr>
            </w:pPr>
          </w:p>
          <w:p w14:paraId="159ED65D">
            <w:pPr>
              <w:spacing w:before="61" w:line="233" w:lineRule="auto"/>
              <w:ind w:left="697"/>
              <w:rPr>
                <w:rFonts w:eastAsia="Times New Roman"/>
                <w:color w:val="auto"/>
                <w:szCs w:val="21"/>
                <w:highlight w:val="none"/>
              </w:rPr>
            </w:pPr>
            <w:r>
              <w:rPr>
                <w:rFonts w:eastAsia="Times New Roman"/>
                <w:color w:val="auto"/>
                <w:spacing w:val="-2"/>
                <w:szCs w:val="21"/>
                <w:highlight w:val="none"/>
              </w:rPr>
              <w:t>3.1.2</w:t>
            </w:r>
          </w:p>
        </w:tc>
        <w:tc>
          <w:tcPr>
            <w:tcW w:w="7229" w:type="dxa"/>
            <w:gridSpan w:val="4"/>
          </w:tcPr>
          <w:p w14:paraId="163AF9D0">
            <w:pPr>
              <w:pStyle w:val="185"/>
              <w:spacing w:before="160" w:line="221" w:lineRule="auto"/>
              <w:ind w:left="114"/>
              <w:rPr>
                <w:color w:val="auto"/>
                <w:highlight w:val="none"/>
                <w:lang w:eastAsia="zh-CN"/>
              </w:rPr>
            </w:pPr>
            <w:r>
              <w:rPr>
                <w:color w:val="auto"/>
                <w:spacing w:val="-3"/>
                <w:highlight w:val="none"/>
                <w:lang w:eastAsia="zh-CN"/>
              </w:rPr>
              <w:t>投标人不得存在的其他情形：</w:t>
            </w:r>
          </w:p>
          <w:p w14:paraId="3505BB66">
            <w:pPr>
              <w:pStyle w:val="185"/>
              <w:spacing w:before="168" w:line="220" w:lineRule="auto"/>
              <w:ind w:left="118"/>
              <w:rPr>
                <w:color w:val="auto"/>
                <w:highlight w:val="none"/>
                <w:lang w:eastAsia="zh-CN"/>
              </w:rPr>
            </w:pPr>
            <w:r>
              <w:rPr>
                <w:color w:val="auto"/>
                <w:spacing w:val="-2"/>
                <w:highlight w:val="none"/>
                <w:lang w:eastAsia="zh-CN"/>
              </w:rPr>
              <w:t>（1）不按评标委员会要求澄清、说明或补正；</w:t>
            </w:r>
          </w:p>
          <w:p w14:paraId="07DC4BAB">
            <w:pPr>
              <w:pStyle w:val="185"/>
              <w:spacing w:before="169" w:line="220" w:lineRule="auto"/>
              <w:ind w:left="118"/>
              <w:rPr>
                <w:color w:val="auto"/>
                <w:highlight w:val="none"/>
                <w:lang w:eastAsia="zh-CN"/>
              </w:rPr>
            </w:pPr>
            <w:r>
              <w:rPr>
                <w:color w:val="auto"/>
                <w:spacing w:val="-1"/>
                <w:highlight w:val="none"/>
                <w:lang w:eastAsia="zh-CN"/>
              </w:rPr>
              <w:t>（2）有串通投标、弄虚作假、行贿或有其他违法行</w:t>
            </w:r>
            <w:r>
              <w:rPr>
                <w:color w:val="auto"/>
                <w:spacing w:val="-2"/>
                <w:highlight w:val="none"/>
                <w:lang w:eastAsia="zh-CN"/>
              </w:rPr>
              <w:t>为。</w:t>
            </w:r>
          </w:p>
        </w:tc>
      </w:tr>
      <w:tr w14:paraId="78A02E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0" w:hRule="atLeast"/>
        </w:trPr>
        <w:tc>
          <w:tcPr>
            <w:tcW w:w="1804" w:type="dxa"/>
            <w:gridSpan w:val="3"/>
          </w:tcPr>
          <w:p w14:paraId="5066F9B5">
            <w:pPr>
              <w:spacing w:line="357" w:lineRule="auto"/>
              <w:rPr>
                <w:rFonts w:ascii="Arial"/>
                <w:color w:val="auto"/>
                <w:highlight w:val="none"/>
              </w:rPr>
            </w:pPr>
          </w:p>
          <w:p w14:paraId="4FE865DE">
            <w:pPr>
              <w:spacing w:line="358" w:lineRule="auto"/>
              <w:rPr>
                <w:rFonts w:ascii="Arial"/>
                <w:color w:val="auto"/>
                <w:highlight w:val="none"/>
              </w:rPr>
            </w:pPr>
          </w:p>
          <w:p w14:paraId="4083A8DC">
            <w:pPr>
              <w:pStyle w:val="185"/>
              <w:spacing w:before="68"/>
              <w:ind w:left="648"/>
              <w:rPr>
                <w:color w:val="auto"/>
                <w:highlight w:val="none"/>
              </w:rPr>
            </w:pPr>
            <w:r>
              <w:rPr>
                <w:color w:val="auto"/>
                <w:spacing w:val="-2"/>
                <w:highlight w:val="none"/>
              </w:rPr>
              <w:t>3.1.4</w:t>
            </w:r>
          </w:p>
        </w:tc>
        <w:tc>
          <w:tcPr>
            <w:tcW w:w="7229" w:type="dxa"/>
            <w:gridSpan w:val="4"/>
          </w:tcPr>
          <w:p w14:paraId="101B9CCB">
            <w:pPr>
              <w:pStyle w:val="185"/>
              <w:spacing w:before="158" w:line="220" w:lineRule="auto"/>
              <w:ind w:left="111"/>
              <w:rPr>
                <w:color w:val="auto"/>
                <w:highlight w:val="none"/>
                <w:lang w:eastAsia="zh-CN"/>
              </w:rPr>
            </w:pPr>
            <w:r>
              <w:rPr>
                <w:color w:val="auto"/>
                <w:spacing w:val="-5"/>
                <w:highlight w:val="none"/>
                <w:lang w:eastAsia="zh-CN"/>
              </w:rPr>
              <w:t>低于成本评审：</w:t>
            </w:r>
          </w:p>
          <w:p w14:paraId="4D81A9C7">
            <w:pPr>
              <w:pStyle w:val="185"/>
              <w:spacing w:before="170" w:line="369" w:lineRule="auto"/>
              <w:ind w:left="114" w:right="117" w:hanging="3"/>
              <w:rPr>
                <w:color w:val="auto"/>
                <w:highlight w:val="none"/>
                <w:lang w:eastAsia="zh-CN"/>
              </w:rPr>
            </w:pPr>
            <w:r>
              <w:rPr>
                <w:color w:val="auto"/>
                <w:spacing w:val="3"/>
                <w:highlight w:val="none"/>
                <w:lang w:eastAsia="zh-CN"/>
              </w:rPr>
              <w:t>评标委员会发现投标人的报价明显低于其他投标报价，或者在设有最高投标限价时明显低于最高投标限价，使得其投标报价可能低于其个别成</w:t>
            </w:r>
          </w:p>
          <w:p w14:paraId="793BEAE2">
            <w:pPr>
              <w:pStyle w:val="185"/>
              <w:spacing w:before="170" w:line="369" w:lineRule="auto"/>
              <w:ind w:left="114" w:right="117" w:hanging="3"/>
              <w:rPr>
                <w:color w:val="auto"/>
                <w:highlight w:val="none"/>
                <w:lang w:eastAsia="zh-CN"/>
              </w:rPr>
            </w:pPr>
            <w:r>
              <w:rPr>
                <w:color w:val="auto"/>
                <w:spacing w:val="3"/>
                <w:highlight w:val="none"/>
                <w:lang w:eastAsia="zh-CN"/>
              </w:rPr>
              <w:t>本的，应当要求该投标人作出书面说明并提供相应的证明材料。投标人不能合理说明或者不能提供相应证明材料的，由评标委员会认定该投标 人以低于成本报价竞标，否决其投标。</w:t>
            </w:r>
          </w:p>
        </w:tc>
      </w:tr>
      <w:tr w14:paraId="512F80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1804" w:type="dxa"/>
            <w:gridSpan w:val="3"/>
          </w:tcPr>
          <w:p w14:paraId="1B11E6BE">
            <w:pPr>
              <w:keepNext w:val="0"/>
              <w:keepLines w:val="0"/>
              <w:widowControl/>
              <w:suppressLineNumbers w:val="0"/>
              <w:jc w:val="center"/>
              <w:rPr>
                <w:color w:val="auto"/>
                <w:spacing w:val="-2"/>
                <w:highlight w:val="none"/>
              </w:rPr>
            </w:pPr>
            <w:r>
              <w:rPr>
                <w:rFonts w:hint="eastAsia" w:ascii="宋体" w:hAnsi="宋体" w:eastAsia="宋体" w:cs="宋体"/>
                <w:color w:val="auto"/>
                <w:kern w:val="0"/>
                <w:sz w:val="21"/>
                <w:szCs w:val="21"/>
                <w:highlight w:val="none"/>
                <w:lang w:val="en-US" w:eastAsia="zh-CN" w:bidi="ar"/>
              </w:rPr>
              <w:t>3.2.1</w:t>
            </w:r>
          </w:p>
        </w:tc>
        <w:tc>
          <w:tcPr>
            <w:tcW w:w="7229" w:type="dxa"/>
            <w:gridSpan w:val="4"/>
          </w:tcPr>
          <w:p w14:paraId="5F8C1F46">
            <w:pPr>
              <w:keepNext w:val="0"/>
              <w:keepLines w:val="0"/>
              <w:widowControl/>
              <w:suppressLineNumbers w:val="0"/>
              <w:jc w:val="left"/>
              <w:rPr>
                <w:color w:val="auto"/>
                <w:spacing w:val="3"/>
                <w:highlight w:val="none"/>
                <w:lang w:eastAsia="zh-CN"/>
              </w:rPr>
            </w:pPr>
            <w:r>
              <w:rPr>
                <w:rFonts w:hint="eastAsia" w:ascii="宋体" w:hAnsi="宋体" w:eastAsia="宋体" w:cs="宋体"/>
                <w:color w:val="auto"/>
                <w:kern w:val="0"/>
                <w:sz w:val="21"/>
                <w:szCs w:val="21"/>
                <w:highlight w:val="none"/>
                <w:lang w:val="en-US" w:eastAsia="zh-CN" w:bidi="ar"/>
              </w:rPr>
              <w:t>（1）是否采用入围：□是 ☑否</w:t>
            </w:r>
          </w:p>
        </w:tc>
      </w:tr>
      <w:tr w14:paraId="227077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1804" w:type="dxa"/>
            <w:gridSpan w:val="3"/>
            <w:vAlign w:val="center"/>
          </w:tcPr>
          <w:p w14:paraId="20FB02B8">
            <w:pPr>
              <w:spacing w:line="420" w:lineRule="exact"/>
              <w:jc w:val="center"/>
              <w:rPr>
                <w:color w:val="auto"/>
                <w:spacing w:val="-2"/>
                <w:highlight w:val="none"/>
              </w:rPr>
            </w:pPr>
            <w:r>
              <w:rPr>
                <w:rFonts w:hint="eastAsia"/>
                <w:color w:val="auto"/>
                <w:szCs w:val="21"/>
                <w:highlight w:val="none"/>
                <w:lang w:val="en-US" w:eastAsia="zh-CN"/>
              </w:rPr>
              <w:t>3.3</w:t>
            </w:r>
          </w:p>
        </w:tc>
        <w:tc>
          <w:tcPr>
            <w:tcW w:w="7229" w:type="dxa"/>
            <w:gridSpan w:val="4"/>
            <w:vAlign w:val="center"/>
          </w:tcPr>
          <w:p w14:paraId="0166F94E">
            <w:pPr>
              <w:spacing w:line="360" w:lineRule="auto"/>
              <w:ind w:firstLine="420" w:firstLineChars="200"/>
              <w:jc w:val="left"/>
              <w:rPr>
                <w:rFonts w:ascii="宋体" w:hAnsi="宋体" w:cs="微软雅黑"/>
                <w:color w:val="auto"/>
                <w:szCs w:val="21"/>
                <w:highlight w:val="none"/>
              </w:rPr>
            </w:pPr>
            <w:r>
              <w:rPr>
                <w:rFonts w:hint="eastAsia" w:ascii="宋体" w:hAnsi="宋体" w:cs="微软雅黑"/>
                <w:color w:val="auto"/>
                <w:szCs w:val="21"/>
                <w:highlight w:val="none"/>
              </w:rPr>
              <w:t>评标委员会在评标过程中，如要求投标人澄清或说明的，评标委员会要求投标人在线澄清或说明的时间距投标人收到评标委员会通知的时间不得少于</w:t>
            </w:r>
            <w:r>
              <w:rPr>
                <w:rFonts w:hint="eastAsia" w:ascii="宋体" w:hAnsi="宋体"/>
                <w:color w:val="auto"/>
                <w:szCs w:val="21"/>
                <w:highlight w:val="none"/>
                <w:u w:val="single"/>
              </w:rPr>
              <w:t>30</w:t>
            </w:r>
            <w:r>
              <w:rPr>
                <w:rFonts w:hint="eastAsia" w:ascii="宋体" w:hAnsi="宋体" w:cs="微软雅黑"/>
                <w:color w:val="auto"/>
                <w:szCs w:val="21"/>
                <w:highlight w:val="none"/>
              </w:rPr>
              <w:t>分钟。</w:t>
            </w:r>
          </w:p>
          <w:p w14:paraId="1A50F6C9">
            <w:pPr>
              <w:spacing w:line="360" w:lineRule="auto"/>
              <w:ind w:firstLine="420" w:firstLineChars="200"/>
              <w:jc w:val="left"/>
              <w:rPr>
                <w:rFonts w:hint="eastAsia" w:ascii="宋体" w:hAnsi="宋体" w:cs="微软雅黑"/>
                <w:color w:val="auto"/>
                <w:szCs w:val="21"/>
                <w:highlight w:val="none"/>
              </w:rPr>
            </w:pPr>
            <w:r>
              <w:rPr>
                <w:rFonts w:hint="eastAsia" w:ascii="宋体" w:hAnsi="宋体" w:cs="微软雅黑"/>
                <w:color w:val="auto"/>
                <w:szCs w:val="21"/>
                <w:highlight w:val="none"/>
              </w:rPr>
              <w:t>评标委员会认为投标人的澄清或说明不够明确，应再次要求投标人对不明确的内容进行澄清或说明，评标委员会要求投标人再次在线澄清或说明的时间距投标人收到评标委员会通知的时间不得少于</w:t>
            </w:r>
            <w:r>
              <w:rPr>
                <w:rFonts w:hint="eastAsia" w:ascii="宋体" w:hAnsi="宋体"/>
                <w:color w:val="auto"/>
                <w:szCs w:val="21"/>
                <w:highlight w:val="none"/>
                <w:u w:val="single"/>
              </w:rPr>
              <w:t>30</w:t>
            </w:r>
            <w:r>
              <w:rPr>
                <w:rFonts w:hint="eastAsia" w:ascii="宋体" w:hAnsi="宋体" w:cs="微软雅黑"/>
                <w:color w:val="auto"/>
                <w:szCs w:val="21"/>
                <w:highlight w:val="none"/>
              </w:rPr>
              <w:t>分钟。</w:t>
            </w:r>
          </w:p>
          <w:p w14:paraId="2B2979C3">
            <w:pPr>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cs="微软雅黑"/>
                <w:color w:val="auto"/>
                <w:szCs w:val="21"/>
                <w:highlight w:val="none"/>
              </w:rPr>
              <w:t>投标人未在规定时间内作出澄清或说明的，或者评标委员会成员认为该投标人的澄清或说明始终都不符合评标委员会要求的，作否决投标处理。</w:t>
            </w:r>
          </w:p>
        </w:tc>
      </w:tr>
      <w:tr w14:paraId="794CAD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804" w:type="dxa"/>
            <w:gridSpan w:val="3"/>
          </w:tcPr>
          <w:p w14:paraId="72B03DD7">
            <w:pPr>
              <w:pStyle w:val="185"/>
              <w:spacing w:before="168" w:line="221" w:lineRule="auto"/>
              <w:ind w:left="592"/>
              <w:rPr>
                <w:color w:val="auto"/>
                <w:highlight w:val="none"/>
              </w:rPr>
            </w:pPr>
            <w:r>
              <w:rPr>
                <w:b/>
                <w:bCs/>
                <w:color w:val="auto"/>
                <w:spacing w:val="-4"/>
                <w:highlight w:val="none"/>
              </w:rPr>
              <w:t>条款号</w:t>
            </w:r>
          </w:p>
        </w:tc>
        <w:tc>
          <w:tcPr>
            <w:tcW w:w="1754" w:type="dxa"/>
          </w:tcPr>
          <w:p w14:paraId="0CAE4018">
            <w:pPr>
              <w:pStyle w:val="185"/>
              <w:spacing w:before="168" w:line="221" w:lineRule="auto"/>
              <w:ind w:left="596"/>
              <w:rPr>
                <w:color w:val="auto"/>
                <w:highlight w:val="none"/>
              </w:rPr>
            </w:pPr>
            <w:r>
              <w:rPr>
                <w:b/>
                <w:bCs/>
                <w:color w:val="auto"/>
                <w:spacing w:val="-4"/>
                <w:highlight w:val="none"/>
              </w:rPr>
              <w:t>条款内容</w:t>
            </w:r>
          </w:p>
        </w:tc>
        <w:tc>
          <w:tcPr>
            <w:tcW w:w="5475" w:type="dxa"/>
            <w:gridSpan w:val="3"/>
          </w:tcPr>
          <w:p w14:paraId="67DFD098">
            <w:pPr>
              <w:pStyle w:val="185"/>
              <w:spacing w:before="168" w:line="221" w:lineRule="auto"/>
              <w:ind w:left="1995"/>
              <w:rPr>
                <w:color w:val="auto"/>
                <w:highlight w:val="none"/>
              </w:rPr>
            </w:pPr>
            <w:r>
              <w:rPr>
                <w:b/>
                <w:bCs/>
                <w:color w:val="auto"/>
                <w:spacing w:val="-4"/>
                <w:highlight w:val="none"/>
              </w:rPr>
              <w:t>编列内容</w:t>
            </w:r>
          </w:p>
        </w:tc>
      </w:tr>
      <w:tr w14:paraId="1D7E90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6" w:hRule="atLeast"/>
        </w:trPr>
        <w:tc>
          <w:tcPr>
            <w:tcW w:w="1804" w:type="dxa"/>
            <w:gridSpan w:val="3"/>
          </w:tcPr>
          <w:p w14:paraId="1B55B834">
            <w:pPr>
              <w:spacing w:line="251" w:lineRule="auto"/>
              <w:rPr>
                <w:rFonts w:ascii="Arial"/>
                <w:color w:val="auto"/>
                <w:highlight w:val="none"/>
              </w:rPr>
            </w:pPr>
          </w:p>
          <w:p w14:paraId="231E447C">
            <w:pPr>
              <w:spacing w:line="251" w:lineRule="auto"/>
              <w:rPr>
                <w:rFonts w:ascii="Arial"/>
                <w:color w:val="auto"/>
                <w:highlight w:val="none"/>
              </w:rPr>
            </w:pPr>
          </w:p>
          <w:p w14:paraId="217E5272">
            <w:pPr>
              <w:spacing w:line="251" w:lineRule="auto"/>
              <w:rPr>
                <w:rFonts w:ascii="Arial"/>
                <w:color w:val="auto"/>
                <w:highlight w:val="none"/>
              </w:rPr>
            </w:pPr>
          </w:p>
          <w:p w14:paraId="0D03720F">
            <w:pPr>
              <w:spacing w:line="251" w:lineRule="auto"/>
              <w:rPr>
                <w:rFonts w:ascii="Arial"/>
                <w:color w:val="auto"/>
                <w:highlight w:val="none"/>
              </w:rPr>
            </w:pPr>
          </w:p>
          <w:p w14:paraId="49DB6DE0">
            <w:pPr>
              <w:spacing w:before="60" w:line="233" w:lineRule="auto"/>
              <w:ind w:left="692"/>
              <w:rPr>
                <w:rFonts w:eastAsia="Times New Roman"/>
                <w:color w:val="auto"/>
                <w:szCs w:val="21"/>
                <w:highlight w:val="none"/>
              </w:rPr>
            </w:pPr>
            <w:r>
              <w:rPr>
                <w:rFonts w:eastAsia="Times New Roman"/>
                <w:color w:val="auto"/>
                <w:spacing w:val="-1"/>
                <w:szCs w:val="21"/>
                <w:highlight w:val="none"/>
              </w:rPr>
              <w:t>2.2.1</w:t>
            </w:r>
          </w:p>
        </w:tc>
        <w:tc>
          <w:tcPr>
            <w:tcW w:w="1754" w:type="dxa"/>
          </w:tcPr>
          <w:p w14:paraId="65259B1A">
            <w:pPr>
              <w:spacing w:line="251" w:lineRule="auto"/>
              <w:rPr>
                <w:rFonts w:ascii="Arial"/>
                <w:color w:val="auto"/>
                <w:highlight w:val="none"/>
              </w:rPr>
            </w:pPr>
          </w:p>
          <w:p w14:paraId="352DEE59">
            <w:pPr>
              <w:spacing w:line="251" w:lineRule="auto"/>
              <w:rPr>
                <w:rFonts w:ascii="Arial"/>
                <w:color w:val="auto"/>
                <w:highlight w:val="none"/>
              </w:rPr>
            </w:pPr>
          </w:p>
          <w:p w14:paraId="1DF738BB">
            <w:pPr>
              <w:spacing w:line="251" w:lineRule="auto"/>
              <w:rPr>
                <w:rFonts w:ascii="Arial"/>
                <w:color w:val="auto"/>
                <w:highlight w:val="none"/>
              </w:rPr>
            </w:pPr>
          </w:p>
          <w:p w14:paraId="69359569">
            <w:pPr>
              <w:pStyle w:val="185"/>
              <w:spacing w:before="68" w:line="221" w:lineRule="auto"/>
              <w:ind w:left="597"/>
              <w:rPr>
                <w:color w:val="auto"/>
                <w:highlight w:val="none"/>
              </w:rPr>
            </w:pPr>
            <w:r>
              <w:rPr>
                <w:color w:val="auto"/>
                <w:spacing w:val="-2"/>
                <w:highlight w:val="none"/>
              </w:rPr>
              <w:t>分值构成</w:t>
            </w:r>
          </w:p>
          <w:p w14:paraId="2A02D0E8">
            <w:pPr>
              <w:pStyle w:val="185"/>
              <w:spacing w:before="169" w:line="221" w:lineRule="auto"/>
              <w:ind w:left="286"/>
              <w:rPr>
                <w:color w:val="auto"/>
                <w:highlight w:val="none"/>
              </w:rPr>
            </w:pPr>
            <w:r>
              <w:rPr>
                <w:color w:val="auto"/>
                <w:spacing w:val="-6"/>
                <w:highlight w:val="none"/>
              </w:rPr>
              <w:t>（总分100分）</w:t>
            </w:r>
          </w:p>
        </w:tc>
        <w:tc>
          <w:tcPr>
            <w:tcW w:w="5475" w:type="dxa"/>
            <w:gridSpan w:val="3"/>
          </w:tcPr>
          <w:p w14:paraId="38B81370">
            <w:pPr>
              <w:pStyle w:val="185"/>
              <w:spacing w:before="171" w:line="219" w:lineRule="auto"/>
              <w:ind w:left="116"/>
              <w:rPr>
                <w:color w:val="auto"/>
                <w:highlight w:val="none"/>
                <w:lang w:eastAsia="zh-CN"/>
              </w:rPr>
            </w:pPr>
            <w:r>
              <w:rPr>
                <w:color w:val="auto"/>
                <w:spacing w:val="-6"/>
                <w:highlight w:val="none"/>
                <w:lang w:eastAsia="zh-CN"/>
              </w:rPr>
              <w:t>投标报价（经济标</w:t>
            </w:r>
            <w:r>
              <w:rPr>
                <w:color w:val="auto"/>
                <w:spacing w:val="-31"/>
                <w:highlight w:val="none"/>
                <w:lang w:eastAsia="zh-CN"/>
              </w:rPr>
              <w:t>）：</w:t>
            </w:r>
            <w:r>
              <w:rPr>
                <w:rFonts w:hint="eastAsia"/>
                <w:color w:val="auto"/>
                <w:spacing w:val="8"/>
                <w:highlight w:val="none"/>
                <w:u w:val="single"/>
                <w:lang w:val="en-US" w:eastAsia="zh-CN"/>
              </w:rPr>
              <w:t>30</w:t>
            </w:r>
            <w:r>
              <w:rPr>
                <w:color w:val="auto"/>
                <w:spacing w:val="-6"/>
                <w:highlight w:val="none"/>
                <w:lang w:eastAsia="zh-CN"/>
              </w:rPr>
              <w:t>分</w:t>
            </w:r>
          </w:p>
          <w:p w14:paraId="08ECAAF0">
            <w:pPr>
              <w:pStyle w:val="185"/>
              <w:spacing w:before="192" w:line="220" w:lineRule="auto"/>
              <w:ind w:left="113"/>
              <w:rPr>
                <w:color w:val="auto"/>
                <w:highlight w:val="none"/>
                <w:lang w:eastAsia="zh-CN"/>
              </w:rPr>
            </w:pPr>
            <w:r>
              <w:rPr>
                <w:color w:val="auto"/>
                <w:spacing w:val="-6"/>
                <w:highlight w:val="none"/>
                <w:lang w:eastAsia="zh-CN"/>
              </w:rPr>
              <w:t>承包人建议书</w:t>
            </w:r>
            <w:r>
              <w:rPr>
                <w:color w:val="auto"/>
                <w:spacing w:val="-25"/>
                <w:highlight w:val="none"/>
                <w:lang w:eastAsia="zh-CN"/>
              </w:rPr>
              <w:t>：</w:t>
            </w:r>
            <w:r>
              <w:rPr>
                <w:rFonts w:hint="eastAsia"/>
                <w:color w:val="auto"/>
                <w:highlight w:val="none"/>
                <w:u w:val="single"/>
                <w:lang w:val="en-US" w:eastAsia="zh-CN"/>
              </w:rPr>
              <w:t>34</w:t>
            </w:r>
            <w:r>
              <w:rPr>
                <w:color w:val="auto"/>
                <w:spacing w:val="-6"/>
                <w:highlight w:val="none"/>
                <w:lang w:eastAsia="zh-CN"/>
              </w:rPr>
              <w:t>分</w:t>
            </w:r>
          </w:p>
          <w:p w14:paraId="0F7BAF9C">
            <w:pPr>
              <w:pStyle w:val="185"/>
              <w:spacing w:before="188" w:line="221" w:lineRule="auto"/>
              <w:ind w:left="113"/>
              <w:rPr>
                <w:color w:val="auto"/>
                <w:highlight w:val="none"/>
                <w:lang w:eastAsia="zh-CN"/>
              </w:rPr>
            </w:pPr>
            <w:r>
              <w:rPr>
                <w:color w:val="auto"/>
                <w:spacing w:val="-1"/>
                <w:highlight w:val="none"/>
                <w:lang w:eastAsia="zh-CN"/>
              </w:rPr>
              <w:t>承包人实施方案（技术标</w:t>
            </w:r>
            <w:r>
              <w:rPr>
                <w:color w:val="auto"/>
                <w:spacing w:val="-51"/>
                <w:highlight w:val="none"/>
                <w:lang w:eastAsia="zh-CN"/>
              </w:rPr>
              <w:t>）：</w:t>
            </w:r>
            <w:r>
              <w:rPr>
                <w:rFonts w:hint="eastAsia"/>
                <w:color w:val="auto"/>
                <w:spacing w:val="17"/>
                <w:highlight w:val="none"/>
                <w:u w:val="single"/>
                <w:lang w:val="en-US" w:eastAsia="zh-CN"/>
              </w:rPr>
              <w:t>32</w:t>
            </w:r>
            <w:r>
              <w:rPr>
                <w:color w:val="auto"/>
                <w:spacing w:val="-1"/>
                <w:highlight w:val="none"/>
                <w:lang w:eastAsia="zh-CN"/>
              </w:rPr>
              <w:t>分</w:t>
            </w:r>
          </w:p>
          <w:p w14:paraId="1C39BC17">
            <w:pPr>
              <w:pStyle w:val="185"/>
              <w:spacing w:before="187" w:line="221" w:lineRule="auto"/>
              <w:ind w:left="122"/>
              <w:rPr>
                <w:color w:val="auto"/>
                <w:highlight w:val="none"/>
                <w:lang w:eastAsia="zh-CN"/>
              </w:rPr>
            </w:pPr>
            <w:r>
              <w:rPr>
                <w:color w:val="auto"/>
                <w:spacing w:val="-5"/>
                <w:highlight w:val="none"/>
                <w:lang w:eastAsia="zh-CN"/>
              </w:rPr>
              <w:t>资信业绩部分（</w:t>
            </w:r>
            <w:r>
              <w:rPr>
                <w:rFonts w:hint="eastAsia"/>
                <w:color w:val="auto"/>
                <w:spacing w:val="-5"/>
                <w:highlight w:val="none"/>
                <w:lang w:val="en-US" w:eastAsia="zh-CN"/>
              </w:rPr>
              <w:t>资信</w:t>
            </w:r>
            <w:r>
              <w:rPr>
                <w:color w:val="auto"/>
                <w:spacing w:val="-5"/>
                <w:highlight w:val="none"/>
                <w:lang w:eastAsia="zh-CN"/>
              </w:rPr>
              <w:t>标</w:t>
            </w:r>
            <w:r>
              <w:rPr>
                <w:color w:val="auto"/>
                <w:spacing w:val="-35"/>
                <w:highlight w:val="none"/>
                <w:lang w:eastAsia="zh-CN"/>
              </w:rPr>
              <w:t>）：</w:t>
            </w:r>
            <w:r>
              <w:rPr>
                <w:rFonts w:hint="eastAsia"/>
                <w:color w:val="auto"/>
                <w:spacing w:val="-35"/>
                <w:highlight w:val="none"/>
                <w:u w:val="single"/>
                <w:lang w:val="en-US" w:eastAsia="zh-CN"/>
              </w:rPr>
              <w:t xml:space="preserve">/ </w:t>
            </w:r>
            <w:r>
              <w:rPr>
                <w:color w:val="auto"/>
                <w:spacing w:val="-5"/>
                <w:highlight w:val="none"/>
                <w:lang w:eastAsia="zh-CN"/>
              </w:rPr>
              <w:t>分</w:t>
            </w:r>
          </w:p>
          <w:p w14:paraId="261DE574">
            <w:pPr>
              <w:pStyle w:val="185"/>
              <w:spacing w:before="174" w:line="221" w:lineRule="auto"/>
              <w:ind w:left="114"/>
              <w:rPr>
                <w:color w:val="auto"/>
                <w:highlight w:val="none"/>
              </w:rPr>
            </w:pPr>
            <w:r>
              <w:rPr>
                <w:color w:val="auto"/>
                <w:spacing w:val="-1"/>
                <w:highlight w:val="none"/>
              </w:rPr>
              <w:t>其他评分因素：</w:t>
            </w:r>
            <w:r>
              <w:rPr>
                <w:rFonts w:hint="eastAsia"/>
                <w:color w:val="auto"/>
                <w:spacing w:val="-1"/>
                <w:highlight w:val="none"/>
                <w:u w:val="single"/>
                <w:lang w:val="en-US" w:eastAsia="zh-CN"/>
              </w:rPr>
              <w:t>4</w:t>
            </w:r>
            <w:r>
              <w:rPr>
                <w:color w:val="auto"/>
                <w:spacing w:val="-1"/>
                <w:highlight w:val="none"/>
              </w:rPr>
              <w:t>分</w:t>
            </w:r>
          </w:p>
        </w:tc>
      </w:tr>
      <w:tr w14:paraId="1D404C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1804" w:type="dxa"/>
            <w:gridSpan w:val="3"/>
          </w:tcPr>
          <w:p w14:paraId="2645A863">
            <w:pPr>
              <w:spacing w:before="190" w:line="233" w:lineRule="auto"/>
              <w:ind w:left="692"/>
              <w:rPr>
                <w:rFonts w:eastAsia="Times New Roman"/>
                <w:color w:val="auto"/>
                <w:szCs w:val="21"/>
                <w:highlight w:val="none"/>
              </w:rPr>
            </w:pPr>
            <w:r>
              <w:rPr>
                <w:rFonts w:eastAsia="Times New Roman"/>
                <w:color w:val="auto"/>
                <w:spacing w:val="-1"/>
                <w:szCs w:val="21"/>
                <w:highlight w:val="none"/>
              </w:rPr>
              <w:t>2.2.2</w:t>
            </w:r>
          </w:p>
          <w:p w14:paraId="513B2849">
            <w:pPr>
              <w:pStyle w:val="185"/>
              <w:spacing w:before="150" w:line="227" w:lineRule="auto"/>
              <w:ind w:left="650"/>
              <w:rPr>
                <w:color w:val="auto"/>
                <w:highlight w:val="none"/>
              </w:rPr>
            </w:pPr>
            <w:r>
              <w:rPr>
                <w:color w:val="auto"/>
                <w:spacing w:val="-5"/>
                <w:highlight w:val="none"/>
              </w:rPr>
              <w:t>（</w:t>
            </w:r>
            <w:r>
              <w:rPr>
                <w:rFonts w:ascii="Times New Roman" w:hAnsi="Times New Roman" w:eastAsia="Times New Roman" w:cs="Times New Roman"/>
                <w:color w:val="auto"/>
                <w:spacing w:val="-5"/>
                <w:highlight w:val="none"/>
              </w:rPr>
              <w:t>1</w:t>
            </w:r>
            <w:r>
              <w:rPr>
                <w:color w:val="auto"/>
                <w:spacing w:val="-5"/>
                <w:highlight w:val="none"/>
              </w:rPr>
              <w:t>）</w:t>
            </w:r>
          </w:p>
        </w:tc>
        <w:tc>
          <w:tcPr>
            <w:tcW w:w="1754" w:type="dxa"/>
          </w:tcPr>
          <w:p w14:paraId="74B272C9">
            <w:pPr>
              <w:spacing w:line="294" w:lineRule="auto"/>
              <w:rPr>
                <w:rFonts w:ascii="Arial"/>
                <w:color w:val="auto"/>
                <w:highlight w:val="none"/>
              </w:rPr>
            </w:pPr>
          </w:p>
          <w:p w14:paraId="6ED41234">
            <w:pPr>
              <w:pStyle w:val="185"/>
              <w:spacing w:before="68" w:line="219" w:lineRule="auto"/>
              <w:ind w:left="279"/>
              <w:rPr>
                <w:color w:val="auto"/>
                <w:highlight w:val="none"/>
              </w:rPr>
            </w:pPr>
            <w:r>
              <w:rPr>
                <w:color w:val="auto"/>
                <w:spacing w:val="-1"/>
                <w:highlight w:val="none"/>
              </w:rPr>
              <w:t>评标价确定方法</w:t>
            </w:r>
          </w:p>
        </w:tc>
        <w:tc>
          <w:tcPr>
            <w:tcW w:w="5475" w:type="dxa"/>
            <w:gridSpan w:val="3"/>
          </w:tcPr>
          <w:p w14:paraId="69206D04">
            <w:pPr>
              <w:pStyle w:val="185"/>
              <w:spacing w:before="156" w:line="298" w:lineRule="auto"/>
              <w:ind w:left="112" w:right="221"/>
              <w:rPr>
                <w:color w:val="auto"/>
                <w:highlight w:val="none"/>
                <w:lang w:eastAsia="zh-CN"/>
              </w:rPr>
            </w:pPr>
            <w:r>
              <w:rPr>
                <w:color w:val="auto"/>
                <w:spacing w:val="3"/>
                <w:highlight w:val="none"/>
                <w:lang w:eastAsia="zh-CN"/>
              </w:rPr>
              <w:t>评标价＝投标函大写投标报价（或经投标人书面</w:t>
            </w:r>
            <w:r>
              <w:rPr>
                <w:color w:val="auto"/>
                <w:spacing w:val="-7"/>
                <w:highlight w:val="none"/>
                <w:lang w:eastAsia="zh-CN"/>
              </w:rPr>
              <w:t>确认的算术错误修正后的投标总报价）。</w:t>
            </w:r>
          </w:p>
        </w:tc>
      </w:tr>
      <w:tr w14:paraId="6EC2DF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40" w:hRule="atLeast"/>
        </w:trPr>
        <w:tc>
          <w:tcPr>
            <w:tcW w:w="1804" w:type="dxa"/>
            <w:gridSpan w:val="3"/>
            <w:vAlign w:val="center"/>
          </w:tcPr>
          <w:p w14:paraId="7EC8321E">
            <w:pPr>
              <w:spacing w:line="265" w:lineRule="auto"/>
              <w:jc w:val="both"/>
              <w:rPr>
                <w:rFonts w:ascii="Arial"/>
                <w:color w:val="auto"/>
                <w:highlight w:val="none"/>
              </w:rPr>
            </w:pPr>
          </w:p>
          <w:p w14:paraId="22B7E719">
            <w:pPr>
              <w:spacing w:before="60" w:line="233" w:lineRule="auto"/>
              <w:ind w:left="692"/>
              <w:jc w:val="both"/>
              <w:rPr>
                <w:rFonts w:eastAsia="Times New Roman"/>
                <w:color w:val="auto"/>
                <w:szCs w:val="21"/>
                <w:highlight w:val="none"/>
              </w:rPr>
            </w:pPr>
            <w:r>
              <w:rPr>
                <w:rFonts w:eastAsia="Times New Roman"/>
                <w:color w:val="auto"/>
                <w:spacing w:val="-1"/>
                <w:szCs w:val="21"/>
                <w:highlight w:val="none"/>
              </w:rPr>
              <w:t>2.2.2</w:t>
            </w:r>
          </w:p>
          <w:p w14:paraId="5633767E">
            <w:pPr>
              <w:pStyle w:val="185"/>
              <w:spacing w:before="150" w:line="281" w:lineRule="exact"/>
              <w:ind w:left="650"/>
              <w:jc w:val="both"/>
              <w:rPr>
                <w:color w:val="auto"/>
                <w:highlight w:val="none"/>
              </w:rPr>
            </w:pPr>
            <w:r>
              <w:rPr>
                <w:color w:val="auto"/>
                <w:spacing w:val="-5"/>
                <w:position w:val="1"/>
                <w:highlight w:val="none"/>
              </w:rPr>
              <w:t>（</w:t>
            </w:r>
            <w:r>
              <w:rPr>
                <w:rFonts w:ascii="Times New Roman" w:hAnsi="Times New Roman" w:eastAsia="Times New Roman" w:cs="Times New Roman"/>
                <w:color w:val="auto"/>
                <w:spacing w:val="-5"/>
                <w:position w:val="1"/>
                <w:highlight w:val="none"/>
              </w:rPr>
              <w:t>2</w:t>
            </w:r>
            <w:r>
              <w:rPr>
                <w:color w:val="auto"/>
                <w:spacing w:val="-5"/>
                <w:position w:val="1"/>
                <w:highlight w:val="none"/>
              </w:rPr>
              <w:t>）</w:t>
            </w:r>
          </w:p>
        </w:tc>
        <w:tc>
          <w:tcPr>
            <w:tcW w:w="1754" w:type="dxa"/>
            <w:vAlign w:val="center"/>
          </w:tcPr>
          <w:p w14:paraId="3FEC6AD3">
            <w:pPr>
              <w:spacing w:line="420" w:lineRule="exact"/>
              <w:jc w:val="center"/>
              <w:rPr>
                <w:rFonts w:ascii="宋体" w:hAnsi="宋体"/>
                <w:color w:val="auto"/>
                <w:szCs w:val="21"/>
                <w:highlight w:val="none"/>
              </w:rPr>
            </w:pPr>
            <w:r>
              <w:rPr>
                <w:rFonts w:hint="eastAsia" w:ascii="宋体" w:hAnsi="宋体"/>
                <w:color w:val="auto"/>
                <w:szCs w:val="21"/>
                <w:highlight w:val="none"/>
              </w:rPr>
              <w:t>评标基准价计算</w:t>
            </w:r>
          </w:p>
          <w:p w14:paraId="67AB2775">
            <w:pPr>
              <w:spacing w:line="420" w:lineRule="exact"/>
              <w:jc w:val="center"/>
              <w:rPr>
                <w:color w:val="auto"/>
                <w:highlight w:val="none"/>
              </w:rPr>
            </w:pPr>
            <w:r>
              <w:rPr>
                <w:rFonts w:hint="eastAsia" w:ascii="宋体" w:hAnsi="宋体"/>
                <w:color w:val="auto"/>
                <w:szCs w:val="21"/>
                <w:highlight w:val="none"/>
              </w:rPr>
              <w:t>方法</w:t>
            </w:r>
          </w:p>
        </w:tc>
        <w:tc>
          <w:tcPr>
            <w:tcW w:w="5475" w:type="dxa"/>
            <w:gridSpan w:val="3"/>
            <w:vAlign w:val="center"/>
          </w:tcPr>
          <w:p w14:paraId="5E8D0AF1">
            <w:pPr>
              <w:spacing w:line="420" w:lineRule="exact"/>
              <w:ind w:right="113" w:rightChars="0"/>
              <w:jc w:val="left"/>
              <w:rPr>
                <w:rFonts w:hint="default" w:ascii="宋体" w:hAnsi="宋体"/>
                <w:color w:val="auto"/>
                <w:szCs w:val="21"/>
                <w:highlight w:val="none"/>
                <w:lang w:val="en-US" w:eastAsia="zh-CN"/>
              </w:rPr>
            </w:pPr>
            <w:r>
              <w:rPr>
                <w:rFonts w:hint="default" w:ascii="宋体" w:hAnsi="宋体"/>
                <w:color w:val="auto"/>
                <w:szCs w:val="21"/>
                <w:highlight w:val="none"/>
                <w:lang w:val="en-US" w:eastAsia="zh-CN"/>
              </w:rPr>
              <w:t>基准价计算方法：</w:t>
            </w:r>
            <w:r>
              <w:rPr>
                <w:rFonts w:hint="default" w:ascii="宋体" w:hAnsi="宋体"/>
                <w:color w:val="auto"/>
                <w:szCs w:val="21"/>
                <w:highlight w:val="none"/>
                <w:lang w:val="en-US" w:eastAsia="zh-CN"/>
              </w:rPr>
              <w:br w:type="textWrapping"/>
            </w:r>
            <w:r>
              <w:rPr>
                <w:rFonts w:hint="default" w:ascii="宋体" w:hAnsi="宋体"/>
                <w:color w:val="auto"/>
                <w:szCs w:val="21"/>
                <w:highlight w:val="none"/>
                <w:lang w:val="en-US" w:eastAsia="zh-CN"/>
              </w:rPr>
              <w:t>（1）最高投标限价是否参与基准价计算：否</w:t>
            </w:r>
            <w:r>
              <w:rPr>
                <w:rFonts w:hint="default" w:ascii="宋体" w:hAnsi="宋体"/>
                <w:color w:val="auto"/>
                <w:szCs w:val="21"/>
                <w:highlight w:val="none"/>
                <w:lang w:val="en-US" w:eastAsia="zh-CN"/>
              </w:rPr>
              <w:br w:type="textWrapping"/>
            </w:r>
            <w:r>
              <w:rPr>
                <w:rFonts w:hint="default" w:ascii="宋体" w:hAnsi="宋体"/>
                <w:color w:val="auto"/>
                <w:szCs w:val="21"/>
                <w:highlight w:val="none"/>
                <w:lang w:val="en-US" w:eastAsia="zh-CN"/>
              </w:rPr>
              <w:t>（2）参与基准价计算范围：</w:t>
            </w:r>
            <w:r>
              <w:rPr>
                <w:rFonts w:hint="default" w:ascii="宋体" w:hAnsi="宋体"/>
                <w:color w:val="auto"/>
                <w:szCs w:val="21"/>
                <w:highlight w:val="none"/>
                <w:lang w:val="en-US" w:eastAsia="zh-CN"/>
              </w:rPr>
              <w:br w:type="textWrapping"/>
            </w:r>
            <w:r>
              <w:rPr>
                <w:rFonts w:hint="default" w:ascii="宋体" w:hAnsi="宋体"/>
                <w:color w:val="auto"/>
                <w:szCs w:val="21"/>
                <w:highlight w:val="none"/>
                <w:lang w:val="en-US" w:eastAsia="zh-CN"/>
              </w:rPr>
              <w:t xml:space="preserve">    □入围单位的投标报价参与基准价得分计算。 </w:t>
            </w:r>
          </w:p>
          <w:p w14:paraId="295416C0">
            <w:pPr>
              <w:spacing w:line="420" w:lineRule="exact"/>
              <w:ind w:right="113" w:rightChars="0" w:firstLine="420" w:firstLineChars="200"/>
              <w:jc w:val="left"/>
              <w:rPr>
                <w:rFonts w:hint="default"/>
                <w:color w:val="auto"/>
                <w:highlight w:val="none"/>
                <w:lang w:val="en-US" w:eastAsia="zh-CN"/>
              </w:rPr>
            </w:pPr>
            <w:r>
              <w:rPr>
                <w:rFonts w:hint="eastAsia" w:ascii="宋体" w:hAnsi="宋体"/>
                <w:color w:val="auto"/>
                <w:szCs w:val="21"/>
                <w:highlight w:val="none"/>
                <w:lang w:val="en-US" w:eastAsia="zh-CN"/>
              </w:rPr>
              <w:t>☑</w:t>
            </w:r>
            <w:r>
              <w:rPr>
                <w:rFonts w:hint="default" w:ascii="宋体" w:hAnsi="宋体"/>
                <w:color w:val="auto"/>
                <w:szCs w:val="21"/>
                <w:highlight w:val="none"/>
                <w:lang w:val="en-US" w:eastAsia="zh-CN"/>
              </w:rPr>
              <w:t>全部通过初步评审的投标报价参与基准价得分计算。</w:t>
            </w:r>
            <w:r>
              <w:rPr>
                <w:rFonts w:hint="default" w:ascii="宋体" w:hAnsi="宋体"/>
                <w:color w:val="auto"/>
                <w:szCs w:val="21"/>
                <w:highlight w:val="none"/>
                <w:lang w:val="en-US" w:eastAsia="zh-CN"/>
              </w:rPr>
              <w:br w:type="textWrapping"/>
            </w:r>
            <w:r>
              <w:rPr>
                <w:rFonts w:hint="default" w:ascii="宋体" w:hAnsi="宋体"/>
                <w:color w:val="auto"/>
                <w:szCs w:val="21"/>
                <w:highlight w:val="none"/>
                <w:lang w:val="en-US" w:eastAsia="zh-CN"/>
              </w:rPr>
              <w:t>（3）基准价计算规则：</w:t>
            </w:r>
            <w:r>
              <w:rPr>
                <w:rFonts w:hint="default" w:ascii="宋体" w:hAnsi="宋体"/>
                <w:color w:val="auto"/>
                <w:szCs w:val="21"/>
                <w:highlight w:val="none"/>
                <w:lang w:val="en-US" w:eastAsia="zh-CN"/>
              </w:rPr>
              <w:br w:type="textWrapping"/>
            </w:r>
            <w:r>
              <w:rPr>
                <w:rFonts w:hint="default" w:ascii="宋体" w:hAnsi="宋体"/>
                <w:color w:val="auto"/>
                <w:szCs w:val="21"/>
                <w:highlight w:val="none"/>
                <w:lang w:val="en-US" w:eastAsia="zh-CN"/>
              </w:rPr>
              <w:t xml:space="preserve">    □通过初步评审的投标人（或入围单位）超过</w:t>
            </w:r>
            <w:r>
              <w:rPr>
                <w:rFonts w:hint="eastAsia" w:ascii="宋体" w:hAnsi="宋体"/>
                <w:color w:val="auto"/>
                <w:szCs w:val="21"/>
                <w:highlight w:val="none"/>
                <w:lang w:val="en-US" w:eastAsia="zh-CN"/>
              </w:rPr>
              <w:t>5</w:t>
            </w:r>
            <w:r>
              <w:rPr>
                <w:rFonts w:hint="default" w:ascii="宋体" w:hAnsi="宋体"/>
                <w:color w:val="auto"/>
                <w:szCs w:val="21"/>
                <w:highlight w:val="none"/>
                <w:lang w:val="en-US" w:eastAsia="zh-CN"/>
              </w:rPr>
              <w:t>家（包含</w:t>
            </w:r>
            <w:r>
              <w:rPr>
                <w:rFonts w:hint="eastAsia" w:ascii="宋体" w:hAnsi="宋体"/>
                <w:color w:val="auto"/>
                <w:szCs w:val="21"/>
                <w:highlight w:val="none"/>
                <w:lang w:val="en-US" w:eastAsia="zh-CN"/>
              </w:rPr>
              <w:t>5</w:t>
            </w:r>
            <w:r>
              <w:rPr>
                <w:rFonts w:hint="default" w:ascii="宋体" w:hAnsi="宋体"/>
                <w:color w:val="auto"/>
                <w:szCs w:val="21"/>
                <w:highlight w:val="none"/>
                <w:lang w:val="en-US" w:eastAsia="zh-CN"/>
              </w:rPr>
              <w:t>家），去掉</w:t>
            </w:r>
            <w:r>
              <w:rPr>
                <w:rFonts w:hint="eastAsia" w:ascii="宋体" w:hAnsi="宋体"/>
                <w:color w:val="auto"/>
                <w:szCs w:val="21"/>
                <w:highlight w:val="none"/>
                <w:lang w:val="en-US" w:eastAsia="zh-CN"/>
              </w:rPr>
              <w:t>1</w:t>
            </w:r>
            <w:r>
              <w:rPr>
                <w:rFonts w:hint="default" w:ascii="宋体" w:hAnsi="宋体"/>
                <w:color w:val="auto"/>
                <w:szCs w:val="21"/>
                <w:highlight w:val="none"/>
                <w:lang w:val="en-US" w:eastAsia="zh-CN"/>
              </w:rPr>
              <w:t>个最高投标报价，</w:t>
            </w:r>
            <w:r>
              <w:rPr>
                <w:rFonts w:hint="eastAsia" w:ascii="宋体" w:hAnsi="宋体"/>
                <w:color w:val="auto"/>
                <w:szCs w:val="21"/>
                <w:highlight w:val="none"/>
                <w:lang w:val="en-US" w:eastAsia="zh-CN"/>
              </w:rPr>
              <w:t>1</w:t>
            </w:r>
            <w:r>
              <w:rPr>
                <w:rFonts w:hint="default" w:ascii="宋体" w:hAnsi="宋体"/>
                <w:color w:val="auto"/>
                <w:szCs w:val="21"/>
                <w:highlight w:val="none"/>
                <w:lang w:val="en-US" w:eastAsia="zh-CN"/>
              </w:rPr>
              <w:t>个最低投标报价；若小于</w:t>
            </w:r>
            <w:r>
              <w:rPr>
                <w:rFonts w:hint="eastAsia" w:ascii="宋体" w:hAnsi="宋体"/>
                <w:color w:val="auto"/>
                <w:szCs w:val="21"/>
                <w:highlight w:val="none"/>
                <w:lang w:val="en-US" w:eastAsia="zh-CN"/>
              </w:rPr>
              <w:t>5</w:t>
            </w:r>
            <w:r>
              <w:rPr>
                <w:rFonts w:hint="default" w:ascii="宋体" w:hAnsi="宋体"/>
                <w:color w:val="auto"/>
                <w:szCs w:val="21"/>
                <w:highlight w:val="none"/>
                <w:lang w:val="en-US" w:eastAsia="zh-CN"/>
              </w:rPr>
              <w:t>家，则不去；将其投标报价取算术平均值下浮</w:t>
            </w:r>
            <w:r>
              <w:rPr>
                <w:rFonts w:hint="eastAsia" w:ascii="宋体" w:hAnsi="宋体"/>
                <w:color w:val="auto"/>
                <w:szCs w:val="21"/>
                <w:highlight w:val="none"/>
                <w:lang w:val="en-US" w:eastAsia="zh-CN"/>
              </w:rPr>
              <w:t>0</w:t>
            </w:r>
            <w:r>
              <w:rPr>
                <w:rFonts w:hint="default" w:ascii="宋体" w:hAnsi="宋体"/>
                <w:color w:val="auto"/>
                <w:szCs w:val="21"/>
                <w:highlight w:val="none"/>
                <w:lang w:val="en-US" w:eastAsia="zh-CN"/>
              </w:rPr>
              <w:t>%</w:t>
            </w:r>
          </w:p>
        </w:tc>
      </w:tr>
      <w:tr w14:paraId="5538B3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3" w:hRule="atLeast"/>
        </w:trPr>
        <w:tc>
          <w:tcPr>
            <w:tcW w:w="1804" w:type="dxa"/>
            <w:gridSpan w:val="3"/>
          </w:tcPr>
          <w:p w14:paraId="399516E9">
            <w:pPr>
              <w:spacing w:line="246" w:lineRule="auto"/>
              <w:rPr>
                <w:rFonts w:ascii="Arial"/>
                <w:color w:val="auto"/>
                <w:highlight w:val="none"/>
              </w:rPr>
            </w:pPr>
          </w:p>
          <w:p w14:paraId="434F9213">
            <w:pPr>
              <w:spacing w:line="246" w:lineRule="auto"/>
              <w:rPr>
                <w:rFonts w:ascii="Arial"/>
                <w:color w:val="auto"/>
                <w:highlight w:val="none"/>
              </w:rPr>
            </w:pPr>
          </w:p>
          <w:p w14:paraId="249F50FC">
            <w:pPr>
              <w:spacing w:line="246" w:lineRule="auto"/>
              <w:rPr>
                <w:rFonts w:ascii="Arial"/>
                <w:color w:val="auto"/>
                <w:highlight w:val="none"/>
              </w:rPr>
            </w:pPr>
          </w:p>
          <w:p w14:paraId="2E20FB47">
            <w:pPr>
              <w:spacing w:line="247" w:lineRule="auto"/>
              <w:rPr>
                <w:rFonts w:ascii="Arial"/>
                <w:color w:val="auto"/>
                <w:highlight w:val="none"/>
              </w:rPr>
            </w:pPr>
          </w:p>
          <w:p w14:paraId="0D63ECB9">
            <w:pPr>
              <w:spacing w:line="247" w:lineRule="auto"/>
              <w:rPr>
                <w:rFonts w:ascii="Arial"/>
                <w:color w:val="auto"/>
                <w:highlight w:val="none"/>
              </w:rPr>
            </w:pPr>
          </w:p>
          <w:p w14:paraId="13B2532C">
            <w:pPr>
              <w:spacing w:line="247" w:lineRule="auto"/>
              <w:rPr>
                <w:rFonts w:ascii="Arial"/>
                <w:color w:val="auto"/>
                <w:highlight w:val="none"/>
              </w:rPr>
            </w:pPr>
          </w:p>
          <w:p w14:paraId="7BEAE30B">
            <w:pPr>
              <w:spacing w:line="247" w:lineRule="auto"/>
              <w:rPr>
                <w:rFonts w:ascii="Arial"/>
                <w:color w:val="auto"/>
                <w:highlight w:val="none"/>
              </w:rPr>
            </w:pPr>
          </w:p>
          <w:p w14:paraId="796B35A3">
            <w:pPr>
              <w:spacing w:line="247" w:lineRule="auto"/>
              <w:rPr>
                <w:rFonts w:ascii="Arial"/>
                <w:color w:val="auto"/>
                <w:highlight w:val="none"/>
              </w:rPr>
            </w:pPr>
          </w:p>
          <w:p w14:paraId="1D692DAD">
            <w:pPr>
              <w:spacing w:line="247" w:lineRule="auto"/>
              <w:rPr>
                <w:rFonts w:ascii="Arial"/>
                <w:color w:val="auto"/>
                <w:highlight w:val="none"/>
              </w:rPr>
            </w:pPr>
          </w:p>
          <w:p w14:paraId="795FE0F0">
            <w:pPr>
              <w:spacing w:before="60" w:line="233" w:lineRule="auto"/>
              <w:ind w:left="692"/>
              <w:rPr>
                <w:rFonts w:eastAsia="Times New Roman"/>
                <w:color w:val="auto"/>
                <w:szCs w:val="21"/>
                <w:highlight w:val="none"/>
              </w:rPr>
            </w:pPr>
            <w:r>
              <w:rPr>
                <w:rFonts w:eastAsia="Times New Roman"/>
                <w:color w:val="auto"/>
                <w:spacing w:val="-1"/>
                <w:szCs w:val="21"/>
                <w:highlight w:val="none"/>
              </w:rPr>
              <w:t>2.2.3</w:t>
            </w:r>
          </w:p>
        </w:tc>
        <w:tc>
          <w:tcPr>
            <w:tcW w:w="1754" w:type="dxa"/>
          </w:tcPr>
          <w:p w14:paraId="277E8044">
            <w:pPr>
              <w:spacing w:line="246" w:lineRule="auto"/>
              <w:rPr>
                <w:rFonts w:ascii="Arial"/>
                <w:color w:val="auto"/>
                <w:highlight w:val="none"/>
              </w:rPr>
            </w:pPr>
          </w:p>
          <w:p w14:paraId="780477BC">
            <w:pPr>
              <w:spacing w:line="246" w:lineRule="auto"/>
              <w:rPr>
                <w:rFonts w:ascii="Arial"/>
                <w:color w:val="auto"/>
                <w:highlight w:val="none"/>
              </w:rPr>
            </w:pPr>
          </w:p>
          <w:p w14:paraId="012EBEAD">
            <w:pPr>
              <w:spacing w:line="246" w:lineRule="auto"/>
              <w:rPr>
                <w:rFonts w:ascii="Arial"/>
                <w:color w:val="auto"/>
                <w:highlight w:val="none"/>
              </w:rPr>
            </w:pPr>
          </w:p>
          <w:p w14:paraId="0158EC1E">
            <w:pPr>
              <w:spacing w:line="246" w:lineRule="auto"/>
              <w:rPr>
                <w:rFonts w:ascii="Arial"/>
                <w:color w:val="auto"/>
                <w:highlight w:val="none"/>
              </w:rPr>
            </w:pPr>
          </w:p>
          <w:p w14:paraId="2C145207">
            <w:pPr>
              <w:spacing w:line="246" w:lineRule="auto"/>
              <w:rPr>
                <w:rFonts w:ascii="Arial"/>
                <w:color w:val="auto"/>
                <w:highlight w:val="none"/>
              </w:rPr>
            </w:pPr>
          </w:p>
          <w:p w14:paraId="0E20312F">
            <w:pPr>
              <w:spacing w:line="246" w:lineRule="auto"/>
              <w:rPr>
                <w:rFonts w:ascii="Arial"/>
                <w:color w:val="auto"/>
                <w:highlight w:val="none"/>
              </w:rPr>
            </w:pPr>
          </w:p>
          <w:p w14:paraId="29EA5BAE">
            <w:pPr>
              <w:spacing w:line="246" w:lineRule="auto"/>
              <w:rPr>
                <w:rFonts w:ascii="Arial"/>
                <w:color w:val="auto"/>
                <w:highlight w:val="none"/>
              </w:rPr>
            </w:pPr>
          </w:p>
          <w:p w14:paraId="5A654E10">
            <w:pPr>
              <w:spacing w:line="247" w:lineRule="auto"/>
              <w:rPr>
                <w:rFonts w:ascii="Arial"/>
                <w:color w:val="auto"/>
                <w:highlight w:val="none"/>
              </w:rPr>
            </w:pPr>
          </w:p>
          <w:p w14:paraId="4A646743">
            <w:pPr>
              <w:pStyle w:val="185"/>
              <w:spacing w:before="69" w:line="219" w:lineRule="auto"/>
              <w:ind w:left="114"/>
              <w:rPr>
                <w:color w:val="auto"/>
                <w:highlight w:val="none"/>
                <w:lang w:eastAsia="zh-CN"/>
              </w:rPr>
            </w:pPr>
            <w:r>
              <w:rPr>
                <w:color w:val="auto"/>
                <w:spacing w:val="-1"/>
                <w:highlight w:val="none"/>
                <w:lang w:eastAsia="zh-CN"/>
              </w:rPr>
              <w:t>投标报价的偏差率</w:t>
            </w:r>
            <w:r>
              <w:rPr>
                <w:color w:val="auto"/>
                <w:spacing w:val="-2"/>
                <w:highlight w:val="none"/>
                <w:lang w:eastAsia="zh-CN"/>
              </w:rPr>
              <w:t>计算公式</w:t>
            </w:r>
          </w:p>
        </w:tc>
        <w:tc>
          <w:tcPr>
            <w:tcW w:w="5475" w:type="dxa"/>
            <w:gridSpan w:val="3"/>
          </w:tcPr>
          <w:p w14:paraId="668C4524">
            <w:pPr>
              <w:pStyle w:val="185"/>
              <w:spacing w:before="158" w:line="214" w:lineRule="auto"/>
              <w:ind w:left="113"/>
              <w:rPr>
                <w:color w:val="auto"/>
                <w:highlight w:val="none"/>
                <w:lang w:eastAsia="zh-CN"/>
              </w:rPr>
            </w:pPr>
            <w:r>
              <w:rPr>
                <w:color w:val="auto"/>
                <w:spacing w:val="-1"/>
                <w:highlight w:val="none"/>
                <w:lang w:eastAsia="zh-CN"/>
              </w:rPr>
              <w:t>偏差率=100%×（|投标人评标价－评标基准价|）</w:t>
            </w:r>
          </w:p>
          <w:p w14:paraId="033CCFC5">
            <w:pPr>
              <w:pStyle w:val="185"/>
              <w:spacing w:before="176" w:line="219" w:lineRule="auto"/>
              <w:ind w:left="135"/>
              <w:rPr>
                <w:color w:val="auto"/>
                <w:highlight w:val="none"/>
                <w:lang w:eastAsia="zh-CN"/>
              </w:rPr>
            </w:pPr>
            <w:r>
              <w:rPr>
                <w:color w:val="auto"/>
                <w:spacing w:val="-5"/>
                <w:highlight w:val="none"/>
                <w:lang w:eastAsia="zh-CN"/>
              </w:rPr>
              <w:t>÷评标基准价</w:t>
            </w:r>
          </w:p>
          <w:p w14:paraId="43B9DAE0">
            <w:pPr>
              <w:pStyle w:val="185"/>
              <w:spacing w:before="171" w:line="221" w:lineRule="auto"/>
              <w:ind w:left="117"/>
              <w:rPr>
                <w:color w:val="auto"/>
                <w:highlight w:val="none"/>
                <w:lang w:eastAsia="zh-CN"/>
              </w:rPr>
            </w:pPr>
            <w:r>
              <w:rPr>
                <w:color w:val="auto"/>
                <w:spacing w:val="-2"/>
                <w:highlight w:val="none"/>
                <w:lang w:eastAsia="zh-CN"/>
              </w:rPr>
              <w:t>扣分标准（选择</w:t>
            </w:r>
            <w:r>
              <w:rPr>
                <w:color w:val="auto"/>
                <w:spacing w:val="-55"/>
                <w:w w:val="98"/>
                <w:highlight w:val="none"/>
                <w:lang w:eastAsia="zh-CN"/>
              </w:rPr>
              <w:t>）：</w:t>
            </w:r>
          </w:p>
          <w:p w14:paraId="53277EDC">
            <w:pPr>
              <w:pStyle w:val="185"/>
              <w:spacing w:before="167" w:line="296" w:lineRule="auto"/>
              <w:ind w:left="116" w:right="104" w:firstLine="19"/>
              <w:rPr>
                <w:color w:val="auto"/>
                <w:highlight w:val="none"/>
                <w:lang w:eastAsia="zh-CN"/>
              </w:rPr>
            </w:pPr>
            <w:r>
              <w:rPr>
                <w:rFonts w:hint="eastAsia"/>
                <w:color w:val="auto"/>
                <w:spacing w:val="3"/>
                <w:highlight w:val="none"/>
                <w:lang w:eastAsia="zh-CN"/>
              </w:rPr>
              <w:t>☑</w:t>
            </w:r>
            <w:r>
              <w:rPr>
                <w:color w:val="auto"/>
                <w:spacing w:val="3"/>
                <w:highlight w:val="none"/>
                <w:lang w:eastAsia="zh-CN"/>
              </w:rPr>
              <w:t>投标总价：每低1%扣</w:t>
            </w:r>
            <w:r>
              <w:rPr>
                <w:rFonts w:hint="eastAsia"/>
                <w:color w:val="auto"/>
                <w:spacing w:val="13"/>
                <w:highlight w:val="none"/>
                <w:u w:val="single"/>
                <w:lang w:val="en-US" w:eastAsia="zh-CN"/>
              </w:rPr>
              <w:t>1</w:t>
            </w:r>
            <w:r>
              <w:rPr>
                <w:color w:val="auto"/>
                <w:spacing w:val="3"/>
                <w:highlight w:val="none"/>
                <w:lang w:eastAsia="zh-CN"/>
              </w:rPr>
              <w:t>分；每高1%扣</w:t>
            </w:r>
            <w:r>
              <w:rPr>
                <w:rFonts w:hint="eastAsia"/>
                <w:color w:val="auto"/>
                <w:spacing w:val="3"/>
                <w:highlight w:val="none"/>
                <w:u w:val="single"/>
                <w:lang w:val="en-US" w:eastAsia="zh-CN"/>
              </w:rPr>
              <w:t>1.5</w:t>
            </w:r>
            <w:r>
              <w:rPr>
                <w:color w:val="auto"/>
                <w:spacing w:val="-10"/>
                <w:highlight w:val="none"/>
                <w:lang w:eastAsia="zh-CN"/>
              </w:rPr>
              <w:t>分。</w:t>
            </w:r>
          </w:p>
          <w:p w14:paraId="37B058AC">
            <w:pPr>
              <w:pStyle w:val="185"/>
              <w:spacing w:before="167" w:line="221" w:lineRule="auto"/>
              <w:ind w:left="135"/>
              <w:rPr>
                <w:color w:val="auto"/>
                <w:highlight w:val="none"/>
                <w:lang w:eastAsia="zh-CN"/>
              </w:rPr>
            </w:pPr>
            <w:r>
              <w:rPr>
                <w:rFonts w:hint="eastAsia"/>
                <w:color w:val="auto"/>
                <w:spacing w:val="-4"/>
                <w:highlight w:val="none"/>
                <w:lang w:eastAsia="zh-CN"/>
              </w:rPr>
              <w:t>☑</w:t>
            </w:r>
            <w:r>
              <w:rPr>
                <w:color w:val="auto"/>
                <w:spacing w:val="-4"/>
                <w:highlight w:val="none"/>
                <w:lang w:eastAsia="zh-CN"/>
              </w:rPr>
              <w:t>设计费：每低1%扣</w:t>
            </w:r>
            <w:r>
              <w:rPr>
                <w:rFonts w:hint="eastAsia"/>
                <w:color w:val="auto"/>
                <w:spacing w:val="-4"/>
                <w:highlight w:val="none"/>
                <w:u w:val="single"/>
                <w:lang w:val="en-US" w:eastAsia="zh-CN"/>
              </w:rPr>
              <w:t>1</w:t>
            </w:r>
            <w:r>
              <w:rPr>
                <w:color w:val="auto"/>
                <w:spacing w:val="-4"/>
                <w:highlight w:val="none"/>
                <w:lang w:eastAsia="zh-CN"/>
              </w:rPr>
              <w:t>分；每高1%扣</w:t>
            </w:r>
            <w:r>
              <w:rPr>
                <w:rFonts w:hint="eastAsia"/>
                <w:color w:val="auto"/>
                <w:spacing w:val="-4"/>
                <w:highlight w:val="none"/>
                <w:u w:val="single"/>
                <w:lang w:val="en-US" w:eastAsia="zh-CN"/>
              </w:rPr>
              <w:t>1.5</w:t>
            </w:r>
            <w:r>
              <w:rPr>
                <w:color w:val="auto"/>
                <w:spacing w:val="-5"/>
                <w:highlight w:val="none"/>
                <w:lang w:eastAsia="zh-CN"/>
              </w:rPr>
              <w:t>分。</w:t>
            </w:r>
          </w:p>
          <w:p w14:paraId="551EB2E5">
            <w:pPr>
              <w:pStyle w:val="185"/>
              <w:spacing w:before="168" w:line="221" w:lineRule="auto"/>
              <w:ind w:left="135"/>
              <w:rPr>
                <w:color w:val="auto"/>
                <w:highlight w:val="none"/>
                <w:lang w:eastAsia="zh-CN"/>
              </w:rPr>
            </w:pPr>
            <w:r>
              <w:rPr>
                <w:rFonts w:hint="eastAsia"/>
                <w:color w:val="auto"/>
                <w:spacing w:val="-4"/>
                <w:highlight w:val="none"/>
                <w:lang w:eastAsia="zh-CN"/>
              </w:rPr>
              <w:t>☑</w:t>
            </w:r>
            <w:r>
              <w:rPr>
                <w:rFonts w:hint="eastAsia"/>
                <w:color w:val="auto"/>
                <w:spacing w:val="-4"/>
                <w:highlight w:val="none"/>
                <w:lang w:val="en-US" w:eastAsia="zh-CN"/>
              </w:rPr>
              <w:t>建筑安装</w:t>
            </w:r>
            <w:r>
              <w:rPr>
                <w:color w:val="auto"/>
                <w:spacing w:val="-4"/>
                <w:highlight w:val="none"/>
                <w:lang w:eastAsia="zh-CN"/>
              </w:rPr>
              <w:t>工程费：每低1%扣</w:t>
            </w:r>
            <w:r>
              <w:rPr>
                <w:rFonts w:hint="eastAsia"/>
                <w:color w:val="auto"/>
                <w:spacing w:val="-4"/>
                <w:highlight w:val="none"/>
                <w:u w:val="single"/>
                <w:lang w:val="en-US" w:eastAsia="zh-CN"/>
              </w:rPr>
              <w:t>1</w:t>
            </w:r>
            <w:r>
              <w:rPr>
                <w:color w:val="auto"/>
                <w:spacing w:val="-4"/>
                <w:highlight w:val="none"/>
                <w:lang w:eastAsia="zh-CN"/>
              </w:rPr>
              <w:t>分；每高1%扣</w:t>
            </w:r>
            <w:r>
              <w:rPr>
                <w:rFonts w:hint="eastAsia"/>
                <w:color w:val="auto"/>
                <w:spacing w:val="-4"/>
                <w:highlight w:val="none"/>
                <w:u w:val="single"/>
                <w:lang w:val="en-US" w:eastAsia="zh-CN"/>
              </w:rPr>
              <w:t>1.5</w:t>
            </w:r>
            <w:r>
              <w:rPr>
                <w:color w:val="auto"/>
                <w:spacing w:val="-5"/>
                <w:highlight w:val="none"/>
                <w:lang w:eastAsia="zh-CN"/>
              </w:rPr>
              <w:t>分。</w:t>
            </w:r>
          </w:p>
          <w:p w14:paraId="65CB2924">
            <w:pPr>
              <w:pStyle w:val="185"/>
              <w:spacing w:before="170" w:line="295" w:lineRule="auto"/>
              <w:ind w:left="116" w:right="104" w:firstLine="19"/>
              <w:rPr>
                <w:color w:val="auto"/>
                <w:highlight w:val="none"/>
                <w:lang w:eastAsia="zh-CN"/>
              </w:rPr>
            </w:pPr>
            <w:r>
              <w:rPr>
                <w:color w:val="auto"/>
                <w:spacing w:val="-4"/>
                <w:highlight w:val="none"/>
                <w:lang w:eastAsia="zh-CN"/>
              </w:rPr>
              <w:t>□专业设备材料费：每低1%扣</w:t>
            </w:r>
            <w:r>
              <w:rPr>
                <w:rFonts w:hint="eastAsia"/>
                <w:color w:val="auto"/>
                <w:spacing w:val="-4"/>
                <w:highlight w:val="none"/>
                <w:u w:val="single"/>
                <w:lang w:val="en-US" w:eastAsia="zh-CN"/>
              </w:rPr>
              <w:t xml:space="preserve">   </w:t>
            </w:r>
            <w:r>
              <w:rPr>
                <w:color w:val="auto"/>
                <w:spacing w:val="-4"/>
                <w:highlight w:val="none"/>
                <w:lang w:eastAsia="zh-CN"/>
              </w:rPr>
              <w:t>分；每高1%扣</w:t>
            </w:r>
            <w:r>
              <w:rPr>
                <w:rFonts w:hint="eastAsia"/>
                <w:color w:val="auto"/>
                <w:spacing w:val="-4"/>
                <w:highlight w:val="none"/>
                <w:u w:val="single"/>
                <w:lang w:val="en-US" w:eastAsia="zh-CN"/>
              </w:rPr>
              <w:t xml:space="preserve">   </w:t>
            </w:r>
            <w:r>
              <w:rPr>
                <w:color w:val="auto"/>
                <w:spacing w:val="-10"/>
                <w:highlight w:val="none"/>
                <w:lang w:eastAsia="zh-CN"/>
              </w:rPr>
              <w:t>分。</w:t>
            </w:r>
          </w:p>
          <w:p w14:paraId="61E5BB65">
            <w:pPr>
              <w:pStyle w:val="185"/>
              <w:spacing w:before="169" w:line="296" w:lineRule="auto"/>
              <w:ind w:left="113" w:right="110"/>
              <w:rPr>
                <w:color w:val="auto"/>
                <w:highlight w:val="none"/>
                <w:lang w:eastAsia="zh-CN"/>
              </w:rPr>
            </w:pPr>
            <w:r>
              <w:rPr>
                <w:color w:val="auto"/>
                <w:spacing w:val="12"/>
                <w:highlight w:val="none"/>
                <w:lang w:eastAsia="zh-CN"/>
              </w:rPr>
              <w:t>注：中间值采用插入法计算，小数点后保留两</w:t>
            </w:r>
            <w:r>
              <w:rPr>
                <w:color w:val="auto"/>
                <w:spacing w:val="-10"/>
                <w:highlight w:val="none"/>
                <w:lang w:eastAsia="zh-CN"/>
              </w:rPr>
              <w:t>位。</w:t>
            </w:r>
          </w:p>
        </w:tc>
      </w:tr>
      <w:tr w14:paraId="05AF61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804" w:type="dxa"/>
            <w:gridSpan w:val="3"/>
          </w:tcPr>
          <w:p w14:paraId="64187E5D">
            <w:pPr>
              <w:pStyle w:val="185"/>
              <w:spacing w:before="179" w:line="221" w:lineRule="auto"/>
              <w:ind w:left="592"/>
              <w:rPr>
                <w:color w:val="auto"/>
                <w:highlight w:val="none"/>
              </w:rPr>
            </w:pPr>
            <w:r>
              <w:rPr>
                <w:b/>
                <w:bCs/>
                <w:color w:val="auto"/>
                <w:spacing w:val="-4"/>
                <w:highlight w:val="none"/>
              </w:rPr>
              <w:t>条款号</w:t>
            </w:r>
          </w:p>
        </w:tc>
        <w:tc>
          <w:tcPr>
            <w:tcW w:w="1754" w:type="dxa"/>
          </w:tcPr>
          <w:p w14:paraId="58F97652">
            <w:pPr>
              <w:pStyle w:val="185"/>
              <w:spacing w:before="179" w:line="221" w:lineRule="auto"/>
              <w:ind w:left="594"/>
              <w:rPr>
                <w:color w:val="auto"/>
                <w:highlight w:val="none"/>
              </w:rPr>
            </w:pPr>
            <w:r>
              <w:rPr>
                <w:b/>
                <w:bCs/>
                <w:color w:val="auto"/>
                <w:spacing w:val="-3"/>
                <w:highlight w:val="none"/>
              </w:rPr>
              <w:t>评分因素</w:t>
            </w:r>
          </w:p>
        </w:tc>
        <w:tc>
          <w:tcPr>
            <w:tcW w:w="855" w:type="dxa"/>
            <w:gridSpan w:val="2"/>
          </w:tcPr>
          <w:p w14:paraId="02FE69C6">
            <w:pPr>
              <w:pStyle w:val="185"/>
              <w:spacing w:before="180" w:line="221" w:lineRule="auto"/>
              <w:ind w:left="114"/>
              <w:rPr>
                <w:color w:val="auto"/>
                <w:highlight w:val="none"/>
              </w:rPr>
            </w:pPr>
            <w:r>
              <w:rPr>
                <w:b/>
                <w:bCs/>
                <w:color w:val="auto"/>
                <w:spacing w:val="-4"/>
                <w:highlight w:val="none"/>
              </w:rPr>
              <w:t>标准分</w:t>
            </w:r>
          </w:p>
        </w:tc>
        <w:tc>
          <w:tcPr>
            <w:tcW w:w="4620" w:type="dxa"/>
          </w:tcPr>
          <w:p w14:paraId="44BA5C68">
            <w:pPr>
              <w:pStyle w:val="185"/>
              <w:spacing w:before="180" w:line="221" w:lineRule="auto"/>
              <w:ind w:left="1568"/>
              <w:rPr>
                <w:color w:val="auto"/>
                <w:highlight w:val="none"/>
              </w:rPr>
            </w:pPr>
            <w:r>
              <w:rPr>
                <w:b/>
                <w:bCs/>
                <w:color w:val="auto"/>
                <w:spacing w:val="-3"/>
                <w:highlight w:val="none"/>
              </w:rPr>
              <w:t>评分标准</w:t>
            </w:r>
          </w:p>
        </w:tc>
      </w:tr>
      <w:tr w14:paraId="53E85C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6" w:type="dxa"/>
          </w:tcPr>
          <w:p w14:paraId="10113028">
            <w:pPr>
              <w:spacing w:before="197" w:line="223" w:lineRule="auto"/>
              <w:ind w:left="165"/>
              <w:rPr>
                <w:rFonts w:eastAsia="Times New Roman"/>
                <w:color w:val="auto"/>
                <w:szCs w:val="21"/>
                <w:highlight w:val="none"/>
              </w:rPr>
            </w:pPr>
            <w:r>
              <w:rPr>
                <w:rFonts w:eastAsia="Times New Roman"/>
                <w:color w:val="auto"/>
                <w:spacing w:val="-1"/>
                <w:szCs w:val="21"/>
                <w:highlight w:val="none"/>
              </w:rPr>
              <w:t>2.2.4</w:t>
            </w:r>
          </w:p>
        </w:tc>
        <w:tc>
          <w:tcPr>
            <w:tcW w:w="1058" w:type="dxa"/>
            <w:gridSpan w:val="2"/>
          </w:tcPr>
          <w:p w14:paraId="66447EFD">
            <w:pPr>
              <w:pStyle w:val="185"/>
              <w:spacing w:before="163" w:line="219" w:lineRule="auto"/>
              <w:ind w:left="114"/>
              <w:rPr>
                <w:color w:val="auto"/>
                <w:highlight w:val="none"/>
              </w:rPr>
            </w:pPr>
            <w:r>
              <w:rPr>
                <w:color w:val="auto"/>
                <w:spacing w:val="-2"/>
                <w:highlight w:val="none"/>
              </w:rPr>
              <w:t>投标报价</w:t>
            </w:r>
          </w:p>
        </w:tc>
        <w:tc>
          <w:tcPr>
            <w:tcW w:w="1754" w:type="dxa"/>
            <w:vMerge w:val="restart"/>
            <w:vAlign w:val="center"/>
          </w:tcPr>
          <w:p w14:paraId="553E67A1">
            <w:pPr>
              <w:pStyle w:val="185"/>
              <w:spacing w:before="163" w:line="219" w:lineRule="auto"/>
              <w:ind w:left="176"/>
              <w:jc w:val="center"/>
              <w:rPr>
                <w:color w:val="auto"/>
                <w:highlight w:val="none"/>
              </w:rPr>
            </w:pPr>
            <w:r>
              <w:rPr>
                <w:color w:val="auto"/>
                <w:spacing w:val="-1"/>
                <w:highlight w:val="none"/>
              </w:rPr>
              <w:t>投标报价（总价）</w:t>
            </w:r>
          </w:p>
        </w:tc>
        <w:tc>
          <w:tcPr>
            <w:tcW w:w="855" w:type="dxa"/>
            <w:gridSpan w:val="2"/>
            <w:vMerge w:val="restart"/>
            <w:vAlign w:val="center"/>
          </w:tcPr>
          <w:p w14:paraId="56B8A91D">
            <w:pPr>
              <w:pStyle w:val="185"/>
              <w:spacing w:before="43" w:line="221" w:lineRule="auto"/>
              <w:ind w:left="212"/>
              <w:jc w:val="center"/>
              <w:rPr>
                <w:rFonts w:hint="default"/>
                <w:color w:val="auto"/>
                <w:highlight w:val="none"/>
                <w:lang w:val="en-US"/>
              </w:rPr>
            </w:pPr>
            <w:r>
              <w:rPr>
                <w:rFonts w:hint="eastAsia"/>
                <w:color w:val="auto"/>
                <w:spacing w:val="-1"/>
                <w:highlight w:val="none"/>
                <w:lang w:val="en-US" w:eastAsia="zh-CN"/>
              </w:rPr>
              <w:t>30</w:t>
            </w:r>
          </w:p>
        </w:tc>
        <w:tc>
          <w:tcPr>
            <w:tcW w:w="4620" w:type="dxa"/>
            <w:vMerge w:val="restart"/>
            <w:vAlign w:val="center"/>
          </w:tcPr>
          <w:p w14:paraId="56974A65">
            <w:pPr>
              <w:pStyle w:val="185"/>
              <w:spacing w:before="43" w:line="219" w:lineRule="auto"/>
              <w:ind w:left="111"/>
              <w:jc w:val="both"/>
              <w:rPr>
                <w:color w:val="auto"/>
                <w:spacing w:val="-1"/>
                <w:highlight w:val="none"/>
                <w:lang w:eastAsia="zh-CN"/>
              </w:rPr>
            </w:pPr>
            <w:r>
              <w:rPr>
                <w:color w:val="auto"/>
                <w:spacing w:val="-1"/>
                <w:highlight w:val="none"/>
                <w:lang w:eastAsia="zh-CN"/>
              </w:rPr>
              <w:t>F＝</w:t>
            </w:r>
            <w:r>
              <w:rPr>
                <w:rFonts w:hint="eastAsia"/>
                <w:color w:val="auto"/>
                <w:spacing w:val="-1"/>
                <w:highlight w:val="none"/>
                <w:lang w:val="en-US" w:eastAsia="zh-CN"/>
              </w:rPr>
              <w:t>30</w:t>
            </w:r>
            <w:r>
              <w:rPr>
                <w:color w:val="auto"/>
                <w:spacing w:val="-1"/>
                <w:highlight w:val="none"/>
                <w:lang w:eastAsia="zh-CN"/>
              </w:rPr>
              <w:t>-（投标人评标价-评标基准价）÷</w:t>
            </w:r>
          </w:p>
          <w:p w14:paraId="2BC997A1">
            <w:pPr>
              <w:pStyle w:val="185"/>
              <w:spacing w:before="34" w:line="360" w:lineRule="auto"/>
              <w:ind w:left="120" w:right="184" w:hanging="7"/>
              <w:jc w:val="left"/>
              <w:rPr>
                <w:color w:val="auto"/>
                <w:highlight w:val="none"/>
                <w:lang w:eastAsia="zh-CN"/>
              </w:rPr>
            </w:pPr>
            <w:r>
              <w:rPr>
                <w:color w:val="auto"/>
                <w:spacing w:val="-1"/>
                <w:highlight w:val="none"/>
                <w:lang w:eastAsia="zh-CN"/>
              </w:rPr>
              <w:t>评标基准价×100×</w:t>
            </w:r>
            <w:r>
              <w:rPr>
                <w:color w:val="auto"/>
                <w:spacing w:val="-1"/>
                <w:highlight w:val="none"/>
                <w:u w:val="single"/>
                <w:lang w:eastAsia="zh-CN"/>
              </w:rPr>
              <w:t>数值与扣分标准对应</w:t>
            </w:r>
            <w:r>
              <w:rPr>
                <w:color w:val="auto"/>
                <w:spacing w:val="-2"/>
                <w:highlight w:val="none"/>
                <w:lang w:eastAsia="zh-CN"/>
              </w:rPr>
              <w:t>（评标价＞基准价时）</w:t>
            </w:r>
          </w:p>
          <w:p w14:paraId="4D8DB332">
            <w:pPr>
              <w:pStyle w:val="185"/>
              <w:spacing w:line="348" w:lineRule="auto"/>
              <w:ind w:left="113" w:right="184" w:hanging="2"/>
              <w:jc w:val="left"/>
              <w:rPr>
                <w:color w:val="auto"/>
                <w:highlight w:val="none"/>
                <w:lang w:eastAsia="zh-CN"/>
              </w:rPr>
            </w:pPr>
            <w:r>
              <w:rPr>
                <w:color w:val="auto"/>
                <w:spacing w:val="-2"/>
                <w:highlight w:val="none"/>
                <w:lang w:eastAsia="zh-CN"/>
              </w:rPr>
              <w:t>F＝</w:t>
            </w:r>
            <w:r>
              <w:rPr>
                <w:rFonts w:hint="eastAsia"/>
                <w:color w:val="auto"/>
                <w:spacing w:val="-1"/>
                <w:highlight w:val="none"/>
                <w:lang w:val="en-US" w:eastAsia="zh-CN"/>
              </w:rPr>
              <w:t>30</w:t>
            </w:r>
            <w:r>
              <w:rPr>
                <w:color w:val="auto"/>
                <w:spacing w:val="-2"/>
                <w:highlight w:val="none"/>
                <w:lang w:eastAsia="zh-CN"/>
              </w:rPr>
              <w:t>-（评标基准价-投标人评标价）÷</w:t>
            </w:r>
            <w:r>
              <w:rPr>
                <w:color w:val="auto"/>
                <w:spacing w:val="-1"/>
                <w:highlight w:val="none"/>
                <w:lang w:eastAsia="zh-CN"/>
              </w:rPr>
              <w:t>评标基准价×100×</w:t>
            </w:r>
            <w:r>
              <w:rPr>
                <w:color w:val="auto"/>
                <w:spacing w:val="-1"/>
                <w:highlight w:val="none"/>
                <w:u w:val="single"/>
                <w:lang w:eastAsia="zh-CN"/>
              </w:rPr>
              <w:t>数值与扣分标准对应</w:t>
            </w:r>
            <w:r>
              <w:rPr>
                <w:color w:val="auto"/>
                <w:spacing w:val="-1"/>
                <w:highlight w:val="none"/>
                <w:lang w:eastAsia="zh-CN"/>
              </w:rPr>
              <w:t>（评标价≤基准价时）</w:t>
            </w:r>
          </w:p>
        </w:tc>
      </w:tr>
      <w:tr w14:paraId="1FD284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6" w:hRule="atLeast"/>
        </w:trPr>
        <w:tc>
          <w:tcPr>
            <w:tcW w:w="746" w:type="dxa"/>
            <w:vMerge w:val="restart"/>
            <w:tcBorders>
              <w:bottom w:val="nil"/>
            </w:tcBorders>
          </w:tcPr>
          <w:p w14:paraId="70A8DB39">
            <w:pPr>
              <w:pStyle w:val="185"/>
              <w:spacing w:before="159" w:line="281" w:lineRule="exact"/>
              <w:ind w:left="122"/>
              <w:rPr>
                <w:color w:val="auto"/>
                <w:highlight w:val="none"/>
              </w:rPr>
            </w:pPr>
            <w:r>
              <w:rPr>
                <w:color w:val="auto"/>
                <w:spacing w:val="-5"/>
                <w:position w:val="1"/>
                <w:highlight w:val="none"/>
              </w:rPr>
              <w:t>（</w:t>
            </w:r>
            <w:r>
              <w:rPr>
                <w:rFonts w:ascii="Times New Roman" w:hAnsi="Times New Roman" w:eastAsia="Times New Roman" w:cs="Times New Roman"/>
                <w:color w:val="auto"/>
                <w:spacing w:val="-5"/>
                <w:position w:val="1"/>
                <w:highlight w:val="none"/>
              </w:rPr>
              <w:t>1</w:t>
            </w:r>
            <w:r>
              <w:rPr>
                <w:color w:val="auto"/>
                <w:spacing w:val="-5"/>
                <w:position w:val="1"/>
                <w:highlight w:val="none"/>
              </w:rPr>
              <w:t>）</w:t>
            </w:r>
          </w:p>
        </w:tc>
        <w:tc>
          <w:tcPr>
            <w:tcW w:w="1058" w:type="dxa"/>
            <w:gridSpan w:val="2"/>
            <w:vMerge w:val="restart"/>
            <w:tcBorders>
              <w:bottom w:val="nil"/>
            </w:tcBorders>
          </w:tcPr>
          <w:p w14:paraId="32326EC8">
            <w:pPr>
              <w:pStyle w:val="185"/>
              <w:spacing w:before="159" w:line="221" w:lineRule="auto"/>
              <w:ind w:left="110"/>
              <w:rPr>
                <w:color w:val="auto"/>
                <w:highlight w:val="none"/>
              </w:rPr>
            </w:pPr>
            <w:r>
              <w:rPr>
                <w:color w:val="auto"/>
                <w:spacing w:val="-1"/>
                <w:highlight w:val="none"/>
              </w:rPr>
              <w:t>评分标准</w:t>
            </w:r>
          </w:p>
        </w:tc>
        <w:tc>
          <w:tcPr>
            <w:tcW w:w="1754" w:type="dxa"/>
            <w:vMerge w:val="continue"/>
          </w:tcPr>
          <w:p w14:paraId="0264B7A5">
            <w:pPr>
              <w:rPr>
                <w:rFonts w:ascii="Arial"/>
                <w:color w:val="auto"/>
                <w:highlight w:val="none"/>
              </w:rPr>
            </w:pPr>
          </w:p>
        </w:tc>
        <w:tc>
          <w:tcPr>
            <w:tcW w:w="855" w:type="dxa"/>
            <w:gridSpan w:val="2"/>
            <w:vMerge w:val="continue"/>
          </w:tcPr>
          <w:p w14:paraId="7DCC9FBA">
            <w:pPr>
              <w:rPr>
                <w:rFonts w:ascii="Arial"/>
                <w:color w:val="auto"/>
                <w:highlight w:val="none"/>
              </w:rPr>
            </w:pPr>
          </w:p>
        </w:tc>
        <w:tc>
          <w:tcPr>
            <w:tcW w:w="4620" w:type="dxa"/>
            <w:vMerge w:val="continue"/>
          </w:tcPr>
          <w:p w14:paraId="62497C0A">
            <w:pPr>
              <w:pStyle w:val="185"/>
              <w:spacing w:line="348" w:lineRule="auto"/>
              <w:ind w:left="113" w:right="184" w:hanging="2"/>
              <w:rPr>
                <w:color w:val="auto"/>
                <w:highlight w:val="none"/>
              </w:rPr>
            </w:pPr>
          </w:p>
        </w:tc>
      </w:tr>
      <w:tr w14:paraId="7E183F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746" w:type="dxa"/>
            <w:vMerge w:val="continue"/>
            <w:tcBorders>
              <w:top w:val="nil"/>
            </w:tcBorders>
          </w:tcPr>
          <w:p w14:paraId="6EA46DCC">
            <w:pPr>
              <w:rPr>
                <w:rFonts w:ascii="Arial"/>
                <w:color w:val="auto"/>
                <w:highlight w:val="none"/>
              </w:rPr>
            </w:pPr>
          </w:p>
        </w:tc>
        <w:tc>
          <w:tcPr>
            <w:tcW w:w="1058" w:type="dxa"/>
            <w:gridSpan w:val="2"/>
            <w:vMerge w:val="continue"/>
            <w:tcBorders>
              <w:top w:val="nil"/>
            </w:tcBorders>
          </w:tcPr>
          <w:p w14:paraId="60F360A6">
            <w:pPr>
              <w:rPr>
                <w:rFonts w:ascii="Arial"/>
                <w:color w:val="auto"/>
                <w:highlight w:val="none"/>
              </w:rPr>
            </w:pPr>
          </w:p>
        </w:tc>
        <w:tc>
          <w:tcPr>
            <w:tcW w:w="1754" w:type="dxa"/>
          </w:tcPr>
          <w:p w14:paraId="6121DEA7">
            <w:pPr>
              <w:pStyle w:val="185"/>
              <w:spacing w:before="157" w:line="219" w:lineRule="auto"/>
              <w:ind w:left="388"/>
              <w:rPr>
                <w:color w:val="auto"/>
                <w:highlight w:val="none"/>
              </w:rPr>
            </w:pPr>
            <w:r>
              <w:rPr>
                <w:color w:val="auto"/>
                <w:spacing w:val="-2"/>
                <w:highlight w:val="none"/>
              </w:rPr>
              <w:t>投标报价得分</w:t>
            </w:r>
          </w:p>
        </w:tc>
        <w:tc>
          <w:tcPr>
            <w:tcW w:w="855" w:type="dxa"/>
            <w:gridSpan w:val="2"/>
          </w:tcPr>
          <w:p w14:paraId="0E82908B">
            <w:pPr>
              <w:pStyle w:val="185"/>
              <w:spacing w:before="37" w:line="221" w:lineRule="auto"/>
              <w:ind w:left="215"/>
              <w:rPr>
                <w:color w:val="auto"/>
                <w:highlight w:val="none"/>
              </w:rPr>
            </w:pPr>
            <w:r>
              <w:rPr>
                <w:rFonts w:hint="eastAsia"/>
                <w:color w:val="auto"/>
                <w:spacing w:val="-1"/>
                <w:highlight w:val="none"/>
                <w:lang w:val="en-US" w:eastAsia="zh-CN"/>
              </w:rPr>
              <w:t>30</w:t>
            </w:r>
          </w:p>
        </w:tc>
        <w:tc>
          <w:tcPr>
            <w:tcW w:w="4620" w:type="dxa"/>
          </w:tcPr>
          <w:p w14:paraId="7187FDDD">
            <w:pPr>
              <w:keepNext w:val="0"/>
              <w:keepLines w:val="0"/>
              <w:widowControl/>
              <w:suppressLineNumbers w:val="0"/>
              <w:jc w:val="left"/>
              <w:rPr>
                <w:color w:val="auto"/>
                <w:highlight w:val="none"/>
              </w:rPr>
            </w:pPr>
            <w:r>
              <w:rPr>
                <w:rFonts w:hint="default" w:ascii="Times New Roman" w:hAnsi="Times New Roman" w:eastAsia="宋体" w:cs="Times New Roman"/>
                <w:color w:val="auto"/>
                <w:kern w:val="0"/>
                <w:sz w:val="21"/>
                <w:szCs w:val="21"/>
                <w:highlight w:val="none"/>
                <w:lang w:val="en-US" w:eastAsia="zh-CN" w:bidi="ar"/>
              </w:rPr>
              <w:t>A =</w:t>
            </w:r>
            <w:r>
              <w:rPr>
                <w:rFonts w:hint="eastAsia" w:ascii="Times New Roman" w:hAnsi="Times New Roman" w:eastAsia="宋体" w:cs="Times New Roman"/>
                <w:color w:val="auto"/>
                <w:kern w:val="0"/>
                <w:sz w:val="21"/>
                <w:szCs w:val="21"/>
                <w:highlight w:val="none"/>
                <w:lang w:val="en-US" w:eastAsia="zh-CN" w:bidi="ar"/>
              </w:rPr>
              <w:t>30</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其中：</w:t>
            </w:r>
            <w:r>
              <w:rPr>
                <w:rFonts w:hint="default" w:ascii="Times New Roman" w:hAnsi="Times New Roman" w:eastAsia="宋体" w:cs="Times New Roman"/>
                <w:color w:val="auto"/>
                <w:kern w:val="0"/>
                <w:sz w:val="21"/>
                <w:szCs w:val="21"/>
                <w:highlight w:val="none"/>
                <w:lang w:val="en-US" w:eastAsia="zh-CN" w:bidi="ar"/>
              </w:rPr>
              <w:t>A</w:t>
            </w:r>
            <w:r>
              <w:rPr>
                <w:rFonts w:hint="eastAsia" w:ascii="宋体" w:hAnsi="宋体" w:eastAsia="宋体" w:cs="宋体"/>
                <w:color w:val="auto"/>
                <w:kern w:val="0"/>
                <w:sz w:val="21"/>
                <w:szCs w:val="21"/>
                <w:highlight w:val="none"/>
                <w:lang w:val="en-US" w:eastAsia="zh-CN" w:bidi="ar"/>
              </w:rPr>
              <w:t>≥3</w:t>
            </w:r>
            <w:r>
              <w:rPr>
                <w:rFonts w:hint="default" w:ascii="Times New Roman" w:hAnsi="Times New Roman" w:eastAsia="宋体" w:cs="Times New Roman"/>
                <w:color w:val="auto"/>
                <w:kern w:val="0"/>
                <w:sz w:val="21"/>
                <w:szCs w:val="21"/>
                <w:highlight w:val="none"/>
                <w:lang w:val="en-US" w:eastAsia="zh-CN" w:bidi="ar"/>
              </w:rPr>
              <w:t>0</w:t>
            </w:r>
            <w:r>
              <w:rPr>
                <w:rFonts w:hint="eastAsia" w:ascii="宋体" w:hAnsi="宋体" w:eastAsia="宋体" w:cs="宋体"/>
                <w:color w:val="auto"/>
                <w:kern w:val="0"/>
                <w:sz w:val="21"/>
                <w:szCs w:val="21"/>
                <w:highlight w:val="none"/>
                <w:lang w:val="en-US" w:eastAsia="zh-CN" w:bidi="ar"/>
              </w:rPr>
              <w:t>。</w:t>
            </w:r>
          </w:p>
        </w:tc>
      </w:tr>
      <w:tr w14:paraId="5EB96C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804" w:type="dxa"/>
            <w:gridSpan w:val="3"/>
          </w:tcPr>
          <w:p w14:paraId="399EB279">
            <w:pPr>
              <w:pStyle w:val="185"/>
              <w:spacing w:before="179" w:line="221" w:lineRule="auto"/>
              <w:ind w:left="592"/>
              <w:rPr>
                <w:b/>
                <w:bCs/>
                <w:color w:val="auto"/>
                <w:spacing w:val="-4"/>
                <w:highlight w:val="none"/>
              </w:rPr>
            </w:pPr>
            <w:r>
              <w:rPr>
                <w:b/>
                <w:bCs/>
                <w:color w:val="auto"/>
                <w:spacing w:val="-4"/>
                <w:highlight w:val="none"/>
              </w:rPr>
              <w:t>条款号</w:t>
            </w:r>
          </w:p>
        </w:tc>
        <w:tc>
          <w:tcPr>
            <w:tcW w:w="1754" w:type="dxa"/>
          </w:tcPr>
          <w:p w14:paraId="3D755164">
            <w:pPr>
              <w:pStyle w:val="185"/>
              <w:spacing w:before="179" w:line="221" w:lineRule="auto"/>
              <w:ind w:left="594"/>
              <w:rPr>
                <w:color w:val="auto"/>
                <w:highlight w:val="none"/>
              </w:rPr>
            </w:pPr>
            <w:r>
              <w:rPr>
                <w:b/>
                <w:bCs/>
                <w:color w:val="auto"/>
                <w:spacing w:val="-3"/>
                <w:highlight w:val="none"/>
              </w:rPr>
              <w:t>评分因素</w:t>
            </w:r>
          </w:p>
        </w:tc>
        <w:tc>
          <w:tcPr>
            <w:tcW w:w="855" w:type="dxa"/>
            <w:gridSpan w:val="2"/>
          </w:tcPr>
          <w:p w14:paraId="184FAFE7">
            <w:pPr>
              <w:pStyle w:val="185"/>
              <w:spacing w:before="180" w:line="221" w:lineRule="auto"/>
              <w:ind w:left="114"/>
              <w:rPr>
                <w:color w:val="auto"/>
                <w:highlight w:val="none"/>
              </w:rPr>
            </w:pPr>
            <w:r>
              <w:rPr>
                <w:b/>
                <w:bCs/>
                <w:color w:val="auto"/>
                <w:spacing w:val="-4"/>
                <w:highlight w:val="none"/>
              </w:rPr>
              <w:t>标准分</w:t>
            </w:r>
          </w:p>
        </w:tc>
        <w:tc>
          <w:tcPr>
            <w:tcW w:w="4620" w:type="dxa"/>
          </w:tcPr>
          <w:p w14:paraId="0397A159">
            <w:pPr>
              <w:pStyle w:val="185"/>
              <w:spacing w:before="180" w:line="221" w:lineRule="auto"/>
              <w:ind w:left="1568"/>
              <w:rPr>
                <w:color w:val="auto"/>
                <w:highlight w:val="none"/>
              </w:rPr>
            </w:pPr>
            <w:r>
              <w:rPr>
                <w:b/>
                <w:bCs/>
                <w:color w:val="auto"/>
                <w:spacing w:val="-3"/>
                <w:highlight w:val="none"/>
              </w:rPr>
              <w:t>评分标准</w:t>
            </w:r>
          </w:p>
        </w:tc>
      </w:tr>
      <w:tr w14:paraId="7A9858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9" w:hRule="atLeast"/>
        </w:trPr>
        <w:tc>
          <w:tcPr>
            <w:tcW w:w="902" w:type="dxa"/>
            <w:gridSpan w:val="2"/>
            <w:vMerge w:val="restart"/>
            <w:vAlign w:val="center"/>
          </w:tcPr>
          <w:p w14:paraId="55806F4F">
            <w:pPr>
              <w:spacing w:line="259" w:lineRule="auto"/>
              <w:jc w:val="center"/>
              <w:rPr>
                <w:rFonts w:ascii="Arial"/>
                <w:color w:val="auto"/>
                <w:highlight w:val="none"/>
              </w:rPr>
            </w:pPr>
          </w:p>
          <w:p w14:paraId="2795878A">
            <w:pPr>
              <w:spacing w:line="259" w:lineRule="auto"/>
              <w:jc w:val="center"/>
              <w:rPr>
                <w:rFonts w:ascii="Arial"/>
                <w:color w:val="auto"/>
                <w:highlight w:val="none"/>
              </w:rPr>
            </w:pPr>
          </w:p>
          <w:p w14:paraId="7FF89034">
            <w:pPr>
              <w:spacing w:before="60" w:line="233" w:lineRule="auto"/>
              <w:ind w:left="165"/>
              <w:jc w:val="center"/>
              <w:rPr>
                <w:b/>
                <w:bCs/>
                <w:color w:val="auto"/>
                <w:spacing w:val="-4"/>
                <w:highlight w:val="none"/>
              </w:rPr>
            </w:pPr>
            <w:r>
              <w:rPr>
                <w:rFonts w:eastAsia="Times New Roman"/>
                <w:color w:val="auto"/>
                <w:spacing w:val="-1"/>
                <w:szCs w:val="21"/>
                <w:highlight w:val="none"/>
              </w:rPr>
              <w:t>2.2.4</w:t>
            </w:r>
            <w:r>
              <w:rPr>
                <w:color w:val="auto"/>
                <w:spacing w:val="-5"/>
                <w:position w:val="1"/>
                <w:highlight w:val="none"/>
              </w:rPr>
              <w:t>（</w:t>
            </w:r>
            <w:r>
              <w:rPr>
                <w:rFonts w:eastAsia="Times New Roman"/>
                <w:color w:val="auto"/>
                <w:spacing w:val="-5"/>
                <w:position w:val="1"/>
                <w:highlight w:val="none"/>
              </w:rPr>
              <w:t>2</w:t>
            </w:r>
            <w:r>
              <w:rPr>
                <w:color w:val="auto"/>
                <w:spacing w:val="-5"/>
                <w:position w:val="1"/>
                <w:highlight w:val="none"/>
              </w:rPr>
              <w:t>）</w:t>
            </w:r>
          </w:p>
        </w:tc>
        <w:tc>
          <w:tcPr>
            <w:tcW w:w="902" w:type="dxa"/>
            <w:vMerge w:val="restart"/>
            <w:vAlign w:val="center"/>
          </w:tcPr>
          <w:p w14:paraId="21E78EB5">
            <w:pPr>
              <w:pStyle w:val="185"/>
              <w:spacing w:before="68" w:line="221" w:lineRule="auto"/>
              <w:ind w:left="111"/>
              <w:jc w:val="center"/>
              <w:rPr>
                <w:color w:val="auto"/>
                <w:spacing w:val="-5"/>
                <w:position w:val="1"/>
                <w:highlight w:val="none"/>
                <w:lang w:eastAsia="zh-CN"/>
              </w:rPr>
            </w:pPr>
            <w:r>
              <w:rPr>
                <w:color w:val="auto"/>
                <w:spacing w:val="-2"/>
                <w:highlight w:val="none"/>
                <w:lang w:eastAsia="zh-CN"/>
              </w:rPr>
              <w:t>技术标（承包人建议书）评分标准</w:t>
            </w:r>
          </w:p>
        </w:tc>
        <w:tc>
          <w:tcPr>
            <w:tcW w:w="1754" w:type="dxa"/>
            <w:shd w:val="clear" w:color="auto" w:fill="auto"/>
            <w:vAlign w:val="center"/>
          </w:tcPr>
          <w:p w14:paraId="7FFDA73E">
            <w:pPr>
              <w:pStyle w:val="187"/>
              <w:widowControl w:val="0"/>
              <w:spacing w:line="440" w:lineRule="exact"/>
              <w:jc w:val="center"/>
              <w:rPr>
                <w:rFonts w:hint="eastAsia" w:ascii="宋体" w:hAnsi="宋体" w:eastAsia="宋体" w:cs="宋体"/>
                <w:color w:val="auto"/>
                <w:kern w:val="2"/>
                <w:sz w:val="21"/>
                <w:szCs w:val="21"/>
                <w:highlight w:val="none"/>
                <w:lang w:val="en-US" w:eastAsia="zh-CN" w:bidi="ar-SA"/>
              </w:rPr>
            </w:pPr>
            <w:r>
              <w:rPr>
                <w:rStyle w:val="44"/>
                <w:rFonts w:hint="eastAsia" w:ascii="宋体" w:hAnsi="宋体" w:eastAsia="宋体" w:cs="宋体"/>
                <w:color w:val="auto"/>
                <w:kern w:val="2"/>
                <w:sz w:val="21"/>
                <w:szCs w:val="21"/>
                <w:highlight w:val="none"/>
                <w:lang w:val="en-US" w:eastAsia="zh-CN" w:bidi="ar-SA"/>
              </w:rPr>
              <w:t>工程设计全面详细说明</w:t>
            </w:r>
          </w:p>
        </w:tc>
        <w:tc>
          <w:tcPr>
            <w:tcW w:w="855" w:type="dxa"/>
            <w:gridSpan w:val="2"/>
            <w:shd w:val="clear" w:color="auto" w:fill="auto"/>
            <w:vAlign w:val="center"/>
          </w:tcPr>
          <w:p w14:paraId="39190A16">
            <w:pPr>
              <w:pStyle w:val="185"/>
              <w:spacing w:before="68" w:line="221"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6</w:t>
            </w:r>
          </w:p>
        </w:tc>
        <w:tc>
          <w:tcPr>
            <w:tcW w:w="4620" w:type="dxa"/>
            <w:shd w:val="clear" w:color="auto" w:fill="auto"/>
            <w:vAlign w:val="center"/>
          </w:tcPr>
          <w:p w14:paraId="0DE3AB1B">
            <w:pPr>
              <w:spacing w:line="400" w:lineRule="exact"/>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rPr>
              <w:t>评审内容</w:t>
            </w:r>
            <w:r>
              <w:rPr>
                <w:rFonts w:hint="eastAsia" w:ascii="宋体" w:hAnsi="宋体" w:eastAsia="宋体" w:cs="宋体"/>
                <w:color w:val="auto"/>
                <w:spacing w:val="-6"/>
                <w:sz w:val="21"/>
                <w:szCs w:val="21"/>
                <w:highlight w:val="none"/>
                <w:lang w:eastAsia="zh-CN"/>
              </w:rPr>
              <w:t>：</w:t>
            </w:r>
            <w:r>
              <w:rPr>
                <w:rFonts w:hint="eastAsia" w:ascii="宋体" w:hAnsi="宋体" w:eastAsia="宋体" w:cs="宋体"/>
                <w:color w:val="auto"/>
                <w:spacing w:val="-6"/>
                <w:sz w:val="21"/>
                <w:szCs w:val="21"/>
                <w:highlight w:val="none"/>
                <w:lang w:val="en-US" w:eastAsia="zh-CN"/>
              </w:rPr>
              <w:t>1.</w:t>
            </w:r>
            <w:r>
              <w:rPr>
                <w:rStyle w:val="44"/>
                <w:rFonts w:hint="eastAsia" w:ascii="宋体" w:hAnsi="宋体" w:eastAsia="宋体" w:cs="宋体"/>
                <w:color w:val="auto"/>
                <w:kern w:val="2"/>
                <w:sz w:val="21"/>
                <w:szCs w:val="21"/>
                <w:highlight w:val="none"/>
                <w:lang w:val="en-US" w:eastAsia="zh-CN" w:bidi="ar-SA"/>
              </w:rPr>
              <w:t>设计说明能对项目的设计方案解读准确全面、合理、构思新颖；简述各专业工程的设计特点；项目设计的各项主要技术指标、经济技术指标满足招标人功能需求；项目设计符合国家规范标准及地方规划要求的得3-6分；2.不完整或没有的得0.1-2.9分。</w:t>
            </w:r>
          </w:p>
          <w:p w14:paraId="712C12DC">
            <w:pPr>
              <w:spacing w:line="40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pacing w:val="-6"/>
                <w:sz w:val="21"/>
                <w:szCs w:val="21"/>
                <w:highlight w:val="none"/>
              </w:rPr>
              <w:t>分值：</w:t>
            </w:r>
            <w:r>
              <w:rPr>
                <w:rStyle w:val="44"/>
                <w:rFonts w:hint="eastAsia" w:ascii="宋体" w:hAnsi="宋体" w:eastAsia="宋体" w:cs="宋体"/>
                <w:color w:val="auto"/>
                <w:kern w:val="2"/>
                <w:sz w:val="21"/>
                <w:szCs w:val="21"/>
                <w:highlight w:val="none"/>
                <w:lang w:val="en-US" w:eastAsia="zh-CN" w:bidi="ar-SA"/>
              </w:rPr>
              <w:t>0.1-2.9；3-6。</w:t>
            </w:r>
          </w:p>
        </w:tc>
      </w:tr>
      <w:tr w14:paraId="3B933B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02" w:type="dxa"/>
            <w:gridSpan w:val="2"/>
            <w:vMerge w:val="continue"/>
          </w:tcPr>
          <w:p w14:paraId="69047305">
            <w:pPr>
              <w:pStyle w:val="185"/>
              <w:spacing w:before="179" w:line="221" w:lineRule="auto"/>
              <w:ind w:left="592"/>
              <w:rPr>
                <w:b/>
                <w:bCs/>
                <w:color w:val="auto"/>
                <w:spacing w:val="-4"/>
                <w:highlight w:val="none"/>
              </w:rPr>
            </w:pPr>
          </w:p>
        </w:tc>
        <w:tc>
          <w:tcPr>
            <w:tcW w:w="902" w:type="dxa"/>
            <w:vMerge w:val="continue"/>
          </w:tcPr>
          <w:p w14:paraId="1CFFEDF9">
            <w:pPr>
              <w:pStyle w:val="185"/>
              <w:spacing w:before="179" w:line="221" w:lineRule="auto"/>
              <w:ind w:left="592"/>
              <w:rPr>
                <w:b/>
                <w:bCs/>
                <w:color w:val="auto"/>
                <w:spacing w:val="-4"/>
                <w:highlight w:val="none"/>
              </w:rPr>
            </w:pPr>
          </w:p>
        </w:tc>
        <w:tc>
          <w:tcPr>
            <w:tcW w:w="1754" w:type="dxa"/>
            <w:shd w:val="clear" w:color="auto" w:fill="auto"/>
            <w:vAlign w:val="center"/>
          </w:tcPr>
          <w:p w14:paraId="16C8EDA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val="0"/>
                <w:i w:val="0"/>
                <w:color w:val="auto"/>
                <w:kern w:val="2"/>
                <w:sz w:val="21"/>
                <w:szCs w:val="21"/>
                <w:highlight w:val="none"/>
                <w:u w:val="none" w:color="auto"/>
                <w:lang w:val="en-US" w:eastAsia="zh-CN" w:bidi="ar-SA"/>
              </w:rPr>
            </w:pPr>
            <w:r>
              <w:rPr>
                <w:rFonts w:hint="eastAsia" w:ascii="宋体" w:hAnsi="宋体" w:eastAsia="宋体" w:cs="宋体"/>
                <w:b w:val="0"/>
                <w:i w:val="0"/>
                <w:color w:val="auto"/>
                <w:sz w:val="21"/>
                <w:szCs w:val="21"/>
                <w:highlight w:val="none"/>
                <w:u w:val="none" w:color="auto"/>
              </w:rPr>
              <w:t>设计重</w:t>
            </w:r>
            <w:r>
              <w:rPr>
                <w:rFonts w:hint="eastAsia" w:ascii="宋体" w:hAnsi="宋体" w:eastAsia="宋体" w:cs="宋体"/>
                <w:b w:val="0"/>
                <w:i w:val="0"/>
                <w:color w:val="auto"/>
                <w:sz w:val="21"/>
                <w:szCs w:val="21"/>
                <w:highlight w:val="none"/>
                <w:u w:val="none" w:color="auto"/>
                <w:lang w:val="en-US" w:eastAsia="zh-CN"/>
              </w:rPr>
              <w:t>点和</w:t>
            </w:r>
            <w:r>
              <w:rPr>
                <w:rFonts w:hint="eastAsia" w:ascii="宋体" w:hAnsi="宋体" w:eastAsia="宋体" w:cs="宋体"/>
                <w:b w:val="0"/>
                <w:i w:val="0"/>
                <w:color w:val="auto"/>
                <w:sz w:val="21"/>
                <w:szCs w:val="21"/>
                <w:highlight w:val="none"/>
                <w:u w:val="none" w:color="auto"/>
              </w:rPr>
              <w:t>难点分析</w:t>
            </w:r>
            <w:r>
              <w:rPr>
                <w:rFonts w:hint="eastAsia" w:ascii="宋体" w:hAnsi="宋体" w:eastAsia="宋体" w:cs="宋体"/>
                <w:b w:val="0"/>
                <w:i w:val="0"/>
                <w:color w:val="auto"/>
                <w:sz w:val="21"/>
                <w:szCs w:val="21"/>
                <w:highlight w:val="none"/>
                <w:u w:val="none" w:color="auto"/>
                <w:lang w:val="en-US" w:eastAsia="zh-CN"/>
              </w:rPr>
              <w:t>及深化设计</w:t>
            </w:r>
          </w:p>
        </w:tc>
        <w:tc>
          <w:tcPr>
            <w:tcW w:w="855" w:type="dxa"/>
            <w:gridSpan w:val="2"/>
            <w:shd w:val="clear" w:color="auto" w:fill="auto"/>
            <w:vAlign w:val="center"/>
          </w:tcPr>
          <w:p w14:paraId="26AB430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val="0"/>
                <w:bCs/>
                <w:i w:val="0"/>
                <w:color w:val="auto"/>
                <w:kern w:val="2"/>
                <w:sz w:val="21"/>
                <w:szCs w:val="21"/>
                <w:highlight w:val="none"/>
                <w:u w:val="none" w:color="auto"/>
                <w:lang w:val="en-US" w:eastAsia="zh-CN" w:bidi="ar-SA"/>
              </w:rPr>
            </w:pPr>
            <w:r>
              <w:rPr>
                <w:rFonts w:hint="eastAsia" w:ascii="宋体" w:hAnsi="宋体" w:eastAsia="宋体" w:cs="宋体"/>
                <w:b w:val="0"/>
                <w:bCs/>
                <w:i w:val="0"/>
                <w:color w:val="auto"/>
                <w:sz w:val="21"/>
                <w:szCs w:val="21"/>
                <w:highlight w:val="none"/>
                <w:u w:val="none" w:color="auto"/>
                <w:lang w:val="en-US" w:eastAsia="zh-CN"/>
              </w:rPr>
              <w:t>6</w:t>
            </w:r>
          </w:p>
        </w:tc>
        <w:tc>
          <w:tcPr>
            <w:tcW w:w="4620" w:type="dxa"/>
            <w:shd w:val="clear" w:color="auto" w:fill="auto"/>
            <w:vAlign w:val="center"/>
          </w:tcPr>
          <w:tbl>
            <w:tblPr>
              <w:tblStyle w:val="42"/>
              <w:tblW w:w="43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60"/>
            </w:tblGrid>
            <w:tr w14:paraId="0B2E0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39" w:hRule="atLeast"/>
                <w:jc w:val="center"/>
              </w:trPr>
              <w:tc>
                <w:tcPr>
                  <w:tcW w:w="4360" w:type="dxa"/>
                  <w:vAlign w:val="center"/>
                </w:tcPr>
                <w:p w14:paraId="36218399">
                  <w:pPr>
                    <w:spacing w:line="400" w:lineRule="exact"/>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rPr>
                    <w:t>评审内容</w:t>
                  </w:r>
                  <w:r>
                    <w:rPr>
                      <w:rFonts w:hint="eastAsia" w:ascii="宋体" w:hAnsi="宋体" w:eastAsia="宋体" w:cs="宋体"/>
                      <w:color w:val="auto"/>
                      <w:spacing w:val="-6"/>
                      <w:sz w:val="21"/>
                      <w:szCs w:val="21"/>
                      <w:highlight w:val="none"/>
                      <w:lang w:eastAsia="zh-CN"/>
                    </w:rPr>
                    <w:t>：</w:t>
                  </w:r>
                  <w:r>
                    <w:rPr>
                      <w:rStyle w:val="44"/>
                      <w:rFonts w:hint="eastAsia" w:ascii="宋体" w:hAnsi="宋体" w:eastAsia="宋体" w:cs="宋体"/>
                      <w:color w:val="auto"/>
                      <w:kern w:val="2"/>
                      <w:sz w:val="21"/>
                      <w:szCs w:val="21"/>
                      <w:highlight w:val="none"/>
                      <w:lang w:val="en-US" w:eastAsia="zh-CN" w:bidi="ar-SA"/>
                    </w:rPr>
                    <w:t>1.结合项目实际情况及使用功能，对项目设计的重点和难点作出准确分析，针对性强，表述全面准确；解决方案科学、安全、经济、可操作性强的得3-6分；2.不完整或没有的得0.1-2.9分。</w:t>
                  </w:r>
                </w:p>
                <w:p w14:paraId="06E0B367">
                  <w:pPr>
                    <w:spacing w:line="400" w:lineRule="exact"/>
                    <w:jc w:val="left"/>
                    <w:rPr>
                      <w:rFonts w:hint="eastAsia" w:ascii="宋体" w:hAnsi="宋体" w:eastAsia="宋体" w:cs="宋体"/>
                      <w:b w:val="0"/>
                      <w:bCs/>
                      <w:i w:val="0"/>
                      <w:color w:val="auto"/>
                      <w:sz w:val="21"/>
                      <w:szCs w:val="21"/>
                      <w:highlight w:val="none"/>
                      <w:u w:val="none" w:color="auto"/>
                    </w:rPr>
                  </w:pPr>
                  <w:r>
                    <w:rPr>
                      <w:rFonts w:hint="eastAsia" w:ascii="宋体" w:hAnsi="宋体" w:eastAsia="宋体" w:cs="宋体"/>
                      <w:color w:val="auto"/>
                      <w:spacing w:val="-6"/>
                      <w:sz w:val="21"/>
                      <w:szCs w:val="21"/>
                      <w:highlight w:val="none"/>
                    </w:rPr>
                    <w:t>分值：</w:t>
                  </w:r>
                  <w:r>
                    <w:rPr>
                      <w:rStyle w:val="44"/>
                      <w:rFonts w:hint="eastAsia" w:ascii="宋体" w:hAnsi="宋体" w:eastAsia="宋体" w:cs="宋体"/>
                      <w:color w:val="auto"/>
                      <w:kern w:val="2"/>
                      <w:sz w:val="21"/>
                      <w:szCs w:val="21"/>
                      <w:highlight w:val="none"/>
                      <w:lang w:val="en-US" w:eastAsia="zh-CN" w:bidi="ar-SA"/>
                    </w:rPr>
                    <w:t>0.1-2.9；3-6。</w:t>
                  </w:r>
                </w:p>
              </w:tc>
            </w:tr>
          </w:tbl>
          <w:p w14:paraId="2A90699A">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b w:val="0"/>
                <w:bCs/>
                <w:i w:val="0"/>
                <w:color w:val="auto"/>
                <w:kern w:val="2"/>
                <w:sz w:val="21"/>
                <w:szCs w:val="21"/>
                <w:highlight w:val="none"/>
                <w:u w:val="none" w:color="auto"/>
                <w:lang w:val="en-US" w:eastAsia="zh-CN" w:bidi="ar-SA"/>
              </w:rPr>
            </w:pPr>
          </w:p>
        </w:tc>
      </w:tr>
      <w:tr w14:paraId="354538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02" w:type="dxa"/>
            <w:gridSpan w:val="2"/>
            <w:vMerge w:val="continue"/>
          </w:tcPr>
          <w:p w14:paraId="79F87581">
            <w:pPr>
              <w:pStyle w:val="185"/>
              <w:spacing w:before="179" w:line="221" w:lineRule="auto"/>
              <w:ind w:left="592"/>
              <w:rPr>
                <w:b/>
                <w:bCs/>
                <w:color w:val="auto"/>
                <w:spacing w:val="-4"/>
                <w:highlight w:val="none"/>
                <w:lang w:eastAsia="zh-CN"/>
              </w:rPr>
            </w:pPr>
          </w:p>
        </w:tc>
        <w:tc>
          <w:tcPr>
            <w:tcW w:w="902" w:type="dxa"/>
            <w:vMerge w:val="continue"/>
          </w:tcPr>
          <w:p w14:paraId="5C4CC2EE">
            <w:pPr>
              <w:pStyle w:val="185"/>
              <w:spacing w:before="179" w:line="221" w:lineRule="auto"/>
              <w:ind w:left="592"/>
              <w:rPr>
                <w:b/>
                <w:bCs/>
                <w:color w:val="auto"/>
                <w:spacing w:val="-4"/>
                <w:highlight w:val="none"/>
                <w:lang w:eastAsia="zh-CN"/>
              </w:rPr>
            </w:pPr>
          </w:p>
        </w:tc>
        <w:tc>
          <w:tcPr>
            <w:tcW w:w="1754" w:type="dxa"/>
            <w:shd w:val="clear" w:color="auto" w:fill="auto"/>
            <w:vAlign w:val="center"/>
          </w:tcPr>
          <w:p w14:paraId="0A8C953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val="0"/>
                <w:i w:val="0"/>
                <w:color w:val="auto"/>
                <w:kern w:val="2"/>
                <w:sz w:val="21"/>
                <w:szCs w:val="21"/>
                <w:highlight w:val="none"/>
                <w:u w:val="none" w:color="auto"/>
                <w:lang w:val="en-US" w:eastAsia="zh-CN" w:bidi="ar-SA"/>
              </w:rPr>
            </w:pPr>
            <w:r>
              <w:rPr>
                <w:rFonts w:hint="eastAsia" w:ascii="宋体" w:hAnsi="宋体" w:eastAsia="宋体" w:cs="宋体"/>
                <w:b w:val="0"/>
                <w:i w:val="0"/>
                <w:color w:val="auto"/>
                <w:sz w:val="21"/>
                <w:szCs w:val="21"/>
                <w:highlight w:val="none"/>
                <w:u w:val="none" w:color="auto"/>
              </w:rPr>
              <w:t>总体概述-总平面设</w:t>
            </w:r>
            <w:r>
              <w:rPr>
                <w:rFonts w:hint="eastAsia" w:ascii="宋体" w:hAnsi="宋体" w:eastAsia="宋体" w:cs="宋体"/>
                <w:b w:val="0"/>
                <w:i w:val="0"/>
                <w:color w:val="auto"/>
                <w:sz w:val="21"/>
                <w:szCs w:val="21"/>
                <w:highlight w:val="none"/>
                <w:u w:val="none" w:color="auto"/>
                <w:lang w:val="en-US" w:eastAsia="zh-CN"/>
              </w:rPr>
              <w:t>计</w:t>
            </w:r>
          </w:p>
        </w:tc>
        <w:tc>
          <w:tcPr>
            <w:tcW w:w="855" w:type="dxa"/>
            <w:gridSpan w:val="2"/>
            <w:shd w:val="clear" w:color="auto" w:fill="auto"/>
            <w:vAlign w:val="center"/>
          </w:tcPr>
          <w:p w14:paraId="18A4679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val="0"/>
                <w:bCs/>
                <w:i w:val="0"/>
                <w:color w:val="auto"/>
                <w:kern w:val="2"/>
                <w:sz w:val="21"/>
                <w:szCs w:val="21"/>
                <w:highlight w:val="none"/>
                <w:u w:val="none" w:color="auto"/>
                <w:lang w:val="en-US" w:eastAsia="zh-CN" w:bidi="ar-SA"/>
              </w:rPr>
            </w:pPr>
            <w:r>
              <w:rPr>
                <w:rFonts w:hint="eastAsia" w:ascii="宋体" w:hAnsi="宋体" w:eastAsia="宋体" w:cs="宋体"/>
                <w:b w:val="0"/>
                <w:bCs/>
                <w:i w:val="0"/>
                <w:color w:val="auto"/>
                <w:sz w:val="21"/>
                <w:szCs w:val="21"/>
                <w:highlight w:val="none"/>
                <w:u w:val="none" w:color="auto"/>
                <w:lang w:val="en-US" w:eastAsia="zh-CN"/>
              </w:rPr>
              <w:t>6</w:t>
            </w:r>
          </w:p>
        </w:tc>
        <w:tc>
          <w:tcPr>
            <w:tcW w:w="4620" w:type="dxa"/>
            <w:shd w:val="clear" w:color="auto" w:fill="auto"/>
            <w:vAlign w:val="center"/>
          </w:tcPr>
          <w:p w14:paraId="1EB82E18">
            <w:pPr>
              <w:spacing w:line="400" w:lineRule="exact"/>
              <w:rPr>
                <w:rFonts w:hint="eastAsia" w:ascii="宋体" w:hAnsi="宋体" w:eastAsia="宋体" w:cs="宋体"/>
                <w:b w:val="0"/>
                <w:bCs/>
                <w:i w:val="0"/>
                <w:color w:val="auto"/>
                <w:sz w:val="21"/>
                <w:szCs w:val="21"/>
                <w:highlight w:val="none"/>
                <w:u w:val="none" w:color="auto"/>
                <w:lang w:eastAsia="zh-CN"/>
              </w:rPr>
            </w:pPr>
            <w:r>
              <w:rPr>
                <w:rFonts w:hint="eastAsia" w:ascii="宋体" w:hAnsi="宋体" w:eastAsia="宋体" w:cs="宋体"/>
                <w:color w:val="auto"/>
                <w:spacing w:val="-6"/>
                <w:sz w:val="21"/>
                <w:szCs w:val="21"/>
                <w:highlight w:val="none"/>
              </w:rPr>
              <w:t>评审内容</w:t>
            </w:r>
            <w:r>
              <w:rPr>
                <w:rFonts w:hint="eastAsia" w:ascii="宋体" w:hAnsi="宋体" w:eastAsia="宋体" w:cs="宋体"/>
                <w:color w:val="auto"/>
                <w:spacing w:val="-6"/>
                <w:sz w:val="21"/>
                <w:szCs w:val="21"/>
                <w:highlight w:val="none"/>
                <w:lang w:eastAsia="zh-CN"/>
              </w:rPr>
              <w:t>：</w:t>
            </w:r>
            <w:r>
              <w:rPr>
                <w:rFonts w:hint="eastAsia" w:ascii="宋体" w:hAnsi="宋体" w:eastAsia="宋体" w:cs="宋体"/>
                <w:b w:val="0"/>
                <w:bCs/>
                <w:i w:val="0"/>
                <w:color w:val="auto"/>
                <w:sz w:val="21"/>
                <w:szCs w:val="21"/>
                <w:highlight w:val="none"/>
                <w:u w:val="none" w:color="auto"/>
              </w:rPr>
              <w:t>1.总体概述描述符合规范，合理、可行；</w:t>
            </w:r>
            <w:r>
              <w:rPr>
                <w:rFonts w:hint="eastAsia" w:ascii="宋体" w:hAnsi="宋体" w:eastAsia="宋体" w:cs="宋体"/>
                <w:b w:val="0"/>
                <w:bCs/>
                <w:i w:val="0"/>
                <w:color w:val="auto"/>
                <w:sz w:val="21"/>
                <w:szCs w:val="21"/>
                <w:highlight w:val="none"/>
                <w:u w:val="none" w:color="auto"/>
                <w:lang w:val="en-US" w:eastAsia="zh-CN"/>
              </w:rPr>
              <w:t>有</w:t>
            </w:r>
            <w:r>
              <w:rPr>
                <w:rFonts w:hint="eastAsia" w:ascii="宋体" w:hAnsi="宋体" w:eastAsia="宋体" w:cs="宋体"/>
                <w:b w:val="0"/>
                <w:bCs/>
                <w:i w:val="0"/>
                <w:color w:val="auto"/>
                <w:sz w:val="21"/>
                <w:szCs w:val="21"/>
                <w:highlight w:val="none"/>
                <w:u w:val="none" w:color="auto"/>
              </w:rPr>
              <w:t>总平面设计</w:t>
            </w:r>
            <w:r>
              <w:rPr>
                <w:rStyle w:val="44"/>
                <w:rFonts w:hint="eastAsia" w:ascii="宋体" w:hAnsi="宋体" w:eastAsia="宋体" w:cs="宋体"/>
                <w:color w:val="auto"/>
                <w:kern w:val="2"/>
                <w:sz w:val="21"/>
                <w:szCs w:val="21"/>
                <w:highlight w:val="none"/>
                <w:lang w:val="en-US" w:eastAsia="zh-CN" w:bidi="ar-SA"/>
              </w:rPr>
              <w:t>3-6</w:t>
            </w:r>
            <w:r>
              <w:rPr>
                <w:rFonts w:hint="eastAsia" w:ascii="宋体" w:hAnsi="宋体" w:eastAsia="宋体" w:cs="宋体"/>
                <w:b w:val="0"/>
                <w:bCs/>
                <w:i w:val="0"/>
                <w:color w:val="auto"/>
                <w:sz w:val="21"/>
                <w:szCs w:val="21"/>
                <w:highlight w:val="none"/>
                <w:u w:val="none" w:color="auto"/>
                <w:lang w:eastAsia="zh-CN"/>
              </w:rPr>
              <w:t>；</w:t>
            </w:r>
            <w:r>
              <w:rPr>
                <w:rFonts w:hint="eastAsia" w:ascii="宋体" w:hAnsi="宋体" w:eastAsia="宋体" w:cs="宋体"/>
                <w:b w:val="0"/>
                <w:bCs/>
                <w:i w:val="0"/>
                <w:color w:val="auto"/>
                <w:sz w:val="21"/>
                <w:szCs w:val="21"/>
                <w:highlight w:val="none"/>
                <w:u w:val="none" w:color="auto"/>
              </w:rPr>
              <w:t>总平面设计对现状、交通、绿化、竖向、消防等进行分析</w:t>
            </w:r>
            <w:r>
              <w:rPr>
                <w:rFonts w:hint="eastAsia" w:ascii="宋体" w:hAnsi="宋体" w:eastAsia="宋体" w:cs="宋体"/>
                <w:b w:val="0"/>
                <w:bCs/>
                <w:i w:val="0"/>
                <w:color w:val="auto"/>
                <w:sz w:val="21"/>
                <w:szCs w:val="21"/>
                <w:highlight w:val="none"/>
                <w:u w:val="none" w:color="auto"/>
                <w:lang w:eastAsia="zh-CN"/>
              </w:rPr>
              <w:t>；</w:t>
            </w:r>
            <w:r>
              <w:rPr>
                <w:rStyle w:val="44"/>
                <w:rFonts w:hint="eastAsia" w:ascii="宋体" w:hAnsi="宋体" w:eastAsia="宋体" w:cs="宋体"/>
                <w:color w:val="auto"/>
                <w:kern w:val="2"/>
                <w:sz w:val="21"/>
                <w:szCs w:val="21"/>
                <w:highlight w:val="none"/>
                <w:lang w:val="en-US" w:eastAsia="zh-CN" w:bidi="ar-SA"/>
              </w:rPr>
              <w:t>2.不完整或没有的得0.1-2.9分。</w:t>
            </w:r>
          </w:p>
          <w:p w14:paraId="4C204617">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color w:val="auto"/>
                <w:spacing w:val="-6"/>
                <w:kern w:val="2"/>
                <w:sz w:val="21"/>
                <w:szCs w:val="21"/>
                <w:highlight w:val="none"/>
                <w:lang w:val="en-US" w:eastAsia="zh-CN" w:bidi="ar-SA"/>
              </w:rPr>
            </w:pPr>
            <w:r>
              <w:rPr>
                <w:rFonts w:hint="eastAsia" w:ascii="宋体" w:hAnsi="宋体" w:eastAsia="宋体" w:cs="宋体"/>
                <w:color w:val="auto"/>
                <w:spacing w:val="-6"/>
                <w:sz w:val="21"/>
                <w:szCs w:val="21"/>
                <w:highlight w:val="none"/>
              </w:rPr>
              <w:t>分值：</w:t>
            </w:r>
            <w:r>
              <w:rPr>
                <w:rStyle w:val="44"/>
                <w:rFonts w:hint="eastAsia" w:ascii="宋体" w:hAnsi="宋体" w:eastAsia="宋体" w:cs="宋体"/>
                <w:color w:val="auto"/>
                <w:kern w:val="2"/>
                <w:sz w:val="21"/>
                <w:szCs w:val="21"/>
                <w:highlight w:val="none"/>
                <w:lang w:val="en-US" w:eastAsia="zh-CN" w:bidi="ar-SA"/>
              </w:rPr>
              <w:t>0.1-2.9；3-6。</w:t>
            </w:r>
          </w:p>
        </w:tc>
      </w:tr>
      <w:tr w14:paraId="08772E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3" w:hRule="atLeast"/>
        </w:trPr>
        <w:tc>
          <w:tcPr>
            <w:tcW w:w="902" w:type="dxa"/>
            <w:gridSpan w:val="2"/>
            <w:vMerge w:val="continue"/>
          </w:tcPr>
          <w:p w14:paraId="393DBD05">
            <w:pPr>
              <w:pStyle w:val="185"/>
              <w:spacing w:before="179" w:line="221" w:lineRule="auto"/>
              <w:ind w:left="592"/>
              <w:rPr>
                <w:b/>
                <w:bCs/>
                <w:color w:val="auto"/>
                <w:spacing w:val="-4"/>
                <w:highlight w:val="none"/>
                <w:lang w:eastAsia="zh-CN"/>
              </w:rPr>
            </w:pPr>
          </w:p>
        </w:tc>
        <w:tc>
          <w:tcPr>
            <w:tcW w:w="902" w:type="dxa"/>
            <w:vMerge w:val="continue"/>
          </w:tcPr>
          <w:p w14:paraId="4FB05FC3">
            <w:pPr>
              <w:pStyle w:val="185"/>
              <w:spacing w:before="179" w:line="221" w:lineRule="auto"/>
              <w:ind w:left="592"/>
              <w:rPr>
                <w:b/>
                <w:bCs/>
                <w:color w:val="auto"/>
                <w:spacing w:val="-4"/>
                <w:highlight w:val="none"/>
                <w:lang w:eastAsia="zh-CN"/>
              </w:rPr>
            </w:pPr>
          </w:p>
        </w:tc>
        <w:tc>
          <w:tcPr>
            <w:tcW w:w="1754" w:type="dxa"/>
            <w:shd w:val="clear" w:color="auto" w:fill="auto"/>
            <w:vAlign w:val="center"/>
          </w:tcPr>
          <w:p w14:paraId="10E9A7B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val="0"/>
                <w:i w:val="0"/>
                <w:color w:val="auto"/>
                <w:sz w:val="21"/>
                <w:szCs w:val="21"/>
                <w:highlight w:val="none"/>
                <w:u w:val="none" w:color="auto"/>
              </w:rPr>
              <w:t>设计方案</w:t>
            </w:r>
            <w:r>
              <w:rPr>
                <w:rFonts w:hint="eastAsia" w:ascii="宋体" w:hAnsi="宋体" w:eastAsia="宋体" w:cs="宋体"/>
                <w:b w:val="0"/>
                <w:i w:val="0"/>
                <w:color w:val="auto"/>
                <w:sz w:val="21"/>
                <w:szCs w:val="21"/>
                <w:highlight w:val="none"/>
                <w:u w:val="none" w:color="auto"/>
                <w:lang w:eastAsia="zh-CN"/>
              </w:rPr>
              <w:t>、</w:t>
            </w:r>
            <w:r>
              <w:rPr>
                <w:rFonts w:hint="eastAsia" w:ascii="宋体" w:hAnsi="宋体" w:eastAsia="宋体" w:cs="宋体"/>
                <w:b w:val="0"/>
                <w:i w:val="0"/>
                <w:color w:val="auto"/>
                <w:sz w:val="21"/>
                <w:szCs w:val="21"/>
                <w:highlight w:val="none"/>
                <w:u w:val="none" w:color="auto"/>
              </w:rPr>
              <w:t>专项设计方案</w:t>
            </w:r>
            <w:r>
              <w:rPr>
                <w:rFonts w:hint="eastAsia" w:ascii="宋体" w:hAnsi="宋体" w:eastAsia="宋体" w:cs="宋体"/>
                <w:b w:val="0"/>
                <w:i w:val="0"/>
                <w:color w:val="auto"/>
                <w:sz w:val="21"/>
                <w:szCs w:val="21"/>
                <w:highlight w:val="none"/>
                <w:u w:val="none" w:color="auto"/>
                <w:lang w:val="en-US" w:eastAsia="zh-CN"/>
              </w:rPr>
              <w:t>及</w:t>
            </w:r>
            <w:r>
              <w:rPr>
                <w:rFonts w:hint="eastAsia" w:ascii="宋体" w:hAnsi="宋体" w:eastAsia="宋体" w:cs="宋体"/>
                <w:b w:val="0"/>
                <w:i w:val="0"/>
                <w:color w:val="auto"/>
                <w:sz w:val="21"/>
                <w:szCs w:val="21"/>
                <w:highlight w:val="none"/>
                <w:u w:val="none" w:color="auto"/>
              </w:rPr>
              <w:t>设计服务大纲</w:t>
            </w:r>
          </w:p>
        </w:tc>
        <w:tc>
          <w:tcPr>
            <w:tcW w:w="855" w:type="dxa"/>
            <w:gridSpan w:val="2"/>
            <w:shd w:val="clear" w:color="auto" w:fill="auto"/>
            <w:vAlign w:val="center"/>
          </w:tcPr>
          <w:p w14:paraId="3807B66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val="0"/>
                <w:bCs/>
                <w:i w:val="0"/>
                <w:color w:val="auto"/>
                <w:sz w:val="21"/>
                <w:szCs w:val="21"/>
                <w:highlight w:val="none"/>
                <w:u w:val="none" w:color="auto"/>
                <w:lang w:val="en-US" w:eastAsia="zh-CN"/>
              </w:rPr>
              <w:t>5</w:t>
            </w:r>
          </w:p>
        </w:tc>
        <w:tc>
          <w:tcPr>
            <w:tcW w:w="4620" w:type="dxa"/>
            <w:shd w:val="clear" w:color="auto" w:fill="auto"/>
            <w:vAlign w:val="center"/>
          </w:tcPr>
          <w:p w14:paraId="150FDEA7">
            <w:pPr>
              <w:keepNext w:val="0"/>
              <w:keepLines w:val="0"/>
              <w:pageBreakBefore w:val="0"/>
              <w:widowControl w:val="0"/>
              <w:kinsoku/>
              <w:wordWrap/>
              <w:overflowPunct/>
              <w:topLinePunct w:val="0"/>
              <w:autoSpaceDE/>
              <w:autoSpaceDN/>
              <w:bidi w:val="0"/>
              <w:adjustRightInd/>
              <w:snapToGrid/>
              <w:spacing w:line="320" w:lineRule="exact"/>
              <w:jc w:val="both"/>
              <w:textAlignment w:val="auto"/>
              <w:rPr>
                <w:rStyle w:val="44"/>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pacing w:val="-6"/>
                <w:sz w:val="21"/>
                <w:szCs w:val="21"/>
                <w:highlight w:val="none"/>
              </w:rPr>
              <w:t>评审内容</w:t>
            </w:r>
            <w:r>
              <w:rPr>
                <w:rFonts w:hint="eastAsia" w:ascii="宋体" w:hAnsi="宋体" w:eastAsia="宋体" w:cs="宋体"/>
                <w:color w:val="auto"/>
                <w:spacing w:val="-6"/>
                <w:sz w:val="21"/>
                <w:szCs w:val="21"/>
                <w:highlight w:val="none"/>
                <w:lang w:eastAsia="zh-CN"/>
              </w:rPr>
              <w:t>：</w:t>
            </w:r>
            <w:r>
              <w:rPr>
                <w:rFonts w:hint="eastAsia" w:ascii="宋体" w:hAnsi="宋体" w:eastAsia="宋体" w:cs="宋体"/>
                <w:b w:val="0"/>
                <w:bCs/>
                <w:i w:val="0"/>
                <w:color w:val="auto"/>
                <w:sz w:val="21"/>
                <w:szCs w:val="21"/>
                <w:highlight w:val="none"/>
                <w:u w:val="none" w:color="auto"/>
              </w:rPr>
              <w:t>1</w:t>
            </w:r>
            <w:r>
              <w:rPr>
                <w:rFonts w:hint="eastAsia" w:ascii="宋体" w:hAnsi="宋体" w:eastAsia="宋体" w:cs="宋体"/>
                <w:b w:val="0"/>
                <w:bCs/>
                <w:i w:val="0"/>
                <w:color w:val="auto"/>
                <w:sz w:val="21"/>
                <w:szCs w:val="21"/>
                <w:highlight w:val="none"/>
                <w:u w:val="none" w:color="auto"/>
                <w:lang w:val="en-US" w:eastAsia="zh-CN"/>
              </w:rPr>
              <w:t>.设计方案包括但不限于总体布局、建筑造型、空间效果的设计成果及必要的设计方案说明</w:t>
            </w:r>
            <w:r>
              <w:rPr>
                <w:rFonts w:hint="eastAsia" w:ascii="宋体" w:hAnsi="宋体" w:eastAsia="宋体" w:cs="宋体"/>
                <w:b w:val="0"/>
                <w:bCs/>
                <w:i w:val="0"/>
                <w:color w:val="auto"/>
                <w:sz w:val="21"/>
                <w:szCs w:val="21"/>
                <w:highlight w:val="none"/>
                <w:u w:val="none" w:color="auto"/>
              </w:rPr>
              <w:t>；</w:t>
            </w:r>
            <w:r>
              <w:rPr>
                <w:rFonts w:hint="eastAsia" w:ascii="宋体" w:hAnsi="宋体" w:eastAsia="宋体" w:cs="宋体"/>
                <w:b w:val="0"/>
                <w:bCs/>
                <w:i w:val="0"/>
                <w:color w:val="auto"/>
                <w:sz w:val="21"/>
                <w:szCs w:val="21"/>
                <w:highlight w:val="none"/>
                <w:u w:val="none" w:color="auto"/>
                <w:lang w:val="en-US" w:eastAsia="zh-CN"/>
              </w:rPr>
              <w:t>专项设计方案应包括但不限于景观方案、装修方案、智能化方案等相关设计内容；</w:t>
            </w:r>
            <w:r>
              <w:rPr>
                <w:rFonts w:hint="eastAsia" w:ascii="宋体" w:hAnsi="宋体" w:eastAsia="宋体" w:cs="宋体"/>
                <w:b w:val="0"/>
                <w:bCs/>
                <w:i w:val="0"/>
                <w:color w:val="auto"/>
                <w:sz w:val="21"/>
                <w:szCs w:val="21"/>
                <w:highlight w:val="none"/>
                <w:u w:val="none" w:color="auto"/>
              </w:rPr>
              <w:t>设计进度、质量、服务保证措施具体，贴合实际，充分全面</w:t>
            </w:r>
            <w:r>
              <w:rPr>
                <w:rFonts w:hint="eastAsia" w:ascii="宋体" w:hAnsi="宋体" w:eastAsia="宋体" w:cs="宋体"/>
                <w:b w:val="0"/>
                <w:bCs/>
                <w:i w:val="0"/>
                <w:color w:val="auto"/>
                <w:sz w:val="21"/>
                <w:szCs w:val="21"/>
                <w:highlight w:val="none"/>
                <w:u w:val="none" w:color="auto"/>
                <w:lang w:eastAsia="zh-CN"/>
              </w:rPr>
              <w:t>、</w:t>
            </w:r>
            <w:r>
              <w:rPr>
                <w:rFonts w:hint="eastAsia" w:ascii="宋体" w:hAnsi="宋体" w:eastAsia="宋体" w:cs="宋体"/>
                <w:b w:val="0"/>
                <w:bCs/>
                <w:i w:val="0"/>
                <w:color w:val="auto"/>
                <w:sz w:val="21"/>
                <w:szCs w:val="21"/>
                <w:highlight w:val="none"/>
                <w:u w:val="none" w:color="auto"/>
              </w:rPr>
              <w:t>针对性强</w:t>
            </w:r>
            <w:r>
              <w:rPr>
                <w:rStyle w:val="44"/>
                <w:rFonts w:hint="eastAsia" w:ascii="宋体" w:hAnsi="宋体" w:eastAsia="宋体" w:cs="宋体"/>
                <w:color w:val="auto"/>
                <w:kern w:val="2"/>
                <w:sz w:val="21"/>
                <w:szCs w:val="21"/>
                <w:highlight w:val="none"/>
                <w:lang w:val="en-US" w:eastAsia="zh-CN" w:bidi="ar-SA"/>
              </w:rPr>
              <w:t>的得2-5分；</w:t>
            </w:r>
            <w:r>
              <w:rPr>
                <w:rFonts w:hint="eastAsia" w:ascii="宋体" w:hAnsi="宋体" w:eastAsia="宋体" w:cs="宋体"/>
                <w:b w:val="0"/>
                <w:bCs/>
                <w:i w:val="0"/>
                <w:color w:val="auto"/>
                <w:sz w:val="21"/>
                <w:szCs w:val="21"/>
                <w:highlight w:val="none"/>
                <w:u w:val="none" w:color="auto"/>
                <w:lang w:val="en-US" w:eastAsia="zh-CN"/>
              </w:rPr>
              <w:t>2.</w:t>
            </w:r>
            <w:r>
              <w:rPr>
                <w:rStyle w:val="44"/>
                <w:rFonts w:hint="eastAsia" w:ascii="宋体" w:hAnsi="宋体" w:eastAsia="宋体" w:cs="宋体"/>
                <w:color w:val="auto"/>
                <w:kern w:val="2"/>
                <w:sz w:val="21"/>
                <w:szCs w:val="21"/>
                <w:highlight w:val="none"/>
                <w:lang w:val="en-US" w:eastAsia="zh-CN" w:bidi="ar-SA"/>
              </w:rPr>
              <w:t>不完整或没有的得0.1-1.9分。</w:t>
            </w:r>
          </w:p>
          <w:p w14:paraId="0C9A3400">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0" w:leftChars="0" w:firstLine="0" w:firstLineChars="0"/>
              <w:jc w:val="both"/>
              <w:textAlignment w:val="auto"/>
              <w:rPr>
                <w:rFonts w:hint="eastAsia" w:ascii="宋体" w:hAnsi="宋体" w:eastAsia="宋体" w:cs="宋体"/>
                <w:color w:val="auto"/>
                <w:spacing w:val="-6"/>
                <w:kern w:val="2"/>
                <w:sz w:val="21"/>
                <w:szCs w:val="21"/>
                <w:highlight w:val="none"/>
                <w:lang w:val="en-US" w:eastAsia="zh-CN" w:bidi="ar-SA"/>
              </w:rPr>
            </w:pPr>
            <w:r>
              <w:rPr>
                <w:rFonts w:hint="eastAsia" w:ascii="宋体" w:hAnsi="宋体" w:eastAsia="宋体" w:cs="宋体"/>
                <w:color w:val="auto"/>
                <w:spacing w:val="-6"/>
                <w:sz w:val="21"/>
                <w:szCs w:val="21"/>
                <w:highlight w:val="none"/>
              </w:rPr>
              <w:t>分值：</w:t>
            </w:r>
            <w:r>
              <w:rPr>
                <w:rStyle w:val="44"/>
                <w:rFonts w:hint="eastAsia" w:ascii="宋体" w:hAnsi="宋体" w:eastAsia="宋体" w:cs="宋体"/>
                <w:color w:val="auto"/>
                <w:kern w:val="2"/>
                <w:sz w:val="21"/>
                <w:szCs w:val="21"/>
                <w:highlight w:val="none"/>
                <w:lang w:val="en-US" w:eastAsia="zh-CN" w:bidi="ar-SA"/>
              </w:rPr>
              <w:t>0.1-1.9；2-5。</w:t>
            </w:r>
          </w:p>
        </w:tc>
      </w:tr>
      <w:tr w14:paraId="7A96B2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902" w:type="dxa"/>
            <w:gridSpan w:val="2"/>
            <w:vMerge w:val="continue"/>
          </w:tcPr>
          <w:p w14:paraId="20D21D2E">
            <w:pPr>
              <w:pStyle w:val="185"/>
              <w:spacing w:before="179" w:line="221" w:lineRule="auto"/>
              <w:ind w:left="592"/>
              <w:rPr>
                <w:b/>
                <w:bCs/>
                <w:color w:val="auto"/>
                <w:spacing w:val="-4"/>
                <w:highlight w:val="none"/>
                <w:lang w:eastAsia="zh-CN"/>
              </w:rPr>
            </w:pPr>
          </w:p>
        </w:tc>
        <w:tc>
          <w:tcPr>
            <w:tcW w:w="902" w:type="dxa"/>
            <w:vMerge w:val="continue"/>
          </w:tcPr>
          <w:p w14:paraId="227561C0">
            <w:pPr>
              <w:pStyle w:val="185"/>
              <w:spacing w:before="179" w:line="221" w:lineRule="auto"/>
              <w:ind w:left="592"/>
              <w:rPr>
                <w:b/>
                <w:bCs/>
                <w:color w:val="auto"/>
                <w:spacing w:val="-4"/>
                <w:highlight w:val="none"/>
                <w:lang w:eastAsia="zh-CN"/>
              </w:rPr>
            </w:pPr>
          </w:p>
        </w:tc>
        <w:tc>
          <w:tcPr>
            <w:tcW w:w="1754" w:type="dxa"/>
            <w:shd w:val="clear" w:color="auto" w:fill="auto"/>
            <w:vAlign w:val="center"/>
          </w:tcPr>
          <w:p w14:paraId="1A5DA5DF">
            <w:pPr>
              <w:pStyle w:val="187"/>
              <w:widowControl w:val="0"/>
              <w:spacing w:line="440" w:lineRule="exact"/>
              <w:jc w:val="center"/>
              <w:rPr>
                <w:rFonts w:hint="eastAsia" w:ascii="宋体" w:hAnsi="宋体" w:eastAsia="宋体" w:cs="宋体"/>
                <w:color w:val="auto"/>
                <w:kern w:val="2"/>
                <w:sz w:val="21"/>
                <w:szCs w:val="21"/>
                <w:highlight w:val="none"/>
                <w:lang w:val="en-US" w:eastAsia="zh-CN" w:bidi="ar-SA"/>
              </w:rPr>
            </w:pPr>
            <w:r>
              <w:rPr>
                <w:rStyle w:val="44"/>
                <w:rFonts w:hint="eastAsia" w:ascii="宋体" w:hAnsi="宋体" w:eastAsia="宋体" w:cs="宋体"/>
                <w:color w:val="auto"/>
                <w:kern w:val="2"/>
                <w:sz w:val="21"/>
                <w:szCs w:val="21"/>
                <w:highlight w:val="none"/>
                <w:lang w:val="en-US" w:eastAsia="zh-CN" w:bidi="ar-SA"/>
              </w:rPr>
              <w:t>设计质量及其保证措施</w:t>
            </w:r>
          </w:p>
        </w:tc>
        <w:tc>
          <w:tcPr>
            <w:tcW w:w="855" w:type="dxa"/>
            <w:gridSpan w:val="2"/>
            <w:shd w:val="clear" w:color="auto" w:fill="auto"/>
            <w:vAlign w:val="center"/>
          </w:tcPr>
          <w:p w14:paraId="69D98B26">
            <w:pPr>
              <w:pStyle w:val="185"/>
              <w:spacing w:before="68" w:line="221"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6</w:t>
            </w:r>
          </w:p>
        </w:tc>
        <w:tc>
          <w:tcPr>
            <w:tcW w:w="4620" w:type="dxa"/>
            <w:shd w:val="clear" w:color="auto" w:fill="auto"/>
            <w:vAlign w:val="center"/>
          </w:tcPr>
          <w:p w14:paraId="4D58DEE5">
            <w:pPr>
              <w:spacing w:line="400" w:lineRule="exact"/>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rPr>
              <w:t>评审内容</w:t>
            </w:r>
            <w:r>
              <w:rPr>
                <w:rFonts w:hint="eastAsia" w:ascii="宋体" w:hAnsi="宋体" w:eastAsia="宋体" w:cs="宋体"/>
                <w:color w:val="auto"/>
                <w:spacing w:val="-6"/>
                <w:sz w:val="21"/>
                <w:szCs w:val="21"/>
                <w:highlight w:val="none"/>
                <w:lang w:eastAsia="zh-CN"/>
              </w:rPr>
              <w:t>：</w:t>
            </w:r>
            <w:r>
              <w:rPr>
                <w:rFonts w:hint="eastAsia" w:ascii="宋体" w:hAnsi="宋体" w:eastAsia="宋体" w:cs="宋体"/>
                <w:color w:val="auto"/>
                <w:spacing w:val="-6"/>
                <w:sz w:val="21"/>
                <w:szCs w:val="21"/>
                <w:highlight w:val="none"/>
                <w:lang w:val="en-US" w:eastAsia="zh-CN"/>
              </w:rPr>
              <w:t>1.</w:t>
            </w:r>
            <w:r>
              <w:rPr>
                <w:rStyle w:val="44"/>
                <w:rFonts w:hint="eastAsia" w:ascii="宋体" w:hAnsi="宋体" w:eastAsia="宋体" w:cs="宋体"/>
                <w:color w:val="auto"/>
                <w:kern w:val="2"/>
                <w:sz w:val="21"/>
                <w:szCs w:val="21"/>
                <w:highlight w:val="none"/>
                <w:lang w:val="en-US" w:eastAsia="zh-CN" w:bidi="ar-SA"/>
              </w:rPr>
              <w:t>有可靠的设计质量保证体系和具体保证措施的得4-6分；2.设计质量保证体系和具体保证措施基本可靠的得2-3.9分；3.没有或阐述不全面、针对性不强的得0.1-1.9分。</w:t>
            </w:r>
          </w:p>
          <w:p w14:paraId="39DAAB6E">
            <w:pPr>
              <w:spacing w:line="40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pacing w:val="-6"/>
                <w:sz w:val="21"/>
                <w:szCs w:val="21"/>
                <w:highlight w:val="none"/>
              </w:rPr>
              <w:t>分值：</w:t>
            </w:r>
            <w:r>
              <w:rPr>
                <w:rStyle w:val="44"/>
                <w:rFonts w:hint="eastAsia" w:ascii="宋体" w:hAnsi="宋体" w:eastAsia="宋体" w:cs="宋体"/>
                <w:color w:val="auto"/>
                <w:kern w:val="2"/>
                <w:sz w:val="21"/>
                <w:szCs w:val="21"/>
                <w:highlight w:val="none"/>
                <w:lang w:val="en-US" w:eastAsia="zh-CN" w:bidi="ar-SA"/>
              </w:rPr>
              <w:t>0.1-1.9；2-3.9；4-6。</w:t>
            </w:r>
          </w:p>
        </w:tc>
      </w:tr>
      <w:tr w14:paraId="3848F5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3" w:hRule="atLeast"/>
        </w:trPr>
        <w:tc>
          <w:tcPr>
            <w:tcW w:w="902" w:type="dxa"/>
            <w:gridSpan w:val="2"/>
            <w:vMerge w:val="continue"/>
          </w:tcPr>
          <w:p w14:paraId="0FDE0087">
            <w:pPr>
              <w:pStyle w:val="185"/>
              <w:spacing w:before="179" w:line="221" w:lineRule="auto"/>
              <w:ind w:left="592"/>
              <w:rPr>
                <w:b/>
                <w:bCs/>
                <w:color w:val="auto"/>
                <w:spacing w:val="-4"/>
                <w:highlight w:val="none"/>
                <w:lang w:eastAsia="zh-CN"/>
              </w:rPr>
            </w:pPr>
          </w:p>
        </w:tc>
        <w:tc>
          <w:tcPr>
            <w:tcW w:w="902" w:type="dxa"/>
            <w:vMerge w:val="continue"/>
          </w:tcPr>
          <w:p w14:paraId="6EBBE41A">
            <w:pPr>
              <w:pStyle w:val="185"/>
              <w:spacing w:before="179" w:line="221" w:lineRule="auto"/>
              <w:ind w:left="592"/>
              <w:rPr>
                <w:b/>
                <w:bCs/>
                <w:color w:val="auto"/>
                <w:spacing w:val="-4"/>
                <w:highlight w:val="none"/>
                <w:lang w:eastAsia="zh-CN"/>
              </w:rPr>
            </w:pPr>
          </w:p>
        </w:tc>
        <w:tc>
          <w:tcPr>
            <w:tcW w:w="1754" w:type="dxa"/>
            <w:shd w:val="clear" w:color="auto" w:fill="auto"/>
            <w:vAlign w:val="center"/>
          </w:tcPr>
          <w:p w14:paraId="2570E026">
            <w:pPr>
              <w:pStyle w:val="187"/>
              <w:widowControl w:val="0"/>
              <w:spacing w:line="440" w:lineRule="exact"/>
              <w:jc w:val="center"/>
              <w:rPr>
                <w:rFonts w:hint="eastAsia" w:ascii="宋体" w:hAnsi="宋体" w:eastAsia="宋体" w:cs="宋体"/>
                <w:color w:val="auto"/>
                <w:kern w:val="2"/>
                <w:sz w:val="21"/>
                <w:szCs w:val="21"/>
                <w:highlight w:val="none"/>
                <w:lang w:val="en-US" w:eastAsia="zh-CN" w:bidi="ar-SA"/>
              </w:rPr>
            </w:pPr>
            <w:r>
              <w:rPr>
                <w:rStyle w:val="44"/>
                <w:rFonts w:hint="eastAsia" w:ascii="宋体" w:hAnsi="宋体" w:eastAsia="宋体" w:cs="宋体"/>
                <w:color w:val="auto"/>
                <w:kern w:val="2"/>
                <w:sz w:val="21"/>
                <w:szCs w:val="21"/>
                <w:highlight w:val="none"/>
                <w:lang w:val="en-US" w:eastAsia="zh-CN" w:bidi="ar-SA"/>
              </w:rPr>
              <w:t>设计周期及其保证措施</w:t>
            </w:r>
          </w:p>
        </w:tc>
        <w:tc>
          <w:tcPr>
            <w:tcW w:w="855" w:type="dxa"/>
            <w:gridSpan w:val="2"/>
            <w:shd w:val="clear" w:color="auto" w:fill="auto"/>
            <w:vAlign w:val="center"/>
          </w:tcPr>
          <w:p w14:paraId="0098CF5F">
            <w:pPr>
              <w:pStyle w:val="185"/>
              <w:spacing w:before="68" w:line="221"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5</w:t>
            </w:r>
          </w:p>
        </w:tc>
        <w:tc>
          <w:tcPr>
            <w:tcW w:w="4620" w:type="dxa"/>
            <w:shd w:val="clear" w:color="auto" w:fill="auto"/>
            <w:vAlign w:val="center"/>
          </w:tcPr>
          <w:p w14:paraId="1369F58C">
            <w:pPr>
              <w:spacing w:line="400" w:lineRule="exact"/>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rPr>
              <w:t>评审内容</w:t>
            </w:r>
            <w:r>
              <w:rPr>
                <w:rFonts w:hint="eastAsia" w:ascii="宋体" w:hAnsi="宋体" w:eastAsia="宋体" w:cs="宋体"/>
                <w:color w:val="auto"/>
                <w:spacing w:val="-6"/>
                <w:sz w:val="21"/>
                <w:szCs w:val="21"/>
                <w:highlight w:val="none"/>
                <w:lang w:eastAsia="zh-CN"/>
              </w:rPr>
              <w:t>：</w:t>
            </w:r>
            <w:r>
              <w:rPr>
                <w:rFonts w:hint="eastAsia" w:ascii="宋体" w:hAnsi="宋体" w:eastAsia="宋体" w:cs="宋体"/>
                <w:color w:val="auto"/>
                <w:spacing w:val="-6"/>
                <w:sz w:val="21"/>
                <w:szCs w:val="21"/>
                <w:highlight w:val="none"/>
                <w:lang w:val="en-US" w:eastAsia="zh-CN"/>
              </w:rPr>
              <w:t>1.</w:t>
            </w:r>
            <w:r>
              <w:rPr>
                <w:rStyle w:val="44"/>
                <w:rFonts w:hint="eastAsia" w:ascii="宋体" w:hAnsi="宋体" w:eastAsia="宋体" w:cs="宋体"/>
                <w:color w:val="auto"/>
                <w:kern w:val="2"/>
                <w:sz w:val="21"/>
                <w:szCs w:val="21"/>
                <w:highlight w:val="none"/>
                <w:lang w:val="en-US" w:eastAsia="zh-CN" w:bidi="ar-SA"/>
              </w:rPr>
              <w:t>设计周期及其保证措施可行、合理的得2-5分；2.措施没有或不完善的得0.1-1.9分。</w:t>
            </w:r>
          </w:p>
          <w:p w14:paraId="0CEF68EF">
            <w:pPr>
              <w:spacing w:line="400" w:lineRule="exact"/>
              <w:rPr>
                <w:rFonts w:hint="eastAsia" w:ascii="宋体" w:hAnsi="宋体" w:eastAsia="宋体" w:cs="宋体"/>
                <w:color w:val="auto"/>
                <w:spacing w:val="-6"/>
                <w:kern w:val="2"/>
                <w:sz w:val="21"/>
                <w:szCs w:val="21"/>
                <w:highlight w:val="none"/>
                <w:lang w:val="en-US" w:eastAsia="zh-CN" w:bidi="ar-SA"/>
              </w:rPr>
            </w:pPr>
            <w:r>
              <w:rPr>
                <w:rFonts w:hint="eastAsia" w:ascii="宋体" w:hAnsi="宋体" w:eastAsia="宋体" w:cs="宋体"/>
                <w:color w:val="auto"/>
                <w:spacing w:val="-6"/>
                <w:sz w:val="21"/>
                <w:szCs w:val="21"/>
                <w:highlight w:val="none"/>
              </w:rPr>
              <w:t>分值：</w:t>
            </w:r>
            <w:r>
              <w:rPr>
                <w:rStyle w:val="44"/>
                <w:rFonts w:hint="eastAsia" w:ascii="宋体" w:hAnsi="宋体" w:eastAsia="宋体" w:cs="宋体"/>
                <w:color w:val="auto"/>
                <w:kern w:val="2"/>
                <w:sz w:val="21"/>
                <w:szCs w:val="21"/>
                <w:highlight w:val="none"/>
                <w:lang w:val="en-US" w:eastAsia="zh-CN" w:bidi="ar-SA"/>
              </w:rPr>
              <w:t>0.1-1.9；2-5。</w:t>
            </w:r>
          </w:p>
        </w:tc>
      </w:tr>
      <w:tr w14:paraId="7B1761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804" w:type="dxa"/>
            <w:gridSpan w:val="3"/>
            <w:tcBorders>
              <w:top w:val="single" w:color="auto" w:sz="4" w:space="0"/>
              <w:left w:val="single" w:color="auto" w:sz="4" w:space="0"/>
            </w:tcBorders>
            <w:vAlign w:val="center"/>
          </w:tcPr>
          <w:p w14:paraId="1BFFDCAB">
            <w:pPr>
              <w:jc w:val="center"/>
              <w:rPr>
                <w:color w:val="auto"/>
                <w:spacing w:val="-2"/>
                <w:highlight w:val="none"/>
              </w:rPr>
            </w:pPr>
            <w:r>
              <w:rPr>
                <w:b/>
                <w:bCs/>
                <w:color w:val="auto"/>
                <w:spacing w:val="-4"/>
                <w:highlight w:val="none"/>
              </w:rPr>
              <w:t>条款号</w:t>
            </w:r>
          </w:p>
        </w:tc>
        <w:tc>
          <w:tcPr>
            <w:tcW w:w="1754" w:type="dxa"/>
            <w:tcBorders>
              <w:top w:val="single" w:color="auto" w:sz="4" w:space="0"/>
              <w:bottom w:val="single" w:color="auto" w:sz="4" w:space="0"/>
            </w:tcBorders>
            <w:shd w:val="clear" w:color="auto" w:fill="auto"/>
            <w:vAlign w:val="center"/>
          </w:tcPr>
          <w:p w14:paraId="620D3DCC">
            <w:pPr>
              <w:pStyle w:val="185"/>
              <w:spacing w:before="179" w:line="221" w:lineRule="auto"/>
              <w:ind w:left="594"/>
              <w:rPr>
                <w:color w:val="auto"/>
                <w:highlight w:val="none"/>
              </w:rPr>
            </w:pPr>
            <w:r>
              <w:rPr>
                <w:b/>
                <w:bCs/>
                <w:color w:val="auto"/>
                <w:spacing w:val="-3"/>
                <w:highlight w:val="none"/>
              </w:rPr>
              <w:t>评分因素</w:t>
            </w:r>
          </w:p>
        </w:tc>
        <w:tc>
          <w:tcPr>
            <w:tcW w:w="855" w:type="dxa"/>
            <w:gridSpan w:val="2"/>
            <w:tcBorders>
              <w:top w:val="single" w:color="auto" w:sz="4" w:space="0"/>
              <w:bottom w:val="single" w:color="auto" w:sz="4" w:space="0"/>
            </w:tcBorders>
            <w:shd w:val="clear" w:color="auto" w:fill="auto"/>
            <w:vAlign w:val="center"/>
          </w:tcPr>
          <w:p w14:paraId="00E11CA3">
            <w:pPr>
              <w:pStyle w:val="185"/>
              <w:spacing w:before="180" w:line="221" w:lineRule="auto"/>
              <w:ind w:left="114"/>
              <w:jc w:val="center"/>
              <w:rPr>
                <w:color w:val="auto"/>
                <w:highlight w:val="none"/>
                <w:lang w:eastAsia="zh-CN"/>
              </w:rPr>
            </w:pPr>
            <w:r>
              <w:rPr>
                <w:b/>
                <w:bCs/>
                <w:color w:val="auto"/>
                <w:spacing w:val="-4"/>
                <w:highlight w:val="none"/>
              </w:rPr>
              <w:t>标准分</w:t>
            </w:r>
          </w:p>
        </w:tc>
        <w:tc>
          <w:tcPr>
            <w:tcW w:w="4620" w:type="dxa"/>
            <w:shd w:val="clear" w:color="auto" w:fill="auto"/>
            <w:vAlign w:val="center"/>
          </w:tcPr>
          <w:p w14:paraId="089A19CD">
            <w:pPr>
              <w:pStyle w:val="185"/>
              <w:spacing w:before="180" w:line="221" w:lineRule="auto"/>
              <w:ind w:left="1568"/>
              <w:rPr>
                <w:color w:val="auto"/>
                <w:sz w:val="18"/>
                <w:szCs w:val="18"/>
                <w:highlight w:val="none"/>
              </w:rPr>
            </w:pPr>
            <w:r>
              <w:rPr>
                <w:b/>
                <w:bCs/>
                <w:color w:val="auto"/>
                <w:spacing w:val="-3"/>
                <w:sz w:val="18"/>
                <w:szCs w:val="18"/>
                <w:highlight w:val="none"/>
              </w:rPr>
              <w:t>评分标准</w:t>
            </w:r>
          </w:p>
        </w:tc>
      </w:tr>
      <w:tr w14:paraId="66A4F0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6" w:type="dxa"/>
            <w:vMerge w:val="restart"/>
            <w:tcBorders>
              <w:top w:val="single" w:color="auto" w:sz="4" w:space="0"/>
              <w:left w:val="single" w:color="auto" w:sz="4" w:space="0"/>
            </w:tcBorders>
            <w:vAlign w:val="center"/>
          </w:tcPr>
          <w:p w14:paraId="41921381">
            <w:pPr>
              <w:spacing w:before="61" w:line="233" w:lineRule="auto"/>
              <w:ind w:left="165"/>
              <w:jc w:val="center"/>
              <w:rPr>
                <w:rFonts w:eastAsia="Times New Roman"/>
                <w:color w:val="auto"/>
                <w:szCs w:val="21"/>
                <w:highlight w:val="none"/>
              </w:rPr>
            </w:pPr>
            <w:r>
              <w:rPr>
                <w:rFonts w:eastAsia="Times New Roman"/>
                <w:color w:val="auto"/>
                <w:spacing w:val="-1"/>
                <w:szCs w:val="21"/>
                <w:highlight w:val="none"/>
              </w:rPr>
              <w:t>2.2.4</w:t>
            </w:r>
          </w:p>
          <w:p w14:paraId="795A8FD4">
            <w:pPr>
              <w:jc w:val="center"/>
              <w:rPr>
                <w:rFonts w:ascii="Arial"/>
                <w:color w:val="auto"/>
                <w:highlight w:val="none"/>
              </w:rPr>
            </w:pPr>
            <w:r>
              <w:rPr>
                <w:color w:val="auto"/>
                <w:spacing w:val="-5"/>
                <w:position w:val="1"/>
                <w:highlight w:val="none"/>
              </w:rPr>
              <w:t>（</w:t>
            </w:r>
            <w:r>
              <w:rPr>
                <w:rFonts w:eastAsia="Times New Roman"/>
                <w:color w:val="auto"/>
                <w:spacing w:val="-5"/>
                <w:position w:val="1"/>
                <w:highlight w:val="none"/>
              </w:rPr>
              <w:t>3</w:t>
            </w:r>
            <w:r>
              <w:rPr>
                <w:color w:val="auto"/>
                <w:spacing w:val="-5"/>
                <w:position w:val="1"/>
                <w:highlight w:val="none"/>
              </w:rPr>
              <w:t>）</w:t>
            </w:r>
          </w:p>
        </w:tc>
        <w:tc>
          <w:tcPr>
            <w:tcW w:w="1058" w:type="dxa"/>
            <w:gridSpan w:val="2"/>
            <w:vMerge w:val="restart"/>
            <w:tcBorders>
              <w:top w:val="single" w:color="auto" w:sz="4" w:space="0"/>
            </w:tcBorders>
            <w:vAlign w:val="center"/>
          </w:tcPr>
          <w:p w14:paraId="09C898BF">
            <w:pPr>
              <w:pStyle w:val="185"/>
              <w:spacing w:before="68" w:line="369" w:lineRule="auto"/>
              <w:ind w:left="215" w:right="107" w:hanging="104"/>
              <w:jc w:val="center"/>
              <w:rPr>
                <w:color w:val="auto"/>
                <w:highlight w:val="none"/>
                <w:lang w:eastAsia="zh-CN"/>
              </w:rPr>
            </w:pPr>
            <w:r>
              <w:rPr>
                <w:color w:val="auto"/>
                <w:spacing w:val="-7"/>
                <w:highlight w:val="none"/>
                <w:lang w:eastAsia="zh-CN"/>
              </w:rPr>
              <w:t>技术</w:t>
            </w:r>
            <w:r>
              <w:rPr>
                <w:color w:val="auto"/>
                <w:spacing w:val="-2"/>
                <w:highlight w:val="none"/>
                <w:lang w:eastAsia="zh-CN"/>
              </w:rPr>
              <w:t>标</w:t>
            </w:r>
            <w:r>
              <w:rPr>
                <w:color w:val="auto"/>
                <w:spacing w:val="-7"/>
                <w:highlight w:val="none"/>
                <w:lang w:eastAsia="zh-CN"/>
              </w:rPr>
              <w:t>（</w:t>
            </w:r>
            <w:r>
              <w:rPr>
                <w:color w:val="auto"/>
                <w:spacing w:val="-2"/>
                <w:highlight w:val="none"/>
                <w:lang w:eastAsia="zh-CN"/>
              </w:rPr>
              <w:t>承包人实</w:t>
            </w:r>
            <w:r>
              <w:rPr>
                <w:color w:val="auto"/>
                <w:spacing w:val="-1"/>
                <w:highlight w:val="none"/>
                <w:lang w:eastAsia="zh-CN"/>
              </w:rPr>
              <w:t>施方案</w:t>
            </w:r>
          </w:p>
          <w:p w14:paraId="7ED24FEC">
            <w:pPr>
              <w:pStyle w:val="185"/>
              <w:spacing w:line="369" w:lineRule="auto"/>
              <w:ind w:left="112" w:right="107" w:firstLine="111"/>
              <w:jc w:val="center"/>
              <w:rPr>
                <w:color w:val="auto"/>
                <w:highlight w:val="none"/>
                <w:lang w:eastAsia="zh-CN"/>
              </w:rPr>
            </w:pPr>
            <w:r>
              <w:rPr>
                <w:color w:val="auto"/>
                <w:spacing w:val="-2"/>
                <w:highlight w:val="none"/>
                <w:lang w:eastAsia="zh-CN"/>
              </w:rPr>
              <w:t>）评分</w:t>
            </w:r>
          </w:p>
          <w:p w14:paraId="057DDDFD">
            <w:pPr>
              <w:jc w:val="center"/>
              <w:rPr>
                <w:rFonts w:ascii="Arial"/>
                <w:color w:val="auto"/>
                <w:highlight w:val="none"/>
              </w:rPr>
            </w:pPr>
            <w:r>
              <w:rPr>
                <w:color w:val="auto"/>
                <w:spacing w:val="-2"/>
                <w:highlight w:val="none"/>
              </w:rPr>
              <w:t>标准</w:t>
            </w:r>
          </w:p>
        </w:tc>
        <w:tc>
          <w:tcPr>
            <w:tcW w:w="1754" w:type="dxa"/>
            <w:tcBorders>
              <w:top w:val="single" w:color="auto" w:sz="4" w:space="0"/>
              <w:bottom w:val="single" w:color="auto" w:sz="4" w:space="0"/>
            </w:tcBorders>
            <w:shd w:val="clear" w:color="auto" w:fill="auto"/>
            <w:vAlign w:val="center"/>
          </w:tcPr>
          <w:p w14:paraId="7C4FBAC4">
            <w:pPr>
              <w:pStyle w:val="187"/>
              <w:widowControl w:val="0"/>
              <w:spacing w:line="440" w:lineRule="exact"/>
              <w:jc w:val="center"/>
              <w:rPr>
                <w:rFonts w:hint="default" w:ascii="宋体" w:hAnsi="宋体" w:eastAsia="宋体" w:cs="宋体"/>
                <w:color w:val="auto"/>
                <w:spacing w:val="-1"/>
                <w:kern w:val="2"/>
                <w:sz w:val="21"/>
                <w:szCs w:val="21"/>
                <w:highlight w:val="none"/>
                <w:lang w:val="en-US" w:eastAsia="zh-CN" w:bidi="ar-SA"/>
              </w:rPr>
            </w:pPr>
            <w:r>
              <w:rPr>
                <w:rStyle w:val="44"/>
                <w:rFonts w:hint="eastAsia" w:ascii="宋体" w:hAnsi="宋体" w:eastAsia="宋体" w:cs="宋体"/>
                <w:color w:val="auto"/>
                <w:kern w:val="2"/>
                <w:sz w:val="21"/>
                <w:szCs w:val="21"/>
                <w:highlight w:val="none"/>
                <w:lang w:val="en-US" w:eastAsia="zh-CN" w:bidi="ar-SA"/>
              </w:rPr>
              <w:t>总体实施方案</w:t>
            </w:r>
          </w:p>
        </w:tc>
        <w:tc>
          <w:tcPr>
            <w:tcW w:w="855" w:type="dxa"/>
            <w:gridSpan w:val="2"/>
            <w:tcBorders>
              <w:top w:val="single" w:color="auto" w:sz="4" w:space="0"/>
              <w:bottom w:val="single" w:color="auto" w:sz="4" w:space="0"/>
            </w:tcBorders>
            <w:shd w:val="clear" w:color="auto" w:fill="auto"/>
            <w:vAlign w:val="center"/>
          </w:tcPr>
          <w:p w14:paraId="12810F0C">
            <w:pPr>
              <w:spacing w:line="300" w:lineRule="exact"/>
              <w:jc w:val="center"/>
              <w:rPr>
                <w:rFonts w:hint="eastAsia" w:ascii="宋体" w:hAnsi="宋体" w:eastAsia="宋体" w:cs="宋体"/>
                <w:bCs/>
                <w:color w:val="auto"/>
                <w:kern w:val="2"/>
                <w:sz w:val="21"/>
                <w:szCs w:val="21"/>
                <w:highlight w:val="none"/>
                <w:lang w:val="en-US" w:eastAsia="zh-CN" w:bidi="ar-SA"/>
              </w:rPr>
            </w:pPr>
            <w:r>
              <w:rPr>
                <w:rFonts w:hint="eastAsia" w:ascii="宋体" w:hAnsi="宋体" w:cs="宋体"/>
                <w:bCs/>
                <w:color w:val="auto"/>
                <w:sz w:val="21"/>
                <w:szCs w:val="21"/>
                <w:highlight w:val="none"/>
                <w:lang w:val="en-US" w:eastAsia="zh-CN"/>
              </w:rPr>
              <w:t>2</w:t>
            </w:r>
          </w:p>
        </w:tc>
        <w:tc>
          <w:tcPr>
            <w:tcW w:w="4620" w:type="dxa"/>
            <w:shd w:val="clear" w:color="auto" w:fill="auto"/>
            <w:vAlign w:val="center"/>
          </w:tcPr>
          <w:p w14:paraId="7B824D1E">
            <w:pPr>
              <w:pStyle w:val="187"/>
              <w:keepNext w:val="0"/>
              <w:keepLines w:val="0"/>
              <w:widowControl/>
              <w:suppressLineNumbers w:val="0"/>
              <w:jc w:val="left"/>
              <w:rPr>
                <w:rStyle w:val="44"/>
                <w:rFonts w:hint="eastAsia" w:ascii="宋体" w:hAnsi="宋体" w:eastAsia="宋体" w:cs="宋体"/>
                <w:color w:val="auto"/>
                <w:kern w:val="2"/>
                <w:sz w:val="21"/>
                <w:szCs w:val="21"/>
                <w:highlight w:val="none"/>
                <w:lang w:val="en-US" w:eastAsia="zh-CN" w:bidi="ar-SA"/>
              </w:rPr>
            </w:pPr>
            <w:r>
              <w:rPr>
                <w:rStyle w:val="44"/>
                <w:rFonts w:hint="eastAsia" w:ascii="宋体" w:hAnsi="宋体" w:eastAsia="宋体" w:cs="宋体"/>
                <w:color w:val="auto"/>
                <w:kern w:val="2"/>
                <w:sz w:val="21"/>
                <w:szCs w:val="21"/>
                <w:highlight w:val="none"/>
                <w:lang w:val="en-US" w:eastAsia="zh-CN" w:bidi="ar-SA"/>
              </w:rPr>
              <w:t>评审内容：1.总体实施方案科学合理全面实用的得1-2分；2.不完整或没有的得0.1</w:t>
            </w:r>
            <w:r>
              <w:rPr>
                <w:rStyle w:val="44"/>
                <w:rFonts w:hint="eastAsia" w:ascii="宋体" w:hAnsi="宋体" w:eastAsia="宋体" w:cs="宋体"/>
                <w:strike w:val="0"/>
                <w:dstrike w:val="0"/>
                <w:color w:val="auto"/>
                <w:kern w:val="2"/>
                <w:sz w:val="21"/>
                <w:szCs w:val="21"/>
                <w:highlight w:val="none"/>
                <w:lang w:val="en-US" w:eastAsia="zh-CN" w:bidi="ar-SA"/>
              </w:rPr>
              <w:t>-0.9</w:t>
            </w:r>
            <w:r>
              <w:rPr>
                <w:rStyle w:val="44"/>
                <w:rFonts w:hint="eastAsia" w:ascii="宋体" w:hAnsi="宋体" w:eastAsia="宋体" w:cs="宋体"/>
                <w:color w:val="auto"/>
                <w:kern w:val="2"/>
                <w:sz w:val="21"/>
                <w:szCs w:val="21"/>
                <w:highlight w:val="none"/>
                <w:lang w:val="en-US" w:eastAsia="zh-CN" w:bidi="ar-SA"/>
              </w:rPr>
              <w:t>分。</w:t>
            </w:r>
          </w:p>
          <w:p w14:paraId="0918802F">
            <w:pPr>
              <w:pStyle w:val="187"/>
              <w:keepNext w:val="0"/>
              <w:keepLines w:val="0"/>
              <w:widowControl/>
              <w:suppressLineNumbers w:val="0"/>
              <w:jc w:val="left"/>
              <w:rPr>
                <w:rFonts w:hint="eastAsia" w:ascii="宋体" w:hAnsi="宋体" w:eastAsia="宋体" w:cs="Times New Roman"/>
                <w:color w:val="auto"/>
                <w:sz w:val="21"/>
                <w:szCs w:val="21"/>
                <w:highlight w:val="none"/>
                <w:lang w:val="en-US" w:eastAsia="zh-CN" w:bidi="ar-SA"/>
              </w:rPr>
            </w:pPr>
            <w:r>
              <w:rPr>
                <w:rStyle w:val="44"/>
                <w:rFonts w:hint="eastAsia" w:ascii="宋体" w:hAnsi="宋体" w:cs="宋体"/>
                <w:color w:val="auto"/>
                <w:kern w:val="2"/>
                <w:sz w:val="21"/>
                <w:szCs w:val="21"/>
                <w:highlight w:val="none"/>
                <w:lang w:val="en-US" w:eastAsia="zh-CN" w:bidi="ar-SA"/>
              </w:rPr>
              <w:t>分值：</w:t>
            </w:r>
            <w:r>
              <w:rPr>
                <w:rStyle w:val="44"/>
                <w:rFonts w:hint="eastAsia" w:ascii="宋体" w:hAnsi="宋体" w:eastAsia="宋体" w:cs="宋体"/>
                <w:color w:val="auto"/>
                <w:kern w:val="2"/>
                <w:sz w:val="21"/>
                <w:szCs w:val="21"/>
                <w:highlight w:val="none"/>
                <w:lang w:val="en-US" w:eastAsia="zh-CN" w:bidi="ar-SA"/>
              </w:rPr>
              <w:t>0.1-</w:t>
            </w:r>
            <w:r>
              <w:rPr>
                <w:rStyle w:val="44"/>
                <w:rFonts w:hint="eastAsia" w:cs="宋体"/>
                <w:color w:val="auto"/>
                <w:kern w:val="2"/>
                <w:sz w:val="21"/>
                <w:szCs w:val="21"/>
                <w:highlight w:val="none"/>
                <w:lang w:val="en-US" w:eastAsia="zh-CN" w:bidi="ar-SA"/>
              </w:rPr>
              <w:t>0</w:t>
            </w:r>
            <w:r>
              <w:rPr>
                <w:rStyle w:val="44"/>
                <w:rFonts w:hint="eastAsia" w:ascii="宋体" w:hAnsi="宋体" w:eastAsia="宋体" w:cs="宋体"/>
                <w:color w:val="auto"/>
                <w:kern w:val="2"/>
                <w:sz w:val="21"/>
                <w:szCs w:val="21"/>
                <w:highlight w:val="none"/>
                <w:lang w:val="en-US" w:eastAsia="zh-CN" w:bidi="ar-SA"/>
              </w:rPr>
              <w:t>.9</w:t>
            </w:r>
            <w:r>
              <w:rPr>
                <w:rStyle w:val="44"/>
                <w:rFonts w:hint="eastAsia" w:ascii="宋体" w:hAnsi="宋体" w:cs="宋体"/>
                <w:color w:val="auto"/>
                <w:kern w:val="2"/>
                <w:sz w:val="21"/>
                <w:szCs w:val="21"/>
                <w:highlight w:val="none"/>
                <w:lang w:val="en-US" w:eastAsia="zh-CN" w:bidi="ar-SA"/>
              </w:rPr>
              <w:t>；</w:t>
            </w:r>
            <w:r>
              <w:rPr>
                <w:rStyle w:val="44"/>
                <w:rFonts w:hint="eastAsia" w:cs="宋体"/>
                <w:color w:val="auto"/>
                <w:kern w:val="2"/>
                <w:sz w:val="21"/>
                <w:szCs w:val="21"/>
                <w:highlight w:val="none"/>
                <w:lang w:val="en-US" w:eastAsia="zh-CN" w:bidi="ar-SA"/>
              </w:rPr>
              <w:t>1</w:t>
            </w:r>
            <w:r>
              <w:rPr>
                <w:rStyle w:val="44"/>
                <w:rFonts w:hint="eastAsia" w:ascii="宋体" w:hAnsi="宋体" w:eastAsia="宋体" w:cs="宋体"/>
                <w:color w:val="auto"/>
                <w:kern w:val="2"/>
                <w:sz w:val="21"/>
                <w:szCs w:val="21"/>
                <w:highlight w:val="none"/>
                <w:lang w:val="en-US" w:eastAsia="zh-CN" w:bidi="ar-SA"/>
              </w:rPr>
              <w:t>-</w:t>
            </w:r>
            <w:r>
              <w:rPr>
                <w:rStyle w:val="44"/>
                <w:rFonts w:hint="eastAsia" w:cs="宋体"/>
                <w:color w:val="auto"/>
                <w:kern w:val="2"/>
                <w:sz w:val="21"/>
                <w:szCs w:val="21"/>
                <w:highlight w:val="none"/>
                <w:lang w:val="en-US" w:eastAsia="zh-CN" w:bidi="ar-SA"/>
              </w:rPr>
              <w:t>2</w:t>
            </w:r>
            <w:r>
              <w:rPr>
                <w:rStyle w:val="44"/>
                <w:rFonts w:hint="eastAsia" w:ascii="宋体" w:hAnsi="宋体" w:cs="宋体"/>
                <w:color w:val="auto"/>
                <w:kern w:val="2"/>
                <w:sz w:val="21"/>
                <w:szCs w:val="21"/>
                <w:highlight w:val="none"/>
                <w:lang w:val="en-US" w:eastAsia="zh-CN" w:bidi="ar-SA"/>
              </w:rPr>
              <w:t>。</w:t>
            </w:r>
          </w:p>
        </w:tc>
      </w:tr>
      <w:tr w14:paraId="7E8FF2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746" w:type="dxa"/>
            <w:vMerge w:val="continue"/>
            <w:tcBorders>
              <w:left w:val="single" w:color="auto" w:sz="4" w:space="0"/>
            </w:tcBorders>
            <w:vAlign w:val="center"/>
          </w:tcPr>
          <w:p w14:paraId="7C25147C">
            <w:pPr>
              <w:jc w:val="center"/>
              <w:rPr>
                <w:rFonts w:ascii="Arial"/>
                <w:color w:val="auto"/>
                <w:highlight w:val="none"/>
              </w:rPr>
            </w:pPr>
          </w:p>
        </w:tc>
        <w:tc>
          <w:tcPr>
            <w:tcW w:w="1058" w:type="dxa"/>
            <w:gridSpan w:val="2"/>
            <w:vMerge w:val="continue"/>
            <w:vAlign w:val="center"/>
          </w:tcPr>
          <w:p w14:paraId="074FF41E">
            <w:pPr>
              <w:jc w:val="center"/>
              <w:rPr>
                <w:rFonts w:ascii="Arial"/>
                <w:color w:val="auto"/>
                <w:highlight w:val="none"/>
              </w:rPr>
            </w:pPr>
          </w:p>
        </w:tc>
        <w:tc>
          <w:tcPr>
            <w:tcW w:w="1754" w:type="dxa"/>
            <w:tcBorders>
              <w:top w:val="single" w:color="auto" w:sz="4" w:space="0"/>
              <w:bottom w:val="single" w:color="auto" w:sz="4" w:space="0"/>
            </w:tcBorders>
            <w:shd w:val="clear" w:color="auto" w:fill="auto"/>
            <w:vAlign w:val="center"/>
          </w:tcPr>
          <w:p w14:paraId="50DB6003">
            <w:pPr>
              <w:pStyle w:val="187"/>
              <w:widowControl w:val="0"/>
              <w:spacing w:line="440" w:lineRule="exact"/>
              <w:jc w:val="center"/>
              <w:rPr>
                <w:rFonts w:hint="default" w:ascii="宋体" w:hAnsi="宋体" w:eastAsia="宋体" w:cs="宋体"/>
                <w:color w:val="auto"/>
                <w:spacing w:val="-1"/>
                <w:kern w:val="2"/>
                <w:sz w:val="21"/>
                <w:szCs w:val="21"/>
                <w:highlight w:val="none"/>
                <w:lang w:val="en-US" w:eastAsia="zh-CN" w:bidi="ar-SA"/>
              </w:rPr>
            </w:pPr>
            <w:r>
              <w:rPr>
                <w:rStyle w:val="44"/>
                <w:rFonts w:hint="eastAsia" w:ascii="宋体" w:hAnsi="宋体" w:eastAsia="宋体" w:cs="宋体"/>
                <w:color w:val="auto"/>
                <w:kern w:val="2"/>
                <w:sz w:val="21"/>
                <w:szCs w:val="21"/>
                <w:highlight w:val="none"/>
                <w:lang w:val="en-US" w:eastAsia="zh-CN" w:bidi="ar-SA"/>
              </w:rPr>
              <w:t>重点、难点施工方案与技术措施</w:t>
            </w:r>
          </w:p>
        </w:tc>
        <w:tc>
          <w:tcPr>
            <w:tcW w:w="855" w:type="dxa"/>
            <w:gridSpan w:val="2"/>
            <w:tcBorders>
              <w:top w:val="single" w:color="auto" w:sz="4" w:space="0"/>
              <w:bottom w:val="single" w:color="auto" w:sz="4" w:space="0"/>
            </w:tcBorders>
            <w:shd w:val="clear" w:color="auto" w:fill="auto"/>
            <w:vAlign w:val="center"/>
          </w:tcPr>
          <w:p w14:paraId="45CFBF3F">
            <w:pPr>
              <w:spacing w:line="300" w:lineRule="exact"/>
              <w:ind w:firstLine="420" w:firstLineChars="200"/>
              <w:jc w:val="left"/>
              <w:rPr>
                <w:rFonts w:hint="eastAsia" w:ascii="宋体" w:hAnsi="宋体" w:eastAsia="宋体" w:cs="宋体"/>
                <w:bCs/>
                <w:color w:val="auto"/>
                <w:kern w:val="2"/>
                <w:sz w:val="21"/>
                <w:szCs w:val="21"/>
                <w:highlight w:val="none"/>
                <w:lang w:val="en-US" w:eastAsia="zh-CN" w:bidi="ar-SA"/>
              </w:rPr>
            </w:pPr>
            <w:r>
              <w:rPr>
                <w:rFonts w:hint="eastAsia" w:ascii="宋体" w:hAnsi="宋体" w:cs="宋体"/>
                <w:bCs/>
                <w:color w:val="auto"/>
                <w:sz w:val="21"/>
                <w:szCs w:val="21"/>
                <w:highlight w:val="none"/>
                <w:lang w:val="en-US" w:eastAsia="zh-CN"/>
              </w:rPr>
              <w:t>2</w:t>
            </w:r>
          </w:p>
        </w:tc>
        <w:tc>
          <w:tcPr>
            <w:tcW w:w="4620" w:type="dxa"/>
            <w:shd w:val="clear" w:color="auto" w:fill="auto"/>
            <w:vAlign w:val="center"/>
          </w:tcPr>
          <w:p w14:paraId="5AEEE802">
            <w:pPr>
              <w:pStyle w:val="187"/>
              <w:widowControl w:val="0"/>
              <w:spacing w:line="440" w:lineRule="exact"/>
              <w:jc w:val="left"/>
              <w:rPr>
                <w:rStyle w:val="44"/>
                <w:rFonts w:hint="eastAsia" w:ascii="宋体" w:hAnsi="宋体" w:eastAsia="宋体" w:cs="宋体"/>
                <w:color w:val="auto"/>
                <w:kern w:val="2"/>
                <w:sz w:val="21"/>
                <w:szCs w:val="21"/>
                <w:highlight w:val="none"/>
                <w:lang w:val="en-US" w:eastAsia="zh-CN" w:bidi="ar-SA"/>
              </w:rPr>
            </w:pPr>
            <w:r>
              <w:rPr>
                <w:rStyle w:val="44"/>
                <w:rFonts w:hint="eastAsia" w:ascii="宋体" w:hAnsi="宋体" w:eastAsia="宋体" w:cs="宋体"/>
                <w:color w:val="auto"/>
                <w:kern w:val="2"/>
                <w:sz w:val="21"/>
                <w:szCs w:val="21"/>
                <w:highlight w:val="none"/>
                <w:lang w:val="en-US" w:eastAsia="zh-CN" w:bidi="ar-SA"/>
              </w:rPr>
              <w:t>评审内容：1.对项目关键技术、工艺有深入的表述，对技术重点、难点有先进、合理的建议，解决方案完整、经济、安全、切实可行，措施得力的得1-2分；不完整或没有的得</w:t>
            </w:r>
            <w:r>
              <w:rPr>
                <w:rStyle w:val="44"/>
                <w:rFonts w:hint="eastAsia" w:ascii="宋体" w:hAnsi="宋体" w:eastAsia="宋体" w:cs="宋体"/>
                <w:strike w:val="0"/>
                <w:dstrike w:val="0"/>
                <w:color w:val="auto"/>
                <w:kern w:val="2"/>
                <w:sz w:val="21"/>
                <w:szCs w:val="21"/>
                <w:highlight w:val="none"/>
                <w:lang w:val="en-US" w:eastAsia="zh-CN" w:bidi="ar-SA"/>
              </w:rPr>
              <w:t>0.1-0.9</w:t>
            </w:r>
            <w:r>
              <w:rPr>
                <w:rStyle w:val="44"/>
                <w:rFonts w:hint="eastAsia" w:ascii="宋体" w:hAnsi="宋体" w:eastAsia="宋体" w:cs="宋体"/>
                <w:color w:val="auto"/>
                <w:kern w:val="2"/>
                <w:sz w:val="21"/>
                <w:szCs w:val="21"/>
                <w:highlight w:val="none"/>
                <w:lang w:val="en-US" w:eastAsia="zh-CN" w:bidi="ar-SA"/>
              </w:rPr>
              <w:t>分。</w:t>
            </w:r>
          </w:p>
          <w:p w14:paraId="1E73E982">
            <w:pPr>
              <w:pStyle w:val="187"/>
              <w:widowControl w:val="0"/>
              <w:spacing w:line="440" w:lineRule="exact"/>
              <w:jc w:val="left"/>
              <w:rPr>
                <w:rFonts w:hint="eastAsia" w:ascii="宋体" w:hAnsi="宋体" w:eastAsia="宋体" w:cs="Times New Roman"/>
                <w:color w:val="auto"/>
                <w:sz w:val="21"/>
                <w:szCs w:val="21"/>
                <w:highlight w:val="none"/>
                <w:lang w:val="en-US" w:eastAsia="zh-CN" w:bidi="ar-SA"/>
              </w:rPr>
            </w:pPr>
            <w:r>
              <w:rPr>
                <w:rStyle w:val="44"/>
                <w:rFonts w:hint="eastAsia" w:ascii="宋体" w:hAnsi="宋体" w:cs="宋体"/>
                <w:color w:val="auto"/>
                <w:kern w:val="2"/>
                <w:sz w:val="21"/>
                <w:szCs w:val="21"/>
                <w:highlight w:val="none"/>
                <w:lang w:val="en-US" w:eastAsia="zh-CN" w:bidi="ar-SA"/>
              </w:rPr>
              <w:t>分值：</w:t>
            </w:r>
            <w:r>
              <w:rPr>
                <w:rStyle w:val="44"/>
                <w:rFonts w:hint="eastAsia" w:ascii="宋体" w:hAnsi="宋体" w:eastAsia="宋体" w:cs="宋体"/>
                <w:color w:val="auto"/>
                <w:kern w:val="2"/>
                <w:sz w:val="21"/>
                <w:szCs w:val="21"/>
                <w:highlight w:val="none"/>
                <w:lang w:val="en-US" w:eastAsia="zh-CN" w:bidi="ar-SA"/>
              </w:rPr>
              <w:t>0.1-</w:t>
            </w:r>
            <w:r>
              <w:rPr>
                <w:rStyle w:val="44"/>
                <w:rFonts w:hint="eastAsia" w:cs="宋体"/>
                <w:color w:val="auto"/>
                <w:kern w:val="2"/>
                <w:sz w:val="21"/>
                <w:szCs w:val="21"/>
                <w:highlight w:val="none"/>
                <w:lang w:val="en-US" w:eastAsia="zh-CN" w:bidi="ar-SA"/>
              </w:rPr>
              <w:t>0</w:t>
            </w:r>
            <w:r>
              <w:rPr>
                <w:rStyle w:val="44"/>
                <w:rFonts w:hint="eastAsia" w:ascii="宋体" w:hAnsi="宋体" w:eastAsia="宋体" w:cs="宋体"/>
                <w:color w:val="auto"/>
                <w:kern w:val="2"/>
                <w:sz w:val="21"/>
                <w:szCs w:val="21"/>
                <w:highlight w:val="none"/>
                <w:lang w:val="en-US" w:eastAsia="zh-CN" w:bidi="ar-SA"/>
              </w:rPr>
              <w:t>.9</w:t>
            </w:r>
            <w:r>
              <w:rPr>
                <w:rStyle w:val="44"/>
                <w:rFonts w:hint="eastAsia" w:ascii="宋体" w:hAnsi="宋体" w:cs="宋体"/>
                <w:color w:val="auto"/>
                <w:kern w:val="2"/>
                <w:sz w:val="21"/>
                <w:szCs w:val="21"/>
                <w:highlight w:val="none"/>
                <w:lang w:val="en-US" w:eastAsia="zh-CN" w:bidi="ar-SA"/>
              </w:rPr>
              <w:t>；</w:t>
            </w:r>
            <w:r>
              <w:rPr>
                <w:rStyle w:val="44"/>
                <w:rFonts w:hint="eastAsia" w:cs="宋体"/>
                <w:color w:val="auto"/>
                <w:kern w:val="2"/>
                <w:sz w:val="21"/>
                <w:szCs w:val="21"/>
                <w:highlight w:val="none"/>
                <w:lang w:val="en-US" w:eastAsia="zh-CN" w:bidi="ar-SA"/>
              </w:rPr>
              <w:t>1</w:t>
            </w:r>
            <w:r>
              <w:rPr>
                <w:rStyle w:val="44"/>
                <w:rFonts w:hint="eastAsia" w:ascii="宋体" w:hAnsi="宋体" w:eastAsia="宋体" w:cs="宋体"/>
                <w:color w:val="auto"/>
                <w:kern w:val="2"/>
                <w:sz w:val="21"/>
                <w:szCs w:val="21"/>
                <w:highlight w:val="none"/>
                <w:lang w:val="en-US" w:eastAsia="zh-CN" w:bidi="ar-SA"/>
              </w:rPr>
              <w:t>-</w:t>
            </w:r>
            <w:r>
              <w:rPr>
                <w:rStyle w:val="44"/>
                <w:rFonts w:hint="eastAsia" w:cs="宋体"/>
                <w:color w:val="auto"/>
                <w:kern w:val="2"/>
                <w:sz w:val="21"/>
                <w:szCs w:val="21"/>
                <w:highlight w:val="none"/>
                <w:lang w:val="en-US" w:eastAsia="zh-CN" w:bidi="ar-SA"/>
              </w:rPr>
              <w:t>2</w:t>
            </w:r>
            <w:r>
              <w:rPr>
                <w:rStyle w:val="44"/>
                <w:rFonts w:hint="eastAsia" w:ascii="宋体" w:hAnsi="宋体" w:cs="宋体"/>
                <w:color w:val="auto"/>
                <w:kern w:val="2"/>
                <w:sz w:val="21"/>
                <w:szCs w:val="21"/>
                <w:highlight w:val="none"/>
                <w:lang w:val="en-US" w:eastAsia="zh-CN" w:bidi="ar-SA"/>
              </w:rPr>
              <w:t>。</w:t>
            </w:r>
          </w:p>
        </w:tc>
      </w:tr>
      <w:tr w14:paraId="59D70B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2" w:hRule="atLeast"/>
        </w:trPr>
        <w:tc>
          <w:tcPr>
            <w:tcW w:w="746" w:type="dxa"/>
            <w:vMerge w:val="continue"/>
            <w:tcBorders>
              <w:left w:val="single" w:color="auto" w:sz="4" w:space="0"/>
            </w:tcBorders>
            <w:vAlign w:val="center"/>
          </w:tcPr>
          <w:p w14:paraId="7D3FE797">
            <w:pPr>
              <w:jc w:val="center"/>
              <w:rPr>
                <w:rFonts w:ascii="Arial"/>
                <w:color w:val="auto"/>
                <w:highlight w:val="none"/>
              </w:rPr>
            </w:pPr>
          </w:p>
        </w:tc>
        <w:tc>
          <w:tcPr>
            <w:tcW w:w="1058" w:type="dxa"/>
            <w:gridSpan w:val="2"/>
            <w:vMerge w:val="continue"/>
            <w:vAlign w:val="center"/>
          </w:tcPr>
          <w:p w14:paraId="07F73CF7">
            <w:pPr>
              <w:jc w:val="center"/>
              <w:rPr>
                <w:rFonts w:ascii="Arial"/>
                <w:color w:val="auto"/>
                <w:highlight w:val="none"/>
              </w:rPr>
            </w:pPr>
          </w:p>
        </w:tc>
        <w:tc>
          <w:tcPr>
            <w:tcW w:w="1754" w:type="dxa"/>
            <w:tcBorders>
              <w:top w:val="single" w:color="auto" w:sz="4" w:space="0"/>
              <w:bottom w:val="single" w:color="auto" w:sz="4" w:space="0"/>
            </w:tcBorders>
            <w:shd w:val="clear" w:color="auto" w:fill="auto"/>
            <w:vAlign w:val="center"/>
          </w:tcPr>
          <w:p w14:paraId="4F2E7230">
            <w:pPr>
              <w:pStyle w:val="187"/>
              <w:widowControl w:val="0"/>
              <w:spacing w:line="440" w:lineRule="exact"/>
              <w:jc w:val="center"/>
              <w:rPr>
                <w:rFonts w:hint="eastAsia" w:ascii="宋体" w:hAnsi="宋体" w:eastAsia="宋体" w:cs="宋体"/>
                <w:color w:val="auto"/>
                <w:kern w:val="2"/>
                <w:sz w:val="21"/>
                <w:szCs w:val="21"/>
                <w:highlight w:val="none"/>
                <w:lang w:val="en-US" w:eastAsia="zh-CN" w:bidi="ar-SA"/>
              </w:rPr>
            </w:pPr>
            <w:r>
              <w:rPr>
                <w:rStyle w:val="44"/>
                <w:rFonts w:hint="eastAsia" w:ascii="宋体" w:hAnsi="宋体" w:eastAsia="宋体" w:cs="宋体"/>
                <w:color w:val="auto"/>
                <w:kern w:val="2"/>
                <w:sz w:val="21"/>
                <w:szCs w:val="21"/>
                <w:highlight w:val="none"/>
                <w:lang w:val="en-US" w:eastAsia="zh-CN" w:bidi="ar-SA"/>
              </w:rPr>
              <w:t>设备、材料采购方案及供应计划</w:t>
            </w:r>
          </w:p>
        </w:tc>
        <w:tc>
          <w:tcPr>
            <w:tcW w:w="855" w:type="dxa"/>
            <w:gridSpan w:val="2"/>
            <w:tcBorders>
              <w:top w:val="single" w:color="auto" w:sz="4" w:space="0"/>
              <w:bottom w:val="single" w:color="auto" w:sz="4" w:space="0"/>
            </w:tcBorders>
            <w:shd w:val="clear" w:color="auto" w:fill="auto"/>
            <w:vAlign w:val="center"/>
          </w:tcPr>
          <w:p w14:paraId="047B98E6">
            <w:pPr>
              <w:spacing w:line="300" w:lineRule="exact"/>
              <w:jc w:val="center"/>
              <w:rPr>
                <w:rFonts w:hint="eastAsia" w:ascii="宋体" w:hAnsi="宋体" w:eastAsia="宋体" w:cs="宋体"/>
                <w:bCs/>
                <w:color w:val="auto"/>
                <w:kern w:val="2"/>
                <w:sz w:val="21"/>
                <w:szCs w:val="21"/>
                <w:highlight w:val="none"/>
                <w:lang w:val="en-US" w:eastAsia="zh-CN" w:bidi="ar-SA"/>
              </w:rPr>
            </w:pPr>
            <w:r>
              <w:rPr>
                <w:rFonts w:hint="eastAsia" w:ascii="宋体" w:hAnsi="宋体" w:cs="宋体"/>
                <w:bCs/>
                <w:color w:val="auto"/>
                <w:sz w:val="21"/>
                <w:szCs w:val="21"/>
                <w:highlight w:val="none"/>
                <w:lang w:val="en-US" w:eastAsia="zh-CN"/>
              </w:rPr>
              <w:t>2</w:t>
            </w:r>
          </w:p>
        </w:tc>
        <w:tc>
          <w:tcPr>
            <w:tcW w:w="4620" w:type="dxa"/>
            <w:shd w:val="clear" w:color="auto" w:fill="auto"/>
            <w:vAlign w:val="center"/>
          </w:tcPr>
          <w:p w14:paraId="17A22689">
            <w:pPr>
              <w:pStyle w:val="187"/>
              <w:widowControl w:val="0"/>
              <w:spacing w:line="440" w:lineRule="exact"/>
              <w:jc w:val="left"/>
              <w:rPr>
                <w:rStyle w:val="44"/>
                <w:rFonts w:hint="eastAsia" w:ascii="宋体" w:hAnsi="宋体" w:eastAsia="宋体" w:cs="宋体"/>
                <w:color w:val="auto"/>
                <w:kern w:val="2"/>
                <w:sz w:val="21"/>
                <w:szCs w:val="21"/>
                <w:highlight w:val="none"/>
                <w:lang w:val="en-US" w:eastAsia="zh-CN" w:bidi="ar-SA"/>
              </w:rPr>
            </w:pPr>
            <w:r>
              <w:rPr>
                <w:rStyle w:val="44"/>
                <w:rFonts w:hint="eastAsia" w:ascii="宋体" w:hAnsi="宋体" w:eastAsia="宋体" w:cs="宋体"/>
                <w:color w:val="auto"/>
                <w:kern w:val="2"/>
                <w:sz w:val="21"/>
                <w:szCs w:val="21"/>
                <w:highlight w:val="none"/>
                <w:lang w:val="en-US" w:eastAsia="zh-CN" w:bidi="ar-SA"/>
              </w:rPr>
              <w:t>评审内容：1.设备、材料采购工作的总体安排与资源配置符合项目进度要求，采购计划明确，采购管理方案，仓储管理，采购周期，主要材料，设备采购，供应计划等内容全面合理的得1-2分</w:t>
            </w:r>
            <w:r>
              <w:rPr>
                <w:rStyle w:val="44"/>
                <w:rFonts w:hint="eastAsia" w:cs="宋体"/>
                <w:color w:val="auto"/>
                <w:kern w:val="2"/>
                <w:sz w:val="21"/>
                <w:szCs w:val="21"/>
                <w:highlight w:val="none"/>
                <w:lang w:val="en-US" w:eastAsia="zh-CN" w:bidi="ar-SA"/>
              </w:rPr>
              <w:t>；2.</w:t>
            </w:r>
            <w:r>
              <w:rPr>
                <w:rStyle w:val="44"/>
                <w:rFonts w:hint="eastAsia" w:ascii="宋体" w:hAnsi="宋体" w:eastAsia="宋体" w:cs="宋体"/>
                <w:color w:val="auto"/>
                <w:kern w:val="2"/>
                <w:sz w:val="21"/>
                <w:szCs w:val="21"/>
                <w:highlight w:val="none"/>
                <w:lang w:val="en-US" w:eastAsia="zh-CN" w:bidi="ar-SA"/>
              </w:rPr>
              <w:t>不完整或没有的得</w:t>
            </w:r>
            <w:r>
              <w:rPr>
                <w:rStyle w:val="44"/>
                <w:rFonts w:hint="eastAsia" w:ascii="宋体" w:hAnsi="宋体" w:eastAsia="宋体" w:cs="宋体"/>
                <w:strike w:val="0"/>
                <w:dstrike w:val="0"/>
                <w:color w:val="auto"/>
                <w:kern w:val="2"/>
                <w:sz w:val="21"/>
                <w:szCs w:val="21"/>
                <w:highlight w:val="none"/>
                <w:lang w:val="en-US" w:eastAsia="zh-CN" w:bidi="ar-SA"/>
              </w:rPr>
              <w:t>0.1-0.9</w:t>
            </w:r>
            <w:r>
              <w:rPr>
                <w:rStyle w:val="44"/>
                <w:rFonts w:hint="eastAsia" w:ascii="宋体" w:hAnsi="宋体" w:eastAsia="宋体" w:cs="宋体"/>
                <w:color w:val="auto"/>
                <w:kern w:val="2"/>
                <w:sz w:val="21"/>
                <w:szCs w:val="21"/>
                <w:highlight w:val="none"/>
                <w:lang w:val="en-US" w:eastAsia="zh-CN" w:bidi="ar-SA"/>
              </w:rPr>
              <w:t>分。</w:t>
            </w:r>
          </w:p>
          <w:p w14:paraId="21BBFD3F">
            <w:pPr>
              <w:pStyle w:val="119"/>
              <w:ind w:left="0" w:leftChars="0" w:firstLine="0" w:firstLineChars="0"/>
              <w:rPr>
                <w:rFonts w:hint="eastAsia" w:ascii="宋体" w:hAnsi="宋体" w:eastAsia="宋体" w:cs="宋体"/>
                <w:color w:val="auto"/>
                <w:kern w:val="2"/>
                <w:sz w:val="21"/>
                <w:szCs w:val="21"/>
                <w:highlight w:val="none"/>
                <w:lang w:val="en-US" w:eastAsia="zh-CN" w:bidi="ar-SA"/>
              </w:rPr>
            </w:pPr>
            <w:r>
              <w:rPr>
                <w:rStyle w:val="44"/>
                <w:rFonts w:hint="eastAsia" w:ascii="宋体" w:hAnsi="宋体" w:cs="宋体"/>
                <w:color w:val="auto"/>
                <w:kern w:val="2"/>
                <w:sz w:val="21"/>
                <w:szCs w:val="21"/>
                <w:highlight w:val="none"/>
                <w:lang w:val="en-US" w:eastAsia="zh-CN" w:bidi="ar-SA"/>
              </w:rPr>
              <w:t>分值：</w:t>
            </w:r>
            <w:r>
              <w:rPr>
                <w:rStyle w:val="44"/>
                <w:rFonts w:hint="eastAsia" w:ascii="宋体" w:hAnsi="宋体" w:eastAsia="宋体" w:cs="宋体"/>
                <w:color w:val="auto"/>
                <w:kern w:val="2"/>
                <w:sz w:val="21"/>
                <w:szCs w:val="21"/>
                <w:highlight w:val="none"/>
                <w:lang w:val="en-US" w:eastAsia="zh-CN" w:bidi="ar-SA"/>
              </w:rPr>
              <w:t>0.1-</w:t>
            </w:r>
            <w:r>
              <w:rPr>
                <w:rStyle w:val="44"/>
                <w:rFonts w:hint="eastAsia" w:cs="宋体"/>
                <w:color w:val="auto"/>
                <w:kern w:val="2"/>
                <w:sz w:val="21"/>
                <w:szCs w:val="21"/>
                <w:highlight w:val="none"/>
                <w:lang w:val="en-US" w:eastAsia="zh-CN" w:bidi="ar-SA"/>
              </w:rPr>
              <w:t>0</w:t>
            </w:r>
            <w:r>
              <w:rPr>
                <w:rStyle w:val="44"/>
                <w:rFonts w:hint="eastAsia" w:ascii="宋体" w:hAnsi="宋体" w:eastAsia="宋体" w:cs="宋体"/>
                <w:color w:val="auto"/>
                <w:kern w:val="2"/>
                <w:sz w:val="21"/>
                <w:szCs w:val="21"/>
                <w:highlight w:val="none"/>
                <w:lang w:val="en-US" w:eastAsia="zh-CN" w:bidi="ar-SA"/>
              </w:rPr>
              <w:t>.9</w:t>
            </w:r>
            <w:r>
              <w:rPr>
                <w:rStyle w:val="44"/>
                <w:rFonts w:hint="eastAsia" w:ascii="宋体" w:hAnsi="宋体" w:cs="宋体"/>
                <w:color w:val="auto"/>
                <w:kern w:val="2"/>
                <w:sz w:val="21"/>
                <w:szCs w:val="21"/>
                <w:highlight w:val="none"/>
                <w:lang w:val="en-US" w:eastAsia="zh-CN" w:bidi="ar-SA"/>
              </w:rPr>
              <w:t>；</w:t>
            </w:r>
            <w:r>
              <w:rPr>
                <w:rStyle w:val="44"/>
                <w:rFonts w:hint="eastAsia" w:cs="宋体"/>
                <w:color w:val="auto"/>
                <w:kern w:val="2"/>
                <w:sz w:val="21"/>
                <w:szCs w:val="21"/>
                <w:highlight w:val="none"/>
                <w:lang w:val="en-US" w:eastAsia="zh-CN" w:bidi="ar-SA"/>
              </w:rPr>
              <w:t>1</w:t>
            </w:r>
            <w:r>
              <w:rPr>
                <w:rStyle w:val="44"/>
                <w:rFonts w:hint="eastAsia" w:ascii="宋体" w:hAnsi="宋体" w:eastAsia="宋体" w:cs="宋体"/>
                <w:color w:val="auto"/>
                <w:kern w:val="2"/>
                <w:sz w:val="21"/>
                <w:szCs w:val="21"/>
                <w:highlight w:val="none"/>
                <w:lang w:val="en-US" w:eastAsia="zh-CN" w:bidi="ar-SA"/>
              </w:rPr>
              <w:t>-</w:t>
            </w:r>
            <w:r>
              <w:rPr>
                <w:rStyle w:val="44"/>
                <w:rFonts w:hint="eastAsia" w:cs="宋体"/>
                <w:color w:val="auto"/>
                <w:kern w:val="2"/>
                <w:sz w:val="21"/>
                <w:szCs w:val="21"/>
                <w:highlight w:val="none"/>
                <w:lang w:val="en-US" w:eastAsia="zh-CN" w:bidi="ar-SA"/>
              </w:rPr>
              <w:t>2</w:t>
            </w:r>
            <w:r>
              <w:rPr>
                <w:rStyle w:val="44"/>
                <w:rFonts w:hint="eastAsia" w:ascii="宋体" w:hAnsi="宋体" w:cs="宋体"/>
                <w:color w:val="auto"/>
                <w:kern w:val="2"/>
                <w:sz w:val="21"/>
                <w:szCs w:val="21"/>
                <w:highlight w:val="none"/>
                <w:lang w:val="en-US" w:eastAsia="zh-CN" w:bidi="ar-SA"/>
              </w:rPr>
              <w:t>。</w:t>
            </w:r>
          </w:p>
        </w:tc>
      </w:tr>
      <w:tr w14:paraId="7F3E91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2" w:hRule="atLeast"/>
        </w:trPr>
        <w:tc>
          <w:tcPr>
            <w:tcW w:w="746" w:type="dxa"/>
            <w:vMerge w:val="continue"/>
            <w:tcBorders>
              <w:left w:val="single" w:color="auto" w:sz="4" w:space="0"/>
            </w:tcBorders>
            <w:vAlign w:val="center"/>
          </w:tcPr>
          <w:p w14:paraId="12F27AAC">
            <w:pPr>
              <w:jc w:val="center"/>
              <w:rPr>
                <w:rFonts w:ascii="Arial"/>
                <w:color w:val="auto"/>
                <w:highlight w:val="none"/>
              </w:rPr>
            </w:pPr>
          </w:p>
        </w:tc>
        <w:tc>
          <w:tcPr>
            <w:tcW w:w="1058" w:type="dxa"/>
            <w:gridSpan w:val="2"/>
            <w:vMerge w:val="continue"/>
            <w:vAlign w:val="center"/>
          </w:tcPr>
          <w:p w14:paraId="057ABE6F">
            <w:pPr>
              <w:jc w:val="center"/>
              <w:rPr>
                <w:rFonts w:ascii="Arial"/>
                <w:color w:val="auto"/>
                <w:highlight w:val="none"/>
              </w:rPr>
            </w:pPr>
          </w:p>
        </w:tc>
        <w:tc>
          <w:tcPr>
            <w:tcW w:w="1754" w:type="dxa"/>
            <w:tcBorders>
              <w:top w:val="single" w:color="auto" w:sz="4" w:space="0"/>
              <w:bottom w:val="single" w:color="auto" w:sz="4" w:space="0"/>
            </w:tcBorders>
            <w:shd w:val="clear" w:color="auto" w:fill="auto"/>
            <w:vAlign w:val="center"/>
          </w:tcPr>
          <w:p w14:paraId="6C40BBDD">
            <w:pPr>
              <w:pStyle w:val="187"/>
              <w:widowControl w:val="0"/>
              <w:spacing w:line="440" w:lineRule="exact"/>
              <w:jc w:val="center"/>
              <w:rPr>
                <w:rFonts w:hint="eastAsia" w:ascii="宋体" w:hAnsi="宋体" w:eastAsia="宋体" w:cs="宋体"/>
                <w:color w:val="auto"/>
                <w:kern w:val="2"/>
                <w:sz w:val="21"/>
                <w:szCs w:val="21"/>
                <w:highlight w:val="none"/>
                <w:lang w:val="en-US" w:eastAsia="zh-CN" w:bidi="ar-SA"/>
              </w:rPr>
            </w:pPr>
            <w:r>
              <w:rPr>
                <w:rFonts w:hint="eastAsia"/>
                <w:color w:val="auto"/>
                <w:sz w:val="21"/>
                <w:szCs w:val="21"/>
                <w:highlight w:val="none"/>
                <w:lang w:val="en-US" w:eastAsia="zh-CN"/>
              </w:rPr>
              <w:t>工程进度计划及措施</w:t>
            </w:r>
          </w:p>
        </w:tc>
        <w:tc>
          <w:tcPr>
            <w:tcW w:w="855" w:type="dxa"/>
            <w:gridSpan w:val="2"/>
            <w:tcBorders>
              <w:top w:val="single" w:color="auto" w:sz="4" w:space="0"/>
              <w:bottom w:val="single" w:color="auto" w:sz="4" w:space="0"/>
            </w:tcBorders>
            <w:shd w:val="clear" w:color="auto" w:fill="auto"/>
            <w:vAlign w:val="center"/>
          </w:tcPr>
          <w:p w14:paraId="1CE37CFC">
            <w:pPr>
              <w:pStyle w:val="185"/>
              <w:spacing w:before="68" w:line="221" w:lineRule="auto"/>
              <w:jc w:val="center"/>
              <w:rPr>
                <w:rFonts w:hint="eastAsia" w:ascii="宋体" w:hAnsi="宋体" w:eastAsia="宋体" w:cs="宋体"/>
                <w:bCs/>
                <w:color w:val="auto"/>
                <w:kern w:val="2"/>
                <w:sz w:val="21"/>
                <w:szCs w:val="21"/>
                <w:highlight w:val="none"/>
                <w:lang w:val="en-US" w:eastAsia="zh-CN" w:bidi="ar-SA"/>
              </w:rPr>
            </w:pPr>
            <w:r>
              <w:rPr>
                <w:rFonts w:hint="eastAsia"/>
                <w:color w:val="auto"/>
                <w:sz w:val="21"/>
                <w:szCs w:val="21"/>
                <w:highlight w:val="none"/>
                <w:lang w:val="en-US" w:eastAsia="zh-CN"/>
              </w:rPr>
              <w:t>2</w:t>
            </w:r>
          </w:p>
        </w:tc>
        <w:tc>
          <w:tcPr>
            <w:tcW w:w="4620" w:type="dxa"/>
            <w:shd w:val="clear" w:color="auto" w:fill="auto"/>
            <w:vAlign w:val="center"/>
          </w:tcPr>
          <w:p w14:paraId="26025043">
            <w:pPr>
              <w:pStyle w:val="187"/>
              <w:widowControl w:val="0"/>
              <w:spacing w:line="440" w:lineRule="exact"/>
              <w:jc w:val="left"/>
              <w:rPr>
                <w:rStyle w:val="44"/>
                <w:rFonts w:hint="eastAsia" w:ascii="宋体" w:hAnsi="宋体" w:eastAsia="宋体" w:cs="宋体"/>
                <w:color w:val="auto"/>
                <w:kern w:val="2"/>
                <w:sz w:val="21"/>
                <w:szCs w:val="21"/>
                <w:highlight w:val="none"/>
                <w:lang w:val="en-US" w:eastAsia="zh-CN" w:bidi="ar-SA"/>
              </w:rPr>
            </w:pPr>
            <w:r>
              <w:rPr>
                <w:rStyle w:val="44"/>
                <w:rFonts w:hint="eastAsia" w:ascii="宋体" w:hAnsi="宋体" w:eastAsia="宋体" w:cs="宋体"/>
                <w:color w:val="auto"/>
                <w:kern w:val="2"/>
                <w:sz w:val="21"/>
                <w:szCs w:val="21"/>
                <w:highlight w:val="none"/>
                <w:lang w:val="en-US" w:eastAsia="zh-CN" w:bidi="ar-SA"/>
              </w:rPr>
              <w:t>评审内容：1.全面考虑工期组织措施严密、科学可行，能够保证项目进度，有合理的工程施工进度计划（施工进度图、网络计划等）的得1-2分；</w:t>
            </w:r>
            <w:r>
              <w:rPr>
                <w:rStyle w:val="44"/>
                <w:rFonts w:hint="eastAsia" w:cs="宋体"/>
                <w:color w:val="auto"/>
                <w:kern w:val="2"/>
                <w:sz w:val="21"/>
                <w:szCs w:val="21"/>
                <w:highlight w:val="none"/>
                <w:lang w:val="en-US" w:eastAsia="zh-CN" w:bidi="ar-SA"/>
              </w:rPr>
              <w:t>2.</w:t>
            </w:r>
            <w:r>
              <w:rPr>
                <w:rStyle w:val="44"/>
                <w:rFonts w:hint="eastAsia" w:ascii="宋体" w:hAnsi="宋体" w:eastAsia="宋体" w:cs="宋体"/>
                <w:color w:val="auto"/>
                <w:kern w:val="2"/>
                <w:sz w:val="21"/>
                <w:szCs w:val="21"/>
                <w:highlight w:val="none"/>
                <w:lang w:val="en-US" w:eastAsia="zh-CN" w:bidi="ar-SA"/>
              </w:rPr>
              <w:t>不完整或没有的得</w:t>
            </w:r>
            <w:r>
              <w:rPr>
                <w:rStyle w:val="44"/>
                <w:rFonts w:hint="eastAsia" w:ascii="宋体" w:hAnsi="宋体" w:eastAsia="宋体" w:cs="宋体"/>
                <w:strike w:val="0"/>
                <w:dstrike w:val="0"/>
                <w:color w:val="auto"/>
                <w:kern w:val="2"/>
                <w:sz w:val="21"/>
                <w:szCs w:val="21"/>
                <w:highlight w:val="none"/>
                <w:lang w:val="en-US" w:eastAsia="zh-CN" w:bidi="ar-SA"/>
              </w:rPr>
              <w:t>0</w:t>
            </w:r>
            <w:r>
              <w:rPr>
                <w:rStyle w:val="44"/>
                <w:rFonts w:hint="eastAsia" w:cs="宋体"/>
                <w:strike w:val="0"/>
                <w:dstrike w:val="0"/>
                <w:color w:val="auto"/>
                <w:kern w:val="2"/>
                <w:sz w:val="21"/>
                <w:szCs w:val="21"/>
                <w:highlight w:val="none"/>
                <w:lang w:val="en-US" w:eastAsia="zh-CN" w:bidi="ar-SA"/>
              </w:rPr>
              <w:t>.1</w:t>
            </w:r>
            <w:r>
              <w:rPr>
                <w:rStyle w:val="44"/>
                <w:rFonts w:hint="eastAsia" w:ascii="宋体" w:hAnsi="宋体" w:eastAsia="宋体" w:cs="宋体"/>
                <w:strike w:val="0"/>
                <w:dstrike w:val="0"/>
                <w:color w:val="auto"/>
                <w:kern w:val="2"/>
                <w:sz w:val="21"/>
                <w:szCs w:val="21"/>
                <w:highlight w:val="none"/>
                <w:lang w:val="en-US" w:eastAsia="zh-CN" w:bidi="ar-SA"/>
              </w:rPr>
              <w:t>-0.9</w:t>
            </w:r>
            <w:r>
              <w:rPr>
                <w:rStyle w:val="44"/>
                <w:rFonts w:hint="eastAsia" w:ascii="宋体" w:hAnsi="宋体" w:eastAsia="宋体" w:cs="宋体"/>
                <w:color w:val="auto"/>
                <w:kern w:val="2"/>
                <w:sz w:val="21"/>
                <w:szCs w:val="21"/>
                <w:highlight w:val="none"/>
                <w:lang w:val="en-US" w:eastAsia="zh-CN" w:bidi="ar-SA"/>
              </w:rPr>
              <w:t>分。</w:t>
            </w:r>
          </w:p>
          <w:p w14:paraId="75F4442F">
            <w:pPr>
              <w:pStyle w:val="119"/>
              <w:ind w:left="0" w:leftChars="0" w:firstLine="0" w:firstLineChars="0"/>
              <w:rPr>
                <w:rFonts w:hint="eastAsia" w:ascii="宋体" w:hAnsi="宋体" w:eastAsia="宋体" w:cs="宋体"/>
                <w:color w:val="auto"/>
                <w:kern w:val="2"/>
                <w:sz w:val="21"/>
                <w:szCs w:val="21"/>
                <w:highlight w:val="none"/>
                <w:lang w:val="en-US" w:eastAsia="zh-CN" w:bidi="ar-SA"/>
              </w:rPr>
            </w:pPr>
            <w:r>
              <w:rPr>
                <w:rStyle w:val="44"/>
                <w:rFonts w:hint="eastAsia" w:ascii="宋体" w:hAnsi="宋体" w:cs="宋体"/>
                <w:color w:val="auto"/>
                <w:kern w:val="2"/>
                <w:sz w:val="21"/>
                <w:szCs w:val="21"/>
                <w:highlight w:val="none"/>
                <w:lang w:val="en-US" w:eastAsia="zh-CN" w:bidi="ar-SA"/>
              </w:rPr>
              <w:t>分值：</w:t>
            </w:r>
            <w:r>
              <w:rPr>
                <w:rStyle w:val="44"/>
                <w:rFonts w:hint="eastAsia" w:ascii="宋体" w:hAnsi="宋体" w:eastAsia="宋体" w:cs="宋体"/>
                <w:color w:val="auto"/>
                <w:kern w:val="2"/>
                <w:sz w:val="21"/>
                <w:szCs w:val="21"/>
                <w:highlight w:val="none"/>
                <w:lang w:val="en-US" w:eastAsia="zh-CN" w:bidi="ar-SA"/>
              </w:rPr>
              <w:t>0.1-</w:t>
            </w:r>
            <w:r>
              <w:rPr>
                <w:rStyle w:val="44"/>
                <w:rFonts w:hint="eastAsia" w:cs="宋体"/>
                <w:color w:val="auto"/>
                <w:kern w:val="2"/>
                <w:sz w:val="21"/>
                <w:szCs w:val="21"/>
                <w:highlight w:val="none"/>
                <w:lang w:val="en-US" w:eastAsia="zh-CN" w:bidi="ar-SA"/>
              </w:rPr>
              <w:t>0</w:t>
            </w:r>
            <w:r>
              <w:rPr>
                <w:rStyle w:val="44"/>
                <w:rFonts w:hint="eastAsia" w:ascii="宋体" w:hAnsi="宋体" w:eastAsia="宋体" w:cs="宋体"/>
                <w:color w:val="auto"/>
                <w:kern w:val="2"/>
                <w:sz w:val="21"/>
                <w:szCs w:val="21"/>
                <w:highlight w:val="none"/>
                <w:lang w:val="en-US" w:eastAsia="zh-CN" w:bidi="ar-SA"/>
              </w:rPr>
              <w:t>.9</w:t>
            </w:r>
            <w:r>
              <w:rPr>
                <w:rStyle w:val="44"/>
                <w:rFonts w:hint="eastAsia" w:ascii="宋体" w:hAnsi="宋体" w:cs="宋体"/>
                <w:color w:val="auto"/>
                <w:kern w:val="2"/>
                <w:sz w:val="21"/>
                <w:szCs w:val="21"/>
                <w:highlight w:val="none"/>
                <w:lang w:val="en-US" w:eastAsia="zh-CN" w:bidi="ar-SA"/>
              </w:rPr>
              <w:t>；</w:t>
            </w:r>
            <w:r>
              <w:rPr>
                <w:rStyle w:val="44"/>
                <w:rFonts w:hint="eastAsia" w:cs="宋体"/>
                <w:color w:val="auto"/>
                <w:kern w:val="2"/>
                <w:sz w:val="21"/>
                <w:szCs w:val="21"/>
                <w:highlight w:val="none"/>
                <w:lang w:val="en-US" w:eastAsia="zh-CN" w:bidi="ar-SA"/>
              </w:rPr>
              <w:t>1</w:t>
            </w:r>
            <w:r>
              <w:rPr>
                <w:rStyle w:val="44"/>
                <w:rFonts w:hint="eastAsia" w:ascii="宋体" w:hAnsi="宋体" w:eastAsia="宋体" w:cs="宋体"/>
                <w:color w:val="auto"/>
                <w:kern w:val="2"/>
                <w:sz w:val="21"/>
                <w:szCs w:val="21"/>
                <w:highlight w:val="none"/>
                <w:lang w:val="en-US" w:eastAsia="zh-CN" w:bidi="ar-SA"/>
              </w:rPr>
              <w:t>-</w:t>
            </w:r>
            <w:r>
              <w:rPr>
                <w:rStyle w:val="44"/>
                <w:rFonts w:hint="eastAsia" w:cs="宋体"/>
                <w:color w:val="auto"/>
                <w:kern w:val="2"/>
                <w:sz w:val="21"/>
                <w:szCs w:val="21"/>
                <w:highlight w:val="none"/>
                <w:lang w:val="en-US" w:eastAsia="zh-CN" w:bidi="ar-SA"/>
              </w:rPr>
              <w:t>2</w:t>
            </w:r>
            <w:r>
              <w:rPr>
                <w:rStyle w:val="44"/>
                <w:rFonts w:hint="eastAsia" w:ascii="宋体" w:hAnsi="宋体" w:cs="宋体"/>
                <w:color w:val="auto"/>
                <w:kern w:val="2"/>
                <w:sz w:val="21"/>
                <w:szCs w:val="21"/>
                <w:highlight w:val="none"/>
                <w:lang w:val="en-US" w:eastAsia="zh-CN" w:bidi="ar-SA"/>
              </w:rPr>
              <w:t>。</w:t>
            </w:r>
          </w:p>
        </w:tc>
      </w:tr>
      <w:tr w14:paraId="20ACC3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2" w:hRule="atLeast"/>
        </w:trPr>
        <w:tc>
          <w:tcPr>
            <w:tcW w:w="746" w:type="dxa"/>
            <w:vMerge w:val="continue"/>
            <w:tcBorders>
              <w:left w:val="single" w:color="auto" w:sz="4" w:space="0"/>
            </w:tcBorders>
            <w:vAlign w:val="center"/>
          </w:tcPr>
          <w:p w14:paraId="5FD25E2A">
            <w:pPr>
              <w:jc w:val="center"/>
              <w:rPr>
                <w:rFonts w:ascii="Arial"/>
                <w:color w:val="auto"/>
                <w:highlight w:val="none"/>
              </w:rPr>
            </w:pPr>
          </w:p>
        </w:tc>
        <w:tc>
          <w:tcPr>
            <w:tcW w:w="1058" w:type="dxa"/>
            <w:gridSpan w:val="2"/>
            <w:vMerge w:val="continue"/>
            <w:vAlign w:val="center"/>
          </w:tcPr>
          <w:p w14:paraId="2E9E6F38">
            <w:pPr>
              <w:jc w:val="center"/>
              <w:rPr>
                <w:rFonts w:ascii="Arial"/>
                <w:color w:val="auto"/>
                <w:highlight w:val="none"/>
              </w:rPr>
            </w:pPr>
          </w:p>
        </w:tc>
        <w:tc>
          <w:tcPr>
            <w:tcW w:w="1754" w:type="dxa"/>
            <w:tcBorders>
              <w:top w:val="single" w:color="auto" w:sz="4" w:space="0"/>
              <w:bottom w:val="single" w:color="auto" w:sz="4" w:space="0"/>
            </w:tcBorders>
            <w:shd w:val="clear" w:color="auto" w:fill="auto"/>
            <w:vAlign w:val="center"/>
          </w:tcPr>
          <w:p w14:paraId="74313341">
            <w:pPr>
              <w:pStyle w:val="187"/>
              <w:widowControl w:val="0"/>
              <w:spacing w:line="440" w:lineRule="exact"/>
              <w:jc w:val="center"/>
              <w:rPr>
                <w:rFonts w:hint="eastAsia" w:ascii="宋体" w:hAnsi="宋体" w:eastAsia="宋体" w:cs="宋体"/>
                <w:color w:val="auto"/>
                <w:kern w:val="2"/>
                <w:sz w:val="21"/>
                <w:szCs w:val="21"/>
                <w:highlight w:val="none"/>
                <w:lang w:val="en-US" w:eastAsia="zh-CN" w:bidi="ar-SA"/>
              </w:rPr>
            </w:pPr>
            <w:r>
              <w:rPr>
                <w:rFonts w:hint="eastAsia"/>
                <w:color w:val="auto"/>
                <w:sz w:val="21"/>
                <w:szCs w:val="21"/>
                <w:highlight w:val="none"/>
                <w:lang w:val="en-US" w:eastAsia="zh-CN"/>
              </w:rPr>
              <w:t>工程质量管理体系及措施</w:t>
            </w:r>
          </w:p>
        </w:tc>
        <w:tc>
          <w:tcPr>
            <w:tcW w:w="855" w:type="dxa"/>
            <w:gridSpan w:val="2"/>
            <w:tcBorders>
              <w:top w:val="single" w:color="auto" w:sz="4" w:space="0"/>
              <w:bottom w:val="single" w:color="auto" w:sz="4" w:space="0"/>
            </w:tcBorders>
            <w:shd w:val="clear" w:color="auto" w:fill="auto"/>
            <w:vAlign w:val="center"/>
          </w:tcPr>
          <w:p w14:paraId="56BC4C08">
            <w:pPr>
              <w:pStyle w:val="185"/>
              <w:spacing w:before="68" w:line="221" w:lineRule="auto"/>
              <w:jc w:val="center"/>
              <w:rPr>
                <w:rFonts w:hint="eastAsia" w:ascii="宋体" w:hAnsi="宋体" w:eastAsia="宋体" w:cs="宋体"/>
                <w:color w:val="auto"/>
                <w:kern w:val="2"/>
                <w:sz w:val="21"/>
                <w:szCs w:val="21"/>
                <w:highlight w:val="none"/>
                <w:lang w:val="en-US" w:eastAsia="zh-CN" w:bidi="ar-SA"/>
              </w:rPr>
            </w:pPr>
            <w:r>
              <w:rPr>
                <w:rFonts w:hint="eastAsia"/>
                <w:color w:val="auto"/>
                <w:sz w:val="21"/>
                <w:szCs w:val="21"/>
                <w:highlight w:val="none"/>
                <w:lang w:val="en-US" w:eastAsia="zh-CN"/>
              </w:rPr>
              <w:t>2</w:t>
            </w:r>
          </w:p>
        </w:tc>
        <w:tc>
          <w:tcPr>
            <w:tcW w:w="4620" w:type="dxa"/>
            <w:shd w:val="clear" w:color="auto" w:fill="auto"/>
            <w:vAlign w:val="center"/>
          </w:tcPr>
          <w:p w14:paraId="2CEDBC1F">
            <w:pPr>
              <w:pStyle w:val="187"/>
              <w:widowControl w:val="0"/>
              <w:spacing w:line="440" w:lineRule="exact"/>
              <w:jc w:val="left"/>
              <w:rPr>
                <w:rStyle w:val="44"/>
                <w:rFonts w:hint="eastAsia" w:ascii="宋体" w:hAnsi="宋体" w:eastAsia="宋体" w:cs="宋体"/>
                <w:color w:val="auto"/>
                <w:kern w:val="2"/>
                <w:sz w:val="21"/>
                <w:szCs w:val="21"/>
                <w:highlight w:val="none"/>
                <w:lang w:val="en-US" w:eastAsia="zh-CN" w:bidi="ar-SA"/>
              </w:rPr>
            </w:pPr>
            <w:r>
              <w:rPr>
                <w:rStyle w:val="44"/>
                <w:rFonts w:hint="eastAsia" w:ascii="宋体" w:hAnsi="宋体" w:eastAsia="宋体" w:cs="宋体"/>
                <w:color w:val="auto"/>
                <w:kern w:val="2"/>
                <w:sz w:val="21"/>
                <w:szCs w:val="21"/>
                <w:highlight w:val="none"/>
                <w:lang w:val="en-US" w:eastAsia="zh-CN" w:bidi="ar-SA"/>
              </w:rPr>
              <w:t>评审内容：1.</w:t>
            </w:r>
            <w:r>
              <w:rPr>
                <w:rFonts w:hint="eastAsia"/>
                <w:color w:val="auto"/>
                <w:sz w:val="21"/>
                <w:szCs w:val="21"/>
                <w:highlight w:val="none"/>
                <w:lang w:val="en-US" w:eastAsia="zh-CN"/>
              </w:rPr>
              <w:t>工程</w:t>
            </w:r>
            <w:r>
              <w:rPr>
                <w:rStyle w:val="44"/>
                <w:rFonts w:hint="eastAsia" w:ascii="宋体" w:hAnsi="宋体" w:eastAsia="宋体" w:cs="宋体"/>
                <w:color w:val="auto"/>
                <w:kern w:val="2"/>
                <w:sz w:val="21"/>
                <w:szCs w:val="21"/>
                <w:highlight w:val="none"/>
                <w:lang w:val="en-US" w:eastAsia="zh-CN" w:bidi="ar-SA"/>
              </w:rPr>
              <w:t>质量管理体系</w:t>
            </w:r>
            <w:r>
              <w:rPr>
                <w:rFonts w:hint="eastAsia"/>
                <w:color w:val="auto"/>
                <w:sz w:val="21"/>
                <w:szCs w:val="21"/>
                <w:highlight w:val="none"/>
                <w:lang w:val="en-US" w:eastAsia="zh-CN"/>
              </w:rPr>
              <w:t>及措施</w:t>
            </w:r>
            <w:r>
              <w:rPr>
                <w:rStyle w:val="44"/>
                <w:rFonts w:hint="eastAsia" w:ascii="宋体" w:hAnsi="宋体" w:eastAsia="宋体" w:cs="宋体"/>
                <w:color w:val="auto"/>
                <w:kern w:val="2"/>
                <w:sz w:val="21"/>
                <w:szCs w:val="21"/>
                <w:highlight w:val="none"/>
                <w:lang w:val="en-US" w:eastAsia="zh-CN" w:bidi="ar-SA"/>
              </w:rPr>
              <w:t>完善，职责明晰、保修承诺具体明确的得1-2分；2.不完整或没有的得</w:t>
            </w:r>
            <w:r>
              <w:rPr>
                <w:rStyle w:val="44"/>
                <w:rFonts w:hint="eastAsia" w:ascii="宋体" w:hAnsi="宋体" w:eastAsia="宋体" w:cs="宋体"/>
                <w:strike w:val="0"/>
                <w:dstrike w:val="0"/>
                <w:color w:val="auto"/>
                <w:kern w:val="2"/>
                <w:sz w:val="21"/>
                <w:szCs w:val="21"/>
                <w:highlight w:val="none"/>
                <w:lang w:val="en-US" w:eastAsia="zh-CN" w:bidi="ar-SA"/>
              </w:rPr>
              <w:t>0.1-0.9</w:t>
            </w:r>
            <w:r>
              <w:rPr>
                <w:rStyle w:val="44"/>
                <w:rFonts w:hint="eastAsia" w:ascii="宋体" w:hAnsi="宋体" w:eastAsia="宋体" w:cs="宋体"/>
                <w:color w:val="auto"/>
                <w:kern w:val="2"/>
                <w:sz w:val="21"/>
                <w:szCs w:val="21"/>
                <w:highlight w:val="none"/>
                <w:lang w:val="en-US" w:eastAsia="zh-CN" w:bidi="ar-SA"/>
              </w:rPr>
              <w:t>分。</w:t>
            </w:r>
          </w:p>
          <w:p w14:paraId="291E6BE1">
            <w:pPr>
              <w:pStyle w:val="187"/>
              <w:widowControl w:val="0"/>
              <w:spacing w:line="440" w:lineRule="exact"/>
              <w:jc w:val="left"/>
              <w:rPr>
                <w:rFonts w:hint="eastAsia" w:ascii="宋体" w:hAnsi="宋体" w:eastAsia="宋体" w:cs="宋体"/>
                <w:color w:val="auto"/>
                <w:kern w:val="2"/>
                <w:sz w:val="21"/>
                <w:szCs w:val="21"/>
                <w:highlight w:val="none"/>
                <w:lang w:val="en-US" w:eastAsia="zh-CN" w:bidi="ar-SA"/>
              </w:rPr>
            </w:pPr>
            <w:r>
              <w:rPr>
                <w:rStyle w:val="44"/>
                <w:rFonts w:hint="eastAsia" w:ascii="宋体" w:hAnsi="宋体" w:cs="宋体"/>
                <w:color w:val="auto"/>
                <w:kern w:val="2"/>
                <w:sz w:val="21"/>
                <w:szCs w:val="21"/>
                <w:highlight w:val="none"/>
                <w:lang w:val="en-US" w:eastAsia="zh-CN" w:bidi="ar-SA"/>
              </w:rPr>
              <w:t>分值：</w:t>
            </w:r>
            <w:r>
              <w:rPr>
                <w:rStyle w:val="44"/>
                <w:rFonts w:hint="eastAsia" w:ascii="宋体" w:hAnsi="宋体" w:eastAsia="宋体" w:cs="宋体"/>
                <w:color w:val="auto"/>
                <w:kern w:val="2"/>
                <w:sz w:val="21"/>
                <w:szCs w:val="21"/>
                <w:highlight w:val="none"/>
                <w:lang w:val="en-US" w:eastAsia="zh-CN" w:bidi="ar-SA"/>
              </w:rPr>
              <w:t>0.1-</w:t>
            </w:r>
            <w:r>
              <w:rPr>
                <w:rStyle w:val="44"/>
                <w:rFonts w:hint="eastAsia" w:cs="宋体"/>
                <w:color w:val="auto"/>
                <w:kern w:val="2"/>
                <w:sz w:val="21"/>
                <w:szCs w:val="21"/>
                <w:highlight w:val="none"/>
                <w:lang w:val="en-US" w:eastAsia="zh-CN" w:bidi="ar-SA"/>
              </w:rPr>
              <w:t>0</w:t>
            </w:r>
            <w:r>
              <w:rPr>
                <w:rStyle w:val="44"/>
                <w:rFonts w:hint="eastAsia" w:ascii="宋体" w:hAnsi="宋体" w:eastAsia="宋体" w:cs="宋体"/>
                <w:color w:val="auto"/>
                <w:kern w:val="2"/>
                <w:sz w:val="21"/>
                <w:szCs w:val="21"/>
                <w:highlight w:val="none"/>
                <w:lang w:val="en-US" w:eastAsia="zh-CN" w:bidi="ar-SA"/>
              </w:rPr>
              <w:t>.9</w:t>
            </w:r>
            <w:r>
              <w:rPr>
                <w:rStyle w:val="44"/>
                <w:rFonts w:hint="eastAsia" w:ascii="宋体" w:hAnsi="宋体" w:cs="宋体"/>
                <w:color w:val="auto"/>
                <w:kern w:val="2"/>
                <w:sz w:val="21"/>
                <w:szCs w:val="21"/>
                <w:highlight w:val="none"/>
                <w:lang w:val="en-US" w:eastAsia="zh-CN" w:bidi="ar-SA"/>
              </w:rPr>
              <w:t>；</w:t>
            </w:r>
            <w:r>
              <w:rPr>
                <w:rStyle w:val="44"/>
                <w:rFonts w:hint="eastAsia" w:cs="宋体"/>
                <w:color w:val="auto"/>
                <w:kern w:val="2"/>
                <w:sz w:val="21"/>
                <w:szCs w:val="21"/>
                <w:highlight w:val="none"/>
                <w:lang w:val="en-US" w:eastAsia="zh-CN" w:bidi="ar-SA"/>
              </w:rPr>
              <w:t>1</w:t>
            </w:r>
            <w:r>
              <w:rPr>
                <w:rStyle w:val="44"/>
                <w:rFonts w:hint="eastAsia" w:ascii="宋体" w:hAnsi="宋体" w:eastAsia="宋体" w:cs="宋体"/>
                <w:color w:val="auto"/>
                <w:kern w:val="2"/>
                <w:sz w:val="21"/>
                <w:szCs w:val="21"/>
                <w:highlight w:val="none"/>
                <w:lang w:val="en-US" w:eastAsia="zh-CN" w:bidi="ar-SA"/>
              </w:rPr>
              <w:t>-</w:t>
            </w:r>
            <w:r>
              <w:rPr>
                <w:rStyle w:val="44"/>
                <w:rFonts w:hint="eastAsia" w:cs="宋体"/>
                <w:color w:val="auto"/>
                <w:kern w:val="2"/>
                <w:sz w:val="21"/>
                <w:szCs w:val="21"/>
                <w:highlight w:val="none"/>
                <w:lang w:val="en-US" w:eastAsia="zh-CN" w:bidi="ar-SA"/>
              </w:rPr>
              <w:t>2</w:t>
            </w:r>
            <w:r>
              <w:rPr>
                <w:rStyle w:val="44"/>
                <w:rFonts w:hint="eastAsia" w:ascii="宋体" w:hAnsi="宋体" w:cs="宋体"/>
                <w:color w:val="auto"/>
                <w:kern w:val="2"/>
                <w:sz w:val="21"/>
                <w:szCs w:val="21"/>
                <w:highlight w:val="none"/>
                <w:lang w:val="en-US" w:eastAsia="zh-CN" w:bidi="ar-SA"/>
              </w:rPr>
              <w:t>。</w:t>
            </w:r>
          </w:p>
        </w:tc>
      </w:tr>
      <w:tr w14:paraId="7FF5B7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2" w:hRule="atLeast"/>
        </w:trPr>
        <w:tc>
          <w:tcPr>
            <w:tcW w:w="746" w:type="dxa"/>
            <w:vMerge w:val="continue"/>
            <w:tcBorders>
              <w:left w:val="single" w:color="auto" w:sz="4" w:space="0"/>
            </w:tcBorders>
            <w:vAlign w:val="center"/>
          </w:tcPr>
          <w:p w14:paraId="64B8194B">
            <w:pPr>
              <w:jc w:val="center"/>
              <w:rPr>
                <w:rFonts w:ascii="Arial"/>
                <w:color w:val="auto"/>
                <w:highlight w:val="none"/>
              </w:rPr>
            </w:pPr>
          </w:p>
        </w:tc>
        <w:tc>
          <w:tcPr>
            <w:tcW w:w="1058" w:type="dxa"/>
            <w:gridSpan w:val="2"/>
            <w:vMerge w:val="continue"/>
            <w:vAlign w:val="center"/>
          </w:tcPr>
          <w:p w14:paraId="6CFD7C2D">
            <w:pPr>
              <w:jc w:val="center"/>
              <w:rPr>
                <w:rFonts w:ascii="Arial"/>
                <w:color w:val="auto"/>
                <w:highlight w:val="none"/>
              </w:rPr>
            </w:pPr>
          </w:p>
        </w:tc>
        <w:tc>
          <w:tcPr>
            <w:tcW w:w="1754" w:type="dxa"/>
            <w:tcBorders>
              <w:top w:val="single" w:color="auto" w:sz="4" w:space="0"/>
              <w:bottom w:val="single" w:color="auto" w:sz="4" w:space="0"/>
            </w:tcBorders>
            <w:shd w:val="clear" w:color="auto" w:fill="auto"/>
            <w:vAlign w:val="center"/>
          </w:tcPr>
          <w:p w14:paraId="680B9EDD">
            <w:pPr>
              <w:pStyle w:val="187"/>
              <w:widowControl w:val="0"/>
              <w:spacing w:line="440" w:lineRule="exact"/>
              <w:jc w:val="center"/>
              <w:rPr>
                <w:rFonts w:hint="eastAsia" w:ascii="宋体" w:hAnsi="宋体" w:eastAsia="宋体" w:cs="宋体"/>
                <w:color w:val="auto"/>
                <w:kern w:val="2"/>
                <w:sz w:val="21"/>
                <w:szCs w:val="21"/>
                <w:highlight w:val="none"/>
                <w:lang w:val="en-US" w:eastAsia="zh-CN" w:bidi="ar-SA"/>
              </w:rPr>
            </w:pPr>
            <w:r>
              <w:rPr>
                <w:rStyle w:val="44"/>
                <w:rFonts w:hint="eastAsia" w:ascii="宋体" w:hAnsi="宋体" w:eastAsia="宋体" w:cs="宋体"/>
                <w:color w:val="auto"/>
                <w:kern w:val="2"/>
                <w:sz w:val="21"/>
                <w:szCs w:val="21"/>
                <w:highlight w:val="none"/>
                <w:lang w:val="en-US" w:eastAsia="zh-CN" w:bidi="ar-SA"/>
              </w:rPr>
              <w:t>文明</w:t>
            </w:r>
            <w:r>
              <w:rPr>
                <w:rStyle w:val="44"/>
                <w:rFonts w:hint="eastAsia" w:cs="宋体"/>
                <w:color w:val="auto"/>
                <w:kern w:val="2"/>
                <w:sz w:val="21"/>
                <w:szCs w:val="21"/>
                <w:highlight w:val="none"/>
                <w:lang w:val="en-US" w:eastAsia="zh-CN" w:bidi="ar-SA"/>
              </w:rPr>
              <w:t>、</w:t>
            </w:r>
            <w:r>
              <w:rPr>
                <w:rStyle w:val="44"/>
                <w:rFonts w:hint="eastAsia" w:ascii="宋体" w:hAnsi="宋体" w:eastAsia="宋体" w:cs="宋体"/>
                <w:color w:val="auto"/>
                <w:kern w:val="2"/>
                <w:sz w:val="21"/>
                <w:szCs w:val="21"/>
                <w:highlight w:val="none"/>
                <w:lang w:val="en-US" w:eastAsia="zh-CN" w:bidi="ar-SA"/>
              </w:rPr>
              <w:t>环境施工管理体系及措施</w:t>
            </w:r>
          </w:p>
        </w:tc>
        <w:tc>
          <w:tcPr>
            <w:tcW w:w="855" w:type="dxa"/>
            <w:gridSpan w:val="2"/>
            <w:tcBorders>
              <w:top w:val="single" w:color="auto" w:sz="4" w:space="0"/>
              <w:bottom w:val="single" w:color="auto" w:sz="4" w:space="0"/>
            </w:tcBorders>
            <w:shd w:val="clear" w:color="auto" w:fill="auto"/>
            <w:vAlign w:val="center"/>
          </w:tcPr>
          <w:p w14:paraId="4B3EF5E0">
            <w:pPr>
              <w:pStyle w:val="185"/>
              <w:spacing w:before="68" w:line="221" w:lineRule="auto"/>
              <w:ind w:left="10" w:leftChars="0" w:hanging="10" w:hangingChars="5"/>
              <w:jc w:val="center"/>
              <w:rPr>
                <w:rFonts w:hint="eastAsia" w:ascii="宋体" w:hAnsi="宋体" w:eastAsia="宋体" w:cs="宋体"/>
                <w:color w:val="auto"/>
                <w:kern w:val="2"/>
                <w:sz w:val="21"/>
                <w:szCs w:val="21"/>
                <w:highlight w:val="none"/>
                <w:lang w:val="en-US" w:eastAsia="zh-CN" w:bidi="ar-SA"/>
              </w:rPr>
            </w:pPr>
            <w:r>
              <w:rPr>
                <w:rFonts w:hint="eastAsia"/>
                <w:color w:val="auto"/>
                <w:sz w:val="21"/>
                <w:szCs w:val="21"/>
                <w:highlight w:val="none"/>
                <w:lang w:eastAsia="zh-CN"/>
              </w:rPr>
              <w:t>2</w:t>
            </w:r>
          </w:p>
        </w:tc>
        <w:tc>
          <w:tcPr>
            <w:tcW w:w="4620" w:type="dxa"/>
            <w:shd w:val="clear" w:color="auto" w:fill="auto"/>
            <w:vAlign w:val="center"/>
          </w:tcPr>
          <w:p w14:paraId="1E55AD38">
            <w:pPr>
              <w:pStyle w:val="187"/>
              <w:widowControl w:val="0"/>
              <w:spacing w:line="440" w:lineRule="exact"/>
              <w:jc w:val="left"/>
              <w:rPr>
                <w:rStyle w:val="44"/>
                <w:rFonts w:hint="eastAsia" w:ascii="宋体" w:hAnsi="宋体" w:eastAsia="宋体" w:cs="宋体"/>
                <w:color w:val="auto"/>
                <w:kern w:val="2"/>
                <w:sz w:val="21"/>
                <w:szCs w:val="21"/>
                <w:highlight w:val="none"/>
                <w:lang w:val="en-US" w:eastAsia="zh-CN" w:bidi="ar-SA"/>
              </w:rPr>
            </w:pPr>
            <w:r>
              <w:rPr>
                <w:rStyle w:val="44"/>
                <w:rFonts w:hint="eastAsia" w:ascii="宋体" w:hAnsi="宋体" w:eastAsia="宋体" w:cs="宋体"/>
                <w:color w:val="auto"/>
                <w:kern w:val="2"/>
                <w:sz w:val="21"/>
                <w:szCs w:val="21"/>
                <w:highlight w:val="none"/>
                <w:lang w:val="en-US" w:eastAsia="zh-CN" w:bidi="ar-SA"/>
              </w:rPr>
              <w:t>评审内容：1.文明、环境施工管理体系及措施到位，针对性强，措施全面、具体、可行、可靠的得1-2分；2.不完整或没有的得</w:t>
            </w:r>
            <w:r>
              <w:rPr>
                <w:rStyle w:val="44"/>
                <w:rFonts w:hint="eastAsia" w:ascii="宋体" w:hAnsi="宋体" w:eastAsia="宋体" w:cs="宋体"/>
                <w:strike w:val="0"/>
                <w:dstrike w:val="0"/>
                <w:color w:val="auto"/>
                <w:kern w:val="2"/>
                <w:sz w:val="21"/>
                <w:szCs w:val="21"/>
                <w:highlight w:val="none"/>
                <w:lang w:val="en-US" w:eastAsia="zh-CN" w:bidi="ar-SA"/>
              </w:rPr>
              <w:t>0.1-0.9</w:t>
            </w:r>
            <w:r>
              <w:rPr>
                <w:rStyle w:val="44"/>
                <w:rFonts w:hint="eastAsia" w:ascii="宋体" w:hAnsi="宋体" w:eastAsia="宋体" w:cs="宋体"/>
                <w:color w:val="auto"/>
                <w:kern w:val="2"/>
                <w:sz w:val="21"/>
                <w:szCs w:val="21"/>
                <w:highlight w:val="none"/>
                <w:lang w:val="en-US" w:eastAsia="zh-CN" w:bidi="ar-SA"/>
              </w:rPr>
              <w:t>分。</w:t>
            </w:r>
          </w:p>
          <w:p w14:paraId="40D7AAB0">
            <w:pPr>
              <w:pStyle w:val="119"/>
              <w:ind w:left="0" w:leftChars="0" w:firstLine="0" w:firstLineChars="0"/>
              <w:rPr>
                <w:rFonts w:hint="eastAsia" w:ascii="宋体" w:hAnsi="宋体" w:eastAsia="宋体" w:cs="宋体"/>
                <w:color w:val="auto"/>
                <w:kern w:val="2"/>
                <w:sz w:val="21"/>
                <w:szCs w:val="21"/>
                <w:highlight w:val="none"/>
                <w:lang w:val="en-US" w:eastAsia="zh-CN" w:bidi="ar-SA"/>
              </w:rPr>
            </w:pPr>
            <w:r>
              <w:rPr>
                <w:rStyle w:val="44"/>
                <w:rFonts w:hint="eastAsia" w:ascii="宋体" w:hAnsi="宋体" w:cs="宋体"/>
                <w:color w:val="auto"/>
                <w:kern w:val="2"/>
                <w:sz w:val="21"/>
                <w:szCs w:val="21"/>
                <w:highlight w:val="none"/>
                <w:lang w:val="en-US" w:eastAsia="zh-CN" w:bidi="ar-SA"/>
              </w:rPr>
              <w:t>分值：</w:t>
            </w:r>
            <w:r>
              <w:rPr>
                <w:rStyle w:val="44"/>
                <w:rFonts w:hint="eastAsia" w:ascii="宋体" w:hAnsi="宋体" w:eastAsia="宋体" w:cs="宋体"/>
                <w:color w:val="auto"/>
                <w:kern w:val="2"/>
                <w:sz w:val="21"/>
                <w:szCs w:val="21"/>
                <w:highlight w:val="none"/>
                <w:lang w:val="en-US" w:eastAsia="zh-CN" w:bidi="ar-SA"/>
              </w:rPr>
              <w:t>0.1-</w:t>
            </w:r>
            <w:r>
              <w:rPr>
                <w:rStyle w:val="44"/>
                <w:rFonts w:hint="eastAsia" w:cs="宋体"/>
                <w:color w:val="auto"/>
                <w:kern w:val="2"/>
                <w:sz w:val="21"/>
                <w:szCs w:val="21"/>
                <w:highlight w:val="none"/>
                <w:lang w:val="en-US" w:eastAsia="zh-CN" w:bidi="ar-SA"/>
              </w:rPr>
              <w:t>0</w:t>
            </w:r>
            <w:r>
              <w:rPr>
                <w:rStyle w:val="44"/>
                <w:rFonts w:hint="eastAsia" w:ascii="宋体" w:hAnsi="宋体" w:eastAsia="宋体" w:cs="宋体"/>
                <w:color w:val="auto"/>
                <w:kern w:val="2"/>
                <w:sz w:val="21"/>
                <w:szCs w:val="21"/>
                <w:highlight w:val="none"/>
                <w:lang w:val="en-US" w:eastAsia="zh-CN" w:bidi="ar-SA"/>
              </w:rPr>
              <w:t>.9</w:t>
            </w:r>
            <w:r>
              <w:rPr>
                <w:rStyle w:val="44"/>
                <w:rFonts w:hint="eastAsia" w:ascii="宋体" w:hAnsi="宋体" w:cs="宋体"/>
                <w:color w:val="auto"/>
                <w:kern w:val="2"/>
                <w:sz w:val="21"/>
                <w:szCs w:val="21"/>
                <w:highlight w:val="none"/>
                <w:lang w:val="en-US" w:eastAsia="zh-CN" w:bidi="ar-SA"/>
              </w:rPr>
              <w:t>；</w:t>
            </w:r>
            <w:r>
              <w:rPr>
                <w:rStyle w:val="44"/>
                <w:rFonts w:hint="eastAsia" w:cs="宋体"/>
                <w:color w:val="auto"/>
                <w:kern w:val="2"/>
                <w:sz w:val="21"/>
                <w:szCs w:val="21"/>
                <w:highlight w:val="none"/>
                <w:lang w:val="en-US" w:eastAsia="zh-CN" w:bidi="ar-SA"/>
              </w:rPr>
              <w:t>1</w:t>
            </w:r>
            <w:r>
              <w:rPr>
                <w:rStyle w:val="44"/>
                <w:rFonts w:hint="eastAsia" w:ascii="宋体" w:hAnsi="宋体" w:eastAsia="宋体" w:cs="宋体"/>
                <w:color w:val="auto"/>
                <w:kern w:val="2"/>
                <w:sz w:val="21"/>
                <w:szCs w:val="21"/>
                <w:highlight w:val="none"/>
                <w:lang w:val="en-US" w:eastAsia="zh-CN" w:bidi="ar-SA"/>
              </w:rPr>
              <w:t>-</w:t>
            </w:r>
            <w:r>
              <w:rPr>
                <w:rStyle w:val="44"/>
                <w:rFonts w:hint="eastAsia" w:cs="宋体"/>
                <w:color w:val="auto"/>
                <w:kern w:val="2"/>
                <w:sz w:val="21"/>
                <w:szCs w:val="21"/>
                <w:highlight w:val="none"/>
                <w:lang w:val="en-US" w:eastAsia="zh-CN" w:bidi="ar-SA"/>
              </w:rPr>
              <w:t>2</w:t>
            </w:r>
            <w:r>
              <w:rPr>
                <w:rStyle w:val="44"/>
                <w:rFonts w:hint="eastAsia" w:ascii="宋体" w:hAnsi="宋体" w:cs="宋体"/>
                <w:color w:val="auto"/>
                <w:kern w:val="2"/>
                <w:sz w:val="21"/>
                <w:szCs w:val="21"/>
                <w:highlight w:val="none"/>
                <w:lang w:val="en-US" w:eastAsia="zh-CN" w:bidi="ar-SA"/>
              </w:rPr>
              <w:t>。</w:t>
            </w:r>
          </w:p>
        </w:tc>
      </w:tr>
      <w:tr w14:paraId="01D733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2" w:hRule="atLeast"/>
        </w:trPr>
        <w:tc>
          <w:tcPr>
            <w:tcW w:w="746" w:type="dxa"/>
            <w:vMerge w:val="continue"/>
            <w:tcBorders>
              <w:left w:val="single" w:color="auto" w:sz="4" w:space="0"/>
            </w:tcBorders>
            <w:vAlign w:val="center"/>
          </w:tcPr>
          <w:p w14:paraId="7EA6620F">
            <w:pPr>
              <w:jc w:val="center"/>
              <w:rPr>
                <w:rFonts w:ascii="Arial"/>
                <w:color w:val="auto"/>
                <w:highlight w:val="none"/>
              </w:rPr>
            </w:pPr>
          </w:p>
        </w:tc>
        <w:tc>
          <w:tcPr>
            <w:tcW w:w="1058" w:type="dxa"/>
            <w:gridSpan w:val="2"/>
            <w:vMerge w:val="continue"/>
            <w:vAlign w:val="center"/>
          </w:tcPr>
          <w:p w14:paraId="5AD4906D">
            <w:pPr>
              <w:jc w:val="center"/>
              <w:rPr>
                <w:rFonts w:ascii="Arial"/>
                <w:color w:val="auto"/>
                <w:highlight w:val="none"/>
              </w:rPr>
            </w:pPr>
          </w:p>
        </w:tc>
        <w:tc>
          <w:tcPr>
            <w:tcW w:w="1754" w:type="dxa"/>
            <w:tcBorders>
              <w:top w:val="single" w:color="auto" w:sz="4" w:space="0"/>
              <w:bottom w:val="single" w:color="auto" w:sz="4" w:space="0"/>
            </w:tcBorders>
            <w:shd w:val="clear" w:color="auto" w:fill="auto"/>
            <w:vAlign w:val="center"/>
          </w:tcPr>
          <w:p w14:paraId="3743D160">
            <w:pPr>
              <w:pStyle w:val="187"/>
              <w:widowControl w:val="0"/>
              <w:spacing w:line="440" w:lineRule="exact"/>
              <w:jc w:val="center"/>
              <w:rPr>
                <w:rFonts w:hint="eastAsia" w:ascii="宋体" w:hAnsi="宋体" w:eastAsia="宋体" w:cs="宋体"/>
                <w:color w:val="auto"/>
                <w:kern w:val="2"/>
                <w:sz w:val="21"/>
                <w:szCs w:val="21"/>
                <w:highlight w:val="none"/>
                <w:lang w:val="en-US" w:eastAsia="zh-CN" w:bidi="ar-SA"/>
              </w:rPr>
            </w:pPr>
            <w:r>
              <w:rPr>
                <w:rFonts w:hint="eastAsia"/>
                <w:color w:val="auto"/>
                <w:sz w:val="21"/>
                <w:szCs w:val="21"/>
                <w:highlight w:val="none"/>
                <w:lang w:val="en-US" w:eastAsia="zh-CN"/>
              </w:rPr>
              <w:t>安全管理体系及措施</w:t>
            </w:r>
          </w:p>
        </w:tc>
        <w:tc>
          <w:tcPr>
            <w:tcW w:w="855" w:type="dxa"/>
            <w:gridSpan w:val="2"/>
            <w:tcBorders>
              <w:top w:val="single" w:color="auto" w:sz="4" w:space="0"/>
              <w:bottom w:val="single" w:color="auto" w:sz="4" w:space="0"/>
            </w:tcBorders>
            <w:shd w:val="clear" w:color="auto" w:fill="auto"/>
            <w:vAlign w:val="center"/>
          </w:tcPr>
          <w:p w14:paraId="494ACD47">
            <w:pPr>
              <w:pStyle w:val="185"/>
              <w:spacing w:before="68" w:line="221" w:lineRule="auto"/>
              <w:jc w:val="center"/>
              <w:rPr>
                <w:rFonts w:hint="eastAsia" w:ascii="宋体" w:hAnsi="宋体" w:eastAsia="宋体" w:cs="宋体"/>
                <w:color w:val="auto"/>
                <w:kern w:val="2"/>
                <w:sz w:val="21"/>
                <w:szCs w:val="21"/>
                <w:highlight w:val="none"/>
                <w:lang w:val="en-US" w:eastAsia="zh-CN" w:bidi="ar-SA"/>
              </w:rPr>
            </w:pPr>
            <w:r>
              <w:rPr>
                <w:rFonts w:hint="eastAsia"/>
                <w:color w:val="auto"/>
                <w:sz w:val="21"/>
                <w:szCs w:val="21"/>
                <w:highlight w:val="none"/>
                <w:lang w:val="en-US" w:eastAsia="zh-CN"/>
              </w:rPr>
              <w:t>2</w:t>
            </w:r>
          </w:p>
        </w:tc>
        <w:tc>
          <w:tcPr>
            <w:tcW w:w="4620" w:type="dxa"/>
            <w:shd w:val="clear" w:color="auto" w:fill="auto"/>
            <w:vAlign w:val="center"/>
          </w:tcPr>
          <w:p w14:paraId="039E2E5D">
            <w:pPr>
              <w:pStyle w:val="187"/>
              <w:widowControl w:val="0"/>
              <w:spacing w:line="440" w:lineRule="exact"/>
              <w:jc w:val="left"/>
              <w:rPr>
                <w:rStyle w:val="44"/>
                <w:rFonts w:hint="eastAsia" w:ascii="宋体" w:hAnsi="宋体" w:eastAsia="宋体" w:cs="宋体"/>
                <w:color w:val="auto"/>
                <w:kern w:val="2"/>
                <w:sz w:val="21"/>
                <w:szCs w:val="21"/>
                <w:highlight w:val="none"/>
                <w:lang w:val="en-US" w:eastAsia="zh-CN" w:bidi="ar-SA"/>
              </w:rPr>
            </w:pPr>
            <w:r>
              <w:rPr>
                <w:rStyle w:val="44"/>
                <w:rFonts w:hint="eastAsia" w:ascii="宋体" w:hAnsi="宋体" w:eastAsia="宋体" w:cs="宋体"/>
                <w:color w:val="auto"/>
                <w:kern w:val="2"/>
                <w:sz w:val="21"/>
                <w:szCs w:val="21"/>
                <w:highlight w:val="none"/>
                <w:lang w:val="en-US" w:eastAsia="zh-CN" w:bidi="ar-SA"/>
              </w:rPr>
              <w:t>评审内容：1.安全管理体系全面完善，措施可靠，有安全预案，针对性强的得1-2分；2.不完整或没有的得</w:t>
            </w:r>
            <w:r>
              <w:rPr>
                <w:rStyle w:val="44"/>
                <w:rFonts w:hint="eastAsia" w:ascii="宋体" w:hAnsi="宋体" w:eastAsia="宋体" w:cs="宋体"/>
                <w:strike w:val="0"/>
                <w:dstrike w:val="0"/>
                <w:color w:val="auto"/>
                <w:kern w:val="2"/>
                <w:sz w:val="21"/>
                <w:szCs w:val="21"/>
                <w:highlight w:val="none"/>
                <w:lang w:val="en-US" w:eastAsia="zh-CN" w:bidi="ar-SA"/>
              </w:rPr>
              <w:t>0.1-0.9</w:t>
            </w:r>
            <w:r>
              <w:rPr>
                <w:rStyle w:val="44"/>
                <w:rFonts w:hint="eastAsia" w:ascii="宋体" w:hAnsi="宋体" w:eastAsia="宋体" w:cs="宋体"/>
                <w:color w:val="auto"/>
                <w:kern w:val="2"/>
                <w:sz w:val="21"/>
                <w:szCs w:val="21"/>
                <w:highlight w:val="none"/>
                <w:lang w:val="en-US" w:eastAsia="zh-CN" w:bidi="ar-SA"/>
              </w:rPr>
              <w:t>分。</w:t>
            </w:r>
          </w:p>
          <w:p w14:paraId="094F5818">
            <w:pPr>
              <w:pStyle w:val="119"/>
              <w:ind w:left="0" w:leftChars="0" w:firstLine="0" w:firstLineChars="0"/>
              <w:rPr>
                <w:rFonts w:hint="eastAsia" w:ascii="宋体" w:hAnsi="宋体" w:eastAsia="宋体" w:cs="宋体"/>
                <w:color w:val="auto"/>
                <w:kern w:val="2"/>
                <w:sz w:val="21"/>
                <w:szCs w:val="21"/>
                <w:highlight w:val="none"/>
                <w:lang w:val="en-US" w:eastAsia="zh-CN" w:bidi="ar-SA"/>
              </w:rPr>
            </w:pPr>
            <w:r>
              <w:rPr>
                <w:rStyle w:val="44"/>
                <w:rFonts w:hint="eastAsia" w:ascii="宋体" w:hAnsi="宋体" w:cs="宋体"/>
                <w:color w:val="auto"/>
                <w:kern w:val="2"/>
                <w:sz w:val="21"/>
                <w:szCs w:val="21"/>
                <w:highlight w:val="none"/>
                <w:lang w:val="en-US" w:eastAsia="zh-CN" w:bidi="ar-SA"/>
              </w:rPr>
              <w:t>分值：</w:t>
            </w:r>
            <w:r>
              <w:rPr>
                <w:rStyle w:val="44"/>
                <w:rFonts w:hint="eastAsia" w:ascii="宋体" w:hAnsi="宋体" w:eastAsia="宋体" w:cs="宋体"/>
                <w:color w:val="auto"/>
                <w:kern w:val="2"/>
                <w:sz w:val="21"/>
                <w:szCs w:val="21"/>
                <w:highlight w:val="none"/>
                <w:lang w:val="en-US" w:eastAsia="zh-CN" w:bidi="ar-SA"/>
              </w:rPr>
              <w:t>0.1-</w:t>
            </w:r>
            <w:r>
              <w:rPr>
                <w:rStyle w:val="44"/>
                <w:rFonts w:hint="eastAsia" w:cs="宋体"/>
                <w:color w:val="auto"/>
                <w:kern w:val="2"/>
                <w:sz w:val="21"/>
                <w:szCs w:val="21"/>
                <w:highlight w:val="none"/>
                <w:lang w:val="en-US" w:eastAsia="zh-CN" w:bidi="ar-SA"/>
              </w:rPr>
              <w:t>0</w:t>
            </w:r>
            <w:r>
              <w:rPr>
                <w:rStyle w:val="44"/>
                <w:rFonts w:hint="eastAsia" w:ascii="宋体" w:hAnsi="宋体" w:eastAsia="宋体" w:cs="宋体"/>
                <w:color w:val="auto"/>
                <w:kern w:val="2"/>
                <w:sz w:val="21"/>
                <w:szCs w:val="21"/>
                <w:highlight w:val="none"/>
                <w:lang w:val="en-US" w:eastAsia="zh-CN" w:bidi="ar-SA"/>
              </w:rPr>
              <w:t>.9</w:t>
            </w:r>
            <w:r>
              <w:rPr>
                <w:rStyle w:val="44"/>
                <w:rFonts w:hint="eastAsia" w:ascii="宋体" w:hAnsi="宋体" w:cs="宋体"/>
                <w:color w:val="auto"/>
                <w:kern w:val="2"/>
                <w:sz w:val="21"/>
                <w:szCs w:val="21"/>
                <w:highlight w:val="none"/>
                <w:lang w:val="en-US" w:eastAsia="zh-CN" w:bidi="ar-SA"/>
              </w:rPr>
              <w:t>；</w:t>
            </w:r>
            <w:r>
              <w:rPr>
                <w:rStyle w:val="44"/>
                <w:rFonts w:hint="eastAsia" w:cs="宋体"/>
                <w:color w:val="auto"/>
                <w:kern w:val="2"/>
                <w:sz w:val="21"/>
                <w:szCs w:val="21"/>
                <w:highlight w:val="none"/>
                <w:lang w:val="en-US" w:eastAsia="zh-CN" w:bidi="ar-SA"/>
              </w:rPr>
              <w:t>1</w:t>
            </w:r>
            <w:r>
              <w:rPr>
                <w:rStyle w:val="44"/>
                <w:rFonts w:hint="eastAsia" w:ascii="宋体" w:hAnsi="宋体" w:eastAsia="宋体" w:cs="宋体"/>
                <w:color w:val="auto"/>
                <w:kern w:val="2"/>
                <w:sz w:val="21"/>
                <w:szCs w:val="21"/>
                <w:highlight w:val="none"/>
                <w:lang w:val="en-US" w:eastAsia="zh-CN" w:bidi="ar-SA"/>
              </w:rPr>
              <w:t>-</w:t>
            </w:r>
            <w:r>
              <w:rPr>
                <w:rStyle w:val="44"/>
                <w:rFonts w:hint="eastAsia" w:cs="宋体"/>
                <w:color w:val="auto"/>
                <w:kern w:val="2"/>
                <w:sz w:val="21"/>
                <w:szCs w:val="21"/>
                <w:highlight w:val="none"/>
                <w:lang w:val="en-US" w:eastAsia="zh-CN" w:bidi="ar-SA"/>
              </w:rPr>
              <w:t>2</w:t>
            </w:r>
            <w:r>
              <w:rPr>
                <w:rStyle w:val="44"/>
                <w:rFonts w:hint="eastAsia" w:ascii="宋体" w:hAnsi="宋体" w:cs="宋体"/>
                <w:color w:val="auto"/>
                <w:kern w:val="2"/>
                <w:sz w:val="21"/>
                <w:szCs w:val="21"/>
                <w:highlight w:val="none"/>
                <w:lang w:val="en-US" w:eastAsia="zh-CN" w:bidi="ar-SA"/>
              </w:rPr>
              <w:t>。</w:t>
            </w:r>
          </w:p>
        </w:tc>
      </w:tr>
      <w:tr w14:paraId="064DA2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2" w:hRule="atLeast"/>
        </w:trPr>
        <w:tc>
          <w:tcPr>
            <w:tcW w:w="746" w:type="dxa"/>
            <w:vMerge w:val="continue"/>
            <w:tcBorders>
              <w:left w:val="single" w:color="auto" w:sz="4" w:space="0"/>
            </w:tcBorders>
            <w:vAlign w:val="center"/>
          </w:tcPr>
          <w:p w14:paraId="369DF683">
            <w:pPr>
              <w:jc w:val="center"/>
              <w:rPr>
                <w:rFonts w:ascii="Arial"/>
                <w:color w:val="auto"/>
                <w:highlight w:val="none"/>
              </w:rPr>
            </w:pPr>
          </w:p>
        </w:tc>
        <w:tc>
          <w:tcPr>
            <w:tcW w:w="1058" w:type="dxa"/>
            <w:gridSpan w:val="2"/>
            <w:vMerge w:val="continue"/>
            <w:vAlign w:val="center"/>
          </w:tcPr>
          <w:p w14:paraId="3F22B329">
            <w:pPr>
              <w:jc w:val="center"/>
              <w:rPr>
                <w:rFonts w:ascii="Arial"/>
                <w:color w:val="auto"/>
                <w:highlight w:val="none"/>
              </w:rPr>
            </w:pPr>
          </w:p>
        </w:tc>
        <w:tc>
          <w:tcPr>
            <w:tcW w:w="1754" w:type="dxa"/>
            <w:tcBorders>
              <w:top w:val="single" w:color="auto" w:sz="4" w:space="0"/>
              <w:bottom w:val="single" w:color="auto" w:sz="4" w:space="0"/>
            </w:tcBorders>
            <w:shd w:val="clear" w:color="auto" w:fill="auto"/>
            <w:vAlign w:val="center"/>
          </w:tcPr>
          <w:p w14:paraId="7FC09D20">
            <w:pPr>
              <w:pStyle w:val="187"/>
              <w:widowControl w:val="0"/>
              <w:spacing w:line="440" w:lineRule="exact"/>
              <w:jc w:val="center"/>
              <w:rPr>
                <w:rFonts w:hint="eastAsia" w:ascii="宋体" w:hAnsi="宋体" w:eastAsia="宋体" w:cs="宋体"/>
                <w:color w:val="auto"/>
                <w:kern w:val="2"/>
                <w:sz w:val="21"/>
                <w:szCs w:val="21"/>
                <w:highlight w:val="none"/>
                <w:lang w:val="en-US" w:eastAsia="zh-CN" w:bidi="ar-SA"/>
              </w:rPr>
            </w:pPr>
            <w:r>
              <w:rPr>
                <w:rStyle w:val="44"/>
                <w:rFonts w:hint="eastAsia" w:ascii="宋体" w:hAnsi="宋体" w:eastAsia="宋体" w:cs="宋体"/>
                <w:color w:val="auto"/>
                <w:kern w:val="2"/>
                <w:sz w:val="21"/>
                <w:szCs w:val="21"/>
                <w:highlight w:val="none"/>
                <w:lang w:val="en-US" w:eastAsia="zh-CN" w:bidi="ar-SA"/>
              </w:rPr>
              <w:t>项目风险预测和防范措施</w:t>
            </w:r>
          </w:p>
        </w:tc>
        <w:tc>
          <w:tcPr>
            <w:tcW w:w="855" w:type="dxa"/>
            <w:gridSpan w:val="2"/>
            <w:tcBorders>
              <w:top w:val="single" w:color="auto" w:sz="4" w:space="0"/>
              <w:bottom w:val="single" w:color="auto" w:sz="4" w:space="0"/>
            </w:tcBorders>
            <w:shd w:val="clear" w:color="auto" w:fill="auto"/>
            <w:vAlign w:val="center"/>
          </w:tcPr>
          <w:p w14:paraId="7C44F585">
            <w:pPr>
              <w:spacing w:line="30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宋体" w:hAnsi="宋体" w:cs="宋体"/>
                <w:bCs/>
                <w:color w:val="auto"/>
                <w:sz w:val="21"/>
                <w:szCs w:val="21"/>
                <w:highlight w:val="none"/>
                <w:lang w:val="en-US" w:eastAsia="zh-CN"/>
              </w:rPr>
              <w:t>2</w:t>
            </w:r>
          </w:p>
        </w:tc>
        <w:tc>
          <w:tcPr>
            <w:tcW w:w="4620" w:type="dxa"/>
            <w:shd w:val="clear" w:color="auto" w:fill="auto"/>
            <w:vAlign w:val="center"/>
          </w:tcPr>
          <w:p w14:paraId="5E786C67">
            <w:pPr>
              <w:pStyle w:val="187"/>
              <w:widowControl w:val="0"/>
              <w:spacing w:line="440" w:lineRule="exact"/>
              <w:jc w:val="left"/>
              <w:rPr>
                <w:rStyle w:val="44"/>
                <w:rFonts w:hint="eastAsia" w:ascii="宋体" w:hAnsi="宋体" w:eastAsia="宋体" w:cs="宋体"/>
                <w:color w:val="auto"/>
                <w:kern w:val="2"/>
                <w:sz w:val="21"/>
                <w:szCs w:val="21"/>
                <w:highlight w:val="none"/>
                <w:lang w:val="en-US" w:eastAsia="zh-CN" w:bidi="ar-SA"/>
              </w:rPr>
            </w:pPr>
            <w:r>
              <w:rPr>
                <w:rStyle w:val="44"/>
                <w:rFonts w:hint="eastAsia" w:ascii="宋体" w:hAnsi="宋体" w:eastAsia="宋体" w:cs="宋体"/>
                <w:color w:val="auto"/>
                <w:kern w:val="2"/>
                <w:sz w:val="21"/>
                <w:szCs w:val="21"/>
                <w:highlight w:val="none"/>
                <w:lang w:val="en-US" w:eastAsia="zh-CN" w:bidi="ar-SA"/>
              </w:rPr>
              <w:t>评审内容：1.针对项目实际，制定项目风险预测和防范、事故应急预案措施科学、合理、切合实际的得1-2分；不完整或没有的得</w:t>
            </w:r>
            <w:r>
              <w:rPr>
                <w:rStyle w:val="44"/>
                <w:rFonts w:hint="eastAsia" w:ascii="宋体" w:hAnsi="宋体" w:eastAsia="宋体" w:cs="宋体"/>
                <w:strike w:val="0"/>
                <w:dstrike w:val="0"/>
                <w:color w:val="auto"/>
                <w:kern w:val="2"/>
                <w:sz w:val="21"/>
                <w:szCs w:val="21"/>
                <w:highlight w:val="none"/>
                <w:lang w:val="en-US" w:eastAsia="zh-CN" w:bidi="ar-SA"/>
              </w:rPr>
              <w:t>0.1-0.9</w:t>
            </w:r>
            <w:r>
              <w:rPr>
                <w:rStyle w:val="44"/>
                <w:rFonts w:hint="eastAsia" w:ascii="宋体" w:hAnsi="宋体" w:eastAsia="宋体" w:cs="宋体"/>
                <w:color w:val="auto"/>
                <w:kern w:val="2"/>
                <w:sz w:val="21"/>
                <w:szCs w:val="21"/>
                <w:highlight w:val="none"/>
                <w:lang w:val="en-US" w:eastAsia="zh-CN" w:bidi="ar-SA"/>
              </w:rPr>
              <w:t>分。</w:t>
            </w:r>
          </w:p>
          <w:p w14:paraId="43332E66">
            <w:pPr>
              <w:pStyle w:val="119"/>
              <w:ind w:left="0" w:leftChars="0" w:firstLine="0" w:firstLineChars="0"/>
              <w:rPr>
                <w:rFonts w:hint="eastAsia" w:ascii="宋体" w:hAnsi="宋体" w:eastAsia="宋体" w:cs="宋体"/>
                <w:color w:val="auto"/>
                <w:kern w:val="2"/>
                <w:sz w:val="21"/>
                <w:szCs w:val="21"/>
                <w:highlight w:val="none"/>
                <w:lang w:val="en-US" w:eastAsia="zh-CN" w:bidi="ar-SA"/>
              </w:rPr>
            </w:pPr>
            <w:r>
              <w:rPr>
                <w:rStyle w:val="44"/>
                <w:rFonts w:hint="eastAsia" w:ascii="宋体" w:hAnsi="宋体" w:cs="宋体"/>
                <w:color w:val="auto"/>
                <w:kern w:val="2"/>
                <w:sz w:val="21"/>
                <w:szCs w:val="21"/>
                <w:highlight w:val="none"/>
                <w:lang w:val="en-US" w:eastAsia="zh-CN" w:bidi="ar-SA"/>
              </w:rPr>
              <w:t>分值：</w:t>
            </w:r>
            <w:r>
              <w:rPr>
                <w:rStyle w:val="44"/>
                <w:rFonts w:hint="eastAsia" w:ascii="宋体" w:hAnsi="宋体" w:eastAsia="宋体" w:cs="宋体"/>
                <w:color w:val="auto"/>
                <w:kern w:val="2"/>
                <w:sz w:val="21"/>
                <w:szCs w:val="21"/>
                <w:highlight w:val="none"/>
                <w:lang w:val="en-US" w:eastAsia="zh-CN" w:bidi="ar-SA"/>
              </w:rPr>
              <w:t>0.1-</w:t>
            </w:r>
            <w:r>
              <w:rPr>
                <w:rStyle w:val="44"/>
                <w:rFonts w:hint="eastAsia" w:cs="宋体"/>
                <w:color w:val="auto"/>
                <w:kern w:val="2"/>
                <w:sz w:val="21"/>
                <w:szCs w:val="21"/>
                <w:highlight w:val="none"/>
                <w:lang w:val="en-US" w:eastAsia="zh-CN" w:bidi="ar-SA"/>
              </w:rPr>
              <w:t>0</w:t>
            </w:r>
            <w:r>
              <w:rPr>
                <w:rStyle w:val="44"/>
                <w:rFonts w:hint="eastAsia" w:ascii="宋体" w:hAnsi="宋体" w:eastAsia="宋体" w:cs="宋体"/>
                <w:color w:val="auto"/>
                <w:kern w:val="2"/>
                <w:sz w:val="21"/>
                <w:szCs w:val="21"/>
                <w:highlight w:val="none"/>
                <w:lang w:val="en-US" w:eastAsia="zh-CN" w:bidi="ar-SA"/>
              </w:rPr>
              <w:t>.9</w:t>
            </w:r>
            <w:r>
              <w:rPr>
                <w:rStyle w:val="44"/>
                <w:rFonts w:hint="eastAsia" w:ascii="宋体" w:hAnsi="宋体" w:cs="宋体"/>
                <w:color w:val="auto"/>
                <w:kern w:val="2"/>
                <w:sz w:val="21"/>
                <w:szCs w:val="21"/>
                <w:highlight w:val="none"/>
                <w:lang w:val="en-US" w:eastAsia="zh-CN" w:bidi="ar-SA"/>
              </w:rPr>
              <w:t>；</w:t>
            </w:r>
            <w:r>
              <w:rPr>
                <w:rStyle w:val="44"/>
                <w:rFonts w:hint="eastAsia" w:cs="宋体"/>
                <w:color w:val="auto"/>
                <w:kern w:val="2"/>
                <w:sz w:val="21"/>
                <w:szCs w:val="21"/>
                <w:highlight w:val="none"/>
                <w:lang w:val="en-US" w:eastAsia="zh-CN" w:bidi="ar-SA"/>
              </w:rPr>
              <w:t>1</w:t>
            </w:r>
            <w:r>
              <w:rPr>
                <w:rStyle w:val="44"/>
                <w:rFonts w:hint="eastAsia" w:ascii="宋体" w:hAnsi="宋体" w:eastAsia="宋体" w:cs="宋体"/>
                <w:color w:val="auto"/>
                <w:kern w:val="2"/>
                <w:sz w:val="21"/>
                <w:szCs w:val="21"/>
                <w:highlight w:val="none"/>
                <w:lang w:val="en-US" w:eastAsia="zh-CN" w:bidi="ar-SA"/>
              </w:rPr>
              <w:t>-</w:t>
            </w:r>
            <w:r>
              <w:rPr>
                <w:rStyle w:val="44"/>
                <w:rFonts w:hint="eastAsia" w:cs="宋体"/>
                <w:color w:val="auto"/>
                <w:kern w:val="2"/>
                <w:sz w:val="21"/>
                <w:szCs w:val="21"/>
                <w:highlight w:val="none"/>
                <w:lang w:val="en-US" w:eastAsia="zh-CN" w:bidi="ar-SA"/>
              </w:rPr>
              <w:t>2</w:t>
            </w:r>
            <w:r>
              <w:rPr>
                <w:rStyle w:val="44"/>
                <w:rFonts w:hint="eastAsia" w:ascii="宋体" w:hAnsi="宋体" w:cs="宋体"/>
                <w:color w:val="auto"/>
                <w:kern w:val="2"/>
                <w:sz w:val="21"/>
                <w:szCs w:val="21"/>
                <w:highlight w:val="none"/>
                <w:lang w:val="en-US" w:eastAsia="zh-CN" w:bidi="ar-SA"/>
              </w:rPr>
              <w:t>。</w:t>
            </w:r>
          </w:p>
        </w:tc>
      </w:tr>
      <w:tr w14:paraId="12F834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746" w:type="dxa"/>
            <w:vMerge w:val="continue"/>
            <w:tcBorders>
              <w:left w:val="single" w:color="auto" w:sz="4" w:space="0"/>
            </w:tcBorders>
            <w:vAlign w:val="center"/>
          </w:tcPr>
          <w:p w14:paraId="00279E4C">
            <w:pPr>
              <w:jc w:val="center"/>
              <w:rPr>
                <w:rFonts w:ascii="Arial"/>
                <w:color w:val="auto"/>
                <w:highlight w:val="none"/>
              </w:rPr>
            </w:pPr>
          </w:p>
        </w:tc>
        <w:tc>
          <w:tcPr>
            <w:tcW w:w="1058" w:type="dxa"/>
            <w:gridSpan w:val="2"/>
            <w:vMerge w:val="continue"/>
            <w:vAlign w:val="center"/>
          </w:tcPr>
          <w:p w14:paraId="5CEE8F6D">
            <w:pPr>
              <w:jc w:val="center"/>
              <w:rPr>
                <w:rFonts w:ascii="Arial"/>
                <w:color w:val="auto"/>
                <w:highlight w:val="none"/>
              </w:rPr>
            </w:pPr>
          </w:p>
        </w:tc>
        <w:tc>
          <w:tcPr>
            <w:tcW w:w="1754" w:type="dxa"/>
            <w:tcBorders>
              <w:top w:val="single" w:color="auto" w:sz="4" w:space="0"/>
              <w:bottom w:val="single" w:color="auto" w:sz="4" w:space="0"/>
            </w:tcBorders>
            <w:shd w:val="clear" w:color="auto" w:fill="auto"/>
            <w:vAlign w:val="center"/>
          </w:tcPr>
          <w:p w14:paraId="1F08D681">
            <w:pPr>
              <w:pStyle w:val="187"/>
              <w:widowControl w:val="0"/>
              <w:spacing w:line="440" w:lineRule="exact"/>
              <w:jc w:val="center"/>
              <w:rPr>
                <w:rFonts w:hint="eastAsia" w:ascii="宋体" w:hAnsi="宋体" w:eastAsia="宋体" w:cs="宋体"/>
                <w:color w:val="auto"/>
                <w:kern w:val="2"/>
                <w:sz w:val="21"/>
                <w:szCs w:val="21"/>
                <w:highlight w:val="none"/>
                <w:lang w:val="en-US" w:eastAsia="zh-CN" w:bidi="ar-SA"/>
              </w:rPr>
            </w:pPr>
            <w:r>
              <w:rPr>
                <w:rStyle w:val="44"/>
                <w:rFonts w:hint="eastAsia" w:ascii="宋体" w:hAnsi="宋体" w:eastAsia="宋体" w:cs="宋体"/>
                <w:color w:val="auto"/>
                <w:kern w:val="2"/>
                <w:sz w:val="21"/>
                <w:szCs w:val="21"/>
                <w:highlight w:val="none"/>
                <w:lang w:val="en-US" w:eastAsia="zh-CN" w:bidi="ar-SA"/>
              </w:rPr>
              <w:t>项目组织管理方案</w:t>
            </w:r>
          </w:p>
        </w:tc>
        <w:tc>
          <w:tcPr>
            <w:tcW w:w="855" w:type="dxa"/>
            <w:gridSpan w:val="2"/>
            <w:tcBorders>
              <w:top w:val="single" w:color="auto" w:sz="4" w:space="0"/>
              <w:bottom w:val="single" w:color="auto" w:sz="4" w:space="0"/>
            </w:tcBorders>
            <w:shd w:val="clear" w:color="auto" w:fill="auto"/>
            <w:vAlign w:val="center"/>
          </w:tcPr>
          <w:p w14:paraId="0BF1E9FE">
            <w:pPr>
              <w:pStyle w:val="185"/>
              <w:spacing w:before="68" w:line="221" w:lineRule="auto"/>
              <w:ind w:left="10" w:leftChars="0" w:hanging="10" w:hangingChars="5"/>
              <w:jc w:val="center"/>
              <w:rPr>
                <w:rFonts w:hint="eastAsia" w:ascii="宋体" w:hAnsi="宋体" w:eastAsia="宋体" w:cs="宋体"/>
                <w:color w:val="auto"/>
                <w:kern w:val="2"/>
                <w:sz w:val="21"/>
                <w:szCs w:val="21"/>
                <w:highlight w:val="none"/>
                <w:lang w:val="en-US" w:eastAsia="zh-CN" w:bidi="ar-SA"/>
              </w:rPr>
            </w:pPr>
            <w:r>
              <w:rPr>
                <w:rFonts w:hint="eastAsia"/>
                <w:color w:val="auto"/>
                <w:sz w:val="21"/>
                <w:szCs w:val="21"/>
                <w:highlight w:val="none"/>
                <w:lang w:eastAsia="zh-CN"/>
              </w:rPr>
              <w:t>2</w:t>
            </w:r>
          </w:p>
        </w:tc>
        <w:tc>
          <w:tcPr>
            <w:tcW w:w="4620" w:type="dxa"/>
            <w:shd w:val="clear" w:color="auto" w:fill="auto"/>
            <w:vAlign w:val="center"/>
          </w:tcPr>
          <w:p w14:paraId="60516A6B">
            <w:pPr>
              <w:pStyle w:val="187"/>
              <w:widowControl w:val="0"/>
              <w:spacing w:line="440" w:lineRule="exact"/>
              <w:jc w:val="left"/>
              <w:rPr>
                <w:rStyle w:val="44"/>
                <w:rFonts w:hint="eastAsia" w:ascii="宋体" w:hAnsi="宋体" w:eastAsia="宋体" w:cs="宋体"/>
                <w:color w:val="auto"/>
                <w:kern w:val="2"/>
                <w:sz w:val="21"/>
                <w:szCs w:val="21"/>
                <w:highlight w:val="none"/>
                <w:lang w:val="en-US" w:eastAsia="zh-CN" w:bidi="ar-SA"/>
              </w:rPr>
            </w:pPr>
            <w:r>
              <w:rPr>
                <w:rStyle w:val="44"/>
                <w:rFonts w:hint="eastAsia" w:ascii="宋体" w:hAnsi="宋体" w:eastAsia="宋体" w:cs="宋体"/>
                <w:color w:val="auto"/>
                <w:kern w:val="2"/>
                <w:sz w:val="21"/>
                <w:szCs w:val="21"/>
                <w:highlight w:val="none"/>
                <w:lang w:val="en-US" w:eastAsia="zh-CN" w:bidi="ar-SA"/>
              </w:rPr>
              <w:t>评审内容：1.项目组织管理架构设计合理、人员配置及人员组织保障措施科学、项目投资控制措施明确详细、内控流程设计及应急事件处理措施科学、得当与工程匹配的得</w:t>
            </w:r>
            <w:r>
              <w:rPr>
                <w:rStyle w:val="44"/>
                <w:rFonts w:hint="eastAsia" w:cs="宋体"/>
                <w:color w:val="auto"/>
                <w:kern w:val="2"/>
                <w:sz w:val="21"/>
                <w:szCs w:val="21"/>
                <w:highlight w:val="none"/>
                <w:lang w:val="en-US" w:eastAsia="zh-CN" w:bidi="ar-SA"/>
              </w:rPr>
              <w:t>1</w:t>
            </w:r>
            <w:r>
              <w:rPr>
                <w:rStyle w:val="44"/>
                <w:rFonts w:hint="eastAsia" w:ascii="宋体" w:hAnsi="宋体" w:eastAsia="宋体" w:cs="宋体"/>
                <w:color w:val="auto"/>
                <w:kern w:val="2"/>
                <w:sz w:val="21"/>
                <w:szCs w:val="21"/>
                <w:highlight w:val="none"/>
                <w:lang w:val="en-US" w:eastAsia="zh-CN" w:bidi="ar-SA"/>
              </w:rPr>
              <w:t>-</w:t>
            </w:r>
            <w:r>
              <w:rPr>
                <w:rStyle w:val="44"/>
                <w:rFonts w:hint="eastAsia" w:cs="宋体"/>
                <w:color w:val="auto"/>
                <w:kern w:val="2"/>
                <w:sz w:val="21"/>
                <w:szCs w:val="21"/>
                <w:highlight w:val="none"/>
                <w:lang w:val="en-US" w:eastAsia="zh-CN" w:bidi="ar-SA"/>
              </w:rPr>
              <w:t>2</w:t>
            </w:r>
            <w:r>
              <w:rPr>
                <w:rStyle w:val="44"/>
                <w:rFonts w:hint="eastAsia" w:ascii="宋体" w:hAnsi="宋体" w:eastAsia="宋体" w:cs="宋体"/>
                <w:color w:val="auto"/>
                <w:kern w:val="2"/>
                <w:sz w:val="21"/>
                <w:szCs w:val="21"/>
                <w:highlight w:val="none"/>
                <w:lang w:val="en-US" w:eastAsia="zh-CN" w:bidi="ar-SA"/>
              </w:rPr>
              <w:t>分；2.不完整或没有的得0.1-</w:t>
            </w:r>
            <w:r>
              <w:rPr>
                <w:rStyle w:val="44"/>
                <w:rFonts w:hint="eastAsia" w:cs="宋体"/>
                <w:color w:val="auto"/>
                <w:kern w:val="2"/>
                <w:sz w:val="21"/>
                <w:szCs w:val="21"/>
                <w:highlight w:val="none"/>
                <w:lang w:val="en-US" w:eastAsia="zh-CN" w:bidi="ar-SA"/>
              </w:rPr>
              <w:t>0</w:t>
            </w:r>
            <w:r>
              <w:rPr>
                <w:rStyle w:val="44"/>
                <w:rFonts w:hint="eastAsia" w:ascii="宋体" w:hAnsi="宋体" w:eastAsia="宋体" w:cs="宋体"/>
                <w:color w:val="auto"/>
                <w:kern w:val="2"/>
                <w:sz w:val="21"/>
                <w:szCs w:val="21"/>
                <w:highlight w:val="none"/>
                <w:lang w:val="en-US" w:eastAsia="zh-CN" w:bidi="ar-SA"/>
              </w:rPr>
              <w:t>.9分。</w:t>
            </w:r>
          </w:p>
          <w:p w14:paraId="5B780A62">
            <w:pPr>
              <w:pStyle w:val="119"/>
              <w:ind w:left="0" w:leftChars="0" w:firstLine="0" w:firstLineChars="0"/>
              <w:rPr>
                <w:rFonts w:hint="eastAsia" w:ascii="宋体" w:hAnsi="宋体" w:eastAsia="宋体" w:cs="宋体"/>
                <w:color w:val="auto"/>
                <w:kern w:val="2"/>
                <w:sz w:val="21"/>
                <w:szCs w:val="21"/>
                <w:highlight w:val="none"/>
                <w:lang w:val="en-US" w:eastAsia="zh-CN" w:bidi="ar-SA"/>
              </w:rPr>
            </w:pPr>
            <w:r>
              <w:rPr>
                <w:rStyle w:val="44"/>
                <w:rFonts w:hint="eastAsia" w:ascii="宋体" w:hAnsi="宋体" w:cs="宋体"/>
                <w:color w:val="auto"/>
                <w:kern w:val="2"/>
                <w:sz w:val="21"/>
                <w:szCs w:val="21"/>
                <w:highlight w:val="none"/>
                <w:lang w:val="en-US" w:eastAsia="zh-CN" w:bidi="ar-SA"/>
              </w:rPr>
              <w:t>分值：</w:t>
            </w:r>
            <w:r>
              <w:rPr>
                <w:rStyle w:val="44"/>
                <w:rFonts w:hint="eastAsia" w:ascii="宋体" w:hAnsi="宋体" w:eastAsia="宋体" w:cs="宋体"/>
                <w:color w:val="auto"/>
                <w:kern w:val="2"/>
                <w:sz w:val="21"/>
                <w:szCs w:val="21"/>
                <w:highlight w:val="none"/>
                <w:lang w:val="en-US" w:eastAsia="zh-CN" w:bidi="ar-SA"/>
              </w:rPr>
              <w:t>0.1-</w:t>
            </w:r>
            <w:r>
              <w:rPr>
                <w:rStyle w:val="44"/>
                <w:rFonts w:hint="eastAsia" w:cs="宋体"/>
                <w:color w:val="auto"/>
                <w:kern w:val="2"/>
                <w:sz w:val="21"/>
                <w:szCs w:val="21"/>
                <w:highlight w:val="none"/>
                <w:lang w:val="en-US" w:eastAsia="zh-CN" w:bidi="ar-SA"/>
              </w:rPr>
              <w:t>0</w:t>
            </w:r>
            <w:r>
              <w:rPr>
                <w:rStyle w:val="44"/>
                <w:rFonts w:hint="eastAsia" w:ascii="宋体" w:hAnsi="宋体" w:eastAsia="宋体" w:cs="宋体"/>
                <w:color w:val="auto"/>
                <w:kern w:val="2"/>
                <w:sz w:val="21"/>
                <w:szCs w:val="21"/>
                <w:highlight w:val="none"/>
                <w:lang w:val="en-US" w:eastAsia="zh-CN" w:bidi="ar-SA"/>
              </w:rPr>
              <w:t>.9</w:t>
            </w:r>
            <w:r>
              <w:rPr>
                <w:rStyle w:val="44"/>
                <w:rFonts w:hint="eastAsia" w:ascii="宋体" w:hAnsi="宋体" w:cs="宋体"/>
                <w:color w:val="auto"/>
                <w:kern w:val="2"/>
                <w:sz w:val="21"/>
                <w:szCs w:val="21"/>
                <w:highlight w:val="none"/>
                <w:lang w:val="en-US" w:eastAsia="zh-CN" w:bidi="ar-SA"/>
              </w:rPr>
              <w:t>；</w:t>
            </w:r>
            <w:r>
              <w:rPr>
                <w:rStyle w:val="44"/>
                <w:rFonts w:hint="eastAsia" w:cs="宋体"/>
                <w:color w:val="auto"/>
                <w:kern w:val="2"/>
                <w:sz w:val="21"/>
                <w:szCs w:val="21"/>
                <w:highlight w:val="none"/>
                <w:lang w:val="en-US" w:eastAsia="zh-CN" w:bidi="ar-SA"/>
              </w:rPr>
              <w:t>1</w:t>
            </w:r>
            <w:r>
              <w:rPr>
                <w:rStyle w:val="44"/>
                <w:rFonts w:hint="eastAsia" w:ascii="宋体" w:hAnsi="宋体" w:eastAsia="宋体" w:cs="宋体"/>
                <w:color w:val="auto"/>
                <w:kern w:val="2"/>
                <w:sz w:val="21"/>
                <w:szCs w:val="21"/>
                <w:highlight w:val="none"/>
                <w:lang w:val="en-US" w:eastAsia="zh-CN" w:bidi="ar-SA"/>
              </w:rPr>
              <w:t>-</w:t>
            </w:r>
            <w:r>
              <w:rPr>
                <w:rStyle w:val="44"/>
                <w:rFonts w:hint="eastAsia" w:cs="宋体"/>
                <w:color w:val="auto"/>
                <w:kern w:val="2"/>
                <w:sz w:val="21"/>
                <w:szCs w:val="21"/>
                <w:highlight w:val="none"/>
                <w:lang w:val="en-US" w:eastAsia="zh-CN" w:bidi="ar-SA"/>
              </w:rPr>
              <w:t>2</w:t>
            </w:r>
            <w:r>
              <w:rPr>
                <w:rStyle w:val="44"/>
                <w:rFonts w:hint="eastAsia" w:ascii="宋体" w:hAnsi="宋体" w:cs="宋体"/>
                <w:color w:val="auto"/>
                <w:kern w:val="2"/>
                <w:sz w:val="21"/>
                <w:szCs w:val="21"/>
                <w:highlight w:val="none"/>
                <w:lang w:val="en-US" w:eastAsia="zh-CN" w:bidi="ar-SA"/>
              </w:rPr>
              <w:t>。</w:t>
            </w:r>
          </w:p>
        </w:tc>
      </w:tr>
      <w:tr w14:paraId="79CF5B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2" w:hRule="atLeast"/>
        </w:trPr>
        <w:tc>
          <w:tcPr>
            <w:tcW w:w="746" w:type="dxa"/>
            <w:vMerge w:val="continue"/>
            <w:tcBorders>
              <w:left w:val="single" w:color="auto" w:sz="4" w:space="0"/>
            </w:tcBorders>
            <w:vAlign w:val="center"/>
          </w:tcPr>
          <w:p w14:paraId="6F84757F">
            <w:pPr>
              <w:jc w:val="center"/>
              <w:rPr>
                <w:rFonts w:ascii="Arial"/>
                <w:color w:val="auto"/>
                <w:highlight w:val="none"/>
              </w:rPr>
            </w:pPr>
          </w:p>
        </w:tc>
        <w:tc>
          <w:tcPr>
            <w:tcW w:w="1058" w:type="dxa"/>
            <w:gridSpan w:val="2"/>
            <w:vMerge w:val="continue"/>
            <w:vAlign w:val="center"/>
          </w:tcPr>
          <w:p w14:paraId="17035853">
            <w:pPr>
              <w:jc w:val="center"/>
              <w:rPr>
                <w:rFonts w:ascii="Arial"/>
                <w:color w:val="auto"/>
                <w:highlight w:val="none"/>
              </w:rPr>
            </w:pPr>
          </w:p>
        </w:tc>
        <w:tc>
          <w:tcPr>
            <w:tcW w:w="1754" w:type="dxa"/>
            <w:tcBorders>
              <w:top w:val="single" w:color="auto" w:sz="4" w:space="0"/>
              <w:bottom w:val="single" w:color="auto" w:sz="4" w:space="0"/>
            </w:tcBorders>
            <w:shd w:val="clear" w:color="auto" w:fill="auto"/>
            <w:vAlign w:val="center"/>
          </w:tcPr>
          <w:p w14:paraId="4E765E2E">
            <w:pPr>
              <w:pStyle w:val="187"/>
              <w:widowControl w:val="0"/>
              <w:spacing w:line="440" w:lineRule="exact"/>
              <w:jc w:val="center"/>
              <w:rPr>
                <w:rFonts w:hint="eastAsia" w:ascii="宋体" w:hAnsi="宋体" w:eastAsia="宋体" w:cs="宋体"/>
                <w:color w:val="auto"/>
                <w:kern w:val="2"/>
                <w:sz w:val="21"/>
                <w:szCs w:val="21"/>
                <w:highlight w:val="none"/>
                <w:lang w:val="en-US" w:eastAsia="zh-CN" w:bidi="ar-SA"/>
              </w:rPr>
            </w:pPr>
            <w:r>
              <w:rPr>
                <w:rStyle w:val="44"/>
                <w:rFonts w:hint="eastAsia" w:ascii="宋体" w:hAnsi="宋体" w:eastAsia="宋体" w:cs="宋体"/>
                <w:color w:val="auto"/>
                <w:kern w:val="2"/>
                <w:sz w:val="21"/>
                <w:szCs w:val="21"/>
                <w:highlight w:val="none"/>
                <w:lang w:val="en-US" w:eastAsia="zh-CN" w:bidi="ar-SA"/>
              </w:rPr>
              <w:t>施工方案与技术措施</w:t>
            </w:r>
          </w:p>
        </w:tc>
        <w:tc>
          <w:tcPr>
            <w:tcW w:w="855" w:type="dxa"/>
            <w:gridSpan w:val="2"/>
            <w:tcBorders>
              <w:top w:val="single" w:color="auto" w:sz="4" w:space="0"/>
              <w:bottom w:val="single" w:color="auto" w:sz="4" w:space="0"/>
            </w:tcBorders>
            <w:shd w:val="clear" w:color="auto" w:fill="auto"/>
            <w:vAlign w:val="center"/>
          </w:tcPr>
          <w:p w14:paraId="28AFDB6E">
            <w:pPr>
              <w:pStyle w:val="185"/>
              <w:spacing w:before="68" w:line="221" w:lineRule="auto"/>
              <w:jc w:val="center"/>
              <w:rPr>
                <w:rFonts w:hint="eastAsia" w:ascii="宋体" w:hAnsi="宋体" w:eastAsia="宋体" w:cs="宋体"/>
                <w:color w:val="auto"/>
                <w:kern w:val="2"/>
                <w:sz w:val="21"/>
                <w:szCs w:val="21"/>
                <w:highlight w:val="none"/>
                <w:lang w:val="en-US" w:eastAsia="zh-CN" w:bidi="ar-SA"/>
              </w:rPr>
            </w:pPr>
            <w:r>
              <w:rPr>
                <w:rFonts w:hint="eastAsia"/>
                <w:color w:val="auto"/>
                <w:sz w:val="21"/>
                <w:szCs w:val="21"/>
                <w:highlight w:val="none"/>
                <w:lang w:val="en-US" w:eastAsia="zh-CN"/>
              </w:rPr>
              <w:t>2</w:t>
            </w:r>
          </w:p>
        </w:tc>
        <w:tc>
          <w:tcPr>
            <w:tcW w:w="4620" w:type="dxa"/>
            <w:shd w:val="clear" w:color="auto" w:fill="auto"/>
            <w:vAlign w:val="center"/>
          </w:tcPr>
          <w:p w14:paraId="7AB0DC91">
            <w:pPr>
              <w:pStyle w:val="187"/>
              <w:widowControl w:val="0"/>
              <w:spacing w:line="440" w:lineRule="exact"/>
              <w:jc w:val="left"/>
              <w:rPr>
                <w:rStyle w:val="44"/>
                <w:rFonts w:hint="eastAsia" w:ascii="宋体" w:hAnsi="宋体" w:eastAsia="宋体" w:cs="宋体"/>
                <w:color w:val="auto"/>
                <w:kern w:val="2"/>
                <w:sz w:val="21"/>
                <w:szCs w:val="21"/>
                <w:highlight w:val="none"/>
                <w:lang w:val="en-US" w:eastAsia="zh-CN" w:bidi="ar-SA"/>
              </w:rPr>
            </w:pPr>
            <w:r>
              <w:rPr>
                <w:rStyle w:val="44"/>
                <w:rFonts w:hint="eastAsia" w:ascii="宋体" w:hAnsi="宋体" w:eastAsia="宋体" w:cs="宋体"/>
                <w:color w:val="auto"/>
                <w:kern w:val="2"/>
                <w:sz w:val="21"/>
                <w:szCs w:val="21"/>
                <w:highlight w:val="none"/>
                <w:lang w:val="en-US" w:eastAsia="zh-CN" w:bidi="ar-SA"/>
              </w:rPr>
              <w:t>评审内容：1.施工技术方案科学、全面、合理，各分部分项工程施工技术措施考虑周全，有针对性的得1-2分；</w:t>
            </w:r>
            <w:r>
              <w:rPr>
                <w:rStyle w:val="44"/>
                <w:rFonts w:hint="eastAsia" w:cs="宋体"/>
                <w:color w:val="auto"/>
                <w:kern w:val="2"/>
                <w:sz w:val="21"/>
                <w:szCs w:val="21"/>
                <w:highlight w:val="none"/>
                <w:lang w:val="en-US" w:eastAsia="zh-CN" w:bidi="ar-SA"/>
              </w:rPr>
              <w:t>2.</w:t>
            </w:r>
            <w:r>
              <w:rPr>
                <w:rStyle w:val="44"/>
                <w:rFonts w:hint="eastAsia" w:ascii="宋体" w:hAnsi="宋体" w:eastAsia="宋体" w:cs="宋体"/>
                <w:color w:val="auto"/>
                <w:kern w:val="2"/>
                <w:sz w:val="21"/>
                <w:szCs w:val="21"/>
                <w:highlight w:val="none"/>
                <w:lang w:val="en-US" w:eastAsia="zh-CN" w:bidi="ar-SA"/>
              </w:rPr>
              <w:t>不完整或没有的得</w:t>
            </w:r>
            <w:r>
              <w:rPr>
                <w:rStyle w:val="44"/>
                <w:rFonts w:hint="eastAsia" w:ascii="宋体" w:hAnsi="宋体" w:eastAsia="宋体" w:cs="宋体"/>
                <w:strike w:val="0"/>
                <w:dstrike w:val="0"/>
                <w:color w:val="auto"/>
                <w:kern w:val="2"/>
                <w:sz w:val="21"/>
                <w:szCs w:val="21"/>
                <w:highlight w:val="none"/>
                <w:lang w:val="en-US" w:eastAsia="zh-CN" w:bidi="ar-SA"/>
              </w:rPr>
              <w:t>0</w:t>
            </w:r>
            <w:r>
              <w:rPr>
                <w:rStyle w:val="44"/>
                <w:rFonts w:hint="eastAsia" w:cs="宋体"/>
                <w:strike w:val="0"/>
                <w:dstrike w:val="0"/>
                <w:color w:val="auto"/>
                <w:kern w:val="2"/>
                <w:sz w:val="21"/>
                <w:szCs w:val="21"/>
                <w:highlight w:val="none"/>
                <w:lang w:val="en-US" w:eastAsia="zh-CN" w:bidi="ar-SA"/>
              </w:rPr>
              <w:t>.1</w:t>
            </w:r>
            <w:r>
              <w:rPr>
                <w:rStyle w:val="44"/>
                <w:rFonts w:hint="eastAsia" w:ascii="宋体" w:hAnsi="宋体" w:eastAsia="宋体" w:cs="宋体"/>
                <w:strike w:val="0"/>
                <w:dstrike w:val="0"/>
                <w:color w:val="auto"/>
                <w:kern w:val="2"/>
                <w:sz w:val="21"/>
                <w:szCs w:val="21"/>
                <w:highlight w:val="none"/>
                <w:lang w:val="en-US" w:eastAsia="zh-CN" w:bidi="ar-SA"/>
              </w:rPr>
              <w:t>-0.9</w:t>
            </w:r>
            <w:r>
              <w:rPr>
                <w:rStyle w:val="44"/>
                <w:rFonts w:hint="eastAsia" w:ascii="宋体" w:hAnsi="宋体" w:eastAsia="宋体" w:cs="宋体"/>
                <w:color w:val="auto"/>
                <w:kern w:val="2"/>
                <w:sz w:val="21"/>
                <w:szCs w:val="21"/>
                <w:highlight w:val="none"/>
                <w:lang w:val="en-US" w:eastAsia="zh-CN" w:bidi="ar-SA"/>
              </w:rPr>
              <w:t>分。</w:t>
            </w:r>
          </w:p>
          <w:p w14:paraId="173F2D83">
            <w:pPr>
              <w:pStyle w:val="119"/>
              <w:ind w:left="0" w:leftChars="0" w:firstLine="0" w:firstLineChars="0"/>
              <w:rPr>
                <w:rFonts w:hint="eastAsia" w:ascii="宋体" w:hAnsi="宋体" w:eastAsia="宋体" w:cs="宋体"/>
                <w:color w:val="auto"/>
                <w:kern w:val="2"/>
                <w:sz w:val="21"/>
                <w:szCs w:val="21"/>
                <w:highlight w:val="none"/>
                <w:lang w:val="en-US" w:eastAsia="zh-CN" w:bidi="ar-SA"/>
              </w:rPr>
            </w:pPr>
            <w:r>
              <w:rPr>
                <w:rStyle w:val="44"/>
                <w:rFonts w:hint="eastAsia" w:ascii="宋体" w:hAnsi="宋体" w:cs="宋体"/>
                <w:color w:val="auto"/>
                <w:kern w:val="2"/>
                <w:sz w:val="21"/>
                <w:szCs w:val="21"/>
                <w:highlight w:val="none"/>
                <w:lang w:val="en-US" w:eastAsia="zh-CN" w:bidi="ar-SA"/>
              </w:rPr>
              <w:t>分值：</w:t>
            </w:r>
            <w:r>
              <w:rPr>
                <w:rStyle w:val="44"/>
                <w:rFonts w:hint="eastAsia" w:ascii="宋体" w:hAnsi="宋体" w:eastAsia="宋体" w:cs="宋体"/>
                <w:color w:val="auto"/>
                <w:kern w:val="2"/>
                <w:sz w:val="21"/>
                <w:szCs w:val="21"/>
                <w:highlight w:val="none"/>
                <w:lang w:val="en-US" w:eastAsia="zh-CN" w:bidi="ar-SA"/>
              </w:rPr>
              <w:t>0.1-</w:t>
            </w:r>
            <w:r>
              <w:rPr>
                <w:rStyle w:val="44"/>
                <w:rFonts w:hint="eastAsia" w:cs="宋体"/>
                <w:color w:val="auto"/>
                <w:kern w:val="2"/>
                <w:sz w:val="21"/>
                <w:szCs w:val="21"/>
                <w:highlight w:val="none"/>
                <w:lang w:val="en-US" w:eastAsia="zh-CN" w:bidi="ar-SA"/>
              </w:rPr>
              <w:t>0</w:t>
            </w:r>
            <w:r>
              <w:rPr>
                <w:rStyle w:val="44"/>
                <w:rFonts w:hint="eastAsia" w:ascii="宋体" w:hAnsi="宋体" w:eastAsia="宋体" w:cs="宋体"/>
                <w:color w:val="auto"/>
                <w:kern w:val="2"/>
                <w:sz w:val="21"/>
                <w:szCs w:val="21"/>
                <w:highlight w:val="none"/>
                <w:lang w:val="en-US" w:eastAsia="zh-CN" w:bidi="ar-SA"/>
              </w:rPr>
              <w:t>.9</w:t>
            </w:r>
            <w:r>
              <w:rPr>
                <w:rStyle w:val="44"/>
                <w:rFonts w:hint="eastAsia" w:ascii="宋体" w:hAnsi="宋体" w:cs="宋体"/>
                <w:color w:val="auto"/>
                <w:kern w:val="2"/>
                <w:sz w:val="21"/>
                <w:szCs w:val="21"/>
                <w:highlight w:val="none"/>
                <w:lang w:val="en-US" w:eastAsia="zh-CN" w:bidi="ar-SA"/>
              </w:rPr>
              <w:t>；</w:t>
            </w:r>
            <w:r>
              <w:rPr>
                <w:rStyle w:val="44"/>
                <w:rFonts w:hint="eastAsia" w:cs="宋体"/>
                <w:color w:val="auto"/>
                <w:kern w:val="2"/>
                <w:sz w:val="21"/>
                <w:szCs w:val="21"/>
                <w:highlight w:val="none"/>
                <w:lang w:val="en-US" w:eastAsia="zh-CN" w:bidi="ar-SA"/>
              </w:rPr>
              <w:t>1</w:t>
            </w:r>
            <w:r>
              <w:rPr>
                <w:rStyle w:val="44"/>
                <w:rFonts w:hint="eastAsia" w:ascii="宋体" w:hAnsi="宋体" w:eastAsia="宋体" w:cs="宋体"/>
                <w:color w:val="auto"/>
                <w:kern w:val="2"/>
                <w:sz w:val="21"/>
                <w:szCs w:val="21"/>
                <w:highlight w:val="none"/>
                <w:lang w:val="en-US" w:eastAsia="zh-CN" w:bidi="ar-SA"/>
              </w:rPr>
              <w:t>-</w:t>
            </w:r>
            <w:r>
              <w:rPr>
                <w:rStyle w:val="44"/>
                <w:rFonts w:hint="eastAsia" w:cs="宋体"/>
                <w:color w:val="auto"/>
                <w:kern w:val="2"/>
                <w:sz w:val="21"/>
                <w:szCs w:val="21"/>
                <w:highlight w:val="none"/>
                <w:lang w:val="en-US" w:eastAsia="zh-CN" w:bidi="ar-SA"/>
              </w:rPr>
              <w:t>2</w:t>
            </w:r>
            <w:r>
              <w:rPr>
                <w:rStyle w:val="44"/>
                <w:rFonts w:hint="eastAsia" w:ascii="宋体" w:hAnsi="宋体" w:cs="宋体"/>
                <w:color w:val="auto"/>
                <w:kern w:val="2"/>
                <w:sz w:val="21"/>
                <w:szCs w:val="21"/>
                <w:highlight w:val="none"/>
                <w:lang w:val="en-US" w:eastAsia="zh-CN" w:bidi="ar-SA"/>
              </w:rPr>
              <w:t>。</w:t>
            </w:r>
          </w:p>
        </w:tc>
      </w:tr>
      <w:tr w14:paraId="6A8E22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2" w:hRule="atLeast"/>
        </w:trPr>
        <w:tc>
          <w:tcPr>
            <w:tcW w:w="746" w:type="dxa"/>
            <w:vMerge w:val="continue"/>
            <w:tcBorders>
              <w:left w:val="single" w:color="auto" w:sz="4" w:space="0"/>
            </w:tcBorders>
            <w:vAlign w:val="center"/>
          </w:tcPr>
          <w:p w14:paraId="5163216B">
            <w:pPr>
              <w:jc w:val="center"/>
              <w:rPr>
                <w:rFonts w:ascii="Arial"/>
                <w:color w:val="auto"/>
                <w:highlight w:val="none"/>
              </w:rPr>
            </w:pPr>
          </w:p>
        </w:tc>
        <w:tc>
          <w:tcPr>
            <w:tcW w:w="1058" w:type="dxa"/>
            <w:gridSpan w:val="2"/>
            <w:vMerge w:val="continue"/>
            <w:vAlign w:val="center"/>
          </w:tcPr>
          <w:p w14:paraId="112DFAC4">
            <w:pPr>
              <w:jc w:val="center"/>
              <w:rPr>
                <w:rFonts w:ascii="Arial"/>
                <w:color w:val="auto"/>
                <w:highlight w:val="none"/>
              </w:rPr>
            </w:pPr>
          </w:p>
        </w:tc>
        <w:tc>
          <w:tcPr>
            <w:tcW w:w="1754" w:type="dxa"/>
            <w:tcBorders>
              <w:top w:val="single" w:color="auto" w:sz="4" w:space="0"/>
              <w:bottom w:val="single" w:color="auto" w:sz="4" w:space="0"/>
            </w:tcBorders>
            <w:shd w:val="clear" w:color="auto" w:fill="auto"/>
            <w:vAlign w:val="center"/>
          </w:tcPr>
          <w:p w14:paraId="7DDF2618">
            <w:pPr>
              <w:pStyle w:val="187"/>
              <w:widowControl w:val="0"/>
              <w:spacing w:line="440" w:lineRule="exact"/>
              <w:jc w:val="center"/>
              <w:rPr>
                <w:rFonts w:hint="eastAsia" w:ascii="宋体" w:hAnsi="宋体" w:eastAsia="宋体" w:cs="宋体"/>
                <w:color w:val="auto"/>
                <w:kern w:val="2"/>
                <w:sz w:val="21"/>
                <w:szCs w:val="21"/>
                <w:highlight w:val="none"/>
                <w:lang w:val="en-US" w:eastAsia="zh-CN" w:bidi="ar-SA"/>
              </w:rPr>
            </w:pPr>
            <w:r>
              <w:rPr>
                <w:rStyle w:val="44"/>
                <w:rFonts w:hint="eastAsia" w:ascii="宋体" w:hAnsi="宋体" w:eastAsia="宋体" w:cs="宋体"/>
                <w:color w:val="auto"/>
                <w:kern w:val="2"/>
                <w:sz w:val="21"/>
                <w:szCs w:val="21"/>
                <w:highlight w:val="none"/>
                <w:lang w:val="en-US" w:eastAsia="zh-CN" w:bidi="ar-SA"/>
              </w:rPr>
              <w:t>劳动力安排计划</w:t>
            </w:r>
          </w:p>
        </w:tc>
        <w:tc>
          <w:tcPr>
            <w:tcW w:w="855" w:type="dxa"/>
            <w:gridSpan w:val="2"/>
            <w:tcBorders>
              <w:top w:val="single" w:color="auto" w:sz="4" w:space="0"/>
              <w:bottom w:val="single" w:color="auto" w:sz="4" w:space="0"/>
            </w:tcBorders>
            <w:shd w:val="clear" w:color="auto" w:fill="auto"/>
            <w:vAlign w:val="center"/>
          </w:tcPr>
          <w:p w14:paraId="3753FA02">
            <w:pPr>
              <w:pStyle w:val="185"/>
              <w:spacing w:before="68" w:line="221" w:lineRule="auto"/>
              <w:ind w:left="10" w:leftChars="0" w:hanging="10" w:hangingChars="5"/>
              <w:jc w:val="center"/>
              <w:rPr>
                <w:rFonts w:hint="eastAsia" w:ascii="宋体" w:hAnsi="宋体" w:eastAsia="宋体" w:cs="宋体"/>
                <w:color w:val="auto"/>
                <w:kern w:val="2"/>
                <w:sz w:val="21"/>
                <w:szCs w:val="21"/>
                <w:highlight w:val="none"/>
                <w:lang w:val="en-US" w:eastAsia="zh-CN" w:bidi="ar-SA"/>
              </w:rPr>
            </w:pPr>
            <w:r>
              <w:rPr>
                <w:rFonts w:hint="eastAsia"/>
                <w:color w:val="auto"/>
                <w:sz w:val="21"/>
                <w:szCs w:val="21"/>
                <w:highlight w:val="none"/>
                <w:lang w:eastAsia="zh-CN"/>
              </w:rPr>
              <w:t>2</w:t>
            </w:r>
          </w:p>
        </w:tc>
        <w:tc>
          <w:tcPr>
            <w:tcW w:w="4620" w:type="dxa"/>
            <w:shd w:val="clear" w:color="auto" w:fill="auto"/>
            <w:vAlign w:val="center"/>
          </w:tcPr>
          <w:p w14:paraId="2A92242D">
            <w:pPr>
              <w:pStyle w:val="187"/>
              <w:widowControl w:val="0"/>
              <w:spacing w:line="440" w:lineRule="exact"/>
              <w:jc w:val="left"/>
              <w:rPr>
                <w:rStyle w:val="44"/>
                <w:rFonts w:hint="eastAsia" w:ascii="宋体" w:hAnsi="宋体" w:eastAsia="宋体" w:cs="宋体"/>
                <w:color w:val="auto"/>
                <w:kern w:val="2"/>
                <w:sz w:val="21"/>
                <w:szCs w:val="21"/>
                <w:highlight w:val="none"/>
                <w:lang w:val="en-US" w:eastAsia="zh-CN" w:bidi="ar-SA"/>
              </w:rPr>
            </w:pPr>
            <w:r>
              <w:rPr>
                <w:rStyle w:val="44"/>
                <w:rFonts w:hint="eastAsia" w:ascii="宋体" w:hAnsi="宋体" w:eastAsia="宋体" w:cs="宋体"/>
                <w:color w:val="auto"/>
                <w:kern w:val="2"/>
                <w:sz w:val="21"/>
                <w:szCs w:val="21"/>
                <w:highlight w:val="none"/>
                <w:lang w:val="en-US" w:eastAsia="zh-CN" w:bidi="ar-SA"/>
              </w:rPr>
              <w:t>评审内容：1.劳动力安排计划配备合理，保证措施完善，能满足施工要求的得1-2分；2.不完整或没有的得</w:t>
            </w:r>
            <w:r>
              <w:rPr>
                <w:rStyle w:val="44"/>
                <w:rFonts w:hint="eastAsia" w:ascii="宋体" w:hAnsi="宋体" w:eastAsia="宋体" w:cs="宋体"/>
                <w:strike w:val="0"/>
                <w:dstrike w:val="0"/>
                <w:color w:val="auto"/>
                <w:kern w:val="2"/>
                <w:sz w:val="21"/>
                <w:szCs w:val="21"/>
                <w:highlight w:val="none"/>
                <w:lang w:val="en-US" w:eastAsia="zh-CN" w:bidi="ar-SA"/>
              </w:rPr>
              <w:t>0.1-0.9</w:t>
            </w:r>
            <w:r>
              <w:rPr>
                <w:rStyle w:val="44"/>
                <w:rFonts w:hint="eastAsia" w:ascii="宋体" w:hAnsi="宋体" w:eastAsia="宋体" w:cs="宋体"/>
                <w:color w:val="auto"/>
                <w:kern w:val="2"/>
                <w:sz w:val="21"/>
                <w:szCs w:val="21"/>
                <w:highlight w:val="none"/>
                <w:lang w:val="en-US" w:eastAsia="zh-CN" w:bidi="ar-SA"/>
              </w:rPr>
              <w:t>分。</w:t>
            </w:r>
          </w:p>
          <w:p w14:paraId="01710D7D">
            <w:pPr>
              <w:pStyle w:val="119"/>
              <w:ind w:left="0" w:leftChars="0" w:firstLine="0" w:firstLineChars="0"/>
              <w:rPr>
                <w:rFonts w:hint="eastAsia" w:ascii="宋体" w:hAnsi="宋体" w:eastAsia="宋体" w:cs="Times New Roman"/>
                <w:color w:val="auto"/>
                <w:sz w:val="21"/>
                <w:szCs w:val="21"/>
                <w:highlight w:val="none"/>
                <w:lang w:val="en-US" w:eastAsia="zh-CN" w:bidi="ar-SA"/>
              </w:rPr>
            </w:pPr>
            <w:r>
              <w:rPr>
                <w:rStyle w:val="44"/>
                <w:rFonts w:hint="eastAsia" w:ascii="宋体" w:hAnsi="宋体" w:cs="宋体"/>
                <w:color w:val="auto"/>
                <w:kern w:val="2"/>
                <w:sz w:val="21"/>
                <w:szCs w:val="21"/>
                <w:highlight w:val="none"/>
                <w:lang w:val="en-US" w:eastAsia="zh-CN" w:bidi="ar-SA"/>
              </w:rPr>
              <w:t>分值：</w:t>
            </w:r>
            <w:r>
              <w:rPr>
                <w:rStyle w:val="44"/>
                <w:rFonts w:hint="eastAsia" w:ascii="宋体" w:hAnsi="宋体" w:eastAsia="宋体" w:cs="宋体"/>
                <w:color w:val="auto"/>
                <w:kern w:val="2"/>
                <w:sz w:val="21"/>
                <w:szCs w:val="21"/>
                <w:highlight w:val="none"/>
                <w:lang w:val="en-US" w:eastAsia="zh-CN" w:bidi="ar-SA"/>
              </w:rPr>
              <w:t>0.1-</w:t>
            </w:r>
            <w:r>
              <w:rPr>
                <w:rStyle w:val="44"/>
                <w:rFonts w:hint="eastAsia" w:cs="宋体"/>
                <w:color w:val="auto"/>
                <w:kern w:val="2"/>
                <w:sz w:val="21"/>
                <w:szCs w:val="21"/>
                <w:highlight w:val="none"/>
                <w:lang w:val="en-US" w:eastAsia="zh-CN" w:bidi="ar-SA"/>
              </w:rPr>
              <w:t>0</w:t>
            </w:r>
            <w:r>
              <w:rPr>
                <w:rStyle w:val="44"/>
                <w:rFonts w:hint="eastAsia" w:ascii="宋体" w:hAnsi="宋体" w:eastAsia="宋体" w:cs="宋体"/>
                <w:color w:val="auto"/>
                <w:kern w:val="2"/>
                <w:sz w:val="21"/>
                <w:szCs w:val="21"/>
                <w:highlight w:val="none"/>
                <w:lang w:val="en-US" w:eastAsia="zh-CN" w:bidi="ar-SA"/>
              </w:rPr>
              <w:t>.9</w:t>
            </w:r>
            <w:r>
              <w:rPr>
                <w:rStyle w:val="44"/>
                <w:rFonts w:hint="eastAsia" w:ascii="宋体" w:hAnsi="宋体" w:cs="宋体"/>
                <w:color w:val="auto"/>
                <w:kern w:val="2"/>
                <w:sz w:val="21"/>
                <w:szCs w:val="21"/>
                <w:highlight w:val="none"/>
                <w:lang w:val="en-US" w:eastAsia="zh-CN" w:bidi="ar-SA"/>
              </w:rPr>
              <w:t>；</w:t>
            </w:r>
            <w:r>
              <w:rPr>
                <w:rStyle w:val="44"/>
                <w:rFonts w:hint="eastAsia" w:cs="宋体"/>
                <w:color w:val="auto"/>
                <w:kern w:val="2"/>
                <w:sz w:val="21"/>
                <w:szCs w:val="21"/>
                <w:highlight w:val="none"/>
                <w:lang w:val="en-US" w:eastAsia="zh-CN" w:bidi="ar-SA"/>
              </w:rPr>
              <w:t>1</w:t>
            </w:r>
            <w:r>
              <w:rPr>
                <w:rStyle w:val="44"/>
                <w:rFonts w:hint="eastAsia" w:ascii="宋体" w:hAnsi="宋体" w:eastAsia="宋体" w:cs="宋体"/>
                <w:color w:val="auto"/>
                <w:kern w:val="2"/>
                <w:sz w:val="21"/>
                <w:szCs w:val="21"/>
                <w:highlight w:val="none"/>
                <w:lang w:val="en-US" w:eastAsia="zh-CN" w:bidi="ar-SA"/>
              </w:rPr>
              <w:t>-</w:t>
            </w:r>
            <w:r>
              <w:rPr>
                <w:rStyle w:val="44"/>
                <w:rFonts w:hint="eastAsia" w:cs="宋体"/>
                <w:color w:val="auto"/>
                <w:kern w:val="2"/>
                <w:sz w:val="21"/>
                <w:szCs w:val="21"/>
                <w:highlight w:val="none"/>
                <w:lang w:val="en-US" w:eastAsia="zh-CN" w:bidi="ar-SA"/>
              </w:rPr>
              <w:t>2</w:t>
            </w:r>
            <w:r>
              <w:rPr>
                <w:rStyle w:val="44"/>
                <w:rFonts w:hint="eastAsia" w:ascii="宋体" w:hAnsi="宋体" w:cs="宋体"/>
                <w:color w:val="auto"/>
                <w:kern w:val="2"/>
                <w:sz w:val="21"/>
                <w:szCs w:val="21"/>
                <w:highlight w:val="none"/>
                <w:lang w:val="en-US" w:eastAsia="zh-CN" w:bidi="ar-SA"/>
              </w:rPr>
              <w:t>。</w:t>
            </w:r>
          </w:p>
        </w:tc>
      </w:tr>
      <w:tr w14:paraId="1D52D8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746" w:type="dxa"/>
            <w:vMerge w:val="continue"/>
            <w:tcBorders>
              <w:left w:val="single" w:color="auto" w:sz="4" w:space="0"/>
            </w:tcBorders>
            <w:vAlign w:val="center"/>
          </w:tcPr>
          <w:p w14:paraId="2AFDEF1B">
            <w:pPr>
              <w:jc w:val="center"/>
              <w:rPr>
                <w:rFonts w:ascii="Arial"/>
                <w:color w:val="auto"/>
                <w:highlight w:val="none"/>
              </w:rPr>
            </w:pPr>
          </w:p>
        </w:tc>
        <w:tc>
          <w:tcPr>
            <w:tcW w:w="1058" w:type="dxa"/>
            <w:gridSpan w:val="2"/>
            <w:vMerge w:val="continue"/>
            <w:vAlign w:val="center"/>
          </w:tcPr>
          <w:p w14:paraId="64EE5E3F">
            <w:pPr>
              <w:jc w:val="center"/>
              <w:rPr>
                <w:rFonts w:ascii="Arial"/>
                <w:color w:val="auto"/>
                <w:highlight w:val="none"/>
              </w:rPr>
            </w:pPr>
          </w:p>
        </w:tc>
        <w:tc>
          <w:tcPr>
            <w:tcW w:w="1754" w:type="dxa"/>
            <w:tcBorders>
              <w:top w:val="single" w:color="auto" w:sz="4" w:space="0"/>
              <w:bottom w:val="single" w:color="auto" w:sz="4" w:space="0"/>
            </w:tcBorders>
            <w:shd w:val="clear" w:color="auto" w:fill="auto"/>
            <w:vAlign w:val="center"/>
          </w:tcPr>
          <w:p w14:paraId="05F08CA3">
            <w:pPr>
              <w:pStyle w:val="187"/>
              <w:widowControl w:val="0"/>
              <w:spacing w:line="440" w:lineRule="exact"/>
              <w:jc w:val="center"/>
              <w:rPr>
                <w:rFonts w:ascii="宋体" w:hAnsi="宋体" w:eastAsia="宋体" w:cs="宋体"/>
                <w:color w:val="auto"/>
                <w:kern w:val="2"/>
                <w:sz w:val="21"/>
                <w:szCs w:val="21"/>
                <w:highlight w:val="none"/>
                <w:lang w:val="en-US" w:eastAsia="zh-CN" w:bidi="ar-SA"/>
              </w:rPr>
            </w:pPr>
            <w:r>
              <w:rPr>
                <w:rStyle w:val="44"/>
                <w:rFonts w:hint="eastAsia" w:ascii="宋体" w:hAnsi="宋体" w:eastAsia="宋体" w:cs="宋体"/>
                <w:color w:val="auto"/>
                <w:kern w:val="2"/>
                <w:sz w:val="21"/>
                <w:szCs w:val="21"/>
                <w:highlight w:val="none"/>
                <w:lang w:val="en-US" w:eastAsia="zh-CN" w:bidi="ar-SA"/>
              </w:rPr>
              <w:t>施工机械设备投入</w:t>
            </w:r>
          </w:p>
        </w:tc>
        <w:tc>
          <w:tcPr>
            <w:tcW w:w="855" w:type="dxa"/>
            <w:gridSpan w:val="2"/>
            <w:tcBorders>
              <w:top w:val="single" w:color="auto" w:sz="4" w:space="0"/>
              <w:bottom w:val="single" w:color="auto" w:sz="4" w:space="0"/>
            </w:tcBorders>
            <w:shd w:val="clear" w:color="auto" w:fill="auto"/>
            <w:vAlign w:val="center"/>
          </w:tcPr>
          <w:p w14:paraId="7BF09B2F">
            <w:pPr>
              <w:spacing w:line="300" w:lineRule="exact"/>
              <w:ind w:firstLine="210" w:firstLineChars="100"/>
              <w:jc w:val="left"/>
              <w:rPr>
                <w:rFonts w:hint="eastAsia" w:ascii="宋体" w:hAnsi="宋体" w:eastAsia="宋体" w:cs="宋体"/>
                <w:snapToGrid w:val="0"/>
                <w:color w:val="auto"/>
                <w:kern w:val="0"/>
                <w:sz w:val="21"/>
                <w:szCs w:val="21"/>
                <w:highlight w:val="none"/>
                <w:lang w:val="en-US" w:eastAsia="zh-CN" w:bidi="ar-SA"/>
              </w:rPr>
            </w:pPr>
            <w:r>
              <w:rPr>
                <w:rFonts w:hint="eastAsia" w:ascii="宋体" w:hAnsi="宋体" w:cs="宋体"/>
                <w:bCs/>
                <w:color w:val="auto"/>
                <w:sz w:val="21"/>
                <w:szCs w:val="21"/>
                <w:highlight w:val="none"/>
                <w:lang w:val="en-US" w:eastAsia="zh-CN"/>
              </w:rPr>
              <w:t>2</w:t>
            </w:r>
          </w:p>
        </w:tc>
        <w:tc>
          <w:tcPr>
            <w:tcW w:w="4620" w:type="dxa"/>
            <w:shd w:val="clear" w:color="auto" w:fill="auto"/>
            <w:vAlign w:val="center"/>
          </w:tcPr>
          <w:p w14:paraId="275D9BB4">
            <w:pPr>
              <w:pStyle w:val="187"/>
              <w:widowControl w:val="0"/>
              <w:spacing w:line="440" w:lineRule="exact"/>
              <w:jc w:val="left"/>
              <w:rPr>
                <w:rStyle w:val="44"/>
                <w:rFonts w:hint="eastAsia" w:ascii="宋体" w:hAnsi="宋体" w:eastAsia="宋体" w:cs="宋体"/>
                <w:color w:val="auto"/>
                <w:kern w:val="2"/>
                <w:sz w:val="21"/>
                <w:szCs w:val="21"/>
                <w:highlight w:val="none"/>
                <w:lang w:val="en-US" w:eastAsia="zh-CN" w:bidi="ar-SA"/>
              </w:rPr>
            </w:pPr>
            <w:r>
              <w:rPr>
                <w:rStyle w:val="44"/>
                <w:rFonts w:hint="eastAsia" w:ascii="宋体" w:hAnsi="宋体" w:eastAsia="宋体" w:cs="宋体"/>
                <w:color w:val="auto"/>
                <w:kern w:val="2"/>
                <w:sz w:val="21"/>
                <w:szCs w:val="21"/>
                <w:highlight w:val="none"/>
                <w:lang w:val="en-US" w:eastAsia="zh-CN" w:bidi="ar-SA"/>
              </w:rPr>
              <w:t>评审内容：1.施工机械设备投入计划齐全，安排进场时间合理，保证措施完善，能满足施工要求的得1-2分；2.不完整或没有的得</w:t>
            </w:r>
            <w:r>
              <w:rPr>
                <w:rStyle w:val="44"/>
                <w:rFonts w:hint="eastAsia" w:ascii="宋体" w:hAnsi="宋体" w:eastAsia="宋体" w:cs="宋体"/>
                <w:strike w:val="0"/>
                <w:dstrike w:val="0"/>
                <w:color w:val="auto"/>
                <w:kern w:val="2"/>
                <w:sz w:val="21"/>
                <w:szCs w:val="21"/>
                <w:highlight w:val="none"/>
                <w:lang w:val="en-US" w:eastAsia="zh-CN" w:bidi="ar-SA"/>
              </w:rPr>
              <w:t>0.1-0.9</w:t>
            </w:r>
            <w:r>
              <w:rPr>
                <w:rStyle w:val="44"/>
                <w:rFonts w:hint="eastAsia" w:ascii="宋体" w:hAnsi="宋体" w:eastAsia="宋体" w:cs="宋体"/>
                <w:color w:val="auto"/>
                <w:kern w:val="2"/>
                <w:sz w:val="21"/>
                <w:szCs w:val="21"/>
                <w:highlight w:val="none"/>
                <w:lang w:val="en-US" w:eastAsia="zh-CN" w:bidi="ar-SA"/>
              </w:rPr>
              <w:t>分。</w:t>
            </w:r>
          </w:p>
          <w:p w14:paraId="79DB6C84">
            <w:pPr>
              <w:pStyle w:val="119"/>
              <w:ind w:left="0" w:leftChars="0" w:firstLine="0" w:firstLineChars="0"/>
              <w:rPr>
                <w:rFonts w:ascii="宋体" w:hAnsi="宋体" w:eastAsia="宋体" w:cs="Times New Roman"/>
                <w:color w:val="auto"/>
                <w:sz w:val="21"/>
                <w:szCs w:val="21"/>
                <w:highlight w:val="none"/>
                <w:lang w:val="en-US" w:eastAsia="zh-CN" w:bidi="ar-SA"/>
              </w:rPr>
            </w:pPr>
            <w:r>
              <w:rPr>
                <w:rStyle w:val="44"/>
                <w:rFonts w:hint="eastAsia" w:ascii="宋体" w:hAnsi="宋体" w:cs="宋体"/>
                <w:color w:val="auto"/>
                <w:kern w:val="2"/>
                <w:sz w:val="21"/>
                <w:szCs w:val="21"/>
                <w:highlight w:val="none"/>
                <w:lang w:val="en-US" w:eastAsia="zh-CN" w:bidi="ar-SA"/>
              </w:rPr>
              <w:t>分值：</w:t>
            </w:r>
            <w:r>
              <w:rPr>
                <w:rStyle w:val="44"/>
                <w:rFonts w:hint="eastAsia" w:ascii="宋体" w:hAnsi="宋体" w:eastAsia="宋体" w:cs="宋体"/>
                <w:color w:val="auto"/>
                <w:kern w:val="2"/>
                <w:sz w:val="21"/>
                <w:szCs w:val="21"/>
                <w:highlight w:val="none"/>
                <w:lang w:val="en-US" w:eastAsia="zh-CN" w:bidi="ar-SA"/>
              </w:rPr>
              <w:t>0.1-</w:t>
            </w:r>
            <w:r>
              <w:rPr>
                <w:rStyle w:val="44"/>
                <w:rFonts w:hint="eastAsia" w:cs="宋体"/>
                <w:color w:val="auto"/>
                <w:kern w:val="2"/>
                <w:sz w:val="21"/>
                <w:szCs w:val="21"/>
                <w:highlight w:val="none"/>
                <w:lang w:val="en-US" w:eastAsia="zh-CN" w:bidi="ar-SA"/>
              </w:rPr>
              <w:t>0</w:t>
            </w:r>
            <w:r>
              <w:rPr>
                <w:rStyle w:val="44"/>
                <w:rFonts w:hint="eastAsia" w:ascii="宋体" w:hAnsi="宋体" w:eastAsia="宋体" w:cs="宋体"/>
                <w:color w:val="auto"/>
                <w:kern w:val="2"/>
                <w:sz w:val="21"/>
                <w:szCs w:val="21"/>
                <w:highlight w:val="none"/>
                <w:lang w:val="en-US" w:eastAsia="zh-CN" w:bidi="ar-SA"/>
              </w:rPr>
              <w:t>.9</w:t>
            </w:r>
            <w:r>
              <w:rPr>
                <w:rStyle w:val="44"/>
                <w:rFonts w:hint="eastAsia" w:ascii="宋体" w:hAnsi="宋体" w:cs="宋体"/>
                <w:color w:val="auto"/>
                <w:kern w:val="2"/>
                <w:sz w:val="21"/>
                <w:szCs w:val="21"/>
                <w:highlight w:val="none"/>
                <w:lang w:val="en-US" w:eastAsia="zh-CN" w:bidi="ar-SA"/>
              </w:rPr>
              <w:t>；</w:t>
            </w:r>
            <w:r>
              <w:rPr>
                <w:rStyle w:val="44"/>
                <w:rFonts w:hint="eastAsia" w:cs="宋体"/>
                <w:color w:val="auto"/>
                <w:kern w:val="2"/>
                <w:sz w:val="21"/>
                <w:szCs w:val="21"/>
                <w:highlight w:val="none"/>
                <w:lang w:val="en-US" w:eastAsia="zh-CN" w:bidi="ar-SA"/>
              </w:rPr>
              <w:t>1</w:t>
            </w:r>
            <w:r>
              <w:rPr>
                <w:rStyle w:val="44"/>
                <w:rFonts w:hint="eastAsia" w:ascii="宋体" w:hAnsi="宋体" w:eastAsia="宋体" w:cs="宋体"/>
                <w:color w:val="auto"/>
                <w:kern w:val="2"/>
                <w:sz w:val="21"/>
                <w:szCs w:val="21"/>
                <w:highlight w:val="none"/>
                <w:lang w:val="en-US" w:eastAsia="zh-CN" w:bidi="ar-SA"/>
              </w:rPr>
              <w:t>-</w:t>
            </w:r>
            <w:r>
              <w:rPr>
                <w:rStyle w:val="44"/>
                <w:rFonts w:hint="eastAsia" w:cs="宋体"/>
                <w:color w:val="auto"/>
                <w:kern w:val="2"/>
                <w:sz w:val="21"/>
                <w:szCs w:val="21"/>
                <w:highlight w:val="none"/>
                <w:lang w:val="en-US" w:eastAsia="zh-CN" w:bidi="ar-SA"/>
              </w:rPr>
              <w:t>2</w:t>
            </w:r>
            <w:r>
              <w:rPr>
                <w:rStyle w:val="44"/>
                <w:rFonts w:hint="eastAsia" w:ascii="宋体" w:hAnsi="宋体" w:cs="宋体"/>
                <w:color w:val="auto"/>
                <w:kern w:val="2"/>
                <w:sz w:val="21"/>
                <w:szCs w:val="21"/>
                <w:highlight w:val="none"/>
                <w:lang w:val="en-US" w:eastAsia="zh-CN" w:bidi="ar-SA"/>
              </w:rPr>
              <w:t>。</w:t>
            </w:r>
          </w:p>
        </w:tc>
      </w:tr>
      <w:tr w14:paraId="334F49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746" w:type="dxa"/>
            <w:vMerge w:val="continue"/>
            <w:tcBorders>
              <w:left w:val="single" w:color="auto" w:sz="4" w:space="0"/>
            </w:tcBorders>
            <w:vAlign w:val="center"/>
          </w:tcPr>
          <w:p w14:paraId="46A769CC">
            <w:pPr>
              <w:jc w:val="center"/>
              <w:rPr>
                <w:rFonts w:ascii="Arial"/>
                <w:color w:val="auto"/>
                <w:highlight w:val="none"/>
              </w:rPr>
            </w:pPr>
          </w:p>
        </w:tc>
        <w:tc>
          <w:tcPr>
            <w:tcW w:w="1058" w:type="dxa"/>
            <w:gridSpan w:val="2"/>
            <w:vMerge w:val="continue"/>
            <w:vAlign w:val="center"/>
          </w:tcPr>
          <w:p w14:paraId="20050D2A">
            <w:pPr>
              <w:jc w:val="center"/>
              <w:rPr>
                <w:rFonts w:ascii="Arial"/>
                <w:color w:val="auto"/>
                <w:highlight w:val="none"/>
              </w:rPr>
            </w:pPr>
          </w:p>
        </w:tc>
        <w:tc>
          <w:tcPr>
            <w:tcW w:w="1754" w:type="dxa"/>
            <w:tcBorders>
              <w:top w:val="single" w:color="auto" w:sz="4" w:space="0"/>
              <w:bottom w:val="single" w:color="auto" w:sz="4" w:space="0"/>
            </w:tcBorders>
            <w:shd w:val="clear" w:color="auto" w:fill="auto"/>
            <w:vAlign w:val="center"/>
          </w:tcPr>
          <w:p w14:paraId="1D127680">
            <w:pPr>
              <w:pStyle w:val="187"/>
              <w:widowControl w:val="0"/>
              <w:spacing w:line="440" w:lineRule="exact"/>
              <w:jc w:val="center"/>
              <w:rPr>
                <w:rFonts w:ascii="宋体" w:hAnsi="宋体" w:eastAsia="宋体" w:cs="宋体"/>
                <w:color w:val="auto"/>
                <w:kern w:val="2"/>
                <w:sz w:val="21"/>
                <w:szCs w:val="21"/>
                <w:highlight w:val="none"/>
                <w:lang w:val="en-US" w:eastAsia="zh-CN" w:bidi="ar-SA"/>
              </w:rPr>
            </w:pPr>
            <w:r>
              <w:rPr>
                <w:rStyle w:val="44"/>
                <w:rFonts w:hint="eastAsia" w:ascii="宋体" w:hAnsi="宋体" w:eastAsia="宋体" w:cs="宋体"/>
                <w:color w:val="auto"/>
                <w:kern w:val="2"/>
                <w:sz w:val="21"/>
                <w:szCs w:val="21"/>
                <w:highlight w:val="none"/>
                <w:lang w:val="en-US" w:eastAsia="zh-CN" w:bidi="ar-SA"/>
              </w:rPr>
              <w:t>新技术、新工艺、新材料等在应用过程中的保证措施</w:t>
            </w:r>
          </w:p>
        </w:tc>
        <w:tc>
          <w:tcPr>
            <w:tcW w:w="855" w:type="dxa"/>
            <w:gridSpan w:val="2"/>
            <w:tcBorders>
              <w:top w:val="single" w:color="auto" w:sz="4" w:space="0"/>
              <w:bottom w:val="single" w:color="auto" w:sz="4" w:space="0"/>
            </w:tcBorders>
            <w:shd w:val="clear" w:color="auto" w:fill="auto"/>
            <w:vAlign w:val="center"/>
          </w:tcPr>
          <w:p w14:paraId="7F18EEDD">
            <w:pPr>
              <w:pStyle w:val="185"/>
              <w:spacing w:before="68" w:line="221" w:lineRule="auto"/>
              <w:jc w:val="center"/>
              <w:rPr>
                <w:rFonts w:hint="eastAsia" w:ascii="宋体" w:hAnsi="宋体" w:eastAsia="宋体" w:cs="宋体"/>
                <w:color w:val="auto"/>
                <w:kern w:val="2"/>
                <w:sz w:val="21"/>
                <w:szCs w:val="21"/>
                <w:highlight w:val="none"/>
                <w:lang w:val="en-US" w:eastAsia="zh-CN" w:bidi="ar-SA"/>
              </w:rPr>
            </w:pPr>
            <w:r>
              <w:rPr>
                <w:rFonts w:hint="eastAsia"/>
                <w:color w:val="auto"/>
                <w:sz w:val="21"/>
                <w:szCs w:val="21"/>
                <w:highlight w:val="none"/>
                <w:lang w:val="en-US" w:eastAsia="zh-CN"/>
              </w:rPr>
              <w:t>2</w:t>
            </w:r>
          </w:p>
        </w:tc>
        <w:tc>
          <w:tcPr>
            <w:tcW w:w="4620" w:type="dxa"/>
            <w:shd w:val="clear" w:color="auto" w:fill="auto"/>
            <w:vAlign w:val="center"/>
          </w:tcPr>
          <w:p w14:paraId="0ACA8D2A">
            <w:pPr>
              <w:pStyle w:val="187"/>
              <w:widowControl w:val="0"/>
              <w:spacing w:line="440" w:lineRule="exact"/>
              <w:jc w:val="left"/>
              <w:rPr>
                <w:rStyle w:val="44"/>
                <w:rFonts w:hint="eastAsia" w:ascii="宋体" w:hAnsi="宋体" w:eastAsia="宋体" w:cs="宋体"/>
                <w:color w:val="auto"/>
                <w:kern w:val="2"/>
                <w:sz w:val="21"/>
                <w:szCs w:val="21"/>
                <w:highlight w:val="none"/>
                <w:lang w:val="en-US" w:eastAsia="zh-CN" w:bidi="ar-SA"/>
              </w:rPr>
            </w:pPr>
            <w:r>
              <w:rPr>
                <w:rStyle w:val="44"/>
                <w:rFonts w:hint="eastAsia" w:ascii="宋体" w:hAnsi="宋体" w:eastAsia="宋体" w:cs="宋体"/>
                <w:color w:val="auto"/>
                <w:kern w:val="2"/>
                <w:sz w:val="21"/>
                <w:szCs w:val="21"/>
                <w:highlight w:val="none"/>
                <w:lang w:val="en-US" w:eastAsia="zh-CN" w:bidi="ar-SA"/>
              </w:rPr>
              <w:t>评审内容：1.针对项目实际，提出采用新技术、新工艺、新材料的具体措施。新材料的验证材料可靠，工期的保证措施得力、具体、严谨。对采用新技术、新工艺、新材料可能产生的风险预见充分，违约承诺具体的得1-2分；2.不完整或没有的得</w:t>
            </w:r>
            <w:r>
              <w:rPr>
                <w:rStyle w:val="44"/>
                <w:rFonts w:hint="eastAsia" w:ascii="宋体" w:hAnsi="宋体" w:eastAsia="宋体" w:cs="宋体"/>
                <w:strike w:val="0"/>
                <w:dstrike w:val="0"/>
                <w:color w:val="auto"/>
                <w:kern w:val="2"/>
                <w:sz w:val="21"/>
                <w:szCs w:val="21"/>
                <w:highlight w:val="none"/>
                <w:lang w:val="en-US" w:eastAsia="zh-CN" w:bidi="ar-SA"/>
              </w:rPr>
              <w:t>0.1-0.9</w:t>
            </w:r>
            <w:r>
              <w:rPr>
                <w:rStyle w:val="44"/>
                <w:rFonts w:hint="eastAsia" w:ascii="宋体" w:hAnsi="宋体" w:eastAsia="宋体" w:cs="宋体"/>
                <w:color w:val="auto"/>
                <w:kern w:val="2"/>
                <w:sz w:val="21"/>
                <w:szCs w:val="21"/>
                <w:highlight w:val="none"/>
                <w:lang w:val="en-US" w:eastAsia="zh-CN" w:bidi="ar-SA"/>
              </w:rPr>
              <w:t>分。</w:t>
            </w:r>
          </w:p>
          <w:p w14:paraId="1E0F07C7">
            <w:pPr>
              <w:pStyle w:val="119"/>
              <w:ind w:left="0" w:leftChars="0" w:firstLine="0" w:firstLineChars="0"/>
              <w:rPr>
                <w:rFonts w:ascii="宋体" w:hAnsi="宋体" w:eastAsia="宋体" w:cs="Times New Roman"/>
                <w:color w:val="auto"/>
                <w:sz w:val="21"/>
                <w:szCs w:val="21"/>
                <w:highlight w:val="none"/>
                <w:lang w:val="en-US" w:eastAsia="zh-CN" w:bidi="ar-SA"/>
              </w:rPr>
            </w:pPr>
            <w:r>
              <w:rPr>
                <w:rStyle w:val="44"/>
                <w:rFonts w:hint="eastAsia" w:ascii="宋体" w:hAnsi="宋体" w:cs="宋体"/>
                <w:color w:val="auto"/>
                <w:kern w:val="2"/>
                <w:sz w:val="21"/>
                <w:szCs w:val="21"/>
                <w:highlight w:val="none"/>
                <w:lang w:val="en-US" w:eastAsia="zh-CN" w:bidi="ar-SA"/>
              </w:rPr>
              <w:t>分值：</w:t>
            </w:r>
            <w:r>
              <w:rPr>
                <w:rStyle w:val="44"/>
                <w:rFonts w:hint="eastAsia" w:ascii="宋体" w:hAnsi="宋体" w:eastAsia="宋体" w:cs="宋体"/>
                <w:color w:val="auto"/>
                <w:kern w:val="2"/>
                <w:sz w:val="21"/>
                <w:szCs w:val="21"/>
                <w:highlight w:val="none"/>
                <w:lang w:val="en-US" w:eastAsia="zh-CN" w:bidi="ar-SA"/>
              </w:rPr>
              <w:t>0.1-</w:t>
            </w:r>
            <w:r>
              <w:rPr>
                <w:rStyle w:val="44"/>
                <w:rFonts w:hint="eastAsia" w:cs="宋体"/>
                <w:color w:val="auto"/>
                <w:kern w:val="2"/>
                <w:sz w:val="21"/>
                <w:szCs w:val="21"/>
                <w:highlight w:val="none"/>
                <w:lang w:val="en-US" w:eastAsia="zh-CN" w:bidi="ar-SA"/>
              </w:rPr>
              <w:t>0</w:t>
            </w:r>
            <w:r>
              <w:rPr>
                <w:rStyle w:val="44"/>
                <w:rFonts w:hint="eastAsia" w:ascii="宋体" w:hAnsi="宋体" w:eastAsia="宋体" w:cs="宋体"/>
                <w:color w:val="auto"/>
                <w:kern w:val="2"/>
                <w:sz w:val="21"/>
                <w:szCs w:val="21"/>
                <w:highlight w:val="none"/>
                <w:lang w:val="en-US" w:eastAsia="zh-CN" w:bidi="ar-SA"/>
              </w:rPr>
              <w:t>.9</w:t>
            </w:r>
            <w:r>
              <w:rPr>
                <w:rStyle w:val="44"/>
                <w:rFonts w:hint="eastAsia" w:ascii="宋体" w:hAnsi="宋体" w:cs="宋体"/>
                <w:color w:val="auto"/>
                <w:kern w:val="2"/>
                <w:sz w:val="21"/>
                <w:szCs w:val="21"/>
                <w:highlight w:val="none"/>
                <w:lang w:val="en-US" w:eastAsia="zh-CN" w:bidi="ar-SA"/>
              </w:rPr>
              <w:t>；</w:t>
            </w:r>
            <w:r>
              <w:rPr>
                <w:rStyle w:val="44"/>
                <w:rFonts w:hint="eastAsia" w:cs="宋体"/>
                <w:color w:val="auto"/>
                <w:kern w:val="2"/>
                <w:sz w:val="21"/>
                <w:szCs w:val="21"/>
                <w:highlight w:val="none"/>
                <w:lang w:val="en-US" w:eastAsia="zh-CN" w:bidi="ar-SA"/>
              </w:rPr>
              <w:t>1</w:t>
            </w:r>
            <w:r>
              <w:rPr>
                <w:rStyle w:val="44"/>
                <w:rFonts w:hint="eastAsia" w:ascii="宋体" w:hAnsi="宋体" w:eastAsia="宋体" w:cs="宋体"/>
                <w:color w:val="auto"/>
                <w:kern w:val="2"/>
                <w:sz w:val="21"/>
                <w:szCs w:val="21"/>
                <w:highlight w:val="none"/>
                <w:lang w:val="en-US" w:eastAsia="zh-CN" w:bidi="ar-SA"/>
              </w:rPr>
              <w:t>-</w:t>
            </w:r>
            <w:r>
              <w:rPr>
                <w:rStyle w:val="44"/>
                <w:rFonts w:hint="eastAsia" w:cs="宋体"/>
                <w:color w:val="auto"/>
                <w:kern w:val="2"/>
                <w:sz w:val="21"/>
                <w:szCs w:val="21"/>
                <w:highlight w:val="none"/>
                <w:lang w:val="en-US" w:eastAsia="zh-CN" w:bidi="ar-SA"/>
              </w:rPr>
              <w:t>2</w:t>
            </w:r>
            <w:r>
              <w:rPr>
                <w:rStyle w:val="44"/>
                <w:rFonts w:hint="eastAsia" w:ascii="宋体" w:hAnsi="宋体" w:cs="宋体"/>
                <w:color w:val="auto"/>
                <w:kern w:val="2"/>
                <w:sz w:val="21"/>
                <w:szCs w:val="21"/>
                <w:highlight w:val="none"/>
                <w:lang w:val="en-US" w:eastAsia="zh-CN" w:bidi="ar-SA"/>
              </w:rPr>
              <w:t>。</w:t>
            </w:r>
          </w:p>
        </w:tc>
      </w:tr>
      <w:tr w14:paraId="59FB6C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746" w:type="dxa"/>
            <w:vMerge w:val="continue"/>
            <w:tcBorders>
              <w:left w:val="single" w:color="auto" w:sz="4" w:space="0"/>
            </w:tcBorders>
            <w:vAlign w:val="center"/>
          </w:tcPr>
          <w:p w14:paraId="261631B1">
            <w:pPr>
              <w:jc w:val="center"/>
              <w:rPr>
                <w:rFonts w:ascii="Arial"/>
                <w:color w:val="auto"/>
                <w:highlight w:val="none"/>
              </w:rPr>
            </w:pPr>
          </w:p>
        </w:tc>
        <w:tc>
          <w:tcPr>
            <w:tcW w:w="1058" w:type="dxa"/>
            <w:gridSpan w:val="2"/>
            <w:vMerge w:val="continue"/>
            <w:vAlign w:val="center"/>
          </w:tcPr>
          <w:p w14:paraId="76669B58">
            <w:pPr>
              <w:jc w:val="center"/>
              <w:rPr>
                <w:rFonts w:ascii="Arial"/>
                <w:color w:val="auto"/>
                <w:highlight w:val="none"/>
              </w:rPr>
            </w:pPr>
          </w:p>
        </w:tc>
        <w:tc>
          <w:tcPr>
            <w:tcW w:w="1754" w:type="dxa"/>
            <w:tcBorders>
              <w:top w:val="single" w:color="auto" w:sz="4" w:space="0"/>
              <w:bottom w:val="single" w:color="auto" w:sz="4" w:space="0"/>
            </w:tcBorders>
            <w:shd w:val="clear" w:color="auto" w:fill="auto"/>
            <w:vAlign w:val="center"/>
          </w:tcPr>
          <w:p w14:paraId="6ADE5128">
            <w:pPr>
              <w:pStyle w:val="187"/>
              <w:widowControl w:val="0"/>
              <w:spacing w:line="440" w:lineRule="exact"/>
              <w:jc w:val="center"/>
              <w:rPr>
                <w:rFonts w:ascii="宋体" w:hAnsi="宋体" w:eastAsia="宋体" w:cs="宋体"/>
                <w:color w:val="auto"/>
                <w:kern w:val="2"/>
                <w:sz w:val="21"/>
                <w:szCs w:val="21"/>
                <w:highlight w:val="none"/>
                <w:lang w:val="en-US" w:eastAsia="zh-CN" w:bidi="ar-SA"/>
              </w:rPr>
            </w:pPr>
            <w:r>
              <w:rPr>
                <w:rStyle w:val="44"/>
                <w:rFonts w:hint="eastAsia" w:ascii="宋体" w:hAnsi="宋体" w:eastAsia="宋体" w:cs="宋体"/>
                <w:color w:val="auto"/>
                <w:kern w:val="2"/>
                <w:sz w:val="21"/>
                <w:szCs w:val="21"/>
                <w:highlight w:val="none"/>
                <w:lang w:val="en-US" w:eastAsia="zh-CN" w:bidi="ar-SA"/>
              </w:rPr>
              <w:t>交付使用方案</w:t>
            </w:r>
          </w:p>
        </w:tc>
        <w:tc>
          <w:tcPr>
            <w:tcW w:w="855" w:type="dxa"/>
            <w:gridSpan w:val="2"/>
            <w:tcBorders>
              <w:top w:val="single" w:color="auto" w:sz="4" w:space="0"/>
              <w:bottom w:val="single" w:color="auto" w:sz="4" w:space="0"/>
            </w:tcBorders>
            <w:shd w:val="clear" w:color="auto" w:fill="auto"/>
            <w:vAlign w:val="center"/>
          </w:tcPr>
          <w:p w14:paraId="342FCDC2">
            <w:pPr>
              <w:pStyle w:val="185"/>
              <w:spacing w:before="68" w:line="221" w:lineRule="auto"/>
              <w:jc w:val="center"/>
              <w:rPr>
                <w:rFonts w:hint="default" w:ascii="宋体" w:hAnsi="宋体" w:eastAsia="宋体" w:cs="宋体"/>
                <w:color w:val="auto"/>
                <w:kern w:val="2"/>
                <w:sz w:val="21"/>
                <w:szCs w:val="21"/>
                <w:highlight w:val="none"/>
                <w:lang w:val="en-US" w:eastAsia="zh-CN" w:bidi="ar-SA"/>
              </w:rPr>
            </w:pPr>
            <w:r>
              <w:rPr>
                <w:rFonts w:hint="eastAsia"/>
                <w:color w:val="auto"/>
                <w:sz w:val="21"/>
                <w:szCs w:val="21"/>
                <w:highlight w:val="none"/>
                <w:lang w:val="en-US" w:eastAsia="zh-CN"/>
              </w:rPr>
              <w:t>2</w:t>
            </w:r>
          </w:p>
        </w:tc>
        <w:tc>
          <w:tcPr>
            <w:tcW w:w="4620" w:type="dxa"/>
            <w:shd w:val="clear" w:color="auto" w:fill="auto"/>
            <w:vAlign w:val="center"/>
          </w:tcPr>
          <w:p w14:paraId="125203A7">
            <w:pPr>
              <w:pStyle w:val="187"/>
              <w:widowControl w:val="0"/>
              <w:spacing w:line="440" w:lineRule="exact"/>
              <w:jc w:val="left"/>
              <w:rPr>
                <w:rStyle w:val="44"/>
                <w:rFonts w:hint="eastAsia" w:ascii="宋体" w:hAnsi="宋体" w:eastAsia="宋体" w:cs="宋体"/>
                <w:color w:val="auto"/>
                <w:kern w:val="2"/>
                <w:sz w:val="21"/>
                <w:szCs w:val="21"/>
                <w:highlight w:val="none"/>
                <w:lang w:val="en-US" w:eastAsia="zh-CN" w:bidi="ar-SA"/>
              </w:rPr>
            </w:pPr>
            <w:r>
              <w:rPr>
                <w:rStyle w:val="44"/>
                <w:rFonts w:hint="eastAsia" w:ascii="宋体" w:hAnsi="宋体" w:eastAsia="宋体" w:cs="宋体"/>
                <w:color w:val="auto"/>
                <w:kern w:val="2"/>
                <w:sz w:val="21"/>
                <w:szCs w:val="21"/>
                <w:highlight w:val="none"/>
                <w:lang w:val="en-US" w:eastAsia="zh-CN" w:bidi="ar-SA"/>
              </w:rPr>
              <w:t>评审内容：1.交付使用方案完善、流程清晰、内容明确、合理、针对性强的得1-2分；2.不完整或没有的得</w:t>
            </w:r>
            <w:r>
              <w:rPr>
                <w:rStyle w:val="44"/>
                <w:rFonts w:hint="eastAsia" w:ascii="宋体" w:hAnsi="宋体" w:eastAsia="宋体" w:cs="宋体"/>
                <w:strike w:val="0"/>
                <w:dstrike w:val="0"/>
                <w:color w:val="auto"/>
                <w:kern w:val="2"/>
                <w:sz w:val="21"/>
                <w:szCs w:val="21"/>
                <w:highlight w:val="none"/>
                <w:lang w:val="en-US" w:eastAsia="zh-CN" w:bidi="ar-SA"/>
              </w:rPr>
              <w:t>0.1-0.9</w:t>
            </w:r>
            <w:r>
              <w:rPr>
                <w:rStyle w:val="44"/>
                <w:rFonts w:hint="eastAsia" w:ascii="宋体" w:hAnsi="宋体" w:eastAsia="宋体" w:cs="宋体"/>
                <w:color w:val="auto"/>
                <w:kern w:val="2"/>
                <w:sz w:val="21"/>
                <w:szCs w:val="21"/>
                <w:highlight w:val="none"/>
                <w:lang w:val="en-US" w:eastAsia="zh-CN" w:bidi="ar-SA"/>
              </w:rPr>
              <w:t>分。</w:t>
            </w:r>
          </w:p>
          <w:p w14:paraId="506A710B">
            <w:pPr>
              <w:pStyle w:val="119"/>
              <w:ind w:left="0" w:leftChars="0" w:firstLine="0" w:firstLineChars="0"/>
              <w:rPr>
                <w:rFonts w:ascii="宋体" w:hAnsi="宋体" w:eastAsia="宋体" w:cs="Times New Roman"/>
                <w:color w:val="auto"/>
                <w:sz w:val="21"/>
                <w:szCs w:val="21"/>
                <w:highlight w:val="none"/>
                <w:lang w:val="en-US" w:eastAsia="zh-CN" w:bidi="ar-SA"/>
              </w:rPr>
            </w:pPr>
            <w:r>
              <w:rPr>
                <w:rStyle w:val="44"/>
                <w:rFonts w:hint="eastAsia" w:ascii="宋体" w:hAnsi="宋体" w:cs="宋体"/>
                <w:color w:val="auto"/>
                <w:kern w:val="2"/>
                <w:sz w:val="21"/>
                <w:szCs w:val="21"/>
                <w:highlight w:val="none"/>
                <w:lang w:val="en-US" w:eastAsia="zh-CN" w:bidi="ar-SA"/>
              </w:rPr>
              <w:t>分值：</w:t>
            </w:r>
            <w:r>
              <w:rPr>
                <w:rStyle w:val="44"/>
                <w:rFonts w:hint="eastAsia" w:ascii="宋体" w:hAnsi="宋体" w:eastAsia="宋体" w:cs="宋体"/>
                <w:color w:val="auto"/>
                <w:kern w:val="2"/>
                <w:sz w:val="21"/>
                <w:szCs w:val="21"/>
                <w:highlight w:val="none"/>
                <w:lang w:val="en-US" w:eastAsia="zh-CN" w:bidi="ar-SA"/>
              </w:rPr>
              <w:t>0.1-</w:t>
            </w:r>
            <w:r>
              <w:rPr>
                <w:rStyle w:val="44"/>
                <w:rFonts w:hint="eastAsia" w:cs="宋体"/>
                <w:color w:val="auto"/>
                <w:kern w:val="2"/>
                <w:sz w:val="21"/>
                <w:szCs w:val="21"/>
                <w:highlight w:val="none"/>
                <w:lang w:val="en-US" w:eastAsia="zh-CN" w:bidi="ar-SA"/>
              </w:rPr>
              <w:t>0</w:t>
            </w:r>
            <w:r>
              <w:rPr>
                <w:rStyle w:val="44"/>
                <w:rFonts w:hint="eastAsia" w:ascii="宋体" w:hAnsi="宋体" w:eastAsia="宋体" w:cs="宋体"/>
                <w:color w:val="auto"/>
                <w:kern w:val="2"/>
                <w:sz w:val="21"/>
                <w:szCs w:val="21"/>
                <w:highlight w:val="none"/>
                <w:lang w:val="en-US" w:eastAsia="zh-CN" w:bidi="ar-SA"/>
              </w:rPr>
              <w:t>.9</w:t>
            </w:r>
            <w:r>
              <w:rPr>
                <w:rStyle w:val="44"/>
                <w:rFonts w:hint="eastAsia" w:ascii="宋体" w:hAnsi="宋体" w:cs="宋体"/>
                <w:color w:val="auto"/>
                <w:kern w:val="2"/>
                <w:sz w:val="21"/>
                <w:szCs w:val="21"/>
                <w:highlight w:val="none"/>
                <w:lang w:val="en-US" w:eastAsia="zh-CN" w:bidi="ar-SA"/>
              </w:rPr>
              <w:t>；</w:t>
            </w:r>
            <w:r>
              <w:rPr>
                <w:rStyle w:val="44"/>
                <w:rFonts w:hint="eastAsia" w:cs="宋体"/>
                <w:color w:val="auto"/>
                <w:kern w:val="2"/>
                <w:sz w:val="21"/>
                <w:szCs w:val="21"/>
                <w:highlight w:val="none"/>
                <w:lang w:val="en-US" w:eastAsia="zh-CN" w:bidi="ar-SA"/>
              </w:rPr>
              <w:t>1</w:t>
            </w:r>
            <w:r>
              <w:rPr>
                <w:rStyle w:val="44"/>
                <w:rFonts w:hint="eastAsia" w:ascii="宋体" w:hAnsi="宋体" w:eastAsia="宋体" w:cs="宋体"/>
                <w:color w:val="auto"/>
                <w:kern w:val="2"/>
                <w:sz w:val="21"/>
                <w:szCs w:val="21"/>
                <w:highlight w:val="none"/>
                <w:lang w:val="en-US" w:eastAsia="zh-CN" w:bidi="ar-SA"/>
              </w:rPr>
              <w:t>-</w:t>
            </w:r>
            <w:r>
              <w:rPr>
                <w:rStyle w:val="44"/>
                <w:rFonts w:hint="eastAsia" w:cs="宋体"/>
                <w:color w:val="auto"/>
                <w:kern w:val="2"/>
                <w:sz w:val="21"/>
                <w:szCs w:val="21"/>
                <w:highlight w:val="none"/>
                <w:lang w:val="en-US" w:eastAsia="zh-CN" w:bidi="ar-SA"/>
              </w:rPr>
              <w:t>2</w:t>
            </w:r>
            <w:r>
              <w:rPr>
                <w:rStyle w:val="44"/>
                <w:rFonts w:hint="eastAsia" w:ascii="宋体" w:hAnsi="宋体" w:cs="宋体"/>
                <w:color w:val="auto"/>
                <w:kern w:val="2"/>
                <w:sz w:val="21"/>
                <w:szCs w:val="21"/>
                <w:highlight w:val="none"/>
                <w:lang w:val="en-US" w:eastAsia="zh-CN" w:bidi="ar-SA"/>
              </w:rPr>
              <w:t>。</w:t>
            </w:r>
          </w:p>
        </w:tc>
      </w:tr>
      <w:tr w14:paraId="1C1126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746" w:type="dxa"/>
            <w:vMerge w:val="continue"/>
            <w:tcBorders>
              <w:left w:val="single" w:color="auto" w:sz="4" w:space="0"/>
            </w:tcBorders>
            <w:vAlign w:val="center"/>
          </w:tcPr>
          <w:p w14:paraId="626BC010">
            <w:pPr>
              <w:jc w:val="center"/>
              <w:rPr>
                <w:rFonts w:ascii="Arial"/>
                <w:color w:val="auto"/>
                <w:highlight w:val="none"/>
              </w:rPr>
            </w:pPr>
          </w:p>
        </w:tc>
        <w:tc>
          <w:tcPr>
            <w:tcW w:w="1058" w:type="dxa"/>
            <w:gridSpan w:val="2"/>
            <w:vMerge w:val="continue"/>
            <w:vAlign w:val="center"/>
          </w:tcPr>
          <w:p w14:paraId="18090D8A">
            <w:pPr>
              <w:jc w:val="center"/>
              <w:rPr>
                <w:rFonts w:ascii="Arial"/>
                <w:color w:val="auto"/>
                <w:highlight w:val="none"/>
              </w:rPr>
            </w:pPr>
          </w:p>
        </w:tc>
        <w:tc>
          <w:tcPr>
            <w:tcW w:w="1754" w:type="dxa"/>
            <w:tcBorders>
              <w:top w:val="single" w:color="auto" w:sz="4" w:space="0"/>
              <w:bottom w:val="single" w:color="auto" w:sz="4" w:space="0"/>
            </w:tcBorders>
            <w:shd w:val="clear" w:color="auto" w:fill="auto"/>
            <w:vAlign w:val="center"/>
          </w:tcPr>
          <w:p w14:paraId="14520C72">
            <w:pPr>
              <w:pStyle w:val="187"/>
              <w:widowControl w:val="0"/>
              <w:spacing w:line="440" w:lineRule="exact"/>
              <w:jc w:val="center"/>
              <w:rPr>
                <w:rFonts w:ascii="宋体" w:hAnsi="宋体" w:eastAsia="宋体" w:cs="宋体"/>
                <w:color w:val="auto"/>
                <w:kern w:val="2"/>
                <w:sz w:val="21"/>
                <w:szCs w:val="21"/>
                <w:highlight w:val="none"/>
                <w:lang w:val="en-US" w:eastAsia="zh-CN" w:bidi="ar-SA"/>
              </w:rPr>
            </w:pPr>
            <w:r>
              <w:rPr>
                <w:rStyle w:val="44"/>
                <w:rFonts w:hint="eastAsia" w:ascii="宋体" w:hAnsi="宋体" w:eastAsia="宋体" w:cs="宋体"/>
                <w:color w:val="auto"/>
                <w:kern w:val="2"/>
                <w:sz w:val="21"/>
                <w:szCs w:val="21"/>
                <w:highlight w:val="none"/>
                <w:lang w:val="en-US" w:eastAsia="zh-CN" w:bidi="ar-SA"/>
              </w:rPr>
              <w:t>竣工验收方案</w:t>
            </w:r>
          </w:p>
        </w:tc>
        <w:tc>
          <w:tcPr>
            <w:tcW w:w="855" w:type="dxa"/>
            <w:gridSpan w:val="2"/>
            <w:tcBorders>
              <w:top w:val="single" w:color="auto" w:sz="4" w:space="0"/>
              <w:bottom w:val="single" w:color="auto" w:sz="4" w:space="0"/>
            </w:tcBorders>
            <w:shd w:val="clear" w:color="auto" w:fill="auto"/>
            <w:vAlign w:val="center"/>
          </w:tcPr>
          <w:p w14:paraId="5D0B88A6">
            <w:pPr>
              <w:pStyle w:val="185"/>
              <w:spacing w:before="68" w:line="221" w:lineRule="auto"/>
              <w:jc w:val="center"/>
              <w:rPr>
                <w:rFonts w:hint="default" w:ascii="宋体" w:hAnsi="宋体" w:eastAsia="宋体" w:cs="宋体"/>
                <w:color w:val="auto"/>
                <w:kern w:val="2"/>
                <w:sz w:val="21"/>
                <w:szCs w:val="21"/>
                <w:highlight w:val="none"/>
                <w:lang w:val="en-US" w:eastAsia="zh-CN" w:bidi="ar-SA"/>
              </w:rPr>
            </w:pPr>
            <w:r>
              <w:rPr>
                <w:rFonts w:hint="eastAsia"/>
                <w:color w:val="auto"/>
                <w:sz w:val="21"/>
                <w:szCs w:val="21"/>
                <w:highlight w:val="none"/>
                <w:lang w:val="en-US" w:eastAsia="zh-CN"/>
              </w:rPr>
              <w:t>2</w:t>
            </w:r>
          </w:p>
        </w:tc>
        <w:tc>
          <w:tcPr>
            <w:tcW w:w="4620" w:type="dxa"/>
            <w:shd w:val="clear" w:color="auto" w:fill="auto"/>
            <w:vAlign w:val="center"/>
          </w:tcPr>
          <w:p w14:paraId="09ED380C">
            <w:pPr>
              <w:pStyle w:val="187"/>
              <w:widowControl w:val="0"/>
              <w:spacing w:line="440" w:lineRule="exact"/>
              <w:jc w:val="left"/>
              <w:rPr>
                <w:rStyle w:val="44"/>
                <w:rFonts w:hint="eastAsia" w:ascii="宋体" w:hAnsi="宋体" w:eastAsia="宋体" w:cs="宋体"/>
                <w:color w:val="auto"/>
                <w:kern w:val="2"/>
                <w:sz w:val="21"/>
                <w:szCs w:val="21"/>
                <w:highlight w:val="none"/>
                <w:lang w:val="en-US" w:eastAsia="zh-CN" w:bidi="ar-SA"/>
              </w:rPr>
            </w:pPr>
            <w:r>
              <w:rPr>
                <w:rStyle w:val="44"/>
                <w:rFonts w:hint="eastAsia" w:ascii="宋体" w:hAnsi="宋体" w:eastAsia="宋体" w:cs="宋体"/>
                <w:color w:val="auto"/>
                <w:kern w:val="2"/>
                <w:sz w:val="21"/>
                <w:szCs w:val="21"/>
                <w:highlight w:val="none"/>
                <w:lang w:val="en-US" w:eastAsia="zh-CN" w:bidi="ar-SA"/>
              </w:rPr>
              <w:t>评审内容：1.竣工验收方案程序明确、内容清楚，有针对性的验收管理措施的得1-2分；2.不完整或没有的得</w:t>
            </w:r>
            <w:r>
              <w:rPr>
                <w:rStyle w:val="44"/>
                <w:rFonts w:hint="eastAsia" w:ascii="宋体" w:hAnsi="宋体" w:eastAsia="宋体" w:cs="宋体"/>
                <w:strike w:val="0"/>
                <w:dstrike w:val="0"/>
                <w:color w:val="auto"/>
                <w:kern w:val="2"/>
                <w:sz w:val="21"/>
                <w:szCs w:val="21"/>
                <w:highlight w:val="none"/>
                <w:lang w:val="en-US" w:eastAsia="zh-CN" w:bidi="ar-SA"/>
              </w:rPr>
              <w:t>0.1-0.9</w:t>
            </w:r>
            <w:r>
              <w:rPr>
                <w:rStyle w:val="44"/>
                <w:rFonts w:hint="eastAsia" w:ascii="宋体" w:hAnsi="宋体" w:eastAsia="宋体" w:cs="宋体"/>
                <w:color w:val="auto"/>
                <w:kern w:val="2"/>
                <w:sz w:val="21"/>
                <w:szCs w:val="21"/>
                <w:highlight w:val="none"/>
                <w:lang w:val="en-US" w:eastAsia="zh-CN" w:bidi="ar-SA"/>
              </w:rPr>
              <w:t>分。</w:t>
            </w:r>
          </w:p>
          <w:p w14:paraId="545522B2">
            <w:pPr>
              <w:pStyle w:val="119"/>
              <w:ind w:left="0" w:leftChars="0" w:firstLine="0" w:firstLineChars="0"/>
              <w:rPr>
                <w:rFonts w:ascii="宋体" w:hAnsi="宋体" w:eastAsia="宋体" w:cs="Times New Roman"/>
                <w:color w:val="auto"/>
                <w:sz w:val="21"/>
                <w:szCs w:val="21"/>
                <w:highlight w:val="none"/>
                <w:lang w:val="en-US" w:eastAsia="zh-CN" w:bidi="ar-SA"/>
              </w:rPr>
            </w:pPr>
            <w:r>
              <w:rPr>
                <w:rStyle w:val="44"/>
                <w:rFonts w:hint="eastAsia" w:ascii="宋体" w:hAnsi="宋体" w:cs="宋体"/>
                <w:color w:val="auto"/>
                <w:kern w:val="2"/>
                <w:sz w:val="21"/>
                <w:szCs w:val="21"/>
                <w:highlight w:val="none"/>
                <w:lang w:val="en-US" w:eastAsia="zh-CN" w:bidi="ar-SA"/>
              </w:rPr>
              <w:t>分值：</w:t>
            </w:r>
            <w:r>
              <w:rPr>
                <w:rStyle w:val="44"/>
                <w:rFonts w:hint="eastAsia" w:ascii="宋体" w:hAnsi="宋体" w:eastAsia="宋体" w:cs="宋体"/>
                <w:color w:val="auto"/>
                <w:kern w:val="2"/>
                <w:sz w:val="21"/>
                <w:szCs w:val="21"/>
                <w:highlight w:val="none"/>
                <w:lang w:val="en-US" w:eastAsia="zh-CN" w:bidi="ar-SA"/>
              </w:rPr>
              <w:t>0.1-</w:t>
            </w:r>
            <w:r>
              <w:rPr>
                <w:rStyle w:val="44"/>
                <w:rFonts w:hint="eastAsia" w:cs="宋体"/>
                <w:color w:val="auto"/>
                <w:kern w:val="2"/>
                <w:sz w:val="21"/>
                <w:szCs w:val="21"/>
                <w:highlight w:val="none"/>
                <w:lang w:val="en-US" w:eastAsia="zh-CN" w:bidi="ar-SA"/>
              </w:rPr>
              <w:t>0</w:t>
            </w:r>
            <w:r>
              <w:rPr>
                <w:rStyle w:val="44"/>
                <w:rFonts w:hint="eastAsia" w:ascii="宋体" w:hAnsi="宋体" w:eastAsia="宋体" w:cs="宋体"/>
                <w:color w:val="auto"/>
                <w:kern w:val="2"/>
                <w:sz w:val="21"/>
                <w:szCs w:val="21"/>
                <w:highlight w:val="none"/>
                <w:lang w:val="en-US" w:eastAsia="zh-CN" w:bidi="ar-SA"/>
              </w:rPr>
              <w:t>.9</w:t>
            </w:r>
            <w:r>
              <w:rPr>
                <w:rStyle w:val="44"/>
                <w:rFonts w:hint="eastAsia" w:ascii="宋体" w:hAnsi="宋体" w:cs="宋体"/>
                <w:color w:val="auto"/>
                <w:kern w:val="2"/>
                <w:sz w:val="21"/>
                <w:szCs w:val="21"/>
                <w:highlight w:val="none"/>
                <w:lang w:val="en-US" w:eastAsia="zh-CN" w:bidi="ar-SA"/>
              </w:rPr>
              <w:t>；</w:t>
            </w:r>
            <w:r>
              <w:rPr>
                <w:rStyle w:val="44"/>
                <w:rFonts w:hint="eastAsia" w:cs="宋体"/>
                <w:color w:val="auto"/>
                <w:kern w:val="2"/>
                <w:sz w:val="21"/>
                <w:szCs w:val="21"/>
                <w:highlight w:val="none"/>
                <w:lang w:val="en-US" w:eastAsia="zh-CN" w:bidi="ar-SA"/>
              </w:rPr>
              <w:t>1</w:t>
            </w:r>
            <w:r>
              <w:rPr>
                <w:rStyle w:val="44"/>
                <w:rFonts w:hint="eastAsia" w:ascii="宋体" w:hAnsi="宋体" w:eastAsia="宋体" w:cs="宋体"/>
                <w:color w:val="auto"/>
                <w:kern w:val="2"/>
                <w:sz w:val="21"/>
                <w:szCs w:val="21"/>
                <w:highlight w:val="none"/>
                <w:lang w:val="en-US" w:eastAsia="zh-CN" w:bidi="ar-SA"/>
              </w:rPr>
              <w:t>-</w:t>
            </w:r>
            <w:r>
              <w:rPr>
                <w:rStyle w:val="44"/>
                <w:rFonts w:hint="eastAsia" w:cs="宋体"/>
                <w:color w:val="auto"/>
                <w:kern w:val="2"/>
                <w:sz w:val="21"/>
                <w:szCs w:val="21"/>
                <w:highlight w:val="none"/>
                <w:lang w:val="en-US" w:eastAsia="zh-CN" w:bidi="ar-SA"/>
              </w:rPr>
              <w:t>2</w:t>
            </w:r>
            <w:r>
              <w:rPr>
                <w:rStyle w:val="44"/>
                <w:rFonts w:hint="eastAsia" w:ascii="宋体" w:hAnsi="宋体" w:cs="宋体"/>
                <w:color w:val="auto"/>
                <w:kern w:val="2"/>
                <w:sz w:val="21"/>
                <w:szCs w:val="21"/>
                <w:highlight w:val="none"/>
                <w:lang w:val="en-US" w:eastAsia="zh-CN" w:bidi="ar-SA"/>
              </w:rPr>
              <w:t>。</w:t>
            </w:r>
          </w:p>
        </w:tc>
      </w:tr>
      <w:tr w14:paraId="2D6247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746" w:type="dxa"/>
            <w:vMerge w:val="continue"/>
            <w:tcBorders>
              <w:left w:val="single" w:color="auto" w:sz="4" w:space="0"/>
            </w:tcBorders>
            <w:vAlign w:val="center"/>
          </w:tcPr>
          <w:p w14:paraId="0C17F9D8">
            <w:pPr>
              <w:jc w:val="center"/>
              <w:rPr>
                <w:rFonts w:ascii="Arial"/>
                <w:color w:val="auto"/>
                <w:highlight w:val="none"/>
              </w:rPr>
            </w:pPr>
          </w:p>
        </w:tc>
        <w:tc>
          <w:tcPr>
            <w:tcW w:w="1058" w:type="dxa"/>
            <w:gridSpan w:val="2"/>
            <w:vMerge w:val="continue"/>
            <w:vAlign w:val="center"/>
          </w:tcPr>
          <w:p w14:paraId="3ADC9D55">
            <w:pPr>
              <w:jc w:val="center"/>
              <w:rPr>
                <w:rFonts w:ascii="Arial"/>
                <w:color w:val="auto"/>
                <w:highlight w:val="none"/>
              </w:rPr>
            </w:pPr>
          </w:p>
        </w:tc>
        <w:tc>
          <w:tcPr>
            <w:tcW w:w="1754" w:type="dxa"/>
            <w:tcBorders>
              <w:top w:val="single" w:color="auto" w:sz="4" w:space="0"/>
              <w:bottom w:val="single" w:color="auto" w:sz="4" w:space="0"/>
            </w:tcBorders>
            <w:shd w:val="clear" w:color="auto" w:fill="auto"/>
            <w:vAlign w:val="center"/>
          </w:tcPr>
          <w:p w14:paraId="18A4D1EA">
            <w:pPr>
              <w:pStyle w:val="187"/>
              <w:widowControl w:val="0"/>
              <w:spacing w:line="440" w:lineRule="exact"/>
              <w:jc w:val="center"/>
              <w:rPr>
                <w:rFonts w:ascii="宋体" w:hAnsi="宋体" w:eastAsia="宋体" w:cs="宋体"/>
                <w:color w:val="auto"/>
                <w:kern w:val="2"/>
                <w:sz w:val="21"/>
                <w:szCs w:val="21"/>
                <w:highlight w:val="none"/>
                <w:lang w:val="en-US" w:eastAsia="zh-CN" w:bidi="ar-SA"/>
              </w:rPr>
            </w:pPr>
            <w:r>
              <w:rPr>
                <w:rStyle w:val="44"/>
                <w:rFonts w:hint="eastAsia" w:ascii="宋体" w:hAnsi="宋体" w:eastAsia="宋体" w:cs="宋体"/>
                <w:color w:val="auto"/>
                <w:kern w:val="2"/>
                <w:sz w:val="21"/>
                <w:szCs w:val="21"/>
                <w:highlight w:val="none"/>
                <w:lang w:val="en-US" w:eastAsia="zh-CN" w:bidi="ar-SA"/>
              </w:rPr>
              <w:t>结算、移交方案</w:t>
            </w:r>
          </w:p>
        </w:tc>
        <w:tc>
          <w:tcPr>
            <w:tcW w:w="855" w:type="dxa"/>
            <w:gridSpan w:val="2"/>
            <w:tcBorders>
              <w:top w:val="single" w:color="auto" w:sz="4" w:space="0"/>
              <w:bottom w:val="single" w:color="auto" w:sz="4" w:space="0"/>
            </w:tcBorders>
            <w:shd w:val="clear" w:color="auto" w:fill="auto"/>
            <w:vAlign w:val="center"/>
          </w:tcPr>
          <w:p w14:paraId="751513D3">
            <w:pPr>
              <w:pStyle w:val="185"/>
              <w:spacing w:before="68" w:line="221" w:lineRule="auto"/>
              <w:jc w:val="center"/>
              <w:rPr>
                <w:rFonts w:hint="default" w:ascii="Arial" w:hAnsi="宋体" w:eastAsia="宋体" w:cs="宋体"/>
                <w:color w:val="auto"/>
                <w:kern w:val="2"/>
                <w:sz w:val="21"/>
                <w:szCs w:val="21"/>
                <w:highlight w:val="none"/>
                <w:lang w:val="en-US" w:eastAsia="zh-CN" w:bidi="ar-SA"/>
              </w:rPr>
            </w:pPr>
            <w:r>
              <w:rPr>
                <w:rFonts w:hint="eastAsia"/>
                <w:color w:val="auto"/>
                <w:sz w:val="21"/>
                <w:szCs w:val="21"/>
                <w:highlight w:val="none"/>
                <w:lang w:val="en-US" w:eastAsia="zh-CN"/>
              </w:rPr>
              <w:t>2</w:t>
            </w:r>
          </w:p>
        </w:tc>
        <w:tc>
          <w:tcPr>
            <w:tcW w:w="4620" w:type="dxa"/>
            <w:shd w:val="clear" w:color="auto" w:fill="auto"/>
            <w:vAlign w:val="center"/>
          </w:tcPr>
          <w:p w14:paraId="66FDBEA1">
            <w:pPr>
              <w:pStyle w:val="187"/>
              <w:widowControl w:val="0"/>
              <w:spacing w:line="440" w:lineRule="exact"/>
              <w:jc w:val="left"/>
              <w:rPr>
                <w:rStyle w:val="44"/>
                <w:rFonts w:hint="eastAsia" w:ascii="宋体" w:hAnsi="宋体" w:eastAsia="宋体" w:cs="宋体"/>
                <w:color w:val="auto"/>
                <w:kern w:val="2"/>
                <w:sz w:val="21"/>
                <w:szCs w:val="21"/>
                <w:highlight w:val="none"/>
                <w:lang w:val="en-US" w:eastAsia="zh-CN" w:bidi="ar-SA"/>
              </w:rPr>
            </w:pPr>
            <w:r>
              <w:rPr>
                <w:rStyle w:val="44"/>
                <w:rFonts w:hint="eastAsia" w:ascii="宋体" w:hAnsi="宋体" w:eastAsia="宋体" w:cs="宋体"/>
                <w:color w:val="auto"/>
                <w:kern w:val="2"/>
                <w:sz w:val="21"/>
                <w:szCs w:val="21"/>
                <w:highlight w:val="none"/>
                <w:lang w:val="en-US" w:eastAsia="zh-CN" w:bidi="ar-SA"/>
              </w:rPr>
              <w:t>评审内容：1.结算、移交方案相关内容、流程详细合理、完整的针对性强的得1-2分；2.不完整或没有的得0.1</w:t>
            </w:r>
            <w:r>
              <w:rPr>
                <w:rStyle w:val="44"/>
                <w:rFonts w:hint="eastAsia" w:ascii="宋体" w:hAnsi="宋体" w:eastAsia="宋体" w:cs="宋体"/>
                <w:strike w:val="0"/>
                <w:dstrike w:val="0"/>
                <w:color w:val="auto"/>
                <w:kern w:val="2"/>
                <w:sz w:val="21"/>
                <w:szCs w:val="21"/>
                <w:highlight w:val="none"/>
                <w:lang w:val="en-US" w:eastAsia="zh-CN" w:bidi="ar-SA"/>
              </w:rPr>
              <w:t>-0.9</w:t>
            </w:r>
            <w:r>
              <w:rPr>
                <w:rStyle w:val="44"/>
                <w:rFonts w:hint="eastAsia" w:ascii="宋体" w:hAnsi="宋体" w:eastAsia="宋体" w:cs="宋体"/>
                <w:color w:val="auto"/>
                <w:kern w:val="2"/>
                <w:sz w:val="21"/>
                <w:szCs w:val="21"/>
                <w:highlight w:val="none"/>
                <w:lang w:val="en-US" w:eastAsia="zh-CN" w:bidi="ar-SA"/>
              </w:rPr>
              <w:t>分。</w:t>
            </w:r>
          </w:p>
          <w:p w14:paraId="55123B6C">
            <w:pPr>
              <w:pStyle w:val="119"/>
              <w:ind w:left="0" w:leftChars="0" w:firstLine="0" w:firstLineChars="0"/>
              <w:rPr>
                <w:rFonts w:ascii="宋体" w:hAnsi="宋体" w:eastAsia="宋体" w:cs="Times New Roman"/>
                <w:color w:val="auto"/>
                <w:sz w:val="21"/>
                <w:szCs w:val="21"/>
                <w:highlight w:val="none"/>
                <w:lang w:val="en-US" w:eastAsia="zh-CN" w:bidi="ar-SA"/>
              </w:rPr>
            </w:pPr>
            <w:r>
              <w:rPr>
                <w:rStyle w:val="44"/>
                <w:rFonts w:hint="eastAsia" w:ascii="宋体" w:hAnsi="宋体" w:cs="宋体"/>
                <w:color w:val="auto"/>
                <w:kern w:val="2"/>
                <w:sz w:val="21"/>
                <w:szCs w:val="21"/>
                <w:highlight w:val="none"/>
                <w:lang w:val="en-US" w:eastAsia="zh-CN" w:bidi="ar-SA"/>
              </w:rPr>
              <w:t>分值：</w:t>
            </w:r>
            <w:r>
              <w:rPr>
                <w:rStyle w:val="44"/>
                <w:rFonts w:hint="eastAsia" w:ascii="宋体" w:hAnsi="宋体" w:eastAsia="宋体" w:cs="宋体"/>
                <w:color w:val="auto"/>
                <w:kern w:val="2"/>
                <w:sz w:val="21"/>
                <w:szCs w:val="21"/>
                <w:highlight w:val="none"/>
                <w:lang w:val="en-US" w:eastAsia="zh-CN" w:bidi="ar-SA"/>
              </w:rPr>
              <w:t>0.1-</w:t>
            </w:r>
            <w:r>
              <w:rPr>
                <w:rStyle w:val="44"/>
                <w:rFonts w:hint="eastAsia" w:cs="宋体"/>
                <w:color w:val="auto"/>
                <w:kern w:val="2"/>
                <w:sz w:val="21"/>
                <w:szCs w:val="21"/>
                <w:highlight w:val="none"/>
                <w:lang w:val="en-US" w:eastAsia="zh-CN" w:bidi="ar-SA"/>
              </w:rPr>
              <w:t>0</w:t>
            </w:r>
            <w:r>
              <w:rPr>
                <w:rStyle w:val="44"/>
                <w:rFonts w:hint="eastAsia" w:ascii="宋体" w:hAnsi="宋体" w:eastAsia="宋体" w:cs="宋体"/>
                <w:color w:val="auto"/>
                <w:kern w:val="2"/>
                <w:sz w:val="21"/>
                <w:szCs w:val="21"/>
                <w:highlight w:val="none"/>
                <w:lang w:val="en-US" w:eastAsia="zh-CN" w:bidi="ar-SA"/>
              </w:rPr>
              <w:t>.9</w:t>
            </w:r>
            <w:r>
              <w:rPr>
                <w:rStyle w:val="44"/>
                <w:rFonts w:hint="eastAsia" w:ascii="宋体" w:hAnsi="宋体" w:cs="宋体"/>
                <w:color w:val="auto"/>
                <w:kern w:val="2"/>
                <w:sz w:val="21"/>
                <w:szCs w:val="21"/>
                <w:highlight w:val="none"/>
                <w:lang w:val="en-US" w:eastAsia="zh-CN" w:bidi="ar-SA"/>
              </w:rPr>
              <w:t>；</w:t>
            </w:r>
            <w:r>
              <w:rPr>
                <w:rStyle w:val="44"/>
                <w:rFonts w:hint="eastAsia" w:cs="宋体"/>
                <w:color w:val="auto"/>
                <w:kern w:val="2"/>
                <w:sz w:val="21"/>
                <w:szCs w:val="21"/>
                <w:highlight w:val="none"/>
                <w:lang w:val="en-US" w:eastAsia="zh-CN" w:bidi="ar-SA"/>
              </w:rPr>
              <w:t>1</w:t>
            </w:r>
            <w:r>
              <w:rPr>
                <w:rStyle w:val="44"/>
                <w:rFonts w:hint="eastAsia" w:ascii="宋体" w:hAnsi="宋体" w:eastAsia="宋体" w:cs="宋体"/>
                <w:color w:val="auto"/>
                <w:kern w:val="2"/>
                <w:sz w:val="21"/>
                <w:szCs w:val="21"/>
                <w:highlight w:val="none"/>
                <w:lang w:val="en-US" w:eastAsia="zh-CN" w:bidi="ar-SA"/>
              </w:rPr>
              <w:t>-</w:t>
            </w:r>
            <w:r>
              <w:rPr>
                <w:rStyle w:val="44"/>
                <w:rFonts w:hint="eastAsia" w:cs="宋体"/>
                <w:color w:val="auto"/>
                <w:kern w:val="2"/>
                <w:sz w:val="21"/>
                <w:szCs w:val="21"/>
                <w:highlight w:val="none"/>
                <w:lang w:val="en-US" w:eastAsia="zh-CN" w:bidi="ar-SA"/>
              </w:rPr>
              <w:t>2</w:t>
            </w:r>
            <w:r>
              <w:rPr>
                <w:rStyle w:val="44"/>
                <w:rFonts w:hint="eastAsia" w:ascii="宋体" w:hAnsi="宋体" w:cs="宋体"/>
                <w:color w:val="auto"/>
                <w:kern w:val="2"/>
                <w:sz w:val="21"/>
                <w:szCs w:val="21"/>
                <w:highlight w:val="none"/>
                <w:lang w:val="en-US" w:eastAsia="zh-CN" w:bidi="ar-SA"/>
              </w:rPr>
              <w:t>。</w:t>
            </w:r>
          </w:p>
        </w:tc>
      </w:tr>
    </w:tbl>
    <w:p w14:paraId="224F7E2A">
      <w:pPr>
        <w:spacing w:line="91" w:lineRule="auto"/>
        <w:rPr>
          <w:rFonts w:ascii="Arial"/>
          <w:color w:val="auto"/>
          <w:sz w:val="2"/>
          <w:highlight w:val="none"/>
        </w:rPr>
      </w:pPr>
    </w:p>
    <w:tbl>
      <w:tblPr>
        <w:tblStyle w:val="42"/>
        <w:tblW w:w="90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6"/>
        <w:gridCol w:w="1058"/>
        <w:gridCol w:w="1769"/>
        <w:gridCol w:w="840"/>
        <w:gridCol w:w="4635"/>
      </w:tblGrid>
      <w:tr w14:paraId="32C73C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4" w:hRule="atLeast"/>
        </w:trPr>
        <w:tc>
          <w:tcPr>
            <w:tcW w:w="746" w:type="dxa"/>
            <w:vMerge w:val="restart"/>
            <w:vAlign w:val="center"/>
          </w:tcPr>
          <w:p w14:paraId="665FD909">
            <w:pPr>
              <w:spacing w:before="60" w:line="233" w:lineRule="auto"/>
              <w:ind w:left="165"/>
              <w:jc w:val="both"/>
              <w:rPr>
                <w:rFonts w:eastAsia="Times New Roman"/>
                <w:color w:val="auto"/>
                <w:szCs w:val="21"/>
                <w:highlight w:val="none"/>
              </w:rPr>
            </w:pPr>
            <w:r>
              <w:rPr>
                <w:rFonts w:eastAsia="Times New Roman"/>
                <w:color w:val="auto"/>
                <w:spacing w:val="-1"/>
                <w:szCs w:val="21"/>
                <w:highlight w:val="none"/>
              </w:rPr>
              <w:t>2.2.4</w:t>
            </w:r>
          </w:p>
          <w:p w14:paraId="3654BE6D">
            <w:pPr>
              <w:pStyle w:val="185"/>
              <w:spacing w:before="150" w:line="281" w:lineRule="exact"/>
              <w:ind w:left="122"/>
              <w:jc w:val="both"/>
              <w:rPr>
                <w:color w:val="auto"/>
                <w:spacing w:val="-5"/>
                <w:position w:val="1"/>
                <w:highlight w:val="none"/>
                <w:lang w:eastAsia="zh-CN"/>
              </w:rPr>
            </w:pPr>
            <w:r>
              <w:rPr>
                <w:color w:val="auto"/>
                <w:spacing w:val="-5"/>
                <w:position w:val="1"/>
                <w:highlight w:val="none"/>
              </w:rPr>
              <w:t>（</w:t>
            </w:r>
            <w:r>
              <w:rPr>
                <w:rFonts w:ascii="Times New Roman" w:hAnsi="Times New Roman" w:eastAsia="Times New Roman" w:cs="Times New Roman"/>
                <w:color w:val="auto"/>
                <w:spacing w:val="-5"/>
                <w:position w:val="1"/>
                <w:highlight w:val="none"/>
              </w:rPr>
              <w:t>4</w:t>
            </w:r>
            <w:r>
              <w:rPr>
                <w:color w:val="auto"/>
                <w:spacing w:val="-5"/>
                <w:position w:val="1"/>
                <w:highlight w:val="none"/>
              </w:rPr>
              <w:t>）</w:t>
            </w:r>
          </w:p>
        </w:tc>
        <w:tc>
          <w:tcPr>
            <w:tcW w:w="1058" w:type="dxa"/>
            <w:vMerge w:val="restart"/>
            <w:vAlign w:val="center"/>
          </w:tcPr>
          <w:p w14:paraId="0956D789">
            <w:pPr>
              <w:pStyle w:val="185"/>
              <w:spacing w:before="169" w:line="221" w:lineRule="auto"/>
              <w:ind w:left="112"/>
              <w:jc w:val="both"/>
              <w:rPr>
                <w:rFonts w:hint="default"/>
                <w:color w:val="auto"/>
                <w:spacing w:val="-1"/>
                <w:highlight w:val="none"/>
                <w:lang w:val="en-US" w:eastAsia="zh-CN"/>
              </w:rPr>
            </w:pPr>
            <w:r>
              <w:rPr>
                <w:rFonts w:hint="eastAsia"/>
                <w:color w:val="auto"/>
                <w:spacing w:val="-1"/>
                <w:highlight w:val="none"/>
                <w:lang w:val="en-US" w:eastAsia="zh-CN"/>
              </w:rPr>
              <w:t>其他因素评分标准</w:t>
            </w:r>
          </w:p>
        </w:tc>
        <w:tc>
          <w:tcPr>
            <w:tcW w:w="1769" w:type="dxa"/>
            <w:vAlign w:val="center"/>
          </w:tcPr>
          <w:p w14:paraId="294845E1">
            <w:pPr>
              <w:pStyle w:val="187"/>
              <w:widowControl w:val="0"/>
              <w:spacing w:line="440" w:lineRule="exact"/>
              <w:jc w:val="center"/>
              <w:rPr>
                <w:rStyle w:val="44"/>
                <w:rFonts w:hint="eastAsia" w:ascii="宋体" w:hAnsi="宋体" w:eastAsia="宋体" w:cs="宋体"/>
                <w:color w:val="auto"/>
                <w:kern w:val="2"/>
                <w:sz w:val="21"/>
                <w:szCs w:val="21"/>
                <w:highlight w:val="none"/>
                <w:lang w:val="en-US" w:eastAsia="zh-CN" w:bidi="ar-SA"/>
              </w:rPr>
            </w:pPr>
            <w:r>
              <w:rPr>
                <w:rStyle w:val="44"/>
                <w:rFonts w:hint="eastAsia" w:ascii="宋体" w:hAnsi="宋体" w:eastAsia="宋体" w:cs="宋体"/>
                <w:color w:val="auto"/>
                <w:kern w:val="2"/>
                <w:sz w:val="21"/>
                <w:szCs w:val="21"/>
                <w:highlight w:val="none"/>
                <w:lang w:val="en-US" w:eastAsia="zh-CN" w:bidi="ar-SA"/>
              </w:rPr>
              <w:t>施工人员配备</w:t>
            </w:r>
          </w:p>
        </w:tc>
        <w:tc>
          <w:tcPr>
            <w:tcW w:w="840" w:type="dxa"/>
            <w:vAlign w:val="top"/>
          </w:tcPr>
          <w:p w14:paraId="640B5362">
            <w:pPr>
              <w:spacing w:line="347" w:lineRule="auto"/>
              <w:rPr>
                <w:rFonts w:ascii="Arial"/>
                <w:color w:val="auto"/>
                <w:sz w:val="21"/>
                <w:szCs w:val="21"/>
                <w:highlight w:val="none"/>
              </w:rPr>
            </w:pPr>
          </w:p>
          <w:p w14:paraId="1F98DCAF">
            <w:pPr>
              <w:pStyle w:val="185"/>
              <w:spacing w:before="69" w:line="221" w:lineRule="auto"/>
              <w:rPr>
                <w:rFonts w:hint="eastAsia"/>
                <w:color w:val="auto"/>
                <w:sz w:val="21"/>
                <w:szCs w:val="21"/>
                <w:highlight w:val="none"/>
                <w:lang w:val="en-US" w:eastAsia="zh-CN"/>
              </w:rPr>
            </w:pPr>
          </w:p>
          <w:p w14:paraId="75376BDF">
            <w:pPr>
              <w:pStyle w:val="185"/>
              <w:spacing w:before="69" w:line="221" w:lineRule="auto"/>
              <w:ind w:firstLine="210" w:firstLineChars="100"/>
              <w:rPr>
                <w:rFonts w:hint="eastAsia"/>
                <w:color w:val="auto"/>
                <w:sz w:val="21"/>
                <w:szCs w:val="21"/>
                <w:highlight w:val="none"/>
                <w:lang w:val="en-US" w:eastAsia="zh-CN"/>
              </w:rPr>
            </w:pPr>
            <w:r>
              <w:rPr>
                <w:rFonts w:hint="eastAsia"/>
                <w:color w:val="auto"/>
                <w:sz w:val="21"/>
                <w:szCs w:val="21"/>
                <w:highlight w:val="none"/>
                <w:lang w:val="en-US" w:eastAsia="zh-CN"/>
              </w:rPr>
              <w:t>2</w:t>
            </w:r>
          </w:p>
        </w:tc>
        <w:tc>
          <w:tcPr>
            <w:tcW w:w="4635" w:type="dxa"/>
            <w:vAlign w:val="center"/>
          </w:tcPr>
          <w:p w14:paraId="7AD84B23">
            <w:pPr>
              <w:pStyle w:val="187"/>
              <w:keepNext w:val="0"/>
              <w:keepLines w:val="0"/>
              <w:pageBreakBefore w:val="0"/>
              <w:widowControl w:val="0"/>
              <w:kinsoku/>
              <w:wordWrap/>
              <w:overflowPunct/>
              <w:topLinePunct w:val="0"/>
              <w:autoSpaceDE/>
              <w:autoSpaceDN/>
              <w:bidi w:val="0"/>
              <w:adjustRightInd/>
              <w:snapToGrid/>
              <w:spacing w:line="440" w:lineRule="exact"/>
              <w:jc w:val="both"/>
              <w:textAlignment w:val="auto"/>
              <w:rPr>
                <w:rStyle w:val="44"/>
                <w:rFonts w:hint="eastAsia" w:ascii="宋体" w:hAnsi="宋体" w:eastAsia="宋体" w:cs="宋体"/>
                <w:color w:val="auto"/>
                <w:kern w:val="2"/>
                <w:sz w:val="18"/>
                <w:szCs w:val="18"/>
                <w:highlight w:val="none"/>
                <w:lang w:val="en-US" w:eastAsia="zh-CN" w:bidi="ar-SA"/>
              </w:rPr>
            </w:pPr>
            <w:r>
              <w:rPr>
                <w:rStyle w:val="44"/>
                <w:rFonts w:hint="eastAsia" w:ascii="宋体" w:hAnsi="宋体" w:eastAsia="宋体" w:cs="宋体"/>
                <w:color w:val="auto"/>
                <w:kern w:val="2"/>
                <w:sz w:val="18"/>
                <w:szCs w:val="18"/>
                <w:highlight w:val="none"/>
                <w:lang w:val="en-US" w:eastAsia="zh-CN" w:bidi="ar-SA"/>
              </w:rPr>
              <w:t>评审内容：施工现场专业人员职业培训合格证</w:t>
            </w:r>
            <w:r>
              <w:rPr>
                <w:rStyle w:val="44"/>
                <w:rFonts w:hint="eastAsia" w:ascii="宋体" w:hAnsi="宋体" w:eastAsia="宋体" w:cs="宋体"/>
                <w:color w:val="auto"/>
                <w:kern w:val="2"/>
                <w:sz w:val="18"/>
                <w:szCs w:val="18"/>
                <w:highlight w:val="none"/>
                <w:lang w:val="en-US" w:eastAsia="zh-CN" w:bidi="ar-SA"/>
              </w:rPr>
              <w:br w:type="textWrapping"/>
            </w:r>
            <w:r>
              <w:rPr>
                <w:rStyle w:val="44"/>
                <w:rFonts w:hint="eastAsia" w:ascii="宋体" w:hAnsi="宋体" w:eastAsia="宋体" w:cs="宋体"/>
                <w:color w:val="auto"/>
                <w:kern w:val="2"/>
                <w:sz w:val="18"/>
                <w:szCs w:val="18"/>
                <w:highlight w:val="none"/>
                <w:lang w:val="en-US" w:eastAsia="zh-CN" w:bidi="ar-SA"/>
              </w:rPr>
              <w:t>（1）施工员 分值：0.4分/个，最多得：0.4分</w:t>
            </w:r>
            <w:r>
              <w:rPr>
                <w:rStyle w:val="44"/>
                <w:rFonts w:hint="eastAsia" w:ascii="宋体" w:hAnsi="宋体" w:eastAsia="宋体" w:cs="宋体"/>
                <w:color w:val="auto"/>
                <w:kern w:val="2"/>
                <w:sz w:val="18"/>
                <w:szCs w:val="18"/>
                <w:highlight w:val="none"/>
                <w:lang w:val="en-US" w:eastAsia="zh-CN" w:bidi="ar-SA"/>
              </w:rPr>
              <w:br w:type="textWrapping"/>
            </w:r>
            <w:r>
              <w:rPr>
                <w:rStyle w:val="44"/>
                <w:rFonts w:hint="eastAsia" w:ascii="宋体" w:hAnsi="宋体" w:eastAsia="宋体" w:cs="宋体"/>
                <w:color w:val="auto"/>
                <w:kern w:val="2"/>
                <w:sz w:val="18"/>
                <w:szCs w:val="18"/>
                <w:highlight w:val="none"/>
                <w:lang w:val="en-US" w:eastAsia="zh-CN" w:bidi="ar-SA"/>
              </w:rPr>
              <w:t>（2）市政工程质量员 分值：0.4分/个，最多得：0.4分</w:t>
            </w:r>
            <w:r>
              <w:rPr>
                <w:rStyle w:val="44"/>
                <w:rFonts w:hint="eastAsia" w:ascii="宋体" w:hAnsi="宋体" w:eastAsia="宋体" w:cs="宋体"/>
                <w:color w:val="auto"/>
                <w:kern w:val="2"/>
                <w:sz w:val="18"/>
                <w:szCs w:val="18"/>
                <w:highlight w:val="none"/>
                <w:lang w:val="en-US" w:eastAsia="zh-CN" w:bidi="ar-SA"/>
              </w:rPr>
              <w:br w:type="textWrapping"/>
            </w:r>
            <w:r>
              <w:rPr>
                <w:rStyle w:val="44"/>
                <w:rFonts w:hint="eastAsia" w:ascii="宋体" w:hAnsi="宋体" w:eastAsia="宋体" w:cs="宋体"/>
                <w:color w:val="auto"/>
                <w:kern w:val="2"/>
                <w:sz w:val="18"/>
                <w:szCs w:val="18"/>
                <w:highlight w:val="none"/>
                <w:lang w:val="en-US" w:eastAsia="zh-CN" w:bidi="ar-SA"/>
              </w:rPr>
              <w:t>（3）安全员 分值：0.4分/个，最多得：0.4分</w:t>
            </w:r>
            <w:r>
              <w:rPr>
                <w:rStyle w:val="44"/>
                <w:rFonts w:hint="eastAsia" w:ascii="宋体" w:hAnsi="宋体" w:eastAsia="宋体" w:cs="宋体"/>
                <w:color w:val="auto"/>
                <w:kern w:val="2"/>
                <w:sz w:val="18"/>
                <w:szCs w:val="18"/>
                <w:highlight w:val="none"/>
                <w:lang w:val="en-US" w:eastAsia="zh-CN" w:bidi="ar-SA"/>
              </w:rPr>
              <w:br w:type="textWrapping"/>
            </w:r>
            <w:r>
              <w:rPr>
                <w:rStyle w:val="44"/>
                <w:rFonts w:hint="eastAsia" w:ascii="宋体" w:hAnsi="宋体" w:eastAsia="宋体" w:cs="宋体"/>
                <w:color w:val="auto"/>
                <w:kern w:val="2"/>
                <w:sz w:val="18"/>
                <w:szCs w:val="18"/>
                <w:highlight w:val="none"/>
                <w:lang w:val="en-US" w:eastAsia="zh-CN" w:bidi="ar-SA"/>
              </w:rPr>
              <w:t>（4）机械员 分值：0.4分/个，最多得：0.4分</w:t>
            </w:r>
            <w:r>
              <w:rPr>
                <w:rStyle w:val="44"/>
                <w:rFonts w:hint="eastAsia" w:ascii="宋体" w:hAnsi="宋体" w:eastAsia="宋体" w:cs="宋体"/>
                <w:color w:val="auto"/>
                <w:kern w:val="2"/>
                <w:sz w:val="18"/>
                <w:szCs w:val="18"/>
                <w:highlight w:val="none"/>
                <w:lang w:val="en-US" w:eastAsia="zh-CN" w:bidi="ar-SA"/>
              </w:rPr>
              <w:br w:type="textWrapping"/>
            </w:r>
            <w:r>
              <w:rPr>
                <w:rStyle w:val="44"/>
                <w:rFonts w:hint="eastAsia" w:ascii="宋体" w:hAnsi="宋体" w:eastAsia="宋体" w:cs="宋体"/>
                <w:color w:val="auto"/>
                <w:kern w:val="2"/>
                <w:sz w:val="18"/>
                <w:szCs w:val="18"/>
                <w:highlight w:val="none"/>
                <w:lang w:val="en-US" w:eastAsia="zh-CN" w:bidi="ar-SA"/>
              </w:rPr>
              <w:t>（5）劳务员 分值：0.4分/个，最多得：0.4分</w:t>
            </w:r>
            <w:r>
              <w:rPr>
                <w:rStyle w:val="44"/>
                <w:rFonts w:hint="eastAsia" w:ascii="宋体" w:hAnsi="宋体" w:eastAsia="宋体" w:cs="宋体"/>
                <w:color w:val="auto"/>
                <w:kern w:val="2"/>
                <w:sz w:val="18"/>
                <w:szCs w:val="18"/>
                <w:highlight w:val="none"/>
                <w:lang w:val="en-US" w:eastAsia="zh-CN" w:bidi="ar-SA"/>
              </w:rPr>
              <w:br w:type="textWrapping"/>
            </w:r>
            <w:r>
              <w:rPr>
                <w:rStyle w:val="44"/>
                <w:rFonts w:hint="eastAsia" w:ascii="宋体" w:hAnsi="宋体" w:eastAsia="宋体" w:cs="宋体"/>
                <w:color w:val="auto"/>
                <w:kern w:val="2"/>
                <w:sz w:val="18"/>
                <w:szCs w:val="18"/>
                <w:highlight w:val="none"/>
                <w:lang w:val="en-US" w:eastAsia="zh-CN" w:bidi="ar-SA"/>
              </w:rPr>
              <w:t>满分：2分。</w:t>
            </w:r>
            <w:r>
              <w:rPr>
                <w:rStyle w:val="44"/>
                <w:rFonts w:hint="eastAsia" w:ascii="宋体" w:hAnsi="宋体" w:eastAsia="宋体" w:cs="宋体"/>
                <w:color w:val="auto"/>
                <w:kern w:val="2"/>
                <w:sz w:val="18"/>
                <w:szCs w:val="18"/>
                <w:highlight w:val="none"/>
                <w:lang w:val="en-US" w:eastAsia="zh-CN" w:bidi="ar-SA"/>
              </w:rPr>
              <w:br w:type="textWrapping"/>
            </w:r>
            <w:r>
              <w:rPr>
                <w:rStyle w:val="44"/>
                <w:rFonts w:hint="eastAsia" w:ascii="宋体" w:hAnsi="宋体" w:eastAsia="宋体" w:cs="宋体"/>
                <w:color w:val="auto"/>
                <w:kern w:val="2"/>
                <w:sz w:val="18"/>
                <w:szCs w:val="18"/>
                <w:highlight w:val="none"/>
                <w:lang w:val="en-US" w:eastAsia="zh-CN" w:bidi="ar-SA"/>
              </w:rPr>
              <w:t>注：以住建领域主体信息库入库的有效证书为准。</w:t>
            </w:r>
          </w:p>
          <w:p w14:paraId="1A85B9A2">
            <w:pPr>
              <w:pStyle w:val="119"/>
              <w:ind w:left="0" w:leftChars="0" w:firstLine="0" w:firstLineChars="0"/>
              <w:rPr>
                <w:rFonts w:hint="eastAsia"/>
                <w:color w:val="auto"/>
                <w:sz w:val="18"/>
                <w:szCs w:val="18"/>
                <w:highlight w:val="none"/>
                <w:lang w:val="en-US" w:eastAsia="zh-CN"/>
              </w:rPr>
            </w:pPr>
            <w:r>
              <w:rPr>
                <w:rStyle w:val="44"/>
                <w:rFonts w:hint="eastAsia" w:ascii="宋体" w:hAnsi="宋体" w:cs="宋体"/>
                <w:color w:val="auto"/>
                <w:kern w:val="2"/>
                <w:sz w:val="18"/>
                <w:szCs w:val="18"/>
                <w:highlight w:val="none"/>
                <w:lang w:val="en-US" w:eastAsia="zh-CN" w:bidi="ar-SA"/>
              </w:rPr>
              <w:t>分值：</w:t>
            </w:r>
            <w:r>
              <w:rPr>
                <w:rStyle w:val="44"/>
                <w:rFonts w:hint="eastAsia" w:ascii="宋体" w:hAnsi="宋体" w:eastAsia="宋体" w:cs="宋体"/>
                <w:color w:val="auto"/>
                <w:kern w:val="2"/>
                <w:sz w:val="18"/>
                <w:szCs w:val="18"/>
                <w:highlight w:val="none"/>
                <w:lang w:val="en-US" w:eastAsia="zh-CN" w:bidi="ar-SA"/>
              </w:rPr>
              <w:t>0.4</w:t>
            </w:r>
            <w:r>
              <w:rPr>
                <w:rStyle w:val="44"/>
                <w:rFonts w:hint="eastAsia" w:ascii="宋体" w:hAnsi="宋体" w:cs="宋体"/>
                <w:color w:val="auto"/>
                <w:kern w:val="2"/>
                <w:sz w:val="18"/>
                <w:szCs w:val="18"/>
                <w:highlight w:val="none"/>
                <w:lang w:val="en-US" w:eastAsia="zh-CN" w:bidi="ar-SA"/>
              </w:rPr>
              <w:t>；</w:t>
            </w:r>
            <w:r>
              <w:rPr>
                <w:rStyle w:val="44"/>
                <w:rFonts w:hint="eastAsia" w:ascii="宋体" w:hAnsi="宋体" w:eastAsia="宋体" w:cs="宋体"/>
                <w:color w:val="auto"/>
                <w:kern w:val="2"/>
                <w:sz w:val="18"/>
                <w:szCs w:val="18"/>
                <w:highlight w:val="none"/>
                <w:lang w:val="en-US" w:eastAsia="zh-CN" w:bidi="ar-SA"/>
              </w:rPr>
              <w:t>0.4</w:t>
            </w:r>
            <w:r>
              <w:rPr>
                <w:rStyle w:val="44"/>
                <w:rFonts w:hint="eastAsia" w:ascii="宋体" w:hAnsi="宋体" w:cs="宋体"/>
                <w:color w:val="auto"/>
                <w:kern w:val="2"/>
                <w:sz w:val="18"/>
                <w:szCs w:val="18"/>
                <w:highlight w:val="none"/>
                <w:lang w:val="en-US" w:eastAsia="zh-CN" w:bidi="ar-SA"/>
              </w:rPr>
              <w:t>；</w:t>
            </w:r>
            <w:r>
              <w:rPr>
                <w:rStyle w:val="44"/>
                <w:rFonts w:hint="eastAsia" w:ascii="宋体" w:hAnsi="宋体" w:eastAsia="宋体" w:cs="宋体"/>
                <w:color w:val="auto"/>
                <w:kern w:val="2"/>
                <w:sz w:val="18"/>
                <w:szCs w:val="18"/>
                <w:highlight w:val="none"/>
                <w:lang w:val="en-US" w:eastAsia="zh-CN" w:bidi="ar-SA"/>
              </w:rPr>
              <w:t>0.4</w:t>
            </w:r>
            <w:r>
              <w:rPr>
                <w:rStyle w:val="44"/>
                <w:rFonts w:hint="eastAsia" w:ascii="宋体" w:hAnsi="宋体" w:cs="宋体"/>
                <w:color w:val="auto"/>
                <w:kern w:val="2"/>
                <w:sz w:val="18"/>
                <w:szCs w:val="18"/>
                <w:highlight w:val="none"/>
                <w:lang w:val="en-US" w:eastAsia="zh-CN" w:bidi="ar-SA"/>
              </w:rPr>
              <w:t>；</w:t>
            </w:r>
            <w:r>
              <w:rPr>
                <w:rStyle w:val="44"/>
                <w:rFonts w:hint="eastAsia" w:ascii="宋体" w:hAnsi="宋体" w:eastAsia="宋体" w:cs="宋体"/>
                <w:color w:val="auto"/>
                <w:kern w:val="2"/>
                <w:sz w:val="18"/>
                <w:szCs w:val="18"/>
                <w:highlight w:val="none"/>
                <w:lang w:val="en-US" w:eastAsia="zh-CN" w:bidi="ar-SA"/>
              </w:rPr>
              <w:t>0.4</w:t>
            </w:r>
            <w:r>
              <w:rPr>
                <w:rStyle w:val="44"/>
                <w:rFonts w:hint="eastAsia" w:ascii="宋体" w:hAnsi="宋体" w:cs="宋体"/>
                <w:color w:val="auto"/>
                <w:kern w:val="2"/>
                <w:sz w:val="18"/>
                <w:szCs w:val="18"/>
                <w:highlight w:val="none"/>
                <w:lang w:val="en-US" w:eastAsia="zh-CN" w:bidi="ar-SA"/>
              </w:rPr>
              <w:t>；</w:t>
            </w:r>
            <w:r>
              <w:rPr>
                <w:rStyle w:val="44"/>
                <w:rFonts w:hint="eastAsia" w:ascii="宋体" w:hAnsi="宋体" w:eastAsia="宋体" w:cs="宋体"/>
                <w:color w:val="auto"/>
                <w:kern w:val="2"/>
                <w:sz w:val="18"/>
                <w:szCs w:val="18"/>
                <w:highlight w:val="none"/>
                <w:lang w:val="en-US" w:eastAsia="zh-CN" w:bidi="ar-SA"/>
              </w:rPr>
              <w:t>0.4</w:t>
            </w:r>
            <w:r>
              <w:rPr>
                <w:rStyle w:val="44"/>
                <w:rFonts w:hint="eastAsia" w:ascii="宋体" w:hAnsi="宋体" w:cs="宋体"/>
                <w:color w:val="auto"/>
                <w:kern w:val="2"/>
                <w:sz w:val="18"/>
                <w:szCs w:val="18"/>
                <w:highlight w:val="none"/>
                <w:lang w:val="en-US" w:eastAsia="zh-CN" w:bidi="ar-SA"/>
              </w:rPr>
              <w:t>。</w:t>
            </w:r>
          </w:p>
        </w:tc>
      </w:tr>
      <w:tr w14:paraId="59C86C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4" w:hRule="atLeast"/>
        </w:trPr>
        <w:tc>
          <w:tcPr>
            <w:tcW w:w="746" w:type="dxa"/>
            <w:vMerge w:val="continue"/>
          </w:tcPr>
          <w:p w14:paraId="005C89C9">
            <w:pPr>
              <w:pStyle w:val="185"/>
              <w:spacing w:before="150" w:line="281" w:lineRule="exact"/>
              <w:ind w:left="122"/>
              <w:rPr>
                <w:color w:val="auto"/>
                <w:spacing w:val="-5"/>
                <w:position w:val="1"/>
                <w:highlight w:val="none"/>
                <w:lang w:eastAsia="zh-CN"/>
              </w:rPr>
            </w:pPr>
          </w:p>
        </w:tc>
        <w:tc>
          <w:tcPr>
            <w:tcW w:w="1058" w:type="dxa"/>
            <w:vMerge w:val="continue"/>
          </w:tcPr>
          <w:p w14:paraId="3E1A10BB">
            <w:pPr>
              <w:pStyle w:val="185"/>
              <w:spacing w:before="169" w:line="221" w:lineRule="auto"/>
              <w:ind w:left="112"/>
              <w:rPr>
                <w:color w:val="auto"/>
                <w:spacing w:val="-1"/>
                <w:highlight w:val="none"/>
                <w:lang w:eastAsia="zh-CN"/>
              </w:rPr>
            </w:pPr>
          </w:p>
        </w:tc>
        <w:tc>
          <w:tcPr>
            <w:tcW w:w="1769" w:type="dxa"/>
            <w:vAlign w:val="center"/>
          </w:tcPr>
          <w:p w14:paraId="0801F284">
            <w:pPr>
              <w:pStyle w:val="187"/>
              <w:widowControl w:val="0"/>
              <w:spacing w:line="440" w:lineRule="exact"/>
              <w:jc w:val="center"/>
              <w:rPr>
                <w:rStyle w:val="44"/>
                <w:rFonts w:hint="eastAsia" w:ascii="宋体" w:hAnsi="宋体" w:eastAsia="宋体" w:cs="宋体"/>
                <w:color w:val="auto"/>
                <w:kern w:val="2"/>
                <w:sz w:val="21"/>
                <w:szCs w:val="21"/>
                <w:highlight w:val="none"/>
                <w:lang w:val="en-US" w:eastAsia="zh-CN" w:bidi="ar-SA"/>
              </w:rPr>
            </w:pPr>
            <w:r>
              <w:rPr>
                <w:rStyle w:val="44"/>
                <w:rFonts w:hint="eastAsia" w:ascii="宋体" w:hAnsi="宋体" w:eastAsia="宋体" w:cs="宋体"/>
                <w:color w:val="auto"/>
                <w:kern w:val="2"/>
                <w:sz w:val="21"/>
                <w:szCs w:val="21"/>
                <w:highlight w:val="none"/>
                <w:lang w:val="en-US" w:eastAsia="zh-CN" w:bidi="ar-SA"/>
              </w:rPr>
              <w:t>设计人员配备</w:t>
            </w:r>
          </w:p>
        </w:tc>
        <w:tc>
          <w:tcPr>
            <w:tcW w:w="840" w:type="dxa"/>
            <w:vAlign w:val="top"/>
          </w:tcPr>
          <w:p w14:paraId="41039E17">
            <w:pPr>
              <w:pStyle w:val="185"/>
              <w:spacing w:before="69" w:line="221" w:lineRule="auto"/>
              <w:ind w:firstLine="210" w:firstLineChars="100"/>
              <w:rPr>
                <w:color w:val="auto"/>
                <w:sz w:val="21"/>
                <w:szCs w:val="21"/>
                <w:highlight w:val="none"/>
                <w:lang w:eastAsia="zh-CN"/>
              </w:rPr>
            </w:pPr>
          </w:p>
          <w:p w14:paraId="7370A116">
            <w:pPr>
              <w:pStyle w:val="185"/>
              <w:spacing w:before="69" w:line="221" w:lineRule="auto"/>
              <w:ind w:firstLine="210" w:firstLineChars="100"/>
              <w:rPr>
                <w:color w:val="auto"/>
                <w:sz w:val="21"/>
                <w:szCs w:val="21"/>
                <w:highlight w:val="none"/>
                <w:lang w:eastAsia="zh-CN"/>
              </w:rPr>
            </w:pPr>
          </w:p>
          <w:p w14:paraId="4B6D1CDC">
            <w:pPr>
              <w:pStyle w:val="185"/>
              <w:spacing w:before="69" w:line="221" w:lineRule="auto"/>
              <w:ind w:firstLine="210" w:firstLineChars="100"/>
              <w:rPr>
                <w:rFonts w:hint="eastAsia"/>
                <w:color w:val="auto"/>
                <w:sz w:val="21"/>
                <w:szCs w:val="21"/>
                <w:highlight w:val="none"/>
                <w:lang w:val="en-US" w:eastAsia="zh-CN"/>
              </w:rPr>
            </w:pPr>
            <w:r>
              <w:rPr>
                <w:rFonts w:hint="eastAsia"/>
                <w:color w:val="auto"/>
                <w:sz w:val="21"/>
                <w:szCs w:val="21"/>
                <w:highlight w:val="none"/>
                <w:lang w:val="en-US" w:eastAsia="zh-CN"/>
              </w:rPr>
              <w:t>2</w:t>
            </w:r>
          </w:p>
        </w:tc>
        <w:tc>
          <w:tcPr>
            <w:tcW w:w="4635" w:type="dxa"/>
            <w:vAlign w:val="center"/>
          </w:tcPr>
          <w:p w14:paraId="23C56D83">
            <w:pPr>
              <w:pStyle w:val="187"/>
              <w:keepNext w:val="0"/>
              <w:keepLines w:val="0"/>
              <w:pageBreakBefore w:val="0"/>
              <w:widowControl w:val="0"/>
              <w:kinsoku/>
              <w:wordWrap/>
              <w:overflowPunct/>
              <w:topLinePunct w:val="0"/>
              <w:autoSpaceDE/>
              <w:autoSpaceDN/>
              <w:bidi w:val="0"/>
              <w:adjustRightInd/>
              <w:snapToGrid/>
              <w:spacing w:line="440" w:lineRule="exact"/>
              <w:jc w:val="both"/>
              <w:textAlignment w:val="auto"/>
              <w:rPr>
                <w:rStyle w:val="44"/>
                <w:rFonts w:hint="eastAsia" w:cs="宋体"/>
                <w:color w:val="auto"/>
                <w:kern w:val="2"/>
                <w:sz w:val="18"/>
                <w:szCs w:val="18"/>
                <w:highlight w:val="none"/>
                <w:lang w:val="en-US" w:eastAsia="zh-CN" w:bidi="ar-SA"/>
              </w:rPr>
            </w:pPr>
            <w:r>
              <w:rPr>
                <w:rStyle w:val="44"/>
                <w:rFonts w:hint="eastAsia" w:ascii="宋体" w:hAnsi="宋体" w:eastAsia="宋体" w:cs="宋体"/>
                <w:color w:val="auto"/>
                <w:kern w:val="2"/>
                <w:sz w:val="18"/>
                <w:szCs w:val="18"/>
                <w:highlight w:val="none"/>
                <w:lang w:val="en-US" w:eastAsia="zh-CN" w:bidi="ar-SA"/>
              </w:rPr>
              <w:t>评审内容：1.专业人员配置合理</w:t>
            </w:r>
            <w:r>
              <w:rPr>
                <w:rStyle w:val="44"/>
                <w:rFonts w:hint="eastAsia" w:cs="宋体"/>
                <w:color w:val="auto"/>
                <w:kern w:val="2"/>
                <w:sz w:val="18"/>
                <w:szCs w:val="18"/>
                <w:highlight w:val="none"/>
                <w:lang w:val="en-US" w:eastAsia="zh-CN" w:bidi="ar-SA"/>
              </w:rPr>
              <w:t>、</w:t>
            </w:r>
            <w:r>
              <w:rPr>
                <w:rStyle w:val="44"/>
                <w:rFonts w:hint="eastAsia" w:ascii="宋体" w:hAnsi="宋体" w:eastAsia="宋体" w:cs="宋体"/>
                <w:color w:val="auto"/>
                <w:kern w:val="2"/>
                <w:sz w:val="18"/>
                <w:szCs w:val="18"/>
                <w:highlight w:val="none"/>
                <w:lang w:val="en-US" w:eastAsia="zh-CN" w:bidi="ar-SA"/>
              </w:rPr>
              <w:t>齐全，</w:t>
            </w:r>
            <w:r>
              <w:rPr>
                <w:rStyle w:val="44"/>
                <w:rFonts w:hint="eastAsia" w:cs="宋体"/>
                <w:color w:val="auto"/>
                <w:kern w:val="2"/>
                <w:sz w:val="18"/>
                <w:szCs w:val="18"/>
                <w:highlight w:val="none"/>
                <w:lang w:val="en-US" w:eastAsia="zh-CN" w:bidi="ar-SA"/>
              </w:rPr>
              <w:t>具有高级及以上技术职称或相关注册执业资格证书的得2分；2.具有中级职称的得1分，没有得0分。</w:t>
            </w:r>
          </w:p>
          <w:p w14:paraId="72EDB1BF">
            <w:pPr>
              <w:pStyle w:val="119"/>
              <w:ind w:left="0" w:leftChars="0" w:firstLine="0" w:firstLineChars="0"/>
              <w:rPr>
                <w:rFonts w:hint="eastAsia"/>
                <w:color w:val="auto"/>
                <w:sz w:val="18"/>
                <w:szCs w:val="18"/>
                <w:highlight w:val="none"/>
                <w:lang w:val="en-US" w:eastAsia="zh-CN"/>
              </w:rPr>
            </w:pPr>
            <w:r>
              <w:rPr>
                <w:rStyle w:val="44"/>
                <w:rFonts w:hint="eastAsia" w:ascii="宋体" w:hAnsi="宋体" w:cs="宋体"/>
                <w:color w:val="auto"/>
                <w:kern w:val="2"/>
                <w:sz w:val="18"/>
                <w:szCs w:val="18"/>
                <w:highlight w:val="none"/>
                <w:lang w:val="en-US" w:eastAsia="zh-CN" w:bidi="ar-SA"/>
              </w:rPr>
              <w:t>分值：0；1；2。</w:t>
            </w:r>
          </w:p>
        </w:tc>
      </w:tr>
      <w:tr w14:paraId="2F25EF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804" w:type="dxa"/>
            <w:gridSpan w:val="2"/>
            <w:vAlign w:val="center"/>
          </w:tcPr>
          <w:p w14:paraId="22933763">
            <w:pPr>
              <w:spacing w:line="420" w:lineRule="exact"/>
              <w:jc w:val="center"/>
              <w:rPr>
                <w:color w:val="auto"/>
                <w:spacing w:val="-1"/>
                <w:highlight w:val="none"/>
                <w:lang w:eastAsia="zh-CN"/>
              </w:rPr>
            </w:pPr>
            <w:r>
              <w:rPr>
                <w:rFonts w:hint="eastAsia" w:ascii="宋体" w:hAnsi="宋体"/>
                <w:b/>
                <w:color w:val="auto"/>
                <w:szCs w:val="21"/>
                <w:highlight w:val="none"/>
              </w:rPr>
              <w:t>条款号</w:t>
            </w:r>
          </w:p>
        </w:tc>
        <w:tc>
          <w:tcPr>
            <w:tcW w:w="7244" w:type="dxa"/>
            <w:gridSpan w:val="3"/>
            <w:vAlign w:val="center"/>
          </w:tcPr>
          <w:p w14:paraId="12F801AF">
            <w:pPr>
              <w:spacing w:line="420" w:lineRule="exact"/>
              <w:jc w:val="center"/>
              <w:rPr>
                <w:rStyle w:val="44"/>
                <w:rFonts w:hint="eastAsia" w:ascii="宋体" w:hAnsi="宋体" w:cs="宋体"/>
                <w:color w:val="auto"/>
                <w:kern w:val="2"/>
                <w:sz w:val="21"/>
                <w:szCs w:val="21"/>
                <w:highlight w:val="none"/>
                <w:lang w:val="en-US" w:eastAsia="zh-CN" w:bidi="ar-SA"/>
              </w:rPr>
            </w:pPr>
            <w:r>
              <w:rPr>
                <w:rFonts w:hint="eastAsia" w:ascii="宋体" w:hAnsi="宋体"/>
                <w:b/>
                <w:color w:val="auto"/>
                <w:szCs w:val="21"/>
                <w:highlight w:val="none"/>
              </w:rPr>
              <w:t>具体内容</w:t>
            </w:r>
          </w:p>
        </w:tc>
      </w:tr>
      <w:tr w14:paraId="192420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4" w:hRule="atLeast"/>
        </w:trPr>
        <w:tc>
          <w:tcPr>
            <w:tcW w:w="746" w:type="dxa"/>
            <w:vAlign w:val="center"/>
          </w:tcPr>
          <w:p w14:paraId="347C8BAA">
            <w:pPr>
              <w:spacing w:line="420" w:lineRule="exact"/>
              <w:jc w:val="center"/>
              <w:rPr>
                <w:color w:val="auto"/>
                <w:spacing w:val="-5"/>
                <w:position w:val="1"/>
                <w:highlight w:val="none"/>
                <w:lang w:eastAsia="zh-CN"/>
              </w:rPr>
            </w:pPr>
            <w:r>
              <w:rPr>
                <w:rFonts w:hint="eastAsia"/>
                <w:color w:val="auto"/>
                <w:szCs w:val="21"/>
                <w:highlight w:val="none"/>
                <w:lang w:val="en-US" w:eastAsia="zh-CN"/>
              </w:rPr>
              <w:t>3.2.5</w:t>
            </w:r>
          </w:p>
        </w:tc>
        <w:tc>
          <w:tcPr>
            <w:tcW w:w="1058" w:type="dxa"/>
            <w:vAlign w:val="center"/>
          </w:tcPr>
          <w:p w14:paraId="72917272">
            <w:pPr>
              <w:spacing w:line="420" w:lineRule="exact"/>
              <w:jc w:val="center"/>
              <w:rPr>
                <w:color w:val="auto"/>
                <w:spacing w:val="-1"/>
                <w:highlight w:val="none"/>
                <w:lang w:eastAsia="zh-CN"/>
              </w:rPr>
            </w:pPr>
            <w:r>
              <w:rPr>
                <w:rFonts w:hint="eastAsia" w:ascii="宋体" w:hAnsi="宋体"/>
                <w:color w:val="auto"/>
                <w:szCs w:val="21"/>
                <w:highlight w:val="none"/>
                <w:lang w:val="en-US" w:eastAsia="zh-CN"/>
              </w:rPr>
              <w:t>评分结果汇总</w:t>
            </w:r>
          </w:p>
        </w:tc>
        <w:tc>
          <w:tcPr>
            <w:tcW w:w="7244" w:type="dxa"/>
            <w:gridSpan w:val="3"/>
            <w:vAlign w:val="center"/>
          </w:tcPr>
          <w:p w14:paraId="4F720086">
            <w:pPr>
              <w:spacing w:line="380" w:lineRule="exact"/>
              <w:jc w:val="left"/>
              <w:rPr>
                <w:rFonts w:hint="eastAsia"/>
                <w:color w:val="auto"/>
                <w:highlight w:val="none"/>
              </w:rPr>
            </w:pPr>
            <w:r>
              <w:rPr>
                <w:rFonts w:hint="eastAsia" w:eastAsia="宋体"/>
                <w:color w:val="auto"/>
                <w:highlight w:val="none"/>
                <w:lang w:val="en-US" w:eastAsia="zh-CN"/>
              </w:rPr>
              <w:t>最终（含分项）评分结果汇总确定办法</w:t>
            </w:r>
            <w:r>
              <w:rPr>
                <w:rFonts w:hint="eastAsia"/>
                <w:color w:val="auto"/>
                <w:highlight w:val="none"/>
                <w:lang w:val="en-US" w:eastAsia="zh-CN"/>
              </w:rPr>
              <w:t>：</w:t>
            </w:r>
          </w:p>
          <w:p w14:paraId="7C799816">
            <w:pPr>
              <w:spacing w:line="380" w:lineRule="exact"/>
              <w:ind w:firstLine="420" w:firstLineChars="200"/>
              <w:jc w:val="left"/>
              <w:rPr>
                <w:rFonts w:hint="eastAsia"/>
                <w:color w:val="auto"/>
                <w:highlight w:val="none"/>
              </w:rPr>
            </w:pPr>
            <w:r>
              <w:rPr>
                <w:rFonts w:hint="eastAsia"/>
                <w:color w:val="auto"/>
                <w:highlight w:val="none"/>
                <w:lang w:val="en-US" w:eastAsia="zh-CN"/>
              </w:rPr>
              <w:t>☑所有评标委员会成员评分的算术平均值。</w:t>
            </w:r>
          </w:p>
          <w:p w14:paraId="4DE2FF39">
            <w:pPr>
              <w:spacing w:line="380" w:lineRule="exact"/>
              <w:ind w:firstLine="420" w:firstLineChars="200"/>
              <w:jc w:val="left"/>
              <w:rPr>
                <w:rStyle w:val="44"/>
                <w:rFonts w:hint="eastAsia" w:ascii="宋体" w:hAnsi="宋体" w:cs="宋体"/>
                <w:color w:val="auto"/>
                <w:kern w:val="2"/>
                <w:sz w:val="21"/>
                <w:szCs w:val="21"/>
                <w:highlight w:val="none"/>
                <w:lang w:val="en-US" w:eastAsia="zh-CN" w:bidi="ar-SA"/>
              </w:rPr>
            </w:pPr>
            <w:r>
              <w:rPr>
                <w:rFonts w:hint="eastAsia"/>
                <w:color w:val="auto"/>
                <w:highlight w:val="none"/>
                <w:lang w:val="en-US" w:eastAsia="zh-CN"/>
              </w:rPr>
              <w:t>□所有评标委员会成员评分去掉一个最高分和一个最低分后计算平均值（分项评审成员3名（含3名）以下时，按照算术平均值进行计算）。</w:t>
            </w:r>
          </w:p>
        </w:tc>
      </w:tr>
      <w:tr w14:paraId="07700B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4" w:hRule="atLeast"/>
        </w:trPr>
        <w:tc>
          <w:tcPr>
            <w:tcW w:w="746" w:type="dxa"/>
            <w:vAlign w:val="center"/>
          </w:tcPr>
          <w:p w14:paraId="58A0ED8E">
            <w:pPr>
              <w:spacing w:line="420" w:lineRule="exact"/>
              <w:jc w:val="center"/>
              <w:rPr>
                <w:color w:val="auto"/>
                <w:spacing w:val="-5"/>
                <w:position w:val="1"/>
                <w:highlight w:val="none"/>
                <w:lang w:eastAsia="zh-CN"/>
              </w:rPr>
            </w:pPr>
            <w:r>
              <w:rPr>
                <w:color w:val="auto"/>
                <w:szCs w:val="21"/>
                <w:highlight w:val="none"/>
              </w:rPr>
              <w:t>3.</w:t>
            </w:r>
            <w:r>
              <w:rPr>
                <w:rFonts w:hint="eastAsia"/>
                <w:color w:val="auto"/>
                <w:szCs w:val="21"/>
                <w:highlight w:val="none"/>
              </w:rPr>
              <w:t>4</w:t>
            </w:r>
            <w:r>
              <w:rPr>
                <w:color w:val="auto"/>
                <w:szCs w:val="21"/>
                <w:highlight w:val="none"/>
              </w:rPr>
              <w:t>.1</w:t>
            </w:r>
          </w:p>
        </w:tc>
        <w:tc>
          <w:tcPr>
            <w:tcW w:w="1058" w:type="dxa"/>
            <w:vAlign w:val="center"/>
          </w:tcPr>
          <w:p w14:paraId="74147E4B">
            <w:pPr>
              <w:spacing w:line="420" w:lineRule="exact"/>
              <w:jc w:val="center"/>
              <w:rPr>
                <w:color w:val="auto"/>
                <w:spacing w:val="-1"/>
                <w:highlight w:val="none"/>
                <w:lang w:eastAsia="zh-CN"/>
              </w:rPr>
            </w:pPr>
            <w:r>
              <w:rPr>
                <w:rFonts w:hint="eastAsia" w:ascii="宋体" w:hAnsi="宋体"/>
                <w:color w:val="auto"/>
                <w:szCs w:val="21"/>
                <w:highlight w:val="none"/>
              </w:rPr>
              <w:t>推荐中标候选人</w:t>
            </w:r>
          </w:p>
        </w:tc>
        <w:tc>
          <w:tcPr>
            <w:tcW w:w="7244" w:type="dxa"/>
            <w:gridSpan w:val="3"/>
            <w:vAlign w:val="center"/>
          </w:tcPr>
          <w:p w14:paraId="0D489103">
            <w:pPr>
              <w:spacing w:line="380" w:lineRule="exact"/>
              <w:rPr>
                <w:rStyle w:val="44"/>
                <w:rFonts w:hint="eastAsia" w:ascii="宋体" w:hAnsi="宋体" w:cs="宋体"/>
                <w:color w:val="auto"/>
                <w:kern w:val="2"/>
                <w:sz w:val="21"/>
                <w:szCs w:val="21"/>
                <w:highlight w:val="none"/>
                <w:lang w:val="en-US" w:eastAsia="zh-CN" w:bidi="ar-SA"/>
              </w:rPr>
            </w:pPr>
            <w:r>
              <w:rPr>
                <w:rFonts w:hint="eastAsia" w:eastAsia="宋体"/>
                <w:color w:val="auto"/>
                <w:highlight w:val="none"/>
                <w:lang w:val="en-US" w:eastAsia="zh-CN"/>
              </w:rPr>
              <w:t xml:space="preserve">    （1）评标委员会向招标人推荐不超过3家的合格的中标候选人，且对每个中标候选人的技术咨询建议、优势、不足、风险等情况进行说明，提出推荐意见和建议。</w:t>
            </w:r>
            <w:r>
              <w:rPr>
                <w:rFonts w:hint="eastAsia" w:eastAsia="宋体"/>
                <w:color w:val="auto"/>
                <w:highlight w:val="none"/>
                <w:lang w:val="en-US" w:eastAsia="zh-CN"/>
              </w:rPr>
              <w:br w:type="textWrapping"/>
            </w:r>
            <w:r>
              <w:rPr>
                <w:rFonts w:hint="eastAsia" w:eastAsia="宋体"/>
                <w:color w:val="auto"/>
                <w:highlight w:val="none"/>
                <w:lang w:val="en-US" w:eastAsia="zh-CN"/>
              </w:rPr>
              <w:t xml:space="preserve">    （2）除评标办法前附表规定采用技术标或综合性入围方式的（按前附表设定规则计算最终得分和排序），最终得分计算和排序方法按照经济标+技术标+资信标+其他评审汇总得分排序，并按得分由高到低顺序推荐中标候选人，或根据招标人授权直接确定中标人，但投标报价低于其成本的除外。综合评分相等时，依次按下列因素排序：（1）投标报价由低到高（2）承包人实施方案得分由高到低（</w:t>
            </w:r>
            <w:r>
              <w:rPr>
                <w:rFonts w:hint="eastAsia"/>
                <w:color w:val="auto"/>
                <w:highlight w:val="none"/>
                <w:lang w:val="en-US" w:eastAsia="zh-CN"/>
              </w:rPr>
              <w:t>3</w:t>
            </w:r>
            <w:r>
              <w:rPr>
                <w:rFonts w:hint="eastAsia" w:eastAsia="宋体"/>
                <w:color w:val="auto"/>
                <w:highlight w:val="none"/>
                <w:lang w:val="en-US" w:eastAsia="zh-CN"/>
              </w:rPr>
              <w:t>）承包人建议书得分由高到低（</w:t>
            </w:r>
            <w:r>
              <w:rPr>
                <w:rFonts w:hint="eastAsia"/>
                <w:color w:val="auto"/>
                <w:highlight w:val="none"/>
                <w:lang w:val="en-US" w:eastAsia="zh-CN"/>
              </w:rPr>
              <w:t>4</w:t>
            </w:r>
            <w:r>
              <w:rPr>
                <w:rFonts w:hint="eastAsia" w:eastAsia="宋体"/>
                <w:color w:val="auto"/>
                <w:highlight w:val="none"/>
                <w:lang w:val="en-US" w:eastAsia="zh-CN"/>
              </w:rPr>
              <w:t>）资信业绩得分由高到低（</w:t>
            </w:r>
            <w:r>
              <w:rPr>
                <w:rFonts w:hint="eastAsia"/>
                <w:color w:val="auto"/>
                <w:highlight w:val="none"/>
                <w:lang w:val="en-US" w:eastAsia="zh-CN"/>
              </w:rPr>
              <w:t>5</w:t>
            </w:r>
            <w:r>
              <w:rPr>
                <w:rFonts w:hint="eastAsia" w:eastAsia="宋体"/>
                <w:color w:val="auto"/>
                <w:highlight w:val="none"/>
                <w:lang w:val="en-US" w:eastAsia="zh-CN"/>
              </w:rPr>
              <w:t>）其他因素得分由高到低；上述因素仍不能排定顺序的，由招标人或者招标人授权的评标委员会自行确定。</w:t>
            </w:r>
          </w:p>
        </w:tc>
      </w:tr>
    </w:tbl>
    <w:p w14:paraId="4FDD767E">
      <w:pPr>
        <w:spacing w:line="91" w:lineRule="auto"/>
        <w:rPr>
          <w:rFonts w:ascii="Arial"/>
          <w:color w:val="auto"/>
          <w:sz w:val="2"/>
          <w:highlight w:val="none"/>
        </w:rPr>
      </w:pPr>
    </w:p>
    <w:p w14:paraId="793E7CDC">
      <w:pPr>
        <w:spacing w:line="91" w:lineRule="auto"/>
        <w:rPr>
          <w:rFonts w:ascii="Arial"/>
          <w:color w:val="auto"/>
          <w:sz w:val="2"/>
          <w:highlight w:val="none"/>
        </w:rPr>
      </w:pPr>
    </w:p>
    <w:p w14:paraId="1A33E12C">
      <w:pPr>
        <w:rPr>
          <w:color w:val="auto"/>
          <w:highlight w:val="none"/>
        </w:rPr>
      </w:pPr>
      <w:r>
        <w:rPr>
          <w:color w:val="auto"/>
          <w:highlight w:val="none"/>
        </w:rPr>
        <w:br w:type="page"/>
      </w:r>
    </w:p>
    <w:p w14:paraId="56B28893">
      <w:pPr>
        <w:keepNext w:val="0"/>
        <w:keepLines w:val="0"/>
        <w:widowControl/>
        <w:suppressLineNumbers w:val="0"/>
        <w:jc w:val="left"/>
        <w:rPr>
          <w:color w:val="auto"/>
          <w:highlight w:val="none"/>
        </w:rPr>
      </w:pPr>
      <w:r>
        <w:rPr>
          <w:rFonts w:ascii="黑体" w:hAnsi="宋体" w:eastAsia="黑体" w:cs="黑体"/>
          <w:color w:val="auto"/>
          <w:kern w:val="0"/>
          <w:sz w:val="28"/>
          <w:szCs w:val="28"/>
          <w:highlight w:val="none"/>
          <w:lang w:val="en-US" w:eastAsia="zh-CN" w:bidi="ar"/>
        </w:rPr>
        <w:t>评标办法正文部分</w:t>
      </w:r>
    </w:p>
    <w:bookmarkEnd w:id="229"/>
    <w:bookmarkEnd w:id="230"/>
    <w:bookmarkEnd w:id="231"/>
    <w:bookmarkEnd w:id="232"/>
    <w:bookmarkEnd w:id="233"/>
    <w:bookmarkEnd w:id="234"/>
    <w:bookmarkEnd w:id="235"/>
    <w:bookmarkEnd w:id="236"/>
    <w:p w14:paraId="1AC64D49">
      <w:pPr>
        <w:spacing w:before="61" w:line="232" w:lineRule="auto"/>
        <w:ind w:left="44"/>
        <w:outlineLvl w:val="1"/>
        <w:rPr>
          <w:rFonts w:ascii="黑体" w:hAnsi="黑体" w:eastAsia="黑体" w:cs="黑体"/>
          <w:color w:val="auto"/>
          <w:sz w:val="28"/>
          <w:szCs w:val="28"/>
          <w:highlight w:val="none"/>
        </w:rPr>
      </w:pPr>
      <w:bookmarkStart w:id="237" w:name="_Toc9868"/>
      <w:bookmarkStart w:id="238" w:name="_Toc8569"/>
      <w:r>
        <w:rPr>
          <w:rFonts w:eastAsia="Times New Roman"/>
          <w:color w:val="auto"/>
          <w:spacing w:val="-5"/>
          <w:sz w:val="28"/>
          <w:szCs w:val="28"/>
          <w:highlight w:val="none"/>
        </w:rPr>
        <w:t>1.</w:t>
      </w:r>
      <w:r>
        <w:rPr>
          <w:rFonts w:ascii="黑体" w:hAnsi="黑体" w:eastAsia="黑体" w:cs="黑体"/>
          <w:color w:val="auto"/>
          <w:spacing w:val="-5"/>
          <w:sz w:val="28"/>
          <w:szCs w:val="28"/>
          <w:highlight w:val="none"/>
        </w:rPr>
        <w:t>评标方法</w:t>
      </w:r>
      <w:bookmarkEnd w:id="237"/>
      <w:bookmarkEnd w:id="238"/>
    </w:p>
    <w:p w14:paraId="54473519">
      <w:pPr>
        <w:spacing w:before="102" w:line="351" w:lineRule="auto"/>
        <w:ind w:left="20" w:right="5" w:firstLine="420"/>
        <w:rPr>
          <w:rFonts w:hint="eastAsia" w:ascii="宋体" w:hAnsi="宋体" w:eastAsia="宋体" w:cs="宋体"/>
          <w:color w:val="auto"/>
          <w:szCs w:val="21"/>
          <w:highlight w:val="none"/>
          <w:lang w:eastAsia="zh-CN"/>
        </w:rPr>
      </w:pPr>
      <w:r>
        <w:rPr>
          <w:rFonts w:ascii="宋体" w:hAnsi="宋体" w:cs="宋体"/>
          <w:color w:val="auto"/>
          <w:spacing w:val="3"/>
          <w:szCs w:val="21"/>
          <w:highlight w:val="none"/>
        </w:rPr>
        <w:t>本次评标采用综合评估法。评标委员会对满足招标文件实质性要求的投标文件，按照</w:t>
      </w:r>
      <w:r>
        <w:rPr>
          <w:rFonts w:ascii="宋体" w:hAnsi="宋体" w:cs="宋体"/>
          <w:color w:val="auto"/>
          <w:spacing w:val="1"/>
          <w:szCs w:val="21"/>
          <w:highlight w:val="none"/>
        </w:rPr>
        <w:t>本章第</w:t>
      </w:r>
      <w:r>
        <w:rPr>
          <w:rFonts w:eastAsia="Times New Roman"/>
          <w:color w:val="auto"/>
          <w:spacing w:val="1"/>
          <w:szCs w:val="21"/>
          <w:highlight w:val="none"/>
        </w:rPr>
        <w:t>2.2</w:t>
      </w:r>
      <w:r>
        <w:rPr>
          <w:rFonts w:ascii="宋体" w:hAnsi="宋体" w:cs="宋体"/>
          <w:color w:val="auto"/>
          <w:spacing w:val="1"/>
          <w:szCs w:val="21"/>
          <w:highlight w:val="none"/>
        </w:rPr>
        <w:t>款规定的评分标准进行打分，</w:t>
      </w:r>
      <w:r>
        <w:rPr>
          <w:rFonts w:hint="eastAsia" w:ascii="宋体" w:hAnsi="宋体" w:cs="宋体"/>
          <w:color w:val="auto"/>
          <w:spacing w:val="1"/>
          <w:szCs w:val="21"/>
          <w:highlight w:val="none"/>
          <w:lang w:val="en-US" w:eastAsia="zh-CN"/>
        </w:rPr>
        <w:t>并按评标办法前附表的规定</w:t>
      </w:r>
      <w:r>
        <w:rPr>
          <w:rFonts w:ascii="宋体" w:hAnsi="宋体" w:cs="宋体"/>
          <w:color w:val="auto"/>
          <w:szCs w:val="21"/>
          <w:highlight w:val="none"/>
        </w:rPr>
        <w:t>推荐中标候选人</w:t>
      </w:r>
      <w:r>
        <w:rPr>
          <w:rFonts w:hint="eastAsia" w:ascii="宋体" w:hAnsi="宋体" w:cs="宋体"/>
          <w:color w:val="auto"/>
          <w:szCs w:val="21"/>
          <w:highlight w:val="none"/>
          <w:lang w:eastAsia="zh-CN"/>
        </w:rPr>
        <w:t>。</w:t>
      </w:r>
    </w:p>
    <w:p w14:paraId="53674F92">
      <w:pPr>
        <w:spacing w:before="10" w:line="233" w:lineRule="auto"/>
        <w:ind w:left="18"/>
        <w:outlineLvl w:val="1"/>
        <w:rPr>
          <w:rFonts w:ascii="黑体" w:hAnsi="黑体" w:eastAsia="黑体" w:cs="黑体"/>
          <w:color w:val="auto"/>
          <w:sz w:val="28"/>
          <w:szCs w:val="28"/>
          <w:highlight w:val="none"/>
        </w:rPr>
      </w:pPr>
      <w:bookmarkStart w:id="239" w:name="bookmark107"/>
      <w:bookmarkEnd w:id="239"/>
      <w:bookmarkStart w:id="240" w:name="bookmark106"/>
      <w:bookmarkEnd w:id="240"/>
      <w:bookmarkStart w:id="241" w:name="_Toc17034"/>
      <w:bookmarkStart w:id="242" w:name="_Toc30488"/>
      <w:r>
        <w:rPr>
          <w:rFonts w:eastAsia="Times New Roman"/>
          <w:color w:val="auto"/>
          <w:spacing w:val="-1"/>
          <w:sz w:val="28"/>
          <w:szCs w:val="28"/>
          <w:highlight w:val="none"/>
        </w:rPr>
        <w:t>2.</w:t>
      </w:r>
      <w:r>
        <w:rPr>
          <w:rFonts w:ascii="黑体" w:hAnsi="黑体" w:eastAsia="黑体" w:cs="黑体"/>
          <w:color w:val="auto"/>
          <w:spacing w:val="-1"/>
          <w:sz w:val="28"/>
          <w:szCs w:val="28"/>
          <w:highlight w:val="none"/>
        </w:rPr>
        <w:t>评审标准</w:t>
      </w:r>
      <w:bookmarkEnd w:id="241"/>
      <w:bookmarkEnd w:id="242"/>
    </w:p>
    <w:p w14:paraId="77017154">
      <w:pPr>
        <w:spacing w:before="41" w:line="233" w:lineRule="auto"/>
        <w:ind w:left="17"/>
        <w:outlineLvl w:val="2"/>
        <w:rPr>
          <w:rFonts w:ascii="黑体" w:hAnsi="黑体" w:eastAsia="黑体" w:cs="黑体"/>
          <w:color w:val="auto"/>
          <w:sz w:val="24"/>
          <w:highlight w:val="none"/>
        </w:rPr>
      </w:pPr>
      <w:bookmarkStart w:id="243" w:name="bookmark402"/>
      <w:bookmarkEnd w:id="243"/>
      <w:bookmarkStart w:id="244" w:name="_Toc11082"/>
      <w:r>
        <w:rPr>
          <w:rFonts w:eastAsia="Times New Roman"/>
          <w:color w:val="auto"/>
          <w:spacing w:val="-1"/>
          <w:sz w:val="24"/>
          <w:highlight w:val="none"/>
        </w:rPr>
        <w:t xml:space="preserve">2.1 </w:t>
      </w:r>
      <w:r>
        <w:rPr>
          <w:rFonts w:ascii="黑体" w:hAnsi="黑体" w:eastAsia="黑体" w:cs="黑体"/>
          <w:color w:val="auto"/>
          <w:spacing w:val="-1"/>
          <w:sz w:val="24"/>
          <w:highlight w:val="none"/>
        </w:rPr>
        <w:t>初步评审标准</w:t>
      </w:r>
      <w:bookmarkEnd w:id="244"/>
    </w:p>
    <w:p w14:paraId="78FCC384">
      <w:pPr>
        <w:spacing w:before="113" w:line="234" w:lineRule="auto"/>
        <w:ind w:left="436"/>
        <w:rPr>
          <w:rFonts w:ascii="宋体" w:hAnsi="宋体" w:cs="宋体"/>
          <w:color w:val="auto"/>
          <w:szCs w:val="21"/>
          <w:highlight w:val="none"/>
        </w:rPr>
      </w:pPr>
      <w:r>
        <w:rPr>
          <w:rFonts w:eastAsia="Times New Roman"/>
          <w:color w:val="auto"/>
          <w:spacing w:val="-1"/>
          <w:szCs w:val="21"/>
          <w:highlight w:val="none"/>
        </w:rPr>
        <w:t xml:space="preserve">2.1.1  </w:t>
      </w:r>
      <w:r>
        <w:rPr>
          <w:rFonts w:ascii="宋体" w:hAnsi="宋体" w:cs="宋体"/>
          <w:color w:val="auto"/>
          <w:spacing w:val="-1"/>
          <w:szCs w:val="21"/>
          <w:highlight w:val="none"/>
        </w:rPr>
        <w:t>形式评审标准：见评标办法前附表。</w:t>
      </w:r>
    </w:p>
    <w:p w14:paraId="0CB9296D">
      <w:pPr>
        <w:spacing w:before="134" w:line="234" w:lineRule="auto"/>
        <w:ind w:left="436"/>
        <w:rPr>
          <w:rFonts w:ascii="宋体" w:hAnsi="宋体" w:cs="宋体"/>
          <w:color w:val="auto"/>
          <w:szCs w:val="21"/>
          <w:highlight w:val="none"/>
        </w:rPr>
      </w:pPr>
      <w:r>
        <w:rPr>
          <w:rFonts w:eastAsia="Times New Roman"/>
          <w:color w:val="auto"/>
          <w:spacing w:val="-1"/>
          <w:szCs w:val="21"/>
          <w:highlight w:val="none"/>
        </w:rPr>
        <w:t xml:space="preserve">2.1.2  </w:t>
      </w:r>
      <w:r>
        <w:rPr>
          <w:rFonts w:ascii="宋体" w:hAnsi="宋体" w:cs="宋体"/>
          <w:color w:val="auto"/>
          <w:spacing w:val="-1"/>
          <w:szCs w:val="21"/>
          <w:highlight w:val="none"/>
        </w:rPr>
        <w:t>资格评审标准：见评标办法前附表。</w:t>
      </w:r>
    </w:p>
    <w:p w14:paraId="4D9C021C">
      <w:pPr>
        <w:spacing w:before="135" w:line="234" w:lineRule="auto"/>
        <w:ind w:left="436"/>
        <w:rPr>
          <w:rFonts w:ascii="宋体" w:hAnsi="宋体" w:cs="宋体"/>
          <w:color w:val="auto"/>
          <w:szCs w:val="21"/>
          <w:highlight w:val="none"/>
        </w:rPr>
      </w:pPr>
      <w:r>
        <w:rPr>
          <w:rFonts w:eastAsia="Times New Roman"/>
          <w:color w:val="auto"/>
          <w:szCs w:val="21"/>
          <w:highlight w:val="none"/>
        </w:rPr>
        <w:t xml:space="preserve">2.1.3  </w:t>
      </w:r>
      <w:r>
        <w:rPr>
          <w:rFonts w:ascii="宋体" w:hAnsi="宋体" w:cs="宋体"/>
          <w:color w:val="auto"/>
          <w:szCs w:val="21"/>
          <w:highlight w:val="none"/>
        </w:rPr>
        <w:t>响应性评审标准：见评标办法前附</w:t>
      </w:r>
      <w:r>
        <w:rPr>
          <w:rFonts w:ascii="宋体" w:hAnsi="宋体" w:cs="宋体"/>
          <w:color w:val="auto"/>
          <w:spacing w:val="-1"/>
          <w:szCs w:val="21"/>
          <w:highlight w:val="none"/>
        </w:rPr>
        <w:t>表。</w:t>
      </w:r>
    </w:p>
    <w:p w14:paraId="387F30F2">
      <w:pPr>
        <w:spacing w:before="76" w:line="233" w:lineRule="auto"/>
        <w:ind w:left="17"/>
        <w:outlineLvl w:val="2"/>
        <w:rPr>
          <w:rFonts w:ascii="黑体" w:hAnsi="黑体" w:eastAsia="黑体" w:cs="黑体"/>
          <w:color w:val="auto"/>
          <w:sz w:val="24"/>
          <w:highlight w:val="none"/>
        </w:rPr>
      </w:pPr>
      <w:bookmarkStart w:id="245" w:name="bookmark108"/>
      <w:bookmarkEnd w:id="245"/>
      <w:bookmarkStart w:id="246" w:name="_Toc2894"/>
      <w:r>
        <w:rPr>
          <w:rFonts w:eastAsia="Times New Roman"/>
          <w:color w:val="auto"/>
          <w:spacing w:val="-2"/>
          <w:sz w:val="24"/>
          <w:highlight w:val="none"/>
        </w:rPr>
        <w:t>2.2</w:t>
      </w:r>
      <w:r>
        <w:rPr>
          <w:rFonts w:ascii="黑体" w:hAnsi="黑体" w:eastAsia="黑体" w:cs="黑体"/>
          <w:color w:val="auto"/>
          <w:spacing w:val="-2"/>
          <w:sz w:val="24"/>
          <w:highlight w:val="none"/>
        </w:rPr>
        <w:t>分值构成与评分标准</w:t>
      </w:r>
      <w:bookmarkEnd w:id="246"/>
    </w:p>
    <w:p w14:paraId="1D776C78">
      <w:pPr>
        <w:spacing w:before="114" w:line="234" w:lineRule="auto"/>
        <w:ind w:left="436"/>
        <w:rPr>
          <w:rFonts w:ascii="宋体" w:hAnsi="宋体" w:cs="宋体"/>
          <w:color w:val="auto"/>
          <w:szCs w:val="21"/>
          <w:highlight w:val="none"/>
        </w:rPr>
      </w:pPr>
      <w:r>
        <w:rPr>
          <w:rFonts w:eastAsia="Times New Roman"/>
          <w:color w:val="auto"/>
          <w:spacing w:val="-1"/>
          <w:szCs w:val="21"/>
          <w:highlight w:val="none"/>
        </w:rPr>
        <w:t xml:space="preserve">2.2.1  </w:t>
      </w:r>
      <w:r>
        <w:rPr>
          <w:rFonts w:ascii="宋体" w:hAnsi="宋体" w:cs="宋体"/>
          <w:color w:val="auto"/>
          <w:spacing w:val="-1"/>
          <w:szCs w:val="21"/>
          <w:highlight w:val="none"/>
        </w:rPr>
        <w:t>分值构成</w:t>
      </w:r>
    </w:p>
    <w:p w14:paraId="428A75F3">
      <w:pPr>
        <w:spacing w:before="134" w:line="233" w:lineRule="auto"/>
        <w:ind w:left="446"/>
        <w:rPr>
          <w:rFonts w:ascii="宋体" w:hAnsi="宋体" w:cs="宋体"/>
          <w:color w:val="auto"/>
          <w:szCs w:val="21"/>
          <w:highlight w:val="none"/>
        </w:rPr>
      </w:pPr>
      <w:r>
        <w:rPr>
          <w:rFonts w:ascii="宋体" w:hAnsi="宋体" w:cs="宋体"/>
          <w:color w:val="auto"/>
          <w:spacing w:val="-3"/>
          <w:szCs w:val="21"/>
          <w:highlight w:val="none"/>
        </w:rPr>
        <w:t>（</w:t>
      </w:r>
      <w:r>
        <w:rPr>
          <w:rFonts w:eastAsia="Times New Roman"/>
          <w:color w:val="auto"/>
          <w:spacing w:val="-3"/>
          <w:szCs w:val="21"/>
          <w:highlight w:val="none"/>
        </w:rPr>
        <w:t>1</w:t>
      </w:r>
      <w:r>
        <w:rPr>
          <w:rFonts w:ascii="宋体" w:hAnsi="宋体" w:cs="宋体"/>
          <w:color w:val="auto"/>
          <w:spacing w:val="-3"/>
          <w:szCs w:val="21"/>
          <w:highlight w:val="none"/>
        </w:rPr>
        <w:t>）投标报价：见评标办法前附表；</w:t>
      </w:r>
    </w:p>
    <w:p w14:paraId="2272F4D6">
      <w:pPr>
        <w:spacing w:before="135" w:line="234" w:lineRule="auto"/>
        <w:ind w:left="446"/>
        <w:rPr>
          <w:rFonts w:ascii="宋体" w:hAnsi="宋体" w:cs="宋体"/>
          <w:color w:val="auto"/>
          <w:szCs w:val="21"/>
          <w:highlight w:val="none"/>
        </w:rPr>
      </w:pPr>
      <w:r>
        <w:rPr>
          <w:rFonts w:ascii="宋体" w:hAnsi="宋体" w:cs="宋体"/>
          <w:color w:val="auto"/>
          <w:spacing w:val="-2"/>
          <w:szCs w:val="21"/>
          <w:highlight w:val="none"/>
        </w:rPr>
        <w:t>（</w:t>
      </w:r>
      <w:r>
        <w:rPr>
          <w:rFonts w:eastAsia="Times New Roman"/>
          <w:color w:val="auto"/>
          <w:spacing w:val="-2"/>
          <w:szCs w:val="21"/>
          <w:highlight w:val="none"/>
        </w:rPr>
        <w:t>2</w:t>
      </w:r>
      <w:r>
        <w:rPr>
          <w:rFonts w:ascii="宋体" w:hAnsi="宋体" w:cs="宋体"/>
          <w:color w:val="auto"/>
          <w:spacing w:val="-2"/>
          <w:szCs w:val="21"/>
          <w:highlight w:val="none"/>
        </w:rPr>
        <w:t>）承包人建议书：见评标办法前附表；</w:t>
      </w:r>
    </w:p>
    <w:p w14:paraId="5F9C8058">
      <w:pPr>
        <w:spacing w:before="133" w:line="234" w:lineRule="auto"/>
        <w:ind w:left="446"/>
        <w:rPr>
          <w:rFonts w:ascii="宋体" w:hAnsi="宋体" w:cs="宋体"/>
          <w:color w:val="auto"/>
          <w:szCs w:val="21"/>
          <w:highlight w:val="none"/>
        </w:rPr>
      </w:pPr>
      <w:r>
        <w:rPr>
          <w:rFonts w:ascii="宋体" w:hAnsi="宋体" w:cs="宋体"/>
          <w:color w:val="auto"/>
          <w:spacing w:val="-1"/>
          <w:szCs w:val="21"/>
          <w:highlight w:val="none"/>
        </w:rPr>
        <w:t>（</w:t>
      </w:r>
      <w:r>
        <w:rPr>
          <w:rFonts w:eastAsia="Times New Roman"/>
          <w:color w:val="auto"/>
          <w:spacing w:val="-1"/>
          <w:szCs w:val="21"/>
          <w:highlight w:val="none"/>
        </w:rPr>
        <w:t>3</w:t>
      </w:r>
      <w:r>
        <w:rPr>
          <w:rFonts w:ascii="宋体" w:hAnsi="宋体" w:cs="宋体"/>
          <w:color w:val="auto"/>
          <w:spacing w:val="-1"/>
          <w:szCs w:val="21"/>
          <w:highlight w:val="none"/>
        </w:rPr>
        <w:t>）承包人实施方案：见评标办法前附表；</w:t>
      </w:r>
    </w:p>
    <w:p w14:paraId="2C9142D2">
      <w:pPr>
        <w:spacing w:before="134" w:line="234" w:lineRule="auto"/>
        <w:ind w:left="446"/>
        <w:rPr>
          <w:rFonts w:ascii="宋体" w:hAnsi="宋体" w:cs="宋体"/>
          <w:color w:val="auto"/>
          <w:szCs w:val="21"/>
          <w:highlight w:val="none"/>
        </w:rPr>
      </w:pPr>
      <w:r>
        <w:rPr>
          <w:rFonts w:ascii="宋体" w:hAnsi="宋体" w:cs="宋体"/>
          <w:color w:val="auto"/>
          <w:spacing w:val="-2"/>
          <w:szCs w:val="21"/>
          <w:highlight w:val="none"/>
        </w:rPr>
        <w:t>（</w:t>
      </w:r>
      <w:r>
        <w:rPr>
          <w:rFonts w:eastAsia="Times New Roman"/>
          <w:color w:val="auto"/>
          <w:spacing w:val="-2"/>
          <w:szCs w:val="21"/>
          <w:highlight w:val="none"/>
        </w:rPr>
        <w:t>4</w:t>
      </w:r>
      <w:r>
        <w:rPr>
          <w:rFonts w:ascii="宋体" w:hAnsi="宋体" w:cs="宋体"/>
          <w:color w:val="auto"/>
          <w:spacing w:val="-2"/>
          <w:szCs w:val="21"/>
          <w:highlight w:val="none"/>
        </w:rPr>
        <w:t>）资信业绩部分：见评标办法前附表；</w:t>
      </w:r>
    </w:p>
    <w:p w14:paraId="1448AC17">
      <w:pPr>
        <w:spacing w:before="135" w:line="234" w:lineRule="auto"/>
        <w:ind w:left="446"/>
        <w:rPr>
          <w:rFonts w:ascii="宋体" w:hAnsi="宋体" w:cs="宋体"/>
          <w:color w:val="auto"/>
          <w:szCs w:val="21"/>
          <w:highlight w:val="none"/>
        </w:rPr>
      </w:pPr>
      <w:r>
        <w:rPr>
          <w:rFonts w:ascii="宋体" w:hAnsi="宋体" w:cs="宋体"/>
          <w:color w:val="auto"/>
          <w:spacing w:val="-2"/>
          <w:szCs w:val="21"/>
          <w:highlight w:val="none"/>
        </w:rPr>
        <w:t>（</w:t>
      </w:r>
      <w:r>
        <w:rPr>
          <w:rFonts w:eastAsia="Times New Roman"/>
          <w:color w:val="auto"/>
          <w:spacing w:val="-2"/>
          <w:szCs w:val="21"/>
          <w:highlight w:val="none"/>
        </w:rPr>
        <w:t>5</w:t>
      </w:r>
      <w:r>
        <w:rPr>
          <w:rFonts w:ascii="宋体" w:hAnsi="宋体" w:cs="宋体"/>
          <w:color w:val="auto"/>
          <w:spacing w:val="-2"/>
          <w:szCs w:val="21"/>
          <w:highlight w:val="none"/>
        </w:rPr>
        <w:t>）其他因素：见评标办法前附表。</w:t>
      </w:r>
    </w:p>
    <w:p w14:paraId="43612DC9">
      <w:pPr>
        <w:spacing w:before="133" w:line="233" w:lineRule="auto"/>
        <w:ind w:left="436"/>
        <w:rPr>
          <w:rFonts w:ascii="宋体" w:hAnsi="宋体" w:cs="宋体"/>
          <w:color w:val="auto"/>
          <w:szCs w:val="21"/>
          <w:highlight w:val="none"/>
        </w:rPr>
      </w:pPr>
      <w:r>
        <w:rPr>
          <w:rFonts w:eastAsia="Times New Roman"/>
          <w:color w:val="auto"/>
          <w:spacing w:val="-1"/>
          <w:szCs w:val="21"/>
          <w:highlight w:val="none"/>
        </w:rPr>
        <w:t xml:space="preserve">2.2.2  </w:t>
      </w:r>
      <w:r>
        <w:rPr>
          <w:rFonts w:ascii="宋体" w:hAnsi="宋体" w:cs="宋体"/>
          <w:color w:val="auto"/>
          <w:spacing w:val="-1"/>
          <w:szCs w:val="21"/>
          <w:highlight w:val="none"/>
        </w:rPr>
        <w:t>评标基准价计算</w:t>
      </w:r>
    </w:p>
    <w:p w14:paraId="7EBD7E16">
      <w:pPr>
        <w:spacing w:before="136" w:line="219" w:lineRule="auto"/>
        <w:ind w:left="439"/>
        <w:rPr>
          <w:rFonts w:ascii="宋体" w:hAnsi="宋体" w:cs="宋体"/>
          <w:color w:val="auto"/>
          <w:szCs w:val="21"/>
          <w:highlight w:val="none"/>
        </w:rPr>
      </w:pPr>
      <w:r>
        <w:rPr>
          <w:rFonts w:ascii="宋体" w:hAnsi="宋体" w:cs="宋体"/>
          <w:color w:val="auto"/>
          <w:spacing w:val="-1"/>
          <w:szCs w:val="21"/>
          <w:highlight w:val="none"/>
        </w:rPr>
        <w:t>评标基准价计算方法：见评标办法前附表。</w:t>
      </w:r>
    </w:p>
    <w:p w14:paraId="7C116E69">
      <w:pPr>
        <w:spacing w:before="151" w:line="233" w:lineRule="auto"/>
        <w:ind w:left="436"/>
        <w:rPr>
          <w:rFonts w:ascii="宋体" w:hAnsi="宋体" w:cs="宋体"/>
          <w:color w:val="auto"/>
          <w:szCs w:val="21"/>
          <w:highlight w:val="none"/>
        </w:rPr>
      </w:pPr>
      <w:r>
        <w:rPr>
          <w:rFonts w:eastAsia="Times New Roman"/>
          <w:color w:val="auto"/>
          <w:spacing w:val="-1"/>
          <w:szCs w:val="21"/>
          <w:highlight w:val="none"/>
        </w:rPr>
        <w:t xml:space="preserve">2.2.3  </w:t>
      </w:r>
      <w:r>
        <w:rPr>
          <w:rFonts w:ascii="宋体" w:hAnsi="宋体" w:cs="宋体"/>
          <w:color w:val="auto"/>
          <w:spacing w:val="-1"/>
          <w:szCs w:val="21"/>
          <w:highlight w:val="none"/>
        </w:rPr>
        <w:t>投标报价的偏差率计算</w:t>
      </w:r>
    </w:p>
    <w:p w14:paraId="7E371449">
      <w:pPr>
        <w:spacing w:before="134" w:line="219" w:lineRule="auto"/>
        <w:ind w:left="442"/>
        <w:rPr>
          <w:rFonts w:ascii="宋体" w:hAnsi="宋体" w:cs="宋体"/>
          <w:color w:val="auto"/>
          <w:szCs w:val="21"/>
          <w:highlight w:val="none"/>
        </w:rPr>
      </w:pPr>
      <w:r>
        <w:rPr>
          <w:rFonts w:ascii="宋体" w:hAnsi="宋体" w:cs="宋体"/>
          <w:color w:val="auto"/>
          <w:spacing w:val="-1"/>
          <w:szCs w:val="21"/>
          <w:highlight w:val="none"/>
        </w:rPr>
        <w:t>投标报价的偏差率计算公式：见评标办法前附表。</w:t>
      </w:r>
    </w:p>
    <w:p w14:paraId="04B4A97B">
      <w:pPr>
        <w:spacing w:before="151" w:line="235" w:lineRule="auto"/>
        <w:ind w:left="436"/>
        <w:rPr>
          <w:rFonts w:ascii="宋体" w:hAnsi="宋体" w:cs="宋体"/>
          <w:color w:val="auto"/>
          <w:szCs w:val="21"/>
          <w:highlight w:val="none"/>
        </w:rPr>
      </w:pPr>
      <w:r>
        <w:rPr>
          <w:rFonts w:eastAsia="Times New Roman"/>
          <w:color w:val="auto"/>
          <w:spacing w:val="-1"/>
          <w:szCs w:val="21"/>
          <w:highlight w:val="none"/>
        </w:rPr>
        <w:t xml:space="preserve">2.2.4  </w:t>
      </w:r>
      <w:r>
        <w:rPr>
          <w:rFonts w:ascii="宋体" w:hAnsi="宋体" w:cs="宋体"/>
          <w:color w:val="auto"/>
          <w:spacing w:val="-1"/>
          <w:szCs w:val="21"/>
          <w:highlight w:val="none"/>
        </w:rPr>
        <w:t>评分标准</w:t>
      </w:r>
    </w:p>
    <w:p w14:paraId="5133473E">
      <w:pPr>
        <w:spacing w:before="134" w:line="233" w:lineRule="auto"/>
        <w:ind w:left="446"/>
        <w:rPr>
          <w:rFonts w:ascii="宋体" w:hAnsi="宋体" w:cs="宋体"/>
          <w:color w:val="auto"/>
          <w:szCs w:val="21"/>
          <w:highlight w:val="none"/>
        </w:rPr>
      </w:pPr>
      <w:r>
        <w:rPr>
          <w:rFonts w:ascii="宋体" w:hAnsi="宋体" w:cs="宋体"/>
          <w:color w:val="auto"/>
          <w:spacing w:val="-2"/>
          <w:szCs w:val="21"/>
          <w:highlight w:val="none"/>
        </w:rPr>
        <w:t>（</w:t>
      </w:r>
      <w:r>
        <w:rPr>
          <w:rFonts w:eastAsia="Times New Roman"/>
          <w:color w:val="auto"/>
          <w:spacing w:val="-2"/>
          <w:szCs w:val="21"/>
          <w:highlight w:val="none"/>
        </w:rPr>
        <w:t>1</w:t>
      </w:r>
      <w:r>
        <w:rPr>
          <w:rFonts w:ascii="宋体" w:hAnsi="宋体" w:cs="宋体"/>
          <w:color w:val="auto"/>
          <w:spacing w:val="-2"/>
          <w:szCs w:val="21"/>
          <w:highlight w:val="none"/>
        </w:rPr>
        <w:t>）投标报价评分标准：见评标办法前附表；</w:t>
      </w:r>
    </w:p>
    <w:p w14:paraId="0A229FF7">
      <w:pPr>
        <w:spacing w:before="133" w:line="234" w:lineRule="auto"/>
        <w:ind w:left="446"/>
        <w:rPr>
          <w:rFonts w:ascii="宋体" w:hAnsi="宋体" w:cs="宋体"/>
          <w:color w:val="auto"/>
          <w:szCs w:val="21"/>
          <w:highlight w:val="none"/>
        </w:rPr>
      </w:pPr>
      <w:r>
        <w:rPr>
          <w:rFonts w:ascii="宋体" w:hAnsi="宋体" w:cs="宋体"/>
          <w:color w:val="auto"/>
          <w:spacing w:val="-2"/>
          <w:szCs w:val="21"/>
          <w:highlight w:val="none"/>
        </w:rPr>
        <w:t>（</w:t>
      </w:r>
      <w:r>
        <w:rPr>
          <w:rFonts w:eastAsia="Times New Roman"/>
          <w:color w:val="auto"/>
          <w:spacing w:val="-2"/>
          <w:szCs w:val="21"/>
          <w:highlight w:val="none"/>
        </w:rPr>
        <w:t>2</w:t>
      </w:r>
      <w:r>
        <w:rPr>
          <w:rFonts w:ascii="宋体" w:hAnsi="宋体" w:cs="宋体"/>
          <w:color w:val="auto"/>
          <w:spacing w:val="-2"/>
          <w:szCs w:val="21"/>
          <w:highlight w:val="none"/>
        </w:rPr>
        <w:t>）承包人建议书评分标准：见评标办法前附表；</w:t>
      </w:r>
    </w:p>
    <w:p w14:paraId="2D2BD5B9">
      <w:pPr>
        <w:spacing w:before="135" w:line="234" w:lineRule="auto"/>
        <w:ind w:left="446"/>
        <w:rPr>
          <w:rFonts w:ascii="宋体" w:hAnsi="宋体" w:cs="宋体"/>
          <w:color w:val="auto"/>
          <w:szCs w:val="21"/>
          <w:highlight w:val="none"/>
        </w:rPr>
      </w:pPr>
      <w:r>
        <w:rPr>
          <w:rFonts w:ascii="宋体" w:hAnsi="宋体" w:cs="宋体"/>
          <w:color w:val="auto"/>
          <w:spacing w:val="-1"/>
          <w:szCs w:val="21"/>
          <w:highlight w:val="none"/>
        </w:rPr>
        <w:t>（</w:t>
      </w:r>
      <w:r>
        <w:rPr>
          <w:rFonts w:eastAsia="Times New Roman"/>
          <w:color w:val="auto"/>
          <w:spacing w:val="-1"/>
          <w:szCs w:val="21"/>
          <w:highlight w:val="none"/>
        </w:rPr>
        <w:t>3</w:t>
      </w:r>
      <w:r>
        <w:rPr>
          <w:rFonts w:ascii="宋体" w:hAnsi="宋体" w:cs="宋体"/>
          <w:color w:val="auto"/>
          <w:spacing w:val="-1"/>
          <w:szCs w:val="21"/>
          <w:highlight w:val="none"/>
        </w:rPr>
        <w:t>）承包人实施方案评分标准：见评标办法前附表；</w:t>
      </w:r>
    </w:p>
    <w:p w14:paraId="00CC4DCE">
      <w:pPr>
        <w:spacing w:before="135" w:line="234" w:lineRule="auto"/>
        <w:ind w:left="446"/>
        <w:rPr>
          <w:rFonts w:ascii="宋体" w:hAnsi="宋体" w:cs="宋体"/>
          <w:color w:val="auto"/>
          <w:szCs w:val="21"/>
          <w:highlight w:val="none"/>
        </w:rPr>
      </w:pPr>
      <w:r>
        <w:rPr>
          <w:rFonts w:ascii="宋体" w:hAnsi="宋体" w:cs="宋体"/>
          <w:color w:val="auto"/>
          <w:spacing w:val="-2"/>
          <w:szCs w:val="21"/>
          <w:highlight w:val="none"/>
        </w:rPr>
        <w:t>（</w:t>
      </w:r>
      <w:r>
        <w:rPr>
          <w:rFonts w:eastAsia="Times New Roman"/>
          <w:color w:val="auto"/>
          <w:spacing w:val="-2"/>
          <w:szCs w:val="21"/>
          <w:highlight w:val="none"/>
        </w:rPr>
        <w:t>4</w:t>
      </w:r>
      <w:r>
        <w:rPr>
          <w:rFonts w:ascii="宋体" w:hAnsi="宋体" w:cs="宋体"/>
          <w:color w:val="auto"/>
          <w:spacing w:val="-2"/>
          <w:szCs w:val="21"/>
          <w:highlight w:val="none"/>
        </w:rPr>
        <w:t>）资信业绩评分标准：见评标办法前附表；</w:t>
      </w:r>
    </w:p>
    <w:p w14:paraId="41C3CC3E">
      <w:pPr>
        <w:spacing w:before="132" w:line="234" w:lineRule="auto"/>
        <w:ind w:left="446"/>
        <w:rPr>
          <w:rFonts w:ascii="宋体" w:hAnsi="宋体" w:cs="宋体"/>
          <w:color w:val="auto"/>
          <w:szCs w:val="21"/>
          <w:highlight w:val="none"/>
        </w:rPr>
      </w:pPr>
      <w:r>
        <w:rPr>
          <w:rFonts w:ascii="宋体" w:hAnsi="宋体" w:cs="宋体"/>
          <w:color w:val="auto"/>
          <w:spacing w:val="-2"/>
          <w:szCs w:val="21"/>
          <w:highlight w:val="none"/>
        </w:rPr>
        <w:t>（</w:t>
      </w:r>
      <w:r>
        <w:rPr>
          <w:rFonts w:eastAsia="Times New Roman"/>
          <w:color w:val="auto"/>
          <w:spacing w:val="-2"/>
          <w:szCs w:val="21"/>
          <w:highlight w:val="none"/>
        </w:rPr>
        <w:t>5</w:t>
      </w:r>
      <w:r>
        <w:rPr>
          <w:rFonts w:ascii="宋体" w:hAnsi="宋体" w:cs="宋体"/>
          <w:color w:val="auto"/>
          <w:spacing w:val="-2"/>
          <w:szCs w:val="21"/>
          <w:highlight w:val="none"/>
        </w:rPr>
        <w:t>）其他因素评分标准：见评标办法前附表。</w:t>
      </w:r>
    </w:p>
    <w:p w14:paraId="13ECEC48">
      <w:pPr>
        <w:spacing w:before="142" w:line="233" w:lineRule="auto"/>
        <w:ind w:left="23"/>
        <w:outlineLvl w:val="1"/>
        <w:rPr>
          <w:rFonts w:ascii="黑体" w:hAnsi="黑体" w:eastAsia="黑体" w:cs="黑体"/>
          <w:color w:val="auto"/>
          <w:sz w:val="28"/>
          <w:szCs w:val="28"/>
          <w:highlight w:val="none"/>
        </w:rPr>
      </w:pPr>
      <w:bookmarkStart w:id="247" w:name="bookmark109"/>
      <w:bookmarkEnd w:id="247"/>
      <w:bookmarkStart w:id="248" w:name="bookmark110"/>
      <w:bookmarkEnd w:id="248"/>
      <w:bookmarkStart w:id="249" w:name="_Toc27431"/>
      <w:bookmarkStart w:id="250" w:name="_Toc15996"/>
      <w:r>
        <w:rPr>
          <w:rFonts w:eastAsia="Times New Roman"/>
          <w:color w:val="auto"/>
          <w:spacing w:val="-2"/>
          <w:sz w:val="28"/>
          <w:szCs w:val="28"/>
          <w:highlight w:val="none"/>
        </w:rPr>
        <w:t>3.</w:t>
      </w:r>
      <w:r>
        <w:rPr>
          <w:rFonts w:ascii="黑体" w:hAnsi="黑体" w:eastAsia="黑体" w:cs="黑体"/>
          <w:color w:val="auto"/>
          <w:spacing w:val="-2"/>
          <w:sz w:val="28"/>
          <w:szCs w:val="28"/>
          <w:highlight w:val="none"/>
        </w:rPr>
        <w:t>评标程序</w:t>
      </w:r>
      <w:bookmarkEnd w:id="249"/>
      <w:bookmarkEnd w:id="250"/>
    </w:p>
    <w:p w14:paraId="3DB5ECE5">
      <w:pPr>
        <w:spacing w:before="41" w:line="233" w:lineRule="auto"/>
        <w:ind w:left="21"/>
        <w:outlineLvl w:val="2"/>
        <w:rPr>
          <w:rFonts w:ascii="黑体" w:hAnsi="黑体" w:eastAsia="黑体" w:cs="黑体"/>
          <w:color w:val="auto"/>
          <w:sz w:val="24"/>
          <w:highlight w:val="none"/>
        </w:rPr>
      </w:pPr>
      <w:bookmarkStart w:id="251" w:name="bookmark403"/>
      <w:bookmarkEnd w:id="251"/>
      <w:bookmarkStart w:id="252" w:name="_Toc8160"/>
      <w:r>
        <w:rPr>
          <w:rFonts w:eastAsia="Times New Roman"/>
          <w:color w:val="auto"/>
          <w:spacing w:val="-2"/>
          <w:sz w:val="24"/>
          <w:highlight w:val="none"/>
        </w:rPr>
        <w:t xml:space="preserve">3.1 </w:t>
      </w:r>
      <w:r>
        <w:rPr>
          <w:rFonts w:ascii="黑体" w:hAnsi="黑体" w:eastAsia="黑体" w:cs="黑体"/>
          <w:color w:val="auto"/>
          <w:spacing w:val="-2"/>
          <w:sz w:val="24"/>
          <w:highlight w:val="none"/>
        </w:rPr>
        <w:t>初步评审</w:t>
      </w:r>
      <w:bookmarkEnd w:id="252"/>
    </w:p>
    <w:p w14:paraId="51FA59A9">
      <w:pPr>
        <w:spacing w:before="116" w:line="285" w:lineRule="auto"/>
        <w:ind w:left="21" w:right="5" w:firstLine="419"/>
        <w:rPr>
          <w:rFonts w:ascii="宋体" w:hAnsi="宋体" w:cs="宋体"/>
          <w:color w:val="auto"/>
          <w:szCs w:val="21"/>
          <w:highlight w:val="none"/>
        </w:rPr>
      </w:pPr>
      <w:r>
        <w:rPr>
          <w:rFonts w:eastAsia="Times New Roman"/>
          <w:color w:val="auto"/>
          <w:spacing w:val="-1"/>
          <w:szCs w:val="21"/>
          <w:highlight w:val="none"/>
        </w:rPr>
        <w:t>3.1.1</w:t>
      </w:r>
      <w:r>
        <w:rPr>
          <w:rFonts w:ascii="宋体" w:hAnsi="宋体" w:cs="宋体"/>
          <w:color w:val="auto"/>
          <w:spacing w:val="-1"/>
          <w:szCs w:val="21"/>
          <w:highlight w:val="none"/>
        </w:rPr>
        <w:t xml:space="preserve">评标委员会依据本章第 </w:t>
      </w:r>
      <w:r>
        <w:rPr>
          <w:rFonts w:eastAsia="Times New Roman"/>
          <w:color w:val="auto"/>
          <w:spacing w:val="-1"/>
          <w:szCs w:val="21"/>
          <w:highlight w:val="none"/>
        </w:rPr>
        <w:t>2.1</w:t>
      </w:r>
      <w:r>
        <w:rPr>
          <w:rFonts w:ascii="宋体" w:hAnsi="宋体" w:cs="宋体"/>
          <w:color w:val="auto"/>
          <w:spacing w:val="-1"/>
          <w:szCs w:val="21"/>
          <w:highlight w:val="none"/>
        </w:rPr>
        <w:t>款规定的标准对投标文件进行初步评审。有一项不符</w:t>
      </w:r>
      <w:r>
        <w:rPr>
          <w:rFonts w:ascii="宋体" w:hAnsi="宋体" w:cs="宋体"/>
          <w:color w:val="auto"/>
          <w:spacing w:val="-3"/>
          <w:szCs w:val="21"/>
          <w:highlight w:val="none"/>
        </w:rPr>
        <w:t>合评审标准的，评标委员会应当否决其投标。（适</w:t>
      </w:r>
      <w:r>
        <w:rPr>
          <w:rFonts w:ascii="宋体" w:hAnsi="宋体" w:cs="宋体"/>
          <w:color w:val="auto"/>
          <w:spacing w:val="-4"/>
          <w:szCs w:val="21"/>
          <w:highlight w:val="none"/>
        </w:rPr>
        <w:t>用于未进行资格预审的）</w:t>
      </w:r>
    </w:p>
    <w:p w14:paraId="298324D3">
      <w:pPr>
        <w:spacing w:before="4" w:line="234" w:lineRule="auto"/>
        <w:ind w:left="440"/>
        <w:rPr>
          <w:rFonts w:ascii="宋体" w:hAnsi="宋体" w:cs="宋体"/>
          <w:color w:val="auto"/>
          <w:szCs w:val="21"/>
          <w:highlight w:val="none"/>
        </w:rPr>
      </w:pPr>
      <w:r>
        <w:rPr>
          <w:rFonts w:eastAsia="Times New Roman"/>
          <w:color w:val="auto"/>
          <w:spacing w:val="-1"/>
          <w:szCs w:val="21"/>
          <w:highlight w:val="none"/>
        </w:rPr>
        <w:t xml:space="preserve">3.1.2  </w:t>
      </w:r>
      <w:r>
        <w:rPr>
          <w:rFonts w:ascii="宋体" w:hAnsi="宋体" w:cs="宋体"/>
          <w:color w:val="auto"/>
          <w:spacing w:val="-1"/>
          <w:szCs w:val="21"/>
          <w:highlight w:val="none"/>
        </w:rPr>
        <w:t>投标人有以下情形之一的，评标委员会应当否决其投标：</w:t>
      </w:r>
    </w:p>
    <w:p w14:paraId="570035C8">
      <w:pPr>
        <w:spacing w:before="115" w:line="234" w:lineRule="auto"/>
        <w:ind w:left="446"/>
        <w:rPr>
          <w:rFonts w:ascii="宋体" w:hAnsi="宋体" w:cs="宋体"/>
          <w:color w:val="auto"/>
          <w:szCs w:val="21"/>
          <w:highlight w:val="none"/>
        </w:rPr>
      </w:pPr>
      <w:r>
        <w:rPr>
          <w:rFonts w:ascii="宋体" w:hAnsi="宋体" w:cs="宋体"/>
          <w:color w:val="auto"/>
          <w:spacing w:val="-2"/>
          <w:szCs w:val="21"/>
          <w:highlight w:val="none"/>
        </w:rPr>
        <w:t>（</w:t>
      </w:r>
      <w:r>
        <w:rPr>
          <w:rFonts w:eastAsia="Times New Roman"/>
          <w:color w:val="auto"/>
          <w:spacing w:val="-2"/>
          <w:szCs w:val="21"/>
          <w:highlight w:val="none"/>
        </w:rPr>
        <w:t>1</w:t>
      </w:r>
      <w:r>
        <w:rPr>
          <w:rFonts w:ascii="宋体" w:hAnsi="宋体" w:cs="宋体"/>
          <w:color w:val="auto"/>
          <w:spacing w:val="-2"/>
          <w:szCs w:val="21"/>
          <w:highlight w:val="none"/>
        </w:rPr>
        <w:t>）不按评标委员会要求澄清、说明或补正。</w:t>
      </w:r>
    </w:p>
    <w:p w14:paraId="69A08940">
      <w:pPr>
        <w:spacing w:before="113" w:line="234" w:lineRule="auto"/>
        <w:ind w:left="446"/>
        <w:rPr>
          <w:rFonts w:ascii="宋体" w:hAnsi="宋体" w:cs="宋体"/>
          <w:color w:val="auto"/>
          <w:szCs w:val="21"/>
          <w:highlight w:val="none"/>
        </w:rPr>
      </w:pPr>
      <w:r>
        <w:rPr>
          <w:rFonts w:ascii="宋体" w:hAnsi="宋体" w:cs="宋体"/>
          <w:color w:val="auto"/>
          <w:spacing w:val="-1"/>
          <w:szCs w:val="21"/>
          <w:highlight w:val="none"/>
        </w:rPr>
        <w:t>（</w:t>
      </w:r>
      <w:r>
        <w:rPr>
          <w:rFonts w:eastAsia="Times New Roman"/>
          <w:color w:val="auto"/>
          <w:spacing w:val="-1"/>
          <w:szCs w:val="21"/>
          <w:highlight w:val="none"/>
        </w:rPr>
        <w:t>2</w:t>
      </w:r>
      <w:r>
        <w:rPr>
          <w:rFonts w:ascii="宋体" w:hAnsi="宋体" w:cs="宋体"/>
          <w:color w:val="auto"/>
          <w:spacing w:val="-1"/>
          <w:szCs w:val="21"/>
          <w:highlight w:val="none"/>
        </w:rPr>
        <w:t>）有串通投标、弄虚作假、行贿等违法行为；</w:t>
      </w:r>
    </w:p>
    <w:p w14:paraId="0C2BDB2E">
      <w:pPr>
        <w:spacing w:before="113" w:line="235" w:lineRule="auto"/>
        <w:ind w:left="456"/>
        <w:rPr>
          <w:rFonts w:ascii="宋体" w:hAnsi="宋体" w:cs="宋体"/>
          <w:color w:val="auto"/>
          <w:szCs w:val="21"/>
          <w:highlight w:val="none"/>
        </w:rPr>
      </w:pPr>
      <w:r>
        <w:rPr>
          <w:rFonts w:eastAsia="Times New Roman"/>
          <w:color w:val="auto"/>
          <w:spacing w:val="-2"/>
          <w:szCs w:val="21"/>
          <w:highlight w:val="none"/>
        </w:rPr>
        <w:t>1</w:t>
      </w:r>
      <w:r>
        <w:rPr>
          <w:rFonts w:ascii="宋体" w:hAnsi="宋体" w:cs="宋体"/>
          <w:color w:val="auto"/>
          <w:spacing w:val="-2"/>
          <w:szCs w:val="21"/>
          <w:highlight w:val="none"/>
        </w:rPr>
        <w:t>）有下列情形之一的，视为投标人相互串通投标：</w:t>
      </w:r>
    </w:p>
    <w:p w14:paraId="278BE90E">
      <w:pPr>
        <w:spacing w:before="114" w:line="218" w:lineRule="auto"/>
        <w:ind w:left="439"/>
        <w:rPr>
          <w:rFonts w:ascii="宋体" w:hAnsi="宋体" w:cs="宋体"/>
          <w:color w:val="auto"/>
          <w:szCs w:val="21"/>
          <w:highlight w:val="none"/>
        </w:rPr>
      </w:pPr>
      <w:r>
        <w:rPr>
          <w:rFonts w:ascii="宋体" w:hAnsi="宋体" w:cs="宋体"/>
          <w:color w:val="auto"/>
          <w:szCs w:val="21"/>
          <w:highlight w:val="none"/>
        </w:rPr>
        <w:t>① 不同投标人的投标文件由同一单位或者</w:t>
      </w:r>
      <w:r>
        <w:rPr>
          <w:rFonts w:ascii="宋体" w:hAnsi="宋体" w:cs="宋体"/>
          <w:color w:val="auto"/>
          <w:spacing w:val="-1"/>
          <w:szCs w:val="21"/>
          <w:highlight w:val="none"/>
        </w:rPr>
        <w:t>个人编制；</w:t>
      </w:r>
    </w:p>
    <w:p w14:paraId="5C0C8C96">
      <w:pPr>
        <w:spacing w:before="131" w:line="218" w:lineRule="auto"/>
        <w:ind w:left="438"/>
        <w:rPr>
          <w:rFonts w:ascii="宋体" w:hAnsi="宋体" w:cs="宋体"/>
          <w:color w:val="auto"/>
          <w:szCs w:val="21"/>
          <w:highlight w:val="none"/>
        </w:rPr>
      </w:pPr>
      <w:r>
        <w:rPr>
          <w:rFonts w:ascii="宋体" w:hAnsi="宋体" w:cs="宋体"/>
          <w:color w:val="auto"/>
          <w:szCs w:val="21"/>
          <w:highlight w:val="none"/>
        </w:rPr>
        <w:t>② 不同投标人委托同一单位或者个人办理投</w:t>
      </w:r>
      <w:r>
        <w:rPr>
          <w:rFonts w:ascii="宋体" w:hAnsi="宋体" w:cs="宋体"/>
          <w:color w:val="auto"/>
          <w:spacing w:val="-1"/>
          <w:szCs w:val="21"/>
          <w:highlight w:val="none"/>
        </w:rPr>
        <w:t>标事宜；</w:t>
      </w:r>
    </w:p>
    <w:p w14:paraId="63AB469F">
      <w:pPr>
        <w:spacing w:before="131" w:line="278" w:lineRule="auto"/>
        <w:ind w:left="19" w:right="135" w:firstLine="419"/>
        <w:rPr>
          <w:rFonts w:ascii="宋体" w:hAnsi="宋体" w:cs="宋体"/>
          <w:color w:val="auto"/>
          <w:szCs w:val="21"/>
          <w:highlight w:val="none"/>
        </w:rPr>
      </w:pPr>
      <w:r>
        <w:rPr>
          <w:rFonts w:ascii="宋体" w:hAnsi="宋体" w:cs="宋体"/>
          <w:color w:val="auto"/>
          <w:szCs w:val="21"/>
          <w:highlight w:val="none"/>
        </w:rPr>
        <w:t>③ 不同投标人使用同一电脑等电子设备办理</w:t>
      </w:r>
      <w:r>
        <w:rPr>
          <w:rFonts w:ascii="宋体" w:hAnsi="宋体" w:cs="宋体"/>
          <w:color w:val="auto"/>
          <w:spacing w:val="-1"/>
          <w:szCs w:val="21"/>
          <w:highlight w:val="none"/>
        </w:rPr>
        <w:t>投标事宜（下载招标文件、上传投标文件、</w:t>
      </w:r>
      <w:r>
        <w:rPr>
          <w:rFonts w:ascii="宋体" w:hAnsi="宋体" w:cs="宋体"/>
          <w:color w:val="auto"/>
          <w:spacing w:val="-4"/>
          <w:szCs w:val="21"/>
          <w:highlight w:val="none"/>
        </w:rPr>
        <w:t>授权委托人或项目经理实名认证等关键环节</w:t>
      </w:r>
      <w:r>
        <w:rPr>
          <w:rFonts w:ascii="宋体" w:hAnsi="宋体" w:cs="宋体"/>
          <w:color w:val="auto"/>
          <w:spacing w:val="-24"/>
          <w:szCs w:val="21"/>
          <w:highlight w:val="none"/>
        </w:rPr>
        <w:t>）；</w:t>
      </w:r>
    </w:p>
    <w:p w14:paraId="79354134">
      <w:pPr>
        <w:spacing w:before="129" w:line="218" w:lineRule="auto"/>
        <w:ind w:left="438"/>
        <w:rPr>
          <w:rFonts w:ascii="宋体" w:hAnsi="宋体" w:cs="宋体"/>
          <w:color w:val="auto"/>
          <w:szCs w:val="21"/>
          <w:highlight w:val="none"/>
        </w:rPr>
      </w:pPr>
      <w:r>
        <w:rPr>
          <w:rFonts w:ascii="宋体" w:hAnsi="宋体" w:cs="宋体"/>
          <w:color w:val="auto"/>
          <w:spacing w:val="-1"/>
          <w:szCs w:val="21"/>
          <w:highlight w:val="none"/>
        </w:rPr>
        <w:t>④ 不同投标人的投标文件载明的项目管理成员为同</w:t>
      </w:r>
      <w:r>
        <w:rPr>
          <w:rFonts w:ascii="宋体" w:hAnsi="宋体" w:cs="宋体"/>
          <w:color w:val="auto"/>
          <w:spacing w:val="-2"/>
          <w:szCs w:val="21"/>
          <w:highlight w:val="none"/>
        </w:rPr>
        <w:t>一人；</w:t>
      </w:r>
    </w:p>
    <w:p w14:paraId="76375D31">
      <w:pPr>
        <w:spacing w:before="131" w:line="218" w:lineRule="auto"/>
        <w:ind w:left="438"/>
        <w:rPr>
          <w:rFonts w:ascii="宋体" w:hAnsi="宋体" w:cs="宋体"/>
          <w:color w:val="auto"/>
          <w:szCs w:val="21"/>
          <w:highlight w:val="none"/>
        </w:rPr>
      </w:pPr>
      <w:r>
        <w:rPr>
          <w:rFonts w:ascii="宋体" w:hAnsi="宋体" w:cs="宋体"/>
          <w:color w:val="auto"/>
          <w:spacing w:val="-1"/>
          <w:szCs w:val="21"/>
          <w:highlight w:val="none"/>
        </w:rPr>
        <w:t>⑤ 不同投标人的投标文件非典型一致或者投标报价呈规律性差异；</w:t>
      </w:r>
    </w:p>
    <w:p w14:paraId="2352707B">
      <w:pPr>
        <w:spacing w:before="134" w:line="218" w:lineRule="auto"/>
        <w:ind w:left="438"/>
        <w:rPr>
          <w:rFonts w:ascii="宋体" w:hAnsi="宋体" w:cs="宋体"/>
          <w:color w:val="auto"/>
          <w:szCs w:val="21"/>
          <w:highlight w:val="none"/>
        </w:rPr>
      </w:pPr>
      <w:r>
        <w:rPr>
          <w:rFonts w:ascii="宋体" w:hAnsi="宋体" w:cs="宋体"/>
          <w:color w:val="auto"/>
          <w:spacing w:val="-2"/>
          <w:szCs w:val="21"/>
          <w:highlight w:val="none"/>
        </w:rPr>
        <w:t>⑥ 不同投标人的投标文件相互混装；</w:t>
      </w:r>
    </w:p>
    <w:p w14:paraId="08F6623E">
      <w:pPr>
        <w:spacing w:before="131" w:line="218" w:lineRule="auto"/>
        <w:ind w:left="438"/>
        <w:rPr>
          <w:rFonts w:ascii="宋体" w:hAnsi="宋体" w:cs="宋体"/>
          <w:color w:val="auto"/>
          <w:szCs w:val="21"/>
          <w:highlight w:val="none"/>
        </w:rPr>
      </w:pPr>
      <w:r>
        <w:rPr>
          <w:rFonts w:ascii="宋体" w:hAnsi="宋体" w:cs="宋体"/>
          <w:color w:val="auto"/>
          <w:szCs w:val="21"/>
          <w:highlight w:val="none"/>
        </w:rPr>
        <w:t>⑦ 不同投标人的投标保证金或保函（保险）财务费用从同一单位或者个人的账户转出；</w:t>
      </w:r>
    </w:p>
    <w:p w14:paraId="3C377F89">
      <w:pPr>
        <w:spacing w:before="131" w:line="278" w:lineRule="auto"/>
        <w:ind w:left="22" w:firstLine="416"/>
        <w:rPr>
          <w:rFonts w:ascii="宋体" w:hAnsi="宋体" w:cs="宋体"/>
          <w:color w:val="auto"/>
          <w:szCs w:val="21"/>
          <w:highlight w:val="none"/>
        </w:rPr>
      </w:pPr>
      <w:r>
        <w:rPr>
          <w:rFonts w:ascii="宋体" w:hAnsi="宋体" w:cs="宋体"/>
          <w:color w:val="auto"/>
          <w:spacing w:val="-7"/>
          <w:szCs w:val="21"/>
          <w:highlight w:val="none"/>
        </w:rPr>
        <w:t>⑧ 不同投标人的投标文件存在“</w:t>
      </w:r>
      <w:r>
        <w:rPr>
          <w:rFonts w:eastAsia="Times New Roman"/>
          <w:color w:val="auto"/>
          <w:spacing w:val="-7"/>
          <w:szCs w:val="21"/>
          <w:highlight w:val="none"/>
        </w:rPr>
        <w:t xml:space="preserve">MAC  </w:t>
      </w:r>
      <w:r>
        <w:rPr>
          <w:rFonts w:ascii="宋体" w:hAnsi="宋体" w:cs="宋体"/>
          <w:color w:val="auto"/>
          <w:spacing w:val="-7"/>
          <w:szCs w:val="21"/>
          <w:highlight w:val="none"/>
        </w:rPr>
        <w:t>地址”、“文件创建标识码”、“文件制作机器码”</w:t>
      </w:r>
      <w:r>
        <w:rPr>
          <w:rFonts w:ascii="宋体" w:hAnsi="宋体" w:cs="宋体"/>
          <w:color w:val="auto"/>
          <w:spacing w:val="-1"/>
          <w:szCs w:val="21"/>
          <w:highlight w:val="none"/>
        </w:rPr>
        <w:t>等唯一性标识一致等情形。</w:t>
      </w:r>
    </w:p>
    <w:p w14:paraId="7CE02127">
      <w:pPr>
        <w:spacing w:before="128" w:line="234" w:lineRule="auto"/>
        <w:ind w:left="436"/>
        <w:rPr>
          <w:rFonts w:ascii="宋体" w:hAnsi="宋体" w:cs="宋体"/>
          <w:color w:val="auto"/>
          <w:szCs w:val="21"/>
          <w:highlight w:val="none"/>
        </w:rPr>
      </w:pPr>
      <w:r>
        <w:rPr>
          <w:rFonts w:eastAsia="Times New Roman"/>
          <w:color w:val="auto"/>
          <w:spacing w:val="-1"/>
          <w:szCs w:val="21"/>
          <w:highlight w:val="none"/>
        </w:rPr>
        <w:t>2</w:t>
      </w:r>
      <w:r>
        <w:rPr>
          <w:rFonts w:ascii="宋体" w:hAnsi="宋体" w:cs="宋体"/>
          <w:color w:val="auto"/>
          <w:spacing w:val="-1"/>
          <w:szCs w:val="21"/>
          <w:highlight w:val="none"/>
        </w:rPr>
        <w:t>）有下列情形之一的，属于弄虚作假行为：</w:t>
      </w:r>
    </w:p>
    <w:p w14:paraId="18B85496">
      <w:pPr>
        <w:spacing w:before="114" w:line="218" w:lineRule="auto"/>
        <w:ind w:left="439"/>
        <w:rPr>
          <w:rFonts w:ascii="宋体" w:hAnsi="宋体" w:cs="宋体"/>
          <w:color w:val="auto"/>
          <w:szCs w:val="21"/>
          <w:highlight w:val="none"/>
        </w:rPr>
      </w:pPr>
      <w:r>
        <w:rPr>
          <w:rFonts w:ascii="宋体" w:hAnsi="宋体" w:cs="宋体"/>
          <w:color w:val="auto"/>
          <w:szCs w:val="21"/>
          <w:highlight w:val="none"/>
        </w:rPr>
        <w:t>① 使用通过受让或者租借等方式获取的资格、资质证书投标的，即以他人名义投标的。</w:t>
      </w:r>
    </w:p>
    <w:p w14:paraId="339EAF60">
      <w:pPr>
        <w:spacing w:before="133" w:line="218" w:lineRule="auto"/>
        <w:ind w:left="438"/>
        <w:rPr>
          <w:rFonts w:ascii="宋体" w:hAnsi="宋体" w:cs="宋体"/>
          <w:color w:val="auto"/>
          <w:szCs w:val="21"/>
          <w:highlight w:val="none"/>
        </w:rPr>
      </w:pPr>
      <w:r>
        <w:rPr>
          <w:rFonts w:ascii="宋体" w:hAnsi="宋体" w:cs="宋体"/>
          <w:color w:val="auto"/>
          <w:spacing w:val="-3"/>
          <w:szCs w:val="21"/>
          <w:highlight w:val="none"/>
        </w:rPr>
        <w:t>② 使用伪造、变造的许可证件；</w:t>
      </w:r>
    </w:p>
    <w:p w14:paraId="24808695">
      <w:pPr>
        <w:spacing w:before="132" w:line="218" w:lineRule="auto"/>
        <w:ind w:left="438"/>
        <w:rPr>
          <w:rFonts w:ascii="宋体" w:hAnsi="宋体" w:cs="宋体"/>
          <w:color w:val="auto"/>
          <w:szCs w:val="21"/>
          <w:highlight w:val="none"/>
        </w:rPr>
      </w:pPr>
      <w:r>
        <w:rPr>
          <w:rFonts w:ascii="宋体" w:hAnsi="宋体" w:cs="宋体"/>
          <w:color w:val="auto"/>
          <w:spacing w:val="-1"/>
          <w:szCs w:val="21"/>
          <w:highlight w:val="none"/>
        </w:rPr>
        <w:t>③ 提供虚假的财务状况或者业绩；</w:t>
      </w:r>
    </w:p>
    <w:p w14:paraId="18FFFF6C">
      <w:pPr>
        <w:spacing w:before="131" w:line="218" w:lineRule="auto"/>
        <w:ind w:left="438"/>
        <w:rPr>
          <w:rFonts w:ascii="宋体" w:hAnsi="宋体" w:cs="宋体"/>
          <w:color w:val="auto"/>
          <w:szCs w:val="21"/>
          <w:highlight w:val="none"/>
        </w:rPr>
      </w:pPr>
      <w:r>
        <w:rPr>
          <w:rFonts w:ascii="宋体" w:hAnsi="宋体" w:cs="宋体"/>
          <w:color w:val="auto"/>
          <w:spacing w:val="-1"/>
          <w:szCs w:val="21"/>
          <w:highlight w:val="none"/>
        </w:rPr>
        <w:t>④ 提供虚假的项目负责人或者主要技术人员简历、社会保险证明；</w:t>
      </w:r>
    </w:p>
    <w:p w14:paraId="584166F2">
      <w:pPr>
        <w:spacing w:before="134" w:line="218" w:lineRule="auto"/>
        <w:ind w:left="438"/>
        <w:rPr>
          <w:rFonts w:ascii="宋体" w:hAnsi="宋体" w:cs="宋体"/>
          <w:color w:val="auto"/>
          <w:szCs w:val="21"/>
          <w:highlight w:val="none"/>
        </w:rPr>
      </w:pPr>
      <w:r>
        <w:rPr>
          <w:rFonts w:ascii="宋体" w:hAnsi="宋体" w:cs="宋体"/>
          <w:color w:val="auto"/>
          <w:spacing w:val="-1"/>
          <w:szCs w:val="21"/>
          <w:highlight w:val="none"/>
        </w:rPr>
        <w:t>⑤ 提供虚假的信用状况；</w:t>
      </w:r>
    </w:p>
    <w:p w14:paraId="386937CD">
      <w:pPr>
        <w:spacing w:before="131" w:line="218" w:lineRule="auto"/>
        <w:ind w:left="438"/>
        <w:rPr>
          <w:rFonts w:ascii="宋体" w:hAnsi="宋体" w:cs="宋体"/>
          <w:color w:val="auto"/>
          <w:szCs w:val="21"/>
          <w:highlight w:val="none"/>
        </w:rPr>
      </w:pPr>
      <w:r>
        <w:rPr>
          <w:rFonts w:ascii="宋体" w:hAnsi="宋体" w:cs="宋体"/>
          <w:color w:val="auto"/>
          <w:spacing w:val="-1"/>
          <w:szCs w:val="21"/>
          <w:highlight w:val="none"/>
        </w:rPr>
        <w:t>⑥ 其他弄虚作假的行为。</w:t>
      </w:r>
    </w:p>
    <w:p w14:paraId="3ED5B7A6">
      <w:pPr>
        <w:spacing w:before="147" w:line="234" w:lineRule="auto"/>
        <w:ind w:left="446"/>
        <w:rPr>
          <w:rFonts w:ascii="宋体" w:hAnsi="宋体" w:cs="宋体"/>
          <w:color w:val="auto"/>
          <w:szCs w:val="21"/>
          <w:highlight w:val="none"/>
        </w:rPr>
      </w:pPr>
      <w:r>
        <w:rPr>
          <w:rFonts w:ascii="宋体" w:hAnsi="宋体" w:cs="宋体"/>
          <w:color w:val="auto"/>
          <w:spacing w:val="-1"/>
          <w:szCs w:val="21"/>
          <w:highlight w:val="none"/>
        </w:rPr>
        <w:t>（</w:t>
      </w:r>
      <w:r>
        <w:rPr>
          <w:rFonts w:eastAsia="Times New Roman"/>
          <w:color w:val="auto"/>
          <w:spacing w:val="-1"/>
          <w:szCs w:val="21"/>
          <w:highlight w:val="none"/>
        </w:rPr>
        <w:t>3</w:t>
      </w:r>
      <w:r>
        <w:rPr>
          <w:rFonts w:ascii="宋体" w:hAnsi="宋体" w:cs="宋体"/>
          <w:color w:val="auto"/>
          <w:spacing w:val="-1"/>
          <w:szCs w:val="21"/>
          <w:highlight w:val="none"/>
        </w:rPr>
        <w:t>）不按评标委员会要求澄清、说明或补正的。</w:t>
      </w:r>
    </w:p>
    <w:p w14:paraId="5CC0B8D4">
      <w:pPr>
        <w:spacing w:before="135" w:line="350" w:lineRule="auto"/>
        <w:ind w:left="20" w:right="312" w:firstLine="420"/>
        <w:rPr>
          <w:rFonts w:ascii="宋体" w:hAnsi="宋体" w:cs="宋体"/>
          <w:color w:val="auto"/>
          <w:szCs w:val="21"/>
          <w:highlight w:val="none"/>
        </w:rPr>
      </w:pPr>
      <w:r>
        <w:rPr>
          <w:rFonts w:eastAsia="Times New Roman"/>
          <w:color w:val="auto"/>
          <w:szCs w:val="21"/>
          <w:highlight w:val="none"/>
        </w:rPr>
        <w:t xml:space="preserve">3.1.3  </w:t>
      </w:r>
      <w:r>
        <w:rPr>
          <w:rFonts w:ascii="宋体" w:hAnsi="宋体" w:cs="宋体"/>
          <w:color w:val="auto"/>
          <w:szCs w:val="21"/>
          <w:highlight w:val="none"/>
        </w:rPr>
        <w:t>投标报价有算术错误的及其他错误的，评标委员会按以下原则对投标报价进行修</w:t>
      </w:r>
      <w:r>
        <w:rPr>
          <w:rFonts w:ascii="宋体" w:hAnsi="宋体" w:cs="宋体"/>
          <w:color w:val="auto"/>
          <w:spacing w:val="3"/>
          <w:szCs w:val="21"/>
          <w:highlight w:val="none"/>
        </w:rPr>
        <w:t>正，修正的价格经投标人书面确认后具有约束力。投标人不接</w:t>
      </w:r>
      <w:r>
        <w:rPr>
          <w:rFonts w:ascii="宋体" w:hAnsi="宋体" w:cs="宋体"/>
          <w:color w:val="auto"/>
          <w:spacing w:val="2"/>
          <w:szCs w:val="21"/>
          <w:highlight w:val="none"/>
        </w:rPr>
        <w:t>受修正价格的，评标委员会</w:t>
      </w:r>
      <w:r>
        <w:rPr>
          <w:rFonts w:ascii="宋体" w:hAnsi="宋体" w:cs="宋体"/>
          <w:color w:val="auto"/>
          <w:spacing w:val="-1"/>
          <w:szCs w:val="21"/>
          <w:highlight w:val="none"/>
        </w:rPr>
        <w:t>应当否决其投标。</w:t>
      </w:r>
    </w:p>
    <w:p w14:paraId="160E40F5">
      <w:pPr>
        <w:spacing w:before="7" w:line="234" w:lineRule="auto"/>
        <w:ind w:left="446"/>
        <w:rPr>
          <w:rFonts w:ascii="宋体" w:hAnsi="宋体" w:cs="宋体"/>
          <w:color w:val="auto"/>
          <w:szCs w:val="21"/>
          <w:highlight w:val="none"/>
        </w:rPr>
      </w:pPr>
      <w:r>
        <w:rPr>
          <w:rFonts w:ascii="宋体" w:hAnsi="宋体" w:cs="宋体"/>
          <w:color w:val="auto"/>
          <w:szCs w:val="21"/>
          <w:highlight w:val="none"/>
        </w:rPr>
        <w:t>（</w:t>
      </w:r>
      <w:r>
        <w:rPr>
          <w:rFonts w:eastAsia="Times New Roman"/>
          <w:color w:val="auto"/>
          <w:szCs w:val="21"/>
          <w:highlight w:val="none"/>
        </w:rPr>
        <w:t>1</w:t>
      </w:r>
      <w:r>
        <w:rPr>
          <w:rFonts w:ascii="宋体" w:hAnsi="宋体" w:cs="宋体"/>
          <w:color w:val="auto"/>
          <w:szCs w:val="21"/>
          <w:highlight w:val="none"/>
        </w:rPr>
        <w:t>）投标文件中的大写金额与小写金额不一</w:t>
      </w:r>
      <w:r>
        <w:rPr>
          <w:rFonts w:ascii="宋体" w:hAnsi="宋体" w:cs="宋体"/>
          <w:color w:val="auto"/>
          <w:spacing w:val="-1"/>
          <w:szCs w:val="21"/>
          <w:highlight w:val="none"/>
        </w:rPr>
        <w:t>致的，以大写金额为准；</w:t>
      </w:r>
    </w:p>
    <w:p w14:paraId="34178459">
      <w:pPr>
        <w:spacing w:before="132" w:line="286" w:lineRule="auto"/>
        <w:ind w:left="22" w:right="312" w:firstLine="424"/>
        <w:rPr>
          <w:rFonts w:ascii="宋体" w:hAnsi="宋体" w:cs="宋体"/>
          <w:color w:val="auto"/>
          <w:szCs w:val="21"/>
          <w:highlight w:val="none"/>
        </w:rPr>
      </w:pPr>
      <w:r>
        <w:rPr>
          <w:rFonts w:ascii="宋体" w:hAnsi="宋体" w:cs="宋体"/>
          <w:color w:val="auto"/>
          <w:szCs w:val="21"/>
          <w:highlight w:val="none"/>
        </w:rPr>
        <w:t>（</w:t>
      </w:r>
      <w:r>
        <w:rPr>
          <w:rFonts w:eastAsia="Times New Roman"/>
          <w:color w:val="auto"/>
          <w:szCs w:val="21"/>
          <w:highlight w:val="none"/>
        </w:rPr>
        <w:t>2</w:t>
      </w:r>
      <w:r>
        <w:rPr>
          <w:rFonts w:ascii="宋体" w:hAnsi="宋体" w:cs="宋体"/>
          <w:color w:val="auto"/>
          <w:szCs w:val="21"/>
          <w:highlight w:val="none"/>
        </w:rPr>
        <w:t>）总价金额与依据单价计算出的结果不一致的，以单价金额为准修正总价，但单价</w:t>
      </w:r>
      <w:r>
        <w:rPr>
          <w:rFonts w:ascii="宋体" w:hAnsi="宋体" w:cs="宋体"/>
          <w:color w:val="auto"/>
          <w:spacing w:val="-2"/>
          <w:szCs w:val="21"/>
          <w:highlight w:val="none"/>
        </w:rPr>
        <w:t>金额小数点有明显错误的除外。</w:t>
      </w:r>
    </w:p>
    <w:p w14:paraId="36C518BC">
      <w:pPr>
        <w:spacing w:before="135" w:line="305" w:lineRule="auto"/>
        <w:ind w:left="30" w:right="312" w:firstLine="410"/>
        <w:rPr>
          <w:rFonts w:ascii="宋体" w:hAnsi="宋体" w:cs="宋体"/>
          <w:color w:val="auto"/>
          <w:szCs w:val="21"/>
          <w:highlight w:val="none"/>
        </w:rPr>
      </w:pPr>
      <w:r>
        <w:rPr>
          <w:rFonts w:eastAsia="Times New Roman"/>
          <w:color w:val="auto"/>
          <w:szCs w:val="21"/>
          <w:highlight w:val="none"/>
        </w:rPr>
        <w:t xml:space="preserve">3.1.4  </w:t>
      </w:r>
      <w:r>
        <w:rPr>
          <w:rFonts w:ascii="宋体" w:hAnsi="宋体" w:cs="宋体"/>
          <w:color w:val="auto"/>
          <w:szCs w:val="21"/>
          <w:highlight w:val="none"/>
        </w:rPr>
        <w:t>评标委员会发现投标人的报价明显低于其他投标报价，或者在设有最高投标限价</w:t>
      </w:r>
      <w:r>
        <w:rPr>
          <w:rFonts w:ascii="宋体" w:hAnsi="宋体" w:cs="宋体"/>
          <w:color w:val="auto"/>
          <w:spacing w:val="3"/>
          <w:szCs w:val="21"/>
          <w:highlight w:val="none"/>
        </w:rPr>
        <w:t>时明显低于最高投标限价，使得其投标报价可能低于其个别</w:t>
      </w:r>
      <w:r>
        <w:rPr>
          <w:rFonts w:ascii="宋体" w:hAnsi="宋体" w:cs="宋体"/>
          <w:color w:val="auto"/>
          <w:spacing w:val="2"/>
          <w:szCs w:val="21"/>
          <w:highlight w:val="none"/>
        </w:rPr>
        <w:t>成本的，应当要求该投标人作</w:t>
      </w:r>
      <w:r>
        <w:rPr>
          <w:rFonts w:ascii="宋体" w:hAnsi="宋体" w:cs="宋体"/>
          <w:color w:val="auto"/>
          <w:spacing w:val="1"/>
          <w:szCs w:val="21"/>
          <w:highlight w:val="none"/>
        </w:rPr>
        <w:t>出书面说明并提供相应的证明材料。投标人不能合理说明或者不能提供相应证明材料的，</w:t>
      </w:r>
      <w:r>
        <w:rPr>
          <w:rFonts w:ascii="宋体" w:hAnsi="宋体" w:cs="宋体"/>
          <w:color w:val="auto"/>
          <w:spacing w:val="-1"/>
          <w:szCs w:val="21"/>
          <w:highlight w:val="none"/>
        </w:rPr>
        <w:t>由评标委员会认定该投标人以低于成本报价竞标，否决其投标。</w:t>
      </w:r>
    </w:p>
    <w:p w14:paraId="42D8052C">
      <w:pPr>
        <w:spacing w:before="130" w:line="278" w:lineRule="auto"/>
        <w:ind w:left="19" w:right="360" w:firstLine="421"/>
        <w:rPr>
          <w:rFonts w:ascii="宋体" w:hAnsi="宋体" w:cs="宋体"/>
          <w:color w:val="auto"/>
          <w:szCs w:val="21"/>
          <w:highlight w:val="none"/>
        </w:rPr>
      </w:pPr>
      <w:r>
        <w:rPr>
          <w:rFonts w:eastAsia="Times New Roman"/>
          <w:color w:val="auto"/>
          <w:spacing w:val="-1"/>
          <w:szCs w:val="21"/>
          <w:highlight w:val="none"/>
        </w:rPr>
        <w:t xml:space="preserve">3.1.5  </w:t>
      </w:r>
      <w:r>
        <w:rPr>
          <w:rFonts w:ascii="宋体" w:hAnsi="宋体" w:cs="宋体"/>
          <w:color w:val="auto"/>
          <w:spacing w:val="-1"/>
          <w:szCs w:val="21"/>
          <w:highlight w:val="none"/>
        </w:rPr>
        <w:t>评标委员会否决不合格投标后，因有效投标不足三个使得投标明显缺乏竞争的，</w:t>
      </w:r>
      <w:r>
        <w:rPr>
          <w:rFonts w:ascii="宋体" w:hAnsi="宋体" w:cs="宋体"/>
          <w:color w:val="auto"/>
          <w:spacing w:val="-2"/>
          <w:szCs w:val="21"/>
          <w:highlight w:val="none"/>
        </w:rPr>
        <w:t>评标委员会可以否决全部投标。</w:t>
      </w:r>
    </w:p>
    <w:p w14:paraId="6FA2D60A">
      <w:pPr>
        <w:spacing w:before="90" w:line="233" w:lineRule="auto"/>
        <w:ind w:left="21"/>
        <w:outlineLvl w:val="2"/>
        <w:rPr>
          <w:rFonts w:ascii="黑体" w:hAnsi="黑体" w:eastAsia="黑体" w:cs="黑体"/>
          <w:color w:val="auto"/>
          <w:sz w:val="24"/>
          <w:highlight w:val="none"/>
        </w:rPr>
      </w:pPr>
      <w:bookmarkStart w:id="253" w:name="bookmark111"/>
      <w:bookmarkEnd w:id="253"/>
      <w:bookmarkStart w:id="254" w:name="_Toc18715"/>
      <w:r>
        <w:rPr>
          <w:rFonts w:eastAsia="Times New Roman"/>
          <w:color w:val="auto"/>
          <w:spacing w:val="-1"/>
          <w:sz w:val="24"/>
          <w:highlight w:val="none"/>
        </w:rPr>
        <w:t xml:space="preserve">3.2 </w:t>
      </w:r>
      <w:r>
        <w:rPr>
          <w:rFonts w:ascii="黑体" w:hAnsi="黑体" w:eastAsia="黑体" w:cs="黑体"/>
          <w:color w:val="auto"/>
          <w:spacing w:val="-1"/>
          <w:sz w:val="24"/>
          <w:highlight w:val="none"/>
        </w:rPr>
        <w:t>详细评审</w:t>
      </w:r>
      <w:bookmarkEnd w:id="254"/>
    </w:p>
    <w:p w14:paraId="52B08267">
      <w:pPr>
        <w:spacing w:before="98" w:line="234" w:lineRule="auto"/>
        <w:ind w:left="440"/>
        <w:rPr>
          <w:rFonts w:ascii="宋体" w:hAnsi="宋体" w:cs="宋体"/>
          <w:color w:val="auto"/>
          <w:spacing w:val="-1"/>
          <w:szCs w:val="21"/>
          <w:highlight w:val="none"/>
        </w:rPr>
      </w:pPr>
      <w:r>
        <w:rPr>
          <w:rFonts w:eastAsia="Times New Roman"/>
          <w:color w:val="auto"/>
          <w:spacing w:val="-1"/>
          <w:szCs w:val="21"/>
          <w:highlight w:val="none"/>
        </w:rPr>
        <w:t xml:space="preserve">3.2.1  </w:t>
      </w:r>
      <w:r>
        <w:rPr>
          <w:rFonts w:ascii="宋体" w:hAnsi="宋体" w:cs="宋体"/>
          <w:color w:val="auto"/>
          <w:spacing w:val="-1"/>
          <w:szCs w:val="21"/>
          <w:highlight w:val="none"/>
        </w:rPr>
        <w:t>评标委员会对通过了初步评审的投标文件进行详细评审。</w:t>
      </w:r>
      <w:r>
        <w:rPr>
          <w:rFonts w:hint="eastAsia" w:ascii="宋体" w:hAnsi="宋体" w:cs="宋体"/>
          <w:color w:val="auto"/>
          <w:spacing w:val="-1"/>
          <w:szCs w:val="21"/>
          <w:highlight w:val="none"/>
          <w:lang w:val="en-US" w:eastAsia="zh-CN"/>
        </w:rPr>
        <w:t>如采用入围方式的，则</w:t>
      </w:r>
    </w:p>
    <w:p w14:paraId="4AB33F11">
      <w:pPr>
        <w:spacing w:before="98" w:line="234" w:lineRule="auto"/>
        <w:ind w:left="0" w:leftChars="0" w:firstLine="0" w:firstLineChars="0"/>
        <w:rPr>
          <w:rFonts w:ascii="宋体" w:hAnsi="宋体" w:cs="宋体"/>
          <w:color w:val="auto"/>
          <w:szCs w:val="21"/>
          <w:highlight w:val="none"/>
        </w:rPr>
      </w:pPr>
      <w:r>
        <w:rPr>
          <w:rFonts w:hint="eastAsia" w:ascii="宋体" w:hAnsi="宋体" w:cs="宋体"/>
          <w:color w:val="auto"/>
          <w:spacing w:val="-1"/>
          <w:szCs w:val="21"/>
          <w:highlight w:val="none"/>
          <w:lang w:val="en-US" w:eastAsia="zh-CN"/>
        </w:rPr>
        <w:t>按照评标办法前附表规定的方式进行入围。</w:t>
      </w:r>
    </w:p>
    <w:p w14:paraId="18844A96">
      <w:pPr>
        <w:spacing w:before="130" w:line="286" w:lineRule="auto"/>
        <w:ind w:left="21" w:right="177" w:firstLine="419"/>
        <w:rPr>
          <w:rFonts w:ascii="宋体" w:hAnsi="宋体" w:cs="宋体"/>
          <w:color w:val="auto"/>
          <w:szCs w:val="21"/>
          <w:highlight w:val="none"/>
        </w:rPr>
      </w:pPr>
      <w:r>
        <w:rPr>
          <w:rFonts w:eastAsia="Times New Roman"/>
          <w:color w:val="auto"/>
          <w:spacing w:val="-1"/>
          <w:szCs w:val="21"/>
          <w:highlight w:val="none"/>
        </w:rPr>
        <w:t xml:space="preserve">3.2.2  </w:t>
      </w:r>
      <w:r>
        <w:rPr>
          <w:rFonts w:ascii="宋体" w:hAnsi="宋体" w:cs="宋体"/>
          <w:color w:val="auto"/>
          <w:spacing w:val="-1"/>
          <w:szCs w:val="21"/>
          <w:highlight w:val="none"/>
        </w:rPr>
        <w:t xml:space="preserve">评标委员会按本章第 </w:t>
      </w:r>
      <w:r>
        <w:rPr>
          <w:rFonts w:eastAsia="Times New Roman"/>
          <w:color w:val="auto"/>
          <w:spacing w:val="-1"/>
          <w:szCs w:val="21"/>
          <w:highlight w:val="none"/>
        </w:rPr>
        <w:t>2.2</w:t>
      </w:r>
      <w:r>
        <w:rPr>
          <w:rFonts w:ascii="宋体" w:hAnsi="宋体" w:cs="宋体"/>
          <w:color w:val="auto"/>
          <w:spacing w:val="-1"/>
          <w:szCs w:val="21"/>
          <w:highlight w:val="none"/>
        </w:rPr>
        <w:t>款规定的量化因素和分值进行打分，并计算出综合评估</w:t>
      </w:r>
      <w:r>
        <w:rPr>
          <w:rFonts w:ascii="宋体" w:hAnsi="宋体" w:cs="宋体"/>
          <w:color w:val="auto"/>
          <w:szCs w:val="21"/>
          <w:highlight w:val="none"/>
        </w:rPr>
        <w:t xml:space="preserve"> 得分。评标办法前附表对承包人建议书中的设计文件评审有特殊规定的，从其规</w:t>
      </w:r>
      <w:r>
        <w:rPr>
          <w:rFonts w:ascii="宋体" w:hAnsi="宋体" w:cs="宋体"/>
          <w:color w:val="auto"/>
          <w:spacing w:val="-1"/>
          <w:szCs w:val="21"/>
          <w:highlight w:val="none"/>
        </w:rPr>
        <w:t>定。</w:t>
      </w:r>
    </w:p>
    <w:p w14:paraId="686BEAE0">
      <w:pPr>
        <w:spacing w:before="148" w:line="233" w:lineRule="auto"/>
        <w:ind w:left="446"/>
        <w:rPr>
          <w:rFonts w:ascii="宋体" w:hAnsi="宋体" w:cs="宋体"/>
          <w:color w:val="auto"/>
          <w:szCs w:val="21"/>
          <w:highlight w:val="none"/>
        </w:rPr>
      </w:pPr>
      <w:r>
        <w:rPr>
          <w:rFonts w:ascii="宋体" w:hAnsi="宋体" w:cs="宋体"/>
          <w:color w:val="auto"/>
          <w:spacing w:val="-2"/>
          <w:szCs w:val="21"/>
          <w:highlight w:val="none"/>
        </w:rPr>
        <w:t>（</w:t>
      </w:r>
      <w:r>
        <w:rPr>
          <w:rFonts w:eastAsia="Times New Roman"/>
          <w:color w:val="auto"/>
          <w:spacing w:val="-2"/>
          <w:szCs w:val="21"/>
          <w:highlight w:val="none"/>
        </w:rPr>
        <w:t>1</w:t>
      </w:r>
      <w:r>
        <w:rPr>
          <w:rFonts w:ascii="宋体" w:hAnsi="宋体" w:cs="宋体"/>
          <w:color w:val="auto"/>
          <w:spacing w:val="-2"/>
          <w:szCs w:val="21"/>
          <w:highlight w:val="none"/>
        </w:rPr>
        <w:t>）按本章第</w:t>
      </w:r>
      <w:r>
        <w:rPr>
          <w:rFonts w:eastAsia="Times New Roman"/>
          <w:color w:val="auto"/>
          <w:spacing w:val="-2"/>
          <w:szCs w:val="21"/>
          <w:highlight w:val="none"/>
        </w:rPr>
        <w:t>2.2.4</w:t>
      </w:r>
      <w:r>
        <w:rPr>
          <w:rFonts w:ascii="宋体" w:hAnsi="宋体" w:cs="宋体"/>
          <w:color w:val="auto"/>
          <w:spacing w:val="-2"/>
          <w:szCs w:val="21"/>
          <w:highlight w:val="none"/>
        </w:rPr>
        <w:t>（</w:t>
      </w:r>
      <w:r>
        <w:rPr>
          <w:rFonts w:eastAsia="Times New Roman"/>
          <w:color w:val="auto"/>
          <w:spacing w:val="-2"/>
          <w:szCs w:val="21"/>
          <w:highlight w:val="none"/>
        </w:rPr>
        <w:t>1</w:t>
      </w:r>
      <w:r>
        <w:rPr>
          <w:rFonts w:ascii="宋体" w:hAnsi="宋体" w:cs="宋体"/>
          <w:color w:val="auto"/>
          <w:spacing w:val="-2"/>
          <w:szCs w:val="21"/>
          <w:highlight w:val="none"/>
        </w:rPr>
        <w:t>）目规定的评审因素和分值对投标报价计算出得分</w:t>
      </w:r>
      <w:r>
        <w:rPr>
          <w:rFonts w:eastAsia="Times New Roman"/>
          <w:color w:val="auto"/>
          <w:spacing w:val="-2"/>
          <w:szCs w:val="21"/>
          <w:highlight w:val="none"/>
        </w:rPr>
        <w:t>A</w:t>
      </w:r>
      <w:r>
        <w:rPr>
          <w:rFonts w:ascii="宋体" w:hAnsi="宋体" w:cs="宋体"/>
          <w:color w:val="auto"/>
          <w:spacing w:val="-2"/>
          <w:szCs w:val="21"/>
          <w:highlight w:val="none"/>
        </w:rPr>
        <w:t>；</w:t>
      </w:r>
    </w:p>
    <w:p w14:paraId="4F4CA8D6">
      <w:pPr>
        <w:spacing w:before="135" w:line="234" w:lineRule="auto"/>
        <w:ind w:left="446"/>
        <w:rPr>
          <w:rFonts w:ascii="宋体" w:hAnsi="宋体" w:cs="宋体"/>
          <w:color w:val="auto"/>
          <w:szCs w:val="21"/>
          <w:highlight w:val="none"/>
        </w:rPr>
      </w:pPr>
      <w:r>
        <w:rPr>
          <w:rFonts w:ascii="宋体" w:hAnsi="宋体" w:cs="宋体"/>
          <w:color w:val="auto"/>
          <w:spacing w:val="-2"/>
          <w:szCs w:val="21"/>
          <w:highlight w:val="none"/>
        </w:rPr>
        <w:t>（</w:t>
      </w:r>
      <w:r>
        <w:rPr>
          <w:rFonts w:eastAsia="Times New Roman"/>
          <w:color w:val="auto"/>
          <w:spacing w:val="-2"/>
          <w:szCs w:val="21"/>
          <w:highlight w:val="none"/>
        </w:rPr>
        <w:t>2</w:t>
      </w:r>
      <w:r>
        <w:rPr>
          <w:rFonts w:ascii="宋体" w:hAnsi="宋体" w:cs="宋体"/>
          <w:color w:val="auto"/>
          <w:spacing w:val="-2"/>
          <w:szCs w:val="21"/>
          <w:highlight w:val="none"/>
        </w:rPr>
        <w:t>）按本章第</w:t>
      </w:r>
      <w:r>
        <w:rPr>
          <w:rFonts w:eastAsia="Times New Roman"/>
          <w:color w:val="auto"/>
          <w:spacing w:val="-2"/>
          <w:szCs w:val="21"/>
          <w:highlight w:val="none"/>
        </w:rPr>
        <w:t>2.2.4</w:t>
      </w:r>
      <w:r>
        <w:rPr>
          <w:rFonts w:ascii="宋体" w:hAnsi="宋体" w:cs="宋体"/>
          <w:color w:val="auto"/>
          <w:spacing w:val="-2"/>
          <w:szCs w:val="21"/>
          <w:highlight w:val="none"/>
        </w:rPr>
        <w:t>（</w:t>
      </w:r>
      <w:r>
        <w:rPr>
          <w:rFonts w:eastAsia="Times New Roman"/>
          <w:color w:val="auto"/>
          <w:spacing w:val="-2"/>
          <w:szCs w:val="21"/>
          <w:highlight w:val="none"/>
        </w:rPr>
        <w:t>2</w:t>
      </w:r>
      <w:r>
        <w:rPr>
          <w:rFonts w:ascii="宋体" w:hAnsi="宋体" w:cs="宋体"/>
          <w:color w:val="auto"/>
          <w:spacing w:val="-2"/>
          <w:szCs w:val="21"/>
          <w:highlight w:val="none"/>
        </w:rPr>
        <w:t>）目规定的评审因素和分值对承包人建议书计算出得分</w:t>
      </w:r>
      <w:r>
        <w:rPr>
          <w:rFonts w:eastAsia="Times New Roman"/>
          <w:color w:val="auto"/>
          <w:spacing w:val="-2"/>
          <w:szCs w:val="21"/>
          <w:highlight w:val="none"/>
        </w:rPr>
        <w:t>B</w:t>
      </w:r>
      <w:r>
        <w:rPr>
          <w:rFonts w:ascii="宋体" w:hAnsi="宋体" w:cs="宋体"/>
          <w:color w:val="auto"/>
          <w:spacing w:val="-2"/>
          <w:szCs w:val="21"/>
          <w:highlight w:val="none"/>
        </w:rPr>
        <w:t>；</w:t>
      </w:r>
    </w:p>
    <w:p w14:paraId="53895903">
      <w:pPr>
        <w:spacing w:before="135" w:line="234" w:lineRule="auto"/>
        <w:ind w:left="446"/>
        <w:rPr>
          <w:rFonts w:ascii="宋体" w:hAnsi="宋体" w:cs="宋体"/>
          <w:color w:val="auto"/>
          <w:szCs w:val="21"/>
          <w:highlight w:val="none"/>
        </w:rPr>
      </w:pPr>
      <w:r>
        <w:rPr>
          <w:rFonts w:ascii="宋体" w:hAnsi="宋体" w:cs="宋体"/>
          <w:color w:val="auto"/>
          <w:spacing w:val="-2"/>
          <w:szCs w:val="21"/>
          <w:highlight w:val="none"/>
        </w:rPr>
        <w:t>（</w:t>
      </w:r>
      <w:r>
        <w:rPr>
          <w:rFonts w:eastAsia="Times New Roman"/>
          <w:color w:val="auto"/>
          <w:spacing w:val="-2"/>
          <w:szCs w:val="21"/>
          <w:highlight w:val="none"/>
        </w:rPr>
        <w:t>3</w:t>
      </w:r>
      <w:r>
        <w:rPr>
          <w:rFonts w:ascii="宋体" w:hAnsi="宋体" w:cs="宋体"/>
          <w:color w:val="auto"/>
          <w:spacing w:val="-2"/>
          <w:szCs w:val="21"/>
          <w:highlight w:val="none"/>
        </w:rPr>
        <w:t>）按本章第</w:t>
      </w:r>
      <w:r>
        <w:rPr>
          <w:rFonts w:eastAsia="Times New Roman"/>
          <w:color w:val="auto"/>
          <w:spacing w:val="-2"/>
          <w:szCs w:val="21"/>
          <w:highlight w:val="none"/>
        </w:rPr>
        <w:t>2.2.4</w:t>
      </w:r>
      <w:r>
        <w:rPr>
          <w:rFonts w:ascii="宋体" w:hAnsi="宋体" w:cs="宋体"/>
          <w:color w:val="auto"/>
          <w:spacing w:val="-2"/>
          <w:szCs w:val="21"/>
          <w:highlight w:val="none"/>
        </w:rPr>
        <w:t>（</w:t>
      </w:r>
      <w:r>
        <w:rPr>
          <w:rFonts w:eastAsia="Times New Roman"/>
          <w:color w:val="auto"/>
          <w:spacing w:val="-2"/>
          <w:szCs w:val="21"/>
          <w:highlight w:val="none"/>
        </w:rPr>
        <w:t>3</w:t>
      </w:r>
      <w:r>
        <w:rPr>
          <w:rFonts w:ascii="宋体" w:hAnsi="宋体" w:cs="宋体"/>
          <w:color w:val="auto"/>
          <w:spacing w:val="-2"/>
          <w:szCs w:val="21"/>
          <w:highlight w:val="none"/>
        </w:rPr>
        <w:t>）目规定的评审因素和分值对承包人实施方案计算出得分</w:t>
      </w:r>
      <w:r>
        <w:rPr>
          <w:rFonts w:eastAsia="Times New Roman"/>
          <w:color w:val="auto"/>
          <w:spacing w:val="-2"/>
          <w:szCs w:val="21"/>
          <w:highlight w:val="none"/>
        </w:rPr>
        <w:t>C</w:t>
      </w:r>
      <w:r>
        <w:rPr>
          <w:rFonts w:ascii="宋体" w:hAnsi="宋体" w:cs="宋体"/>
          <w:color w:val="auto"/>
          <w:spacing w:val="-2"/>
          <w:szCs w:val="21"/>
          <w:highlight w:val="none"/>
        </w:rPr>
        <w:t>；</w:t>
      </w:r>
    </w:p>
    <w:p w14:paraId="736C22C4">
      <w:pPr>
        <w:spacing w:before="132" w:line="234" w:lineRule="auto"/>
        <w:ind w:left="446"/>
        <w:rPr>
          <w:rFonts w:ascii="宋体" w:hAnsi="宋体" w:cs="宋体"/>
          <w:color w:val="auto"/>
          <w:szCs w:val="21"/>
          <w:highlight w:val="none"/>
        </w:rPr>
      </w:pPr>
      <w:r>
        <w:rPr>
          <w:rFonts w:ascii="宋体" w:hAnsi="宋体" w:cs="宋体"/>
          <w:color w:val="auto"/>
          <w:szCs w:val="21"/>
          <w:highlight w:val="none"/>
        </w:rPr>
        <w:t>（</w:t>
      </w:r>
      <w:r>
        <w:rPr>
          <w:rFonts w:eastAsia="Times New Roman"/>
          <w:color w:val="auto"/>
          <w:szCs w:val="21"/>
          <w:highlight w:val="none"/>
        </w:rPr>
        <w:t>4</w:t>
      </w:r>
      <w:r>
        <w:rPr>
          <w:rFonts w:ascii="宋体" w:hAnsi="宋体" w:cs="宋体"/>
          <w:color w:val="auto"/>
          <w:szCs w:val="21"/>
          <w:highlight w:val="none"/>
        </w:rPr>
        <w:t>）按本章第</w:t>
      </w:r>
      <w:r>
        <w:rPr>
          <w:rFonts w:eastAsia="Times New Roman"/>
          <w:color w:val="auto"/>
          <w:szCs w:val="21"/>
          <w:highlight w:val="none"/>
        </w:rPr>
        <w:t>2.2.4</w:t>
      </w:r>
      <w:r>
        <w:rPr>
          <w:rFonts w:ascii="宋体" w:hAnsi="宋体" w:cs="宋体"/>
          <w:color w:val="auto"/>
          <w:szCs w:val="21"/>
          <w:highlight w:val="none"/>
        </w:rPr>
        <w:t>（</w:t>
      </w:r>
      <w:r>
        <w:rPr>
          <w:rFonts w:eastAsia="Times New Roman"/>
          <w:color w:val="auto"/>
          <w:szCs w:val="21"/>
          <w:highlight w:val="none"/>
        </w:rPr>
        <w:t>4</w:t>
      </w:r>
      <w:r>
        <w:rPr>
          <w:rFonts w:ascii="宋体" w:hAnsi="宋体" w:cs="宋体"/>
          <w:color w:val="auto"/>
          <w:szCs w:val="21"/>
          <w:highlight w:val="none"/>
        </w:rPr>
        <w:t>）目规定的评审因素和分值对资</w:t>
      </w:r>
      <w:r>
        <w:rPr>
          <w:rFonts w:ascii="宋体" w:hAnsi="宋体" w:cs="宋体"/>
          <w:color w:val="auto"/>
          <w:spacing w:val="-1"/>
          <w:szCs w:val="21"/>
          <w:highlight w:val="none"/>
        </w:rPr>
        <w:t>信业绩计算出得分</w:t>
      </w:r>
      <w:r>
        <w:rPr>
          <w:rFonts w:eastAsia="Times New Roman"/>
          <w:color w:val="auto"/>
          <w:spacing w:val="-1"/>
          <w:szCs w:val="21"/>
          <w:highlight w:val="none"/>
        </w:rPr>
        <w:t>D</w:t>
      </w:r>
      <w:r>
        <w:rPr>
          <w:rFonts w:ascii="宋体" w:hAnsi="宋体" w:cs="宋体"/>
          <w:color w:val="auto"/>
          <w:spacing w:val="-1"/>
          <w:szCs w:val="21"/>
          <w:highlight w:val="none"/>
        </w:rPr>
        <w:t>；</w:t>
      </w:r>
    </w:p>
    <w:p w14:paraId="03D3DDC1">
      <w:pPr>
        <w:spacing w:before="135" w:line="234" w:lineRule="auto"/>
        <w:ind w:left="446"/>
        <w:rPr>
          <w:rFonts w:ascii="宋体" w:hAnsi="宋体" w:cs="宋体"/>
          <w:color w:val="auto"/>
          <w:szCs w:val="21"/>
          <w:highlight w:val="none"/>
        </w:rPr>
      </w:pPr>
      <w:r>
        <w:rPr>
          <w:rFonts w:ascii="宋体" w:hAnsi="宋体" w:cs="宋体"/>
          <w:color w:val="auto"/>
          <w:spacing w:val="-2"/>
          <w:szCs w:val="21"/>
          <w:highlight w:val="none"/>
        </w:rPr>
        <w:t>（</w:t>
      </w:r>
      <w:r>
        <w:rPr>
          <w:rFonts w:eastAsia="Times New Roman"/>
          <w:color w:val="auto"/>
          <w:spacing w:val="-2"/>
          <w:szCs w:val="21"/>
          <w:highlight w:val="none"/>
        </w:rPr>
        <w:t>5</w:t>
      </w:r>
      <w:r>
        <w:rPr>
          <w:rFonts w:ascii="宋体" w:hAnsi="宋体" w:cs="宋体"/>
          <w:color w:val="auto"/>
          <w:spacing w:val="-2"/>
          <w:szCs w:val="21"/>
          <w:highlight w:val="none"/>
        </w:rPr>
        <w:t>）按本章第</w:t>
      </w:r>
      <w:r>
        <w:rPr>
          <w:rFonts w:eastAsia="Times New Roman"/>
          <w:color w:val="auto"/>
          <w:spacing w:val="-2"/>
          <w:szCs w:val="21"/>
          <w:highlight w:val="none"/>
        </w:rPr>
        <w:t>2.2.4</w:t>
      </w:r>
      <w:r>
        <w:rPr>
          <w:rFonts w:ascii="宋体" w:hAnsi="宋体" w:cs="宋体"/>
          <w:color w:val="auto"/>
          <w:spacing w:val="-2"/>
          <w:szCs w:val="21"/>
          <w:highlight w:val="none"/>
        </w:rPr>
        <w:t>（</w:t>
      </w:r>
      <w:r>
        <w:rPr>
          <w:rFonts w:eastAsia="Times New Roman"/>
          <w:color w:val="auto"/>
          <w:spacing w:val="-2"/>
          <w:szCs w:val="21"/>
          <w:highlight w:val="none"/>
        </w:rPr>
        <w:t>5</w:t>
      </w:r>
      <w:r>
        <w:rPr>
          <w:rFonts w:ascii="宋体" w:hAnsi="宋体" w:cs="宋体"/>
          <w:color w:val="auto"/>
          <w:spacing w:val="-2"/>
          <w:szCs w:val="21"/>
          <w:highlight w:val="none"/>
        </w:rPr>
        <w:t>）目规定的评审因素和分值对其他因素计算出得分</w:t>
      </w:r>
      <w:r>
        <w:rPr>
          <w:rFonts w:eastAsia="Times New Roman"/>
          <w:color w:val="auto"/>
          <w:spacing w:val="-2"/>
          <w:szCs w:val="21"/>
          <w:highlight w:val="none"/>
        </w:rPr>
        <w:t>E</w:t>
      </w:r>
      <w:r>
        <w:rPr>
          <w:rFonts w:ascii="宋体" w:hAnsi="宋体" w:cs="宋体"/>
          <w:color w:val="auto"/>
          <w:spacing w:val="-2"/>
          <w:szCs w:val="21"/>
          <w:highlight w:val="none"/>
        </w:rPr>
        <w:t>。</w:t>
      </w:r>
    </w:p>
    <w:p w14:paraId="589F453F">
      <w:pPr>
        <w:spacing w:before="136" w:line="234" w:lineRule="auto"/>
        <w:ind w:left="440"/>
        <w:rPr>
          <w:rFonts w:ascii="宋体" w:hAnsi="宋体" w:cs="宋体"/>
          <w:color w:val="auto"/>
          <w:szCs w:val="21"/>
          <w:highlight w:val="none"/>
        </w:rPr>
      </w:pPr>
      <w:r>
        <w:rPr>
          <w:rFonts w:eastAsia="Times New Roman"/>
          <w:color w:val="auto"/>
          <w:szCs w:val="21"/>
          <w:highlight w:val="none"/>
        </w:rPr>
        <w:t xml:space="preserve">3.2.3  </w:t>
      </w:r>
      <w:r>
        <w:rPr>
          <w:rFonts w:ascii="宋体" w:hAnsi="宋体" w:cs="宋体"/>
          <w:color w:val="auto"/>
          <w:szCs w:val="21"/>
          <w:highlight w:val="none"/>
        </w:rPr>
        <w:t>评分分值计算保留小数点后两位，小数点后第三位“</w:t>
      </w:r>
      <w:r>
        <w:rPr>
          <w:rFonts w:ascii="宋体" w:hAnsi="宋体" w:cs="宋体"/>
          <w:color w:val="auto"/>
          <w:spacing w:val="-1"/>
          <w:szCs w:val="21"/>
          <w:highlight w:val="none"/>
        </w:rPr>
        <w:t>四舍五入”。</w:t>
      </w:r>
    </w:p>
    <w:p w14:paraId="121FA118">
      <w:pPr>
        <w:spacing w:before="132" w:line="234" w:lineRule="auto"/>
        <w:ind w:left="440"/>
        <w:rPr>
          <w:rFonts w:ascii="宋体" w:hAnsi="宋体" w:cs="宋体"/>
          <w:color w:val="auto"/>
          <w:szCs w:val="21"/>
          <w:highlight w:val="none"/>
        </w:rPr>
      </w:pPr>
      <w:r>
        <w:rPr>
          <w:rFonts w:eastAsia="Times New Roman"/>
          <w:color w:val="auto"/>
          <w:spacing w:val="-1"/>
          <w:szCs w:val="21"/>
          <w:highlight w:val="none"/>
        </w:rPr>
        <w:t xml:space="preserve">3.2.4  </w:t>
      </w:r>
      <w:r>
        <w:rPr>
          <w:rFonts w:ascii="宋体" w:hAnsi="宋体" w:cs="宋体"/>
          <w:color w:val="auto"/>
          <w:spacing w:val="-1"/>
          <w:szCs w:val="21"/>
          <w:highlight w:val="none"/>
        </w:rPr>
        <w:t>投标人得分</w:t>
      </w:r>
      <w:r>
        <w:rPr>
          <w:rFonts w:eastAsia="Times New Roman"/>
          <w:color w:val="auto"/>
          <w:spacing w:val="-1"/>
          <w:szCs w:val="21"/>
          <w:highlight w:val="none"/>
        </w:rPr>
        <w:t>=A+B+C+D+E</w:t>
      </w:r>
      <w:r>
        <w:rPr>
          <w:rFonts w:ascii="宋体" w:hAnsi="宋体" w:cs="宋体"/>
          <w:color w:val="auto"/>
          <w:spacing w:val="-1"/>
          <w:szCs w:val="21"/>
          <w:highlight w:val="none"/>
        </w:rPr>
        <w:t>。</w:t>
      </w:r>
    </w:p>
    <w:p w14:paraId="4A693ECA">
      <w:pPr>
        <w:spacing w:before="134" w:line="234" w:lineRule="auto"/>
        <w:jc w:val="right"/>
        <w:rPr>
          <w:rFonts w:ascii="宋体" w:hAnsi="宋体" w:cs="宋体"/>
          <w:color w:val="auto"/>
          <w:szCs w:val="21"/>
          <w:highlight w:val="none"/>
        </w:rPr>
      </w:pPr>
      <w:r>
        <w:rPr>
          <w:rFonts w:eastAsia="Times New Roman"/>
          <w:color w:val="auto"/>
          <w:szCs w:val="21"/>
          <w:highlight w:val="none"/>
        </w:rPr>
        <w:t xml:space="preserve">3.2.5  </w:t>
      </w:r>
      <w:r>
        <w:rPr>
          <w:rFonts w:ascii="宋体" w:hAnsi="宋体" w:cs="宋体"/>
          <w:color w:val="auto"/>
          <w:szCs w:val="21"/>
          <w:highlight w:val="none"/>
        </w:rPr>
        <w:t>各投标人最终得分的确定办法为：所</w:t>
      </w:r>
      <w:r>
        <w:rPr>
          <w:rFonts w:ascii="宋体" w:hAnsi="宋体" w:cs="宋体"/>
          <w:color w:val="auto"/>
          <w:spacing w:val="-1"/>
          <w:szCs w:val="21"/>
          <w:highlight w:val="none"/>
        </w:rPr>
        <w:t>有评标委员会成员的综合评分的算术平均值。</w:t>
      </w:r>
    </w:p>
    <w:p w14:paraId="44ADA30A">
      <w:pPr>
        <w:spacing w:before="76" w:line="233" w:lineRule="auto"/>
        <w:ind w:left="21"/>
        <w:outlineLvl w:val="2"/>
        <w:rPr>
          <w:rFonts w:ascii="黑体" w:hAnsi="黑体" w:eastAsia="黑体" w:cs="黑体"/>
          <w:color w:val="auto"/>
          <w:sz w:val="24"/>
          <w:highlight w:val="none"/>
        </w:rPr>
      </w:pPr>
      <w:bookmarkStart w:id="255" w:name="bookmark112"/>
      <w:bookmarkEnd w:id="255"/>
      <w:bookmarkStart w:id="256" w:name="_Toc27304"/>
      <w:r>
        <w:rPr>
          <w:rFonts w:eastAsia="Times New Roman"/>
          <w:color w:val="auto"/>
          <w:spacing w:val="-1"/>
          <w:sz w:val="24"/>
          <w:highlight w:val="none"/>
        </w:rPr>
        <w:t xml:space="preserve">3.3 </w:t>
      </w:r>
      <w:r>
        <w:rPr>
          <w:rFonts w:ascii="黑体" w:hAnsi="黑体" w:eastAsia="黑体" w:cs="黑体"/>
          <w:color w:val="auto"/>
          <w:spacing w:val="-1"/>
          <w:sz w:val="24"/>
          <w:highlight w:val="none"/>
        </w:rPr>
        <w:t>投标文件的澄清和补正</w:t>
      </w:r>
      <w:bookmarkEnd w:id="256"/>
    </w:p>
    <w:p w14:paraId="36F29B33">
      <w:pPr>
        <w:spacing w:before="115" w:line="308" w:lineRule="auto"/>
        <w:ind w:left="37" w:right="178" w:firstLine="403"/>
        <w:rPr>
          <w:rFonts w:ascii="宋体" w:hAnsi="宋体" w:cs="宋体"/>
          <w:color w:val="auto"/>
          <w:szCs w:val="21"/>
          <w:highlight w:val="none"/>
        </w:rPr>
      </w:pPr>
      <w:r>
        <w:rPr>
          <w:rFonts w:eastAsia="Times New Roman"/>
          <w:color w:val="auto"/>
          <w:szCs w:val="21"/>
          <w:highlight w:val="none"/>
        </w:rPr>
        <w:t xml:space="preserve">3.3.1  </w:t>
      </w:r>
      <w:r>
        <w:rPr>
          <w:rFonts w:ascii="宋体" w:hAnsi="宋体" w:cs="宋体"/>
          <w:color w:val="auto"/>
          <w:szCs w:val="21"/>
          <w:highlight w:val="none"/>
        </w:rPr>
        <w:t>在评标过程中，评标委员会可以书面形式要求投标人对所提交投标文件中不明确</w:t>
      </w:r>
      <w:r>
        <w:rPr>
          <w:rFonts w:ascii="宋体" w:hAnsi="宋体" w:cs="宋体"/>
          <w:color w:val="auto"/>
          <w:spacing w:val="3"/>
          <w:szCs w:val="21"/>
          <w:highlight w:val="none"/>
        </w:rPr>
        <w:t>的内容进行书面澄清或说明，或者对细微偏</w:t>
      </w:r>
      <w:r>
        <w:rPr>
          <w:rFonts w:ascii="宋体" w:hAnsi="宋体" w:cs="宋体"/>
          <w:color w:val="auto"/>
          <w:spacing w:val="2"/>
          <w:szCs w:val="21"/>
          <w:highlight w:val="none"/>
        </w:rPr>
        <w:t>差进行补正。评标委员会不接受投标人主动提</w:t>
      </w:r>
      <w:r>
        <w:rPr>
          <w:rFonts w:ascii="宋体" w:hAnsi="宋体" w:cs="宋体"/>
          <w:color w:val="auto"/>
          <w:spacing w:val="-4"/>
          <w:szCs w:val="21"/>
          <w:highlight w:val="none"/>
        </w:rPr>
        <w:t>出的澄清、说明或补正。</w:t>
      </w:r>
    </w:p>
    <w:p w14:paraId="44E15470">
      <w:pPr>
        <w:spacing w:before="149" w:line="286" w:lineRule="auto"/>
        <w:ind w:left="20" w:right="195" w:firstLine="420"/>
        <w:rPr>
          <w:rFonts w:ascii="宋体" w:hAnsi="宋体" w:cs="宋体"/>
          <w:color w:val="auto"/>
          <w:szCs w:val="21"/>
          <w:highlight w:val="none"/>
        </w:rPr>
      </w:pPr>
      <w:r>
        <w:rPr>
          <w:rFonts w:eastAsia="Times New Roman"/>
          <w:color w:val="auto"/>
          <w:szCs w:val="21"/>
          <w:highlight w:val="none"/>
        </w:rPr>
        <w:t xml:space="preserve">3.3.2  </w:t>
      </w:r>
      <w:r>
        <w:rPr>
          <w:rFonts w:ascii="宋体" w:hAnsi="宋体" w:cs="宋体"/>
          <w:color w:val="auto"/>
          <w:szCs w:val="21"/>
          <w:highlight w:val="none"/>
        </w:rPr>
        <w:t>澄清、说明和补正不得改变投标文件的实质性内容。投标人的书面</w:t>
      </w:r>
      <w:r>
        <w:rPr>
          <w:rFonts w:ascii="宋体" w:hAnsi="宋体" w:cs="宋体"/>
          <w:color w:val="auto"/>
          <w:spacing w:val="-1"/>
          <w:szCs w:val="21"/>
          <w:highlight w:val="none"/>
        </w:rPr>
        <w:t>澄清、说明和</w:t>
      </w:r>
      <w:r>
        <w:rPr>
          <w:rFonts w:ascii="宋体" w:hAnsi="宋体" w:cs="宋体"/>
          <w:color w:val="auto"/>
          <w:spacing w:val="-2"/>
          <w:szCs w:val="21"/>
          <w:highlight w:val="none"/>
        </w:rPr>
        <w:t>补正属于投标文件的组成部分。</w:t>
      </w:r>
    </w:p>
    <w:p w14:paraId="619DBD08">
      <w:pPr>
        <w:spacing w:before="150" w:line="286" w:lineRule="auto"/>
        <w:ind w:left="20" w:right="178" w:firstLine="420"/>
        <w:rPr>
          <w:rFonts w:ascii="宋体" w:hAnsi="宋体" w:cs="宋体"/>
          <w:color w:val="auto"/>
          <w:szCs w:val="21"/>
          <w:highlight w:val="none"/>
        </w:rPr>
      </w:pPr>
      <w:r>
        <w:rPr>
          <w:rFonts w:eastAsia="Times New Roman"/>
          <w:color w:val="auto"/>
          <w:szCs w:val="21"/>
          <w:highlight w:val="none"/>
        </w:rPr>
        <w:t xml:space="preserve">3.3.3  </w:t>
      </w:r>
      <w:r>
        <w:rPr>
          <w:rFonts w:ascii="宋体" w:hAnsi="宋体" w:cs="宋体"/>
          <w:color w:val="auto"/>
          <w:szCs w:val="21"/>
          <w:highlight w:val="none"/>
        </w:rPr>
        <w:t>评标委员会对投标人提交的澄清、说明或补正有疑问的，可以要求投标人进一步</w:t>
      </w:r>
      <w:r>
        <w:rPr>
          <w:rFonts w:ascii="宋体" w:hAnsi="宋体" w:cs="宋体"/>
          <w:color w:val="auto"/>
          <w:spacing w:val="-1"/>
          <w:szCs w:val="21"/>
          <w:highlight w:val="none"/>
        </w:rPr>
        <w:t>澄清、说明或补正，直至满足评标委员会的要求。</w:t>
      </w:r>
    </w:p>
    <w:p w14:paraId="0550ADC3">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ascii="宋体" w:hAnsi="宋体" w:cs="宋体"/>
          <w:color w:val="auto"/>
          <w:szCs w:val="21"/>
          <w:highlight w:val="none"/>
        </w:rPr>
      </w:pPr>
      <w:r>
        <w:rPr>
          <w:rFonts w:eastAsia="Times New Roman"/>
          <w:color w:val="auto"/>
          <w:szCs w:val="21"/>
          <w:highlight w:val="none"/>
        </w:rPr>
        <w:t xml:space="preserve">3.3.4  </w:t>
      </w:r>
      <w:r>
        <w:rPr>
          <w:rFonts w:hint="eastAsia" w:ascii="宋体" w:hAnsi="宋体" w:eastAsia="宋体" w:cs="宋体"/>
          <w:color w:val="auto"/>
          <w:kern w:val="0"/>
          <w:sz w:val="21"/>
          <w:szCs w:val="21"/>
          <w:highlight w:val="none"/>
          <w:lang w:val="en-US" w:eastAsia="zh-CN" w:bidi="ar"/>
        </w:rPr>
        <w:t>评标委员会要求投标人对投标文件问题澄清的通知，以及投标人对投标文件的澄清通过电子招标投标系统（辽宁省工程建设项目数字化开标评标系统）以书面形式进行。投标人的澄清、说明或补正应在评标办法前附表通知规定的时间要求内提交，否则评标委员会（电子招标投标系统）将拒绝接收。</w:t>
      </w:r>
    </w:p>
    <w:p w14:paraId="727CBD87">
      <w:pPr>
        <w:spacing w:before="92" w:line="233" w:lineRule="auto"/>
        <w:ind w:left="21"/>
        <w:outlineLvl w:val="2"/>
        <w:rPr>
          <w:rFonts w:ascii="黑体" w:hAnsi="黑体" w:eastAsia="黑体" w:cs="黑体"/>
          <w:color w:val="auto"/>
          <w:sz w:val="24"/>
          <w:highlight w:val="none"/>
        </w:rPr>
      </w:pPr>
      <w:bookmarkStart w:id="257" w:name="bookmark113"/>
      <w:bookmarkEnd w:id="257"/>
      <w:bookmarkStart w:id="258" w:name="_Toc5112"/>
      <w:r>
        <w:rPr>
          <w:rFonts w:eastAsia="Times New Roman"/>
          <w:color w:val="auto"/>
          <w:spacing w:val="-1"/>
          <w:sz w:val="24"/>
          <w:highlight w:val="none"/>
        </w:rPr>
        <w:t xml:space="preserve">3.4 </w:t>
      </w:r>
      <w:r>
        <w:rPr>
          <w:rFonts w:ascii="黑体" w:hAnsi="黑体" w:eastAsia="黑体" w:cs="黑体"/>
          <w:color w:val="auto"/>
          <w:spacing w:val="-1"/>
          <w:sz w:val="24"/>
          <w:highlight w:val="none"/>
        </w:rPr>
        <w:t>评标结果</w:t>
      </w:r>
      <w:bookmarkEnd w:id="258"/>
    </w:p>
    <w:p w14:paraId="3FCE2111">
      <w:pPr>
        <w:spacing w:before="116" w:line="285" w:lineRule="auto"/>
        <w:ind w:left="26" w:right="178" w:firstLine="414"/>
        <w:rPr>
          <w:rFonts w:eastAsia="Times New Roman"/>
          <w:color w:val="auto"/>
          <w:szCs w:val="21"/>
          <w:highlight w:val="none"/>
        </w:rPr>
      </w:pPr>
      <w:r>
        <w:rPr>
          <w:rFonts w:eastAsia="Times New Roman"/>
          <w:color w:val="auto"/>
          <w:szCs w:val="21"/>
          <w:highlight w:val="none"/>
        </w:rPr>
        <w:t xml:space="preserve">3.4.1  </w:t>
      </w:r>
      <w:r>
        <w:rPr>
          <w:rFonts w:hint="eastAsia" w:eastAsia="Times New Roman"/>
          <w:color w:val="auto"/>
          <w:szCs w:val="21"/>
          <w:highlight w:val="none"/>
          <w:lang w:val="en-US" w:eastAsia="zh-CN"/>
        </w:rPr>
        <w:t>评标委员会按照本章评标办法前附表规定的推荐方法和第二章“投标人须知”前</w:t>
      </w:r>
    </w:p>
    <w:p w14:paraId="1BADA03A">
      <w:pPr>
        <w:spacing w:before="116" w:line="285" w:lineRule="auto"/>
        <w:ind w:left="26" w:leftChars="0" w:right="178" w:hanging="26" w:firstLineChars="0"/>
        <w:rPr>
          <w:rFonts w:ascii="宋体" w:hAnsi="宋体" w:cs="宋体"/>
          <w:color w:val="auto"/>
          <w:szCs w:val="21"/>
          <w:highlight w:val="none"/>
        </w:rPr>
      </w:pPr>
      <w:r>
        <w:rPr>
          <w:rFonts w:hint="eastAsia" w:eastAsia="Times New Roman"/>
          <w:color w:val="auto"/>
          <w:szCs w:val="21"/>
          <w:highlight w:val="none"/>
          <w:lang w:val="en-US" w:eastAsia="zh-CN"/>
        </w:rPr>
        <w:t xml:space="preserve">附表第 </w:t>
      </w:r>
      <w:r>
        <w:rPr>
          <w:rFonts w:hint="default" w:eastAsia="Times New Roman"/>
          <w:color w:val="auto"/>
          <w:szCs w:val="21"/>
          <w:highlight w:val="none"/>
          <w:lang w:val="en-US" w:eastAsia="zh-CN"/>
        </w:rPr>
        <w:t xml:space="preserve">7.1 </w:t>
      </w:r>
      <w:r>
        <w:rPr>
          <w:rFonts w:hint="eastAsia" w:eastAsia="Times New Roman"/>
          <w:color w:val="auto"/>
          <w:szCs w:val="21"/>
          <w:highlight w:val="none"/>
          <w:lang w:val="en-US" w:eastAsia="zh-CN"/>
        </w:rPr>
        <w:t>款推荐的中标候选人数量推荐中标候选人。</w:t>
      </w:r>
    </w:p>
    <w:p w14:paraId="171B648D">
      <w:pPr>
        <w:spacing w:before="152" w:line="233" w:lineRule="auto"/>
        <w:ind w:left="440"/>
        <w:rPr>
          <w:rFonts w:ascii="宋体" w:hAnsi="宋体" w:cs="宋体"/>
          <w:color w:val="auto"/>
          <w:szCs w:val="21"/>
          <w:highlight w:val="none"/>
        </w:rPr>
      </w:pPr>
      <w:r>
        <w:rPr>
          <w:rFonts w:eastAsia="Times New Roman"/>
          <w:color w:val="auto"/>
          <w:szCs w:val="21"/>
          <w:highlight w:val="none"/>
        </w:rPr>
        <w:t xml:space="preserve">3.4.2  </w:t>
      </w:r>
      <w:r>
        <w:rPr>
          <w:rFonts w:ascii="宋体" w:hAnsi="宋体" w:cs="宋体"/>
          <w:color w:val="auto"/>
          <w:szCs w:val="21"/>
          <w:highlight w:val="none"/>
        </w:rPr>
        <w:t>评标委员会完成评标后，应当向招标人提交书面</w:t>
      </w:r>
      <w:r>
        <w:rPr>
          <w:rFonts w:ascii="宋体" w:hAnsi="宋体" w:cs="宋体"/>
          <w:color w:val="auto"/>
          <w:spacing w:val="-1"/>
          <w:szCs w:val="21"/>
          <w:highlight w:val="none"/>
        </w:rPr>
        <w:t>评标报告。</w:t>
      </w:r>
    </w:p>
    <w:p w14:paraId="31D0F526">
      <w:pPr>
        <w:keepNext w:val="0"/>
        <w:keepLines w:val="0"/>
        <w:pageBreakBefore w:val="0"/>
        <w:widowControl w:val="0"/>
        <w:kinsoku/>
        <w:wordWrap/>
        <w:overflowPunct/>
        <w:topLinePunct w:val="0"/>
        <w:autoSpaceDE/>
        <w:autoSpaceDN/>
        <w:bidi w:val="0"/>
        <w:adjustRightInd/>
        <w:snapToGrid/>
        <w:spacing w:before="152" w:line="360" w:lineRule="auto"/>
        <w:ind w:left="0" w:leftChars="0" w:firstLine="438" w:firstLineChars="209"/>
        <w:textAlignment w:val="auto"/>
        <w:rPr>
          <w:rFonts w:ascii="宋体" w:hAnsi="宋体" w:cs="宋体"/>
          <w:color w:val="auto"/>
          <w:szCs w:val="21"/>
          <w:highlight w:val="none"/>
        </w:rPr>
      </w:pPr>
      <w:r>
        <w:rPr>
          <w:rFonts w:hint="default" w:ascii="宋体" w:hAnsi="宋体" w:cs="宋体"/>
          <w:color w:val="auto"/>
          <w:szCs w:val="21"/>
          <w:highlight w:val="none"/>
          <w:lang w:val="en-US" w:eastAsia="zh-CN"/>
        </w:rPr>
        <w:t xml:space="preserve">3.4.3 </w:t>
      </w:r>
      <w:r>
        <w:rPr>
          <w:rFonts w:hint="eastAsia" w:ascii="宋体" w:hAnsi="宋体" w:cs="宋体"/>
          <w:color w:val="auto"/>
          <w:szCs w:val="21"/>
          <w:highlight w:val="none"/>
          <w:lang w:val="en-US" w:eastAsia="zh-CN"/>
        </w:rPr>
        <w:t>投标人串通投标或弄虚作假或有其他违法行为，评标委员会在评标过程中发现，证据确凿的，经评标委员会成员三分之二以上同意，其投标作否决投标处理；证据不够确凿的，其投标不能作否决投标处理，但评标委员会在向招标人提交书面评标报告时，应予说明。在评标结束后发现投标人串通投标或弄虚作假或有其他违法行为，查证属实的，取消其中标资格。</w:t>
      </w:r>
    </w:p>
    <w:p w14:paraId="5AC6EFD4">
      <w:pPr>
        <w:spacing w:line="233" w:lineRule="auto"/>
        <w:rPr>
          <w:rFonts w:ascii="宋体" w:hAnsi="宋体" w:cs="宋体"/>
          <w:color w:val="auto"/>
          <w:szCs w:val="21"/>
          <w:highlight w:val="none"/>
        </w:rPr>
      </w:pPr>
    </w:p>
    <w:p w14:paraId="719C412D">
      <w:pPr>
        <w:spacing w:line="233" w:lineRule="auto"/>
        <w:rPr>
          <w:rFonts w:ascii="宋体" w:hAnsi="宋体" w:cs="宋体"/>
          <w:color w:val="auto"/>
          <w:szCs w:val="21"/>
          <w:highlight w:val="none"/>
        </w:rPr>
      </w:pPr>
    </w:p>
    <w:p w14:paraId="4E3F7AD0">
      <w:pPr>
        <w:spacing w:line="233" w:lineRule="auto"/>
        <w:rPr>
          <w:rFonts w:ascii="宋体" w:hAnsi="宋体" w:cs="宋体"/>
          <w:color w:val="auto"/>
          <w:szCs w:val="21"/>
          <w:highlight w:val="none"/>
        </w:rPr>
      </w:pPr>
    </w:p>
    <w:p w14:paraId="339D4315">
      <w:pPr>
        <w:spacing w:line="233" w:lineRule="auto"/>
        <w:rPr>
          <w:rFonts w:ascii="宋体" w:hAnsi="宋体" w:cs="宋体"/>
          <w:color w:val="auto"/>
          <w:szCs w:val="21"/>
          <w:highlight w:val="none"/>
        </w:rPr>
      </w:pPr>
    </w:p>
    <w:p w14:paraId="7AC758F7">
      <w:pPr>
        <w:spacing w:line="233" w:lineRule="auto"/>
        <w:rPr>
          <w:rFonts w:ascii="宋体" w:hAnsi="宋体" w:cs="宋体"/>
          <w:color w:val="auto"/>
          <w:szCs w:val="21"/>
          <w:highlight w:val="none"/>
        </w:rPr>
      </w:pPr>
    </w:p>
    <w:p w14:paraId="35DFFF85">
      <w:pPr>
        <w:spacing w:line="233" w:lineRule="auto"/>
        <w:rPr>
          <w:rFonts w:ascii="宋体" w:hAnsi="宋体" w:cs="宋体"/>
          <w:color w:val="auto"/>
          <w:szCs w:val="21"/>
          <w:highlight w:val="none"/>
        </w:rPr>
      </w:pPr>
    </w:p>
    <w:p w14:paraId="32FAB4B7">
      <w:pPr>
        <w:spacing w:line="233" w:lineRule="auto"/>
        <w:rPr>
          <w:rFonts w:ascii="宋体" w:hAnsi="宋体" w:cs="宋体"/>
          <w:color w:val="auto"/>
          <w:szCs w:val="21"/>
          <w:highlight w:val="none"/>
        </w:rPr>
      </w:pPr>
    </w:p>
    <w:p w14:paraId="4516A67F">
      <w:pPr>
        <w:spacing w:line="233" w:lineRule="auto"/>
        <w:rPr>
          <w:rFonts w:ascii="宋体" w:hAnsi="宋体" w:cs="宋体"/>
          <w:color w:val="auto"/>
          <w:szCs w:val="21"/>
          <w:highlight w:val="none"/>
        </w:rPr>
      </w:pPr>
    </w:p>
    <w:p w14:paraId="4926F034">
      <w:pPr>
        <w:spacing w:line="233" w:lineRule="auto"/>
        <w:rPr>
          <w:rFonts w:ascii="宋体" w:hAnsi="宋体" w:cs="宋体"/>
          <w:color w:val="auto"/>
          <w:szCs w:val="21"/>
          <w:highlight w:val="none"/>
        </w:rPr>
      </w:pPr>
    </w:p>
    <w:p w14:paraId="42D7C98D">
      <w:pPr>
        <w:spacing w:line="233" w:lineRule="auto"/>
        <w:rPr>
          <w:rFonts w:ascii="宋体" w:hAnsi="宋体" w:cs="宋体"/>
          <w:color w:val="auto"/>
          <w:szCs w:val="21"/>
          <w:highlight w:val="none"/>
        </w:rPr>
      </w:pPr>
    </w:p>
    <w:p w14:paraId="7DD4644B">
      <w:pPr>
        <w:spacing w:line="233" w:lineRule="auto"/>
        <w:rPr>
          <w:rFonts w:ascii="宋体" w:hAnsi="宋体" w:cs="宋体"/>
          <w:color w:val="auto"/>
          <w:szCs w:val="21"/>
          <w:highlight w:val="none"/>
        </w:rPr>
      </w:pPr>
    </w:p>
    <w:p w14:paraId="362B9C9F">
      <w:pPr>
        <w:spacing w:line="233" w:lineRule="auto"/>
        <w:rPr>
          <w:rFonts w:ascii="宋体" w:hAnsi="宋体" w:cs="宋体"/>
          <w:color w:val="auto"/>
          <w:szCs w:val="21"/>
          <w:highlight w:val="none"/>
        </w:rPr>
      </w:pPr>
    </w:p>
    <w:p w14:paraId="532212E5">
      <w:pPr>
        <w:spacing w:line="233" w:lineRule="auto"/>
        <w:rPr>
          <w:rFonts w:ascii="宋体" w:hAnsi="宋体" w:cs="宋体"/>
          <w:color w:val="auto"/>
          <w:szCs w:val="21"/>
          <w:highlight w:val="none"/>
        </w:rPr>
      </w:pPr>
    </w:p>
    <w:p w14:paraId="3A0AED16">
      <w:pPr>
        <w:spacing w:line="233" w:lineRule="auto"/>
        <w:rPr>
          <w:rFonts w:ascii="宋体" w:hAnsi="宋体" w:cs="宋体"/>
          <w:color w:val="auto"/>
          <w:szCs w:val="21"/>
          <w:highlight w:val="none"/>
        </w:rPr>
      </w:pPr>
    </w:p>
    <w:p w14:paraId="58D349F8">
      <w:pPr>
        <w:spacing w:line="233" w:lineRule="auto"/>
        <w:rPr>
          <w:rFonts w:ascii="宋体" w:hAnsi="宋体" w:cs="宋体"/>
          <w:color w:val="auto"/>
          <w:szCs w:val="21"/>
          <w:highlight w:val="none"/>
        </w:rPr>
      </w:pPr>
    </w:p>
    <w:p w14:paraId="77B6FCD1">
      <w:pPr>
        <w:spacing w:line="233" w:lineRule="auto"/>
        <w:rPr>
          <w:rFonts w:ascii="宋体" w:hAnsi="宋体" w:cs="宋体"/>
          <w:color w:val="auto"/>
          <w:szCs w:val="21"/>
          <w:highlight w:val="none"/>
        </w:rPr>
      </w:pPr>
    </w:p>
    <w:p w14:paraId="51CD0F31">
      <w:pPr>
        <w:spacing w:line="233" w:lineRule="auto"/>
        <w:rPr>
          <w:rFonts w:ascii="宋体" w:hAnsi="宋体" w:cs="宋体"/>
          <w:color w:val="auto"/>
          <w:szCs w:val="21"/>
          <w:highlight w:val="none"/>
        </w:rPr>
      </w:pPr>
    </w:p>
    <w:p w14:paraId="5BD2CD37">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ascii="黑体" w:hAnsi="宋体" w:eastAsia="黑体" w:cs="黑体"/>
          <w:color w:val="auto"/>
          <w:kern w:val="0"/>
          <w:sz w:val="24"/>
          <w:szCs w:val="24"/>
          <w:highlight w:val="none"/>
          <w:lang w:val="en-US" w:eastAsia="zh-CN" w:bidi="ar"/>
        </w:rPr>
        <w:t xml:space="preserve">附件 </w:t>
      </w:r>
      <w:r>
        <w:rPr>
          <w:rFonts w:ascii="Arial" w:hAnsi="Arial" w:eastAsia="宋体" w:cs="Arial"/>
          <w:color w:val="auto"/>
          <w:kern w:val="0"/>
          <w:sz w:val="24"/>
          <w:szCs w:val="24"/>
          <w:highlight w:val="none"/>
          <w:lang w:val="en-US" w:eastAsia="zh-CN" w:bidi="ar"/>
        </w:rPr>
        <w:t>A</w:t>
      </w:r>
      <w:r>
        <w:rPr>
          <w:rFonts w:hint="eastAsia" w:ascii="黑体" w:hAnsi="宋体" w:eastAsia="黑体" w:cs="黑体"/>
          <w:color w:val="auto"/>
          <w:kern w:val="0"/>
          <w:sz w:val="24"/>
          <w:szCs w:val="24"/>
          <w:highlight w:val="none"/>
          <w:lang w:val="en-US" w:eastAsia="zh-CN" w:bidi="ar"/>
        </w:rPr>
        <w:t xml:space="preserve">：评标详细程序 </w:t>
      </w:r>
    </w:p>
    <w:p w14:paraId="467C0E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color w:val="auto"/>
          <w:highlight w:val="none"/>
        </w:rPr>
      </w:pPr>
      <w:r>
        <w:rPr>
          <w:rFonts w:hint="eastAsia" w:ascii="黑体" w:hAnsi="宋体" w:eastAsia="黑体" w:cs="黑体"/>
          <w:b/>
          <w:bCs/>
          <w:color w:val="auto"/>
          <w:kern w:val="0"/>
          <w:sz w:val="28"/>
          <w:szCs w:val="28"/>
          <w:highlight w:val="none"/>
          <w:lang w:val="en-US" w:eastAsia="zh-CN" w:bidi="ar"/>
        </w:rPr>
        <w:t>评标详细程序</w:t>
      </w:r>
    </w:p>
    <w:p w14:paraId="1394E71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黑体" w:hAnsi="宋体" w:eastAsia="黑体" w:cs="黑体"/>
          <w:color w:val="auto"/>
          <w:kern w:val="0"/>
          <w:sz w:val="24"/>
          <w:szCs w:val="24"/>
          <w:highlight w:val="none"/>
          <w:lang w:val="en-US" w:eastAsia="zh-CN" w:bidi="ar"/>
        </w:rPr>
        <w:t xml:space="preserve">A0.总 则 </w:t>
      </w:r>
    </w:p>
    <w:p w14:paraId="12E12E5D">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本附件是本章“评标办法”的组成部分，是对本章第 3 条所规定的评标程序的进一步细化，评标委员会应当按照本附件所规定的详细程序开展并完成评标工作。 </w:t>
      </w:r>
    </w:p>
    <w:p w14:paraId="297812BE">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黑体" w:hAnsi="宋体" w:eastAsia="黑体" w:cs="黑体"/>
          <w:color w:val="auto"/>
          <w:kern w:val="0"/>
          <w:sz w:val="24"/>
          <w:szCs w:val="24"/>
          <w:highlight w:val="none"/>
          <w:lang w:val="en-US" w:eastAsia="zh-CN" w:bidi="ar"/>
        </w:rPr>
        <w:t xml:space="preserve">A1.基本程序 </w:t>
      </w:r>
    </w:p>
    <w:p w14:paraId="23D3CF88">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评标活动将按以下五个步骤进行： </w:t>
      </w:r>
    </w:p>
    <w:p w14:paraId="5ABDFCF9">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（1）评标准备； </w:t>
      </w:r>
    </w:p>
    <w:p w14:paraId="4EE20E22">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（2）初步评审； </w:t>
      </w:r>
    </w:p>
    <w:p w14:paraId="53D04B25">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（3）详细评审； </w:t>
      </w:r>
    </w:p>
    <w:p w14:paraId="11C538E9">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（4）澄清、说明或补正； </w:t>
      </w:r>
    </w:p>
    <w:p w14:paraId="4229573A">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（5）推荐中标候选人或者直接确定中标人及提交评标报告。 </w:t>
      </w:r>
    </w:p>
    <w:p w14:paraId="3A86C47E">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黑体" w:hAnsi="宋体" w:eastAsia="黑体" w:cs="黑体"/>
          <w:color w:val="auto"/>
          <w:kern w:val="0"/>
          <w:sz w:val="24"/>
          <w:szCs w:val="24"/>
          <w:highlight w:val="none"/>
          <w:lang w:val="en-US" w:eastAsia="zh-CN" w:bidi="ar"/>
        </w:rPr>
        <w:t xml:space="preserve">A2.评标准备 </w:t>
      </w:r>
    </w:p>
    <w:p w14:paraId="17E89D7A">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黑体" w:hAnsi="宋体" w:eastAsia="黑体" w:cs="黑体"/>
          <w:color w:val="auto"/>
          <w:kern w:val="0"/>
          <w:sz w:val="21"/>
          <w:szCs w:val="21"/>
          <w:highlight w:val="none"/>
          <w:lang w:val="en-US" w:eastAsia="zh-CN" w:bidi="ar"/>
        </w:rPr>
        <w:t xml:space="preserve">A2.1 评标委员会成员签到 </w:t>
      </w:r>
    </w:p>
    <w:p w14:paraId="00DF2DCC">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评标委员会成员到达评标现场时应在签到表上签到以证明其出席。评标委员会签到表见</w:t>
      </w:r>
      <w:r>
        <w:rPr>
          <w:rFonts w:hint="eastAsia" w:ascii="宋体" w:hAnsi="宋体" w:eastAsia="宋体" w:cs="宋体"/>
          <w:b/>
          <w:bCs/>
          <w:color w:val="auto"/>
          <w:kern w:val="0"/>
          <w:sz w:val="21"/>
          <w:szCs w:val="21"/>
          <w:highlight w:val="none"/>
          <w:lang w:val="en-US" w:eastAsia="zh-CN" w:bidi="ar"/>
        </w:rPr>
        <w:t>附表 A-1</w:t>
      </w:r>
      <w:r>
        <w:rPr>
          <w:rFonts w:hint="eastAsia" w:ascii="宋体" w:hAnsi="宋体" w:eastAsia="宋体" w:cs="宋体"/>
          <w:color w:val="auto"/>
          <w:kern w:val="0"/>
          <w:sz w:val="21"/>
          <w:szCs w:val="21"/>
          <w:highlight w:val="none"/>
          <w:lang w:val="en-US" w:eastAsia="zh-CN" w:bidi="ar"/>
        </w:rPr>
        <w:t xml:space="preserve">。并按照要求阅读评标纪律。 </w:t>
      </w:r>
    </w:p>
    <w:p w14:paraId="3E3868EE">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评标委员会成员在评标前，应当签订签署评标专家告知承诺函。评标专家告知承诺函见</w:t>
      </w:r>
      <w:r>
        <w:rPr>
          <w:rFonts w:hint="eastAsia" w:ascii="宋体" w:hAnsi="宋体" w:eastAsia="宋体" w:cs="宋体"/>
          <w:b/>
          <w:bCs/>
          <w:color w:val="auto"/>
          <w:kern w:val="0"/>
          <w:sz w:val="21"/>
          <w:szCs w:val="21"/>
          <w:highlight w:val="none"/>
          <w:lang w:val="en-US" w:eastAsia="zh-CN" w:bidi="ar"/>
        </w:rPr>
        <w:t>附表 A-2。</w:t>
      </w:r>
      <w:r>
        <w:rPr>
          <w:rFonts w:hint="eastAsia" w:ascii="宋体" w:hAnsi="宋体" w:eastAsia="宋体" w:cs="宋体"/>
          <w:color w:val="auto"/>
          <w:kern w:val="0"/>
          <w:sz w:val="21"/>
          <w:szCs w:val="21"/>
          <w:highlight w:val="none"/>
          <w:lang w:val="en-US" w:eastAsia="zh-CN" w:bidi="ar"/>
        </w:rPr>
        <w:t xml:space="preserve">评标委员会成员对尽职、回避、保密、廉洁，不参与串通投标等进行承诺，承诺遵守有关评标管理规定以及评标纪律，客观、公正地进行评标，并接受招投标监管部门的监督。 </w:t>
      </w:r>
    </w:p>
    <w:p w14:paraId="4CDBF2A0">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黑体" w:hAnsi="宋体" w:eastAsia="黑体" w:cs="黑体"/>
          <w:color w:val="auto"/>
          <w:kern w:val="0"/>
          <w:sz w:val="21"/>
          <w:szCs w:val="21"/>
          <w:highlight w:val="none"/>
          <w:lang w:val="en-US" w:eastAsia="zh-CN" w:bidi="ar"/>
        </w:rPr>
        <w:t xml:space="preserve">A2.2 评标委员会的分工 </w:t>
      </w:r>
    </w:p>
    <w:p w14:paraId="23ACDE48">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A2.2.1 评标委员会首先推选一名评标委员会主任。评标委员会主任负责评标活动的组织工作。 </w:t>
      </w:r>
    </w:p>
    <w:p w14:paraId="0211E76F">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A2.2.2 评标委员会主任除履行自己作为评标委员会成员独立评标的职责外，主要负责以下工作： </w:t>
      </w:r>
    </w:p>
    <w:p w14:paraId="0AB0981E">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（1）组织评标委员会成员学习招标文件中载明的评标标准和方法； </w:t>
      </w:r>
    </w:p>
    <w:p w14:paraId="4F836D97">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（2）提醒招标人做好评标准备工作，包括提供所需的评标基础资料； </w:t>
      </w:r>
    </w:p>
    <w:p w14:paraId="278E4211">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（3）汇总各评标委员会成员认为需要投标人澄清、说明或者补正的问题，组织评标委员会对投标人质询并对投标人的答复进行评审； </w:t>
      </w:r>
    </w:p>
    <w:p w14:paraId="5A79B24F">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（4）对出现较大争议的事项进行书面记录； </w:t>
      </w:r>
    </w:p>
    <w:p w14:paraId="72243DD6">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（5）查验评标用表格和评标记录的完整性及有效性； </w:t>
      </w:r>
    </w:p>
    <w:p w14:paraId="0C31D02C">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（6）组织对评标结论进行复核确认； </w:t>
      </w:r>
    </w:p>
    <w:p w14:paraId="62FC703E">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（7）组织编写评标报告，推荐中标候选人。 </w:t>
      </w:r>
    </w:p>
    <w:p w14:paraId="1485B8CA">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A2.2.3 评标委员会主任在与其他评标委员会成员商议的基础上可以将评标委员会按照评标专家抽取专业划分为技术组和经济组。 </w:t>
      </w:r>
    </w:p>
    <w:p w14:paraId="4D0A2D13">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黑体" w:hAnsi="宋体" w:eastAsia="黑体" w:cs="黑体"/>
          <w:color w:val="auto"/>
          <w:kern w:val="0"/>
          <w:sz w:val="21"/>
          <w:szCs w:val="21"/>
          <w:highlight w:val="none"/>
          <w:lang w:val="en-US" w:eastAsia="zh-CN" w:bidi="ar"/>
        </w:rPr>
        <w:t xml:space="preserve">A2.3 熟悉文件资料 </w:t>
      </w:r>
    </w:p>
    <w:p w14:paraId="7CF9F99C">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A2.3.1 评标委员会主任应组织评标委员会成员认真研究招标文件，了解和熟悉招标目的、招标范围、主要合同条件、发包人要求、质量标准，掌握评标标准和方法，熟悉本章及附件中包括的评标表格的使用，如果本章及附件所附的表格不能满足评标所需时，评标委员会应补充编制评标所需的表格。未在招标文件中规定的标准和方法不得作为评标的依据。 </w:t>
      </w:r>
    </w:p>
    <w:p w14:paraId="76876291">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A2.3.2 招标人或招标代理机构应向评标委员会提供评标所需的信息和数据，包括： </w:t>
      </w:r>
    </w:p>
    <w:p w14:paraId="58E908A8">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（1）招标文件及其澄清、修改文件； </w:t>
      </w:r>
    </w:p>
    <w:p w14:paraId="61339F52">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（2）投标人的投标文件； </w:t>
      </w:r>
    </w:p>
    <w:p w14:paraId="3721C38E">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（3）开标记录表以及二次刷卡、保证金缴纳等信息； </w:t>
      </w:r>
    </w:p>
    <w:p w14:paraId="4724168D">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（4）最高投标限价； </w:t>
      </w:r>
    </w:p>
    <w:p w14:paraId="49BF9181">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（5）评标表格； </w:t>
      </w:r>
    </w:p>
    <w:p w14:paraId="1E3BC6C1">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（6）有关的法律、法规、规章、国家标准以及招标人或评标委员会认为必要的其他信息和数据。 </w:t>
      </w:r>
    </w:p>
    <w:p w14:paraId="45D3DD7C">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黑体" w:hAnsi="宋体" w:eastAsia="黑体" w:cs="黑体"/>
          <w:color w:val="auto"/>
          <w:kern w:val="0"/>
          <w:sz w:val="21"/>
          <w:szCs w:val="21"/>
          <w:highlight w:val="none"/>
          <w:lang w:val="en-US" w:eastAsia="zh-CN" w:bidi="ar"/>
        </w:rPr>
        <w:t xml:space="preserve">A2.4 暗标编号 </w:t>
      </w:r>
    </w:p>
    <w:p w14:paraId="27D8AB72">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第二章“投标人须知”前附表第 3.7.4 款要求对技术标采用“模块化暗标”评审方式且编制有模块化暗标要求的，则在评标工作开始前，就暗标模块编号与投标人的对应关系使用</w:t>
      </w:r>
      <w:r>
        <w:rPr>
          <w:rFonts w:hint="eastAsia" w:ascii="宋体" w:hAnsi="宋体" w:eastAsia="宋体" w:cs="宋体"/>
          <w:b/>
          <w:bCs/>
          <w:color w:val="auto"/>
          <w:kern w:val="0"/>
          <w:sz w:val="21"/>
          <w:szCs w:val="21"/>
          <w:highlight w:val="none"/>
          <w:lang w:val="en-US" w:eastAsia="zh-CN" w:bidi="ar"/>
        </w:rPr>
        <w:t xml:space="preserve">附表 A-3 </w:t>
      </w:r>
      <w:r>
        <w:rPr>
          <w:rFonts w:hint="eastAsia" w:ascii="宋体" w:hAnsi="宋体" w:eastAsia="宋体" w:cs="宋体"/>
          <w:color w:val="auto"/>
          <w:kern w:val="0"/>
          <w:sz w:val="21"/>
          <w:szCs w:val="21"/>
          <w:highlight w:val="none"/>
          <w:lang w:val="en-US" w:eastAsia="zh-CN" w:bidi="ar"/>
        </w:rPr>
        <w:t xml:space="preserve">做好暗标编号记录，暗标模块编号按随机方式编排。在评标委员会技术标成员均完成暗标部分评审并对评审结果签字确认和汇总后，招标人方可向评标委员会公布暗标编号。 </w:t>
      </w:r>
    </w:p>
    <w:p w14:paraId="06E0C2EB">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黑体" w:hAnsi="宋体" w:eastAsia="黑体" w:cs="黑体"/>
          <w:color w:val="auto"/>
          <w:kern w:val="0"/>
          <w:sz w:val="21"/>
          <w:szCs w:val="21"/>
          <w:highlight w:val="none"/>
          <w:lang w:val="en-US" w:eastAsia="zh-CN" w:bidi="ar"/>
        </w:rPr>
        <w:t xml:space="preserve">A2.5 对投标文件进行基础性数据分析和整理工作 </w:t>
      </w:r>
    </w:p>
    <w:p w14:paraId="7F1D8E8D">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A2.5.1 在不改变投标人投标文件实质性内容的前提下，评标委员会应当借助计算机辅助评标系统对投标文件进行基础性数据分析和整理，评标委员会对分析成果审议后，决定需要投标人进行书面澄清、说明或补正的，通过电子招标投标系统（辽宁省工程建设项目数字化开标评标系统）向投标人发出投标文件澄清通知。《投标文件问题澄清通知》采用投标人须知附表六所提供的格式。 </w:t>
      </w:r>
    </w:p>
    <w:p w14:paraId="6A0BA051">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A2.5.2 投标人接到评标委员会发出的投标文件澄清通知后，应按评标委员会的要求在规定的时间内，通过电子招标投标系统（辽宁省工程建设项目数字化开标评标系统）提交投标文件的澄清和相关资料（如有）。《投标文件问题的澄清》采用投标人须知附表七所提供的格式。 </w:t>
      </w:r>
    </w:p>
    <w:p w14:paraId="7BF1F88C">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黑体" w:hAnsi="宋体" w:eastAsia="黑体" w:cs="黑体"/>
          <w:color w:val="auto"/>
          <w:kern w:val="0"/>
          <w:sz w:val="24"/>
          <w:szCs w:val="24"/>
          <w:highlight w:val="none"/>
          <w:lang w:val="en-US" w:eastAsia="zh-CN" w:bidi="ar"/>
        </w:rPr>
        <w:t xml:space="preserve">A3.初步评审 </w:t>
      </w:r>
    </w:p>
    <w:p w14:paraId="04E38F85">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黑体" w:hAnsi="宋体" w:eastAsia="黑体" w:cs="黑体"/>
          <w:color w:val="auto"/>
          <w:kern w:val="0"/>
          <w:sz w:val="21"/>
          <w:szCs w:val="21"/>
          <w:highlight w:val="none"/>
          <w:lang w:val="en-US" w:eastAsia="zh-CN" w:bidi="ar"/>
        </w:rPr>
        <w:t xml:space="preserve">A3.1 形式评审 </w:t>
      </w:r>
    </w:p>
    <w:p w14:paraId="3A17C56A">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评标委员会根据评标办法前附表中规定的评审因素和评审标准，对投标人的投标文件进行形式评审，并使用</w:t>
      </w:r>
      <w:r>
        <w:rPr>
          <w:rFonts w:hint="eastAsia" w:ascii="宋体" w:hAnsi="宋体" w:eastAsia="宋体" w:cs="宋体"/>
          <w:b/>
          <w:bCs/>
          <w:color w:val="auto"/>
          <w:kern w:val="0"/>
          <w:sz w:val="21"/>
          <w:szCs w:val="21"/>
          <w:highlight w:val="none"/>
          <w:lang w:val="en-US" w:eastAsia="zh-CN" w:bidi="ar"/>
        </w:rPr>
        <w:t xml:space="preserve">附表 A-4 </w:t>
      </w:r>
      <w:r>
        <w:rPr>
          <w:rFonts w:hint="eastAsia" w:ascii="宋体" w:hAnsi="宋体" w:eastAsia="宋体" w:cs="宋体"/>
          <w:color w:val="auto"/>
          <w:kern w:val="0"/>
          <w:sz w:val="21"/>
          <w:szCs w:val="21"/>
          <w:highlight w:val="none"/>
          <w:lang w:val="en-US" w:eastAsia="zh-CN" w:bidi="ar"/>
        </w:rPr>
        <w:t>记录评审结果。</w:t>
      </w:r>
    </w:p>
    <w:p w14:paraId="6F1682E5">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黑体" w:hAnsi="宋体" w:eastAsia="黑体" w:cs="黑体"/>
          <w:color w:val="auto"/>
          <w:kern w:val="0"/>
          <w:sz w:val="21"/>
          <w:szCs w:val="21"/>
          <w:highlight w:val="none"/>
          <w:lang w:val="en-US" w:eastAsia="zh-CN" w:bidi="ar"/>
        </w:rPr>
        <w:t xml:space="preserve">A3.2 资格评审 </w:t>
      </w:r>
    </w:p>
    <w:p w14:paraId="77342864">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评标委员会根据评标办法前附表中规定的评审因素和评审标准，对投标人的投标文件进行资格评审，并使用</w:t>
      </w:r>
      <w:r>
        <w:rPr>
          <w:rFonts w:hint="eastAsia" w:ascii="宋体" w:hAnsi="宋体" w:eastAsia="宋体" w:cs="宋体"/>
          <w:b/>
          <w:bCs/>
          <w:color w:val="auto"/>
          <w:kern w:val="0"/>
          <w:sz w:val="21"/>
          <w:szCs w:val="21"/>
          <w:highlight w:val="none"/>
          <w:lang w:val="en-US" w:eastAsia="zh-CN" w:bidi="ar"/>
        </w:rPr>
        <w:t xml:space="preserve">附表 A-5 </w:t>
      </w:r>
      <w:r>
        <w:rPr>
          <w:rFonts w:hint="eastAsia" w:ascii="宋体" w:hAnsi="宋体" w:eastAsia="宋体" w:cs="宋体"/>
          <w:color w:val="auto"/>
          <w:kern w:val="0"/>
          <w:sz w:val="21"/>
          <w:szCs w:val="21"/>
          <w:highlight w:val="none"/>
          <w:lang w:val="en-US" w:eastAsia="zh-CN" w:bidi="ar"/>
        </w:rPr>
        <w:t xml:space="preserve">记录评审结果。 </w:t>
      </w:r>
    </w:p>
    <w:p w14:paraId="36A47101">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黑体" w:hAnsi="宋体" w:eastAsia="黑体" w:cs="黑体"/>
          <w:color w:val="auto"/>
          <w:kern w:val="0"/>
          <w:sz w:val="21"/>
          <w:szCs w:val="21"/>
          <w:highlight w:val="none"/>
          <w:lang w:val="en-US" w:eastAsia="zh-CN" w:bidi="ar"/>
        </w:rPr>
        <w:t xml:space="preserve">A3.3 响应性评审 </w:t>
      </w:r>
    </w:p>
    <w:p w14:paraId="0609DDD2">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A3.3.1 评标委员会根据评标办法前附表中规定的评审因素和评审标准，对投标人的投标文件进行响应性评审，并使用</w:t>
      </w:r>
      <w:r>
        <w:rPr>
          <w:rFonts w:hint="eastAsia" w:ascii="宋体" w:hAnsi="宋体" w:eastAsia="宋体" w:cs="宋体"/>
          <w:b/>
          <w:bCs/>
          <w:color w:val="auto"/>
          <w:kern w:val="0"/>
          <w:sz w:val="21"/>
          <w:szCs w:val="21"/>
          <w:highlight w:val="none"/>
          <w:lang w:val="en-US" w:eastAsia="zh-CN" w:bidi="ar"/>
        </w:rPr>
        <w:t xml:space="preserve">附表 A-6 </w:t>
      </w:r>
      <w:r>
        <w:rPr>
          <w:rFonts w:hint="eastAsia" w:ascii="宋体" w:hAnsi="宋体" w:eastAsia="宋体" w:cs="宋体"/>
          <w:color w:val="auto"/>
          <w:kern w:val="0"/>
          <w:sz w:val="21"/>
          <w:szCs w:val="21"/>
          <w:highlight w:val="none"/>
          <w:lang w:val="en-US" w:eastAsia="zh-CN" w:bidi="ar"/>
        </w:rPr>
        <w:t>记录评审结果。</w:t>
      </w:r>
    </w:p>
    <w:p w14:paraId="7A2B4BB5">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A3.3.2 投标人投标价格不得超出（不含等于）按照第二章“投标人须知”前附表载明的最高投标限价（投标人投标价格是指投标函中的大写报价或经投标人确认的算术错误修正后的价格不超过本项目最高投标限价），凡投标人的投标价格超出最高投标限价的，该投标人的投标文件不能通过响应性评审。 </w:t>
      </w:r>
    </w:p>
    <w:p w14:paraId="41F2C797">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黑体" w:hAnsi="宋体" w:eastAsia="黑体" w:cs="黑体"/>
          <w:color w:val="auto"/>
          <w:kern w:val="0"/>
          <w:sz w:val="21"/>
          <w:szCs w:val="21"/>
          <w:highlight w:val="none"/>
          <w:lang w:val="en-US" w:eastAsia="zh-CN" w:bidi="ar"/>
        </w:rPr>
        <w:t xml:space="preserve">A3.4 算术错误修正 </w:t>
      </w:r>
    </w:p>
    <w:p w14:paraId="7B882060">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评标委员会依据本章中规定的相关原则对投标报价中存在的算术错误进行修正，修正的价格经投标人书面确认后具有约束力。投标人不接受修正价格的，或者修正后的投标价格超过最高投标限价的（如有），其投标应当被否决。 </w:t>
      </w:r>
    </w:p>
    <w:p w14:paraId="201AC49F">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黑体" w:hAnsi="宋体" w:eastAsia="黑体" w:cs="黑体"/>
          <w:color w:val="auto"/>
          <w:kern w:val="0"/>
          <w:sz w:val="21"/>
          <w:szCs w:val="21"/>
          <w:highlight w:val="none"/>
          <w:lang w:val="en-US" w:eastAsia="zh-CN" w:bidi="ar"/>
        </w:rPr>
        <w:t xml:space="preserve">A3.5 判断投标报价是否低于成本 </w:t>
      </w:r>
    </w:p>
    <w:p w14:paraId="42477981">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根据本章第 3.1.4 项的规定，评标委员会根据评审程序、标准和方法，判断投标报价是否低于其成本。评标委员会认定投标人以低于成本竞标的，其投标应当被否决。并使用</w:t>
      </w:r>
      <w:r>
        <w:rPr>
          <w:rFonts w:hint="eastAsia" w:ascii="宋体" w:hAnsi="宋体" w:eastAsia="宋体" w:cs="宋体"/>
          <w:b/>
          <w:bCs/>
          <w:color w:val="auto"/>
          <w:kern w:val="0"/>
          <w:sz w:val="21"/>
          <w:szCs w:val="21"/>
          <w:highlight w:val="none"/>
          <w:lang w:val="en-US" w:eastAsia="zh-CN" w:bidi="ar"/>
        </w:rPr>
        <w:t xml:space="preserve">附表 C-1 </w:t>
      </w:r>
      <w:r>
        <w:rPr>
          <w:rFonts w:hint="eastAsia" w:ascii="宋体" w:hAnsi="宋体" w:eastAsia="宋体" w:cs="宋体"/>
          <w:color w:val="auto"/>
          <w:kern w:val="0"/>
          <w:sz w:val="21"/>
          <w:szCs w:val="21"/>
          <w:highlight w:val="none"/>
          <w:lang w:val="en-US" w:eastAsia="zh-CN" w:bidi="ar"/>
        </w:rPr>
        <w:t xml:space="preserve">记录评审结果 </w:t>
      </w:r>
    </w:p>
    <w:p w14:paraId="10982182">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黑体" w:hAnsi="宋体" w:eastAsia="黑体" w:cs="黑体"/>
          <w:color w:val="auto"/>
          <w:kern w:val="0"/>
          <w:sz w:val="21"/>
          <w:szCs w:val="21"/>
          <w:highlight w:val="none"/>
          <w:lang w:val="en-US" w:eastAsia="zh-CN" w:bidi="ar"/>
        </w:rPr>
        <w:t xml:space="preserve">A3.6 判断投标是否为应当被否决 </w:t>
      </w:r>
    </w:p>
    <w:p w14:paraId="04D2CAC4">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A3.6.1判断投标人的投标是否应当被否决的全部条件（包括本章第3.1.2项、第3.1.3项中规定的条件），在本章前附表中集中列示。并使用</w:t>
      </w:r>
      <w:r>
        <w:rPr>
          <w:rFonts w:hint="eastAsia" w:ascii="宋体" w:hAnsi="宋体" w:eastAsia="宋体" w:cs="宋体"/>
          <w:b/>
          <w:bCs/>
          <w:color w:val="auto"/>
          <w:kern w:val="0"/>
          <w:sz w:val="21"/>
          <w:szCs w:val="21"/>
          <w:highlight w:val="none"/>
          <w:lang w:val="en-US" w:eastAsia="zh-CN" w:bidi="ar"/>
        </w:rPr>
        <w:t xml:space="preserve">附表 A-9 </w:t>
      </w:r>
      <w:r>
        <w:rPr>
          <w:rFonts w:hint="eastAsia" w:ascii="宋体" w:hAnsi="宋体" w:eastAsia="宋体" w:cs="宋体"/>
          <w:color w:val="auto"/>
          <w:kern w:val="0"/>
          <w:sz w:val="21"/>
          <w:szCs w:val="21"/>
          <w:highlight w:val="none"/>
          <w:lang w:val="en-US" w:eastAsia="zh-CN" w:bidi="ar"/>
        </w:rPr>
        <w:t xml:space="preserve">记录评审结果。 </w:t>
      </w:r>
    </w:p>
    <w:p w14:paraId="210FDEFF">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A3.6.2 本章</w:t>
      </w:r>
      <w:r>
        <w:rPr>
          <w:rFonts w:hint="eastAsia" w:ascii="宋体" w:hAnsi="宋体" w:eastAsia="宋体" w:cs="宋体"/>
          <w:b/>
          <w:bCs/>
          <w:color w:val="auto"/>
          <w:kern w:val="0"/>
          <w:sz w:val="21"/>
          <w:szCs w:val="21"/>
          <w:highlight w:val="none"/>
          <w:lang w:val="en-US" w:eastAsia="zh-CN" w:bidi="ar"/>
        </w:rPr>
        <w:t xml:space="preserve">附件 B </w:t>
      </w:r>
      <w:r>
        <w:rPr>
          <w:rFonts w:hint="eastAsia" w:ascii="宋体" w:hAnsi="宋体" w:eastAsia="宋体" w:cs="宋体"/>
          <w:color w:val="auto"/>
          <w:kern w:val="0"/>
          <w:sz w:val="21"/>
          <w:szCs w:val="21"/>
          <w:highlight w:val="none"/>
          <w:lang w:val="en-US" w:eastAsia="zh-CN" w:bidi="ar"/>
        </w:rPr>
        <w:t xml:space="preserve">集中列示的否决投标的条件不应与第二章“投标人须知”和本章前附表和正文部分包括的否决投标的条件抵触，如果出现相互矛盾的情况，以本章前附表和正文部分的规定为准。 </w:t>
      </w:r>
    </w:p>
    <w:p w14:paraId="5F139D0A">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A3.6.3 评标委员会在评标（包括初步评审和详细评审）过程中，依据本章前附表和正文部分中规定的否决投标的条件判断投标人的投标是否为应当被否决。 </w:t>
      </w:r>
    </w:p>
    <w:p w14:paraId="68CB47BA">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黑体" w:hAnsi="宋体" w:eastAsia="黑体" w:cs="黑体"/>
          <w:color w:val="auto"/>
          <w:kern w:val="0"/>
          <w:sz w:val="21"/>
          <w:szCs w:val="21"/>
          <w:highlight w:val="none"/>
          <w:lang w:val="en-US" w:eastAsia="zh-CN" w:bidi="ar"/>
        </w:rPr>
        <w:t xml:space="preserve">A3.7 澄清、说明或补正 </w:t>
      </w:r>
    </w:p>
    <w:p w14:paraId="003BCBDC">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在初步评审过程中，评标委员会应当就投标文件中含义不明确、对同类问题表述不一致或者有明显文字和计算错误的内容要求投标人进行澄清、说明或者补正。投标人对此以书面形式予以澄清、说明或者补正。澄清、说明或补正根据本章第 3.3 款的规定执行。《投标文件问题澄清通知》及《投标文件问题的澄清》采用投标人须知附表六与投标人须知附表七所提供的格式，并通过电子招标投标系统（辽宁省工程建设项目数字化开标评标系统）以书面形式进行。 </w:t>
      </w:r>
    </w:p>
    <w:p w14:paraId="0C6C7A00">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黑体" w:hAnsi="宋体" w:eastAsia="黑体" w:cs="黑体"/>
          <w:color w:val="auto"/>
          <w:kern w:val="0"/>
          <w:sz w:val="24"/>
          <w:szCs w:val="24"/>
          <w:highlight w:val="none"/>
          <w:lang w:val="en-US" w:eastAsia="zh-CN" w:bidi="ar"/>
        </w:rPr>
        <w:t xml:space="preserve">A4.详细评审 </w:t>
      </w:r>
    </w:p>
    <w:p w14:paraId="6EA551AF">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只有通过了初步评审、被判定为合格的投标方可进入详细评审。初步评审通过后，使用</w:t>
      </w:r>
      <w:r>
        <w:rPr>
          <w:rFonts w:hint="eastAsia" w:ascii="宋体" w:hAnsi="宋体" w:eastAsia="宋体" w:cs="宋体"/>
          <w:b/>
          <w:bCs/>
          <w:color w:val="auto"/>
          <w:kern w:val="0"/>
          <w:sz w:val="21"/>
          <w:szCs w:val="21"/>
          <w:highlight w:val="none"/>
          <w:lang w:val="en-US" w:eastAsia="zh-CN" w:bidi="ar"/>
        </w:rPr>
        <w:t xml:space="preserve">附表 A-8 </w:t>
      </w:r>
      <w:r>
        <w:rPr>
          <w:rFonts w:hint="eastAsia" w:ascii="宋体" w:hAnsi="宋体" w:eastAsia="宋体" w:cs="宋体"/>
          <w:color w:val="auto"/>
          <w:kern w:val="0"/>
          <w:sz w:val="21"/>
          <w:szCs w:val="21"/>
          <w:highlight w:val="none"/>
          <w:lang w:val="en-US" w:eastAsia="zh-CN" w:bidi="ar"/>
        </w:rPr>
        <w:t>记录初步评审结果</w:t>
      </w:r>
      <w:r>
        <w:rPr>
          <w:rFonts w:hint="eastAsia" w:ascii="黑体" w:hAnsi="宋体" w:eastAsia="黑体" w:cs="黑体"/>
          <w:color w:val="auto"/>
          <w:kern w:val="0"/>
          <w:sz w:val="21"/>
          <w:szCs w:val="21"/>
          <w:highlight w:val="none"/>
          <w:lang w:val="en-US" w:eastAsia="zh-CN" w:bidi="ar"/>
        </w:rPr>
        <w:t xml:space="preserve">。 </w:t>
      </w:r>
    </w:p>
    <w:p w14:paraId="10A37BFA">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黑体" w:hAnsi="宋体" w:eastAsia="黑体" w:cs="黑体"/>
          <w:color w:val="auto"/>
          <w:kern w:val="0"/>
          <w:sz w:val="21"/>
          <w:szCs w:val="21"/>
          <w:highlight w:val="none"/>
          <w:lang w:val="en-US" w:eastAsia="zh-CN" w:bidi="ar"/>
        </w:rPr>
        <w:t xml:space="preserve">A4.1 详细评审的程序 </w:t>
      </w:r>
    </w:p>
    <w:p w14:paraId="5EF8ABD4">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评标委员会按照本章第 3.2 款中规定的程序进行详细评审： </w:t>
      </w:r>
    </w:p>
    <w:p w14:paraId="3D2DBCD1">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（1）经济标评审和评分； </w:t>
      </w:r>
    </w:p>
    <w:p w14:paraId="7ABF8199">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（2）承包人建议书评审和评分； </w:t>
      </w:r>
    </w:p>
    <w:p w14:paraId="67DC26D5">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（3）技术标评审和评分； </w:t>
      </w:r>
    </w:p>
    <w:p w14:paraId="280BB44D">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（4）资信标评审和评分； </w:t>
      </w:r>
    </w:p>
    <w:p w14:paraId="310283A9">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（5）其他因素评审和评分； </w:t>
      </w:r>
    </w:p>
    <w:p w14:paraId="0D7B5840">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（6）汇总评分结果。 </w:t>
      </w:r>
    </w:p>
    <w:p w14:paraId="7B87226F">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黑体" w:hAnsi="宋体" w:eastAsia="黑体" w:cs="黑体"/>
          <w:color w:val="auto"/>
          <w:kern w:val="0"/>
          <w:sz w:val="21"/>
          <w:szCs w:val="21"/>
          <w:highlight w:val="none"/>
          <w:lang w:val="en-US" w:eastAsia="zh-CN" w:bidi="ar"/>
        </w:rPr>
        <w:t xml:space="preserve">A4.2 经济标评审和评分 </w:t>
      </w:r>
    </w:p>
    <w:p w14:paraId="49F999FC">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A4.2.1 按照评标办法前附表中规定的方法计算各投标人的“评标价”。 </w:t>
      </w:r>
    </w:p>
    <w:p w14:paraId="416B216F">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A4.2.2 按照评标办法前附表中规定的方法计算“评标基准价”。 </w:t>
      </w:r>
    </w:p>
    <w:p w14:paraId="48613B03">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A4.2.3 按照评标办法前附表中规定的方法，计算各个已通过了初步评审的投标报价的“偏差率”。 </w:t>
      </w:r>
    </w:p>
    <w:p w14:paraId="5A34420D">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A4.2.4 按照评标办法前附表中规定的评分标准，对照投标报价的偏差率，分别对各个投标报价进行评分，使用</w:t>
      </w:r>
      <w:r>
        <w:rPr>
          <w:rFonts w:hint="eastAsia" w:ascii="宋体" w:hAnsi="宋体" w:eastAsia="宋体" w:cs="宋体"/>
          <w:b/>
          <w:bCs/>
          <w:color w:val="auto"/>
          <w:kern w:val="0"/>
          <w:sz w:val="21"/>
          <w:szCs w:val="21"/>
          <w:highlight w:val="none"/>
          <w:lang w:val="en-US" w:eastAsia="zh-CN" w:bidi="ar"/>
        </w:rPr>
        <w:t xml:space="preserve">附表 A-10 </w:t>
      </w:r>
      <w:r>
        <w:rPr>
          <w:rFonts w:hint="eastAsia" w:ascii="宋体" w:hAnsi="宋体" w:eastAsia="宋体" w:cs="宋体"/>
          <w:color w:val="auto"/>
          <w:kern w:val="0"/>
          <w:sz w:val="21"/>
          <w:szCs w:val="21"/>
          <w:highlight w:val="none"/>
          <w:lang w:val="en-US" w:eastAsia="zh-CN" w:bidi="ar"/>
        </w:rPr>
        <w:t xml:space="preserve">记录对经济标的评分结果，经济标的得分记录为 </w:t>
      </w:r>
      <w:r>
        <w:rPr>
          <w:rFonts w:hint="eastAsia" w:ascii="宋体" w:hAnsi="宋体" w:eastAsia="宋体" w:cs="宋体"/>
          <w:b/>
          <w:bCs/>
          <w:color w:val="auto"/>
          <w:kern w:val="0"/>
          <w:sz w:val="21"/>
          <w:szCs w:val="21"/>
          <w:highlight w:val="none"/>
          <w:lang w:val="en-US" w:eastAsia="zh-CN" w:bidi="ar"/>
        </w:rPr>
        <w:t>A</w:t>
      </w:r>
      <w:r>
        <w:rPr>
          <w:rFonts w:hint="eastAsia" w:ascii="宋体" w:hAnsi="宋体" w:eastAsia="宋体" w:cs="宋体"/>
          <w:color w:val="auto"/>
          <w:kern w:val="0"/>
          <w:sz w:val="21"/>
          <w:szCs w:val="21"/>
          <w:highlight w:val="none"/>
          <w:lang w:val="en-US" w:eastAsia="zh-CN" w:bidi="ar"/>
        </w:rPr>
        <w:t xml:space="preserve">。 </w:t>
      </w:r>
    </w:p>
    <w:p w14:paraId="384925E5">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黑体" w:hAnsi="宋体" w:eastAsia="黑体" w:cs="黑体"/>
          <w:color w:val="auto"/>
          <w:kern w:val="0"/>
          <w:sz w:val="21"/>
          <w:szCs w:val="21"/>
          <w:highlight w:val="none"/>
          <w:lang w:val="en-US" w:eastAsia="zh-CN" w:bidi="ar"/>
        </w:rPr>
        <w:t xml:space="preserve">A4.3 承包人建议书评审和评分 </w:t>
      </w:r>
    </w:p>
    <w:p w14:paraId="45FE5DEB">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按照评标办法前附表中规定的分值设定、各项评分因素、评分标准，对承包人建议书进行评审和评分，并使用</w:t>
      </w:r>
      <w:r>
        <w:rPr>
          <w:rFonts w:hint="eastAsia" w:ascii="宋体" w:hAnsi="宋体" w:eastAsia="宋体" w:cs="宋体"/>
          <w:b/>
          <w:bCs/>
          <w:color w:val="auto"/>
          <w:kern w:val="0"/>
          <w:sz w:val="21"/>
          <w:szCs w:val="21"/>
          <w:highlight w:val="none"/>
          <w:lang w:val="en-US" w:eastAsia="zh-CN" w:bidi="ar"/>
        </w:rPr>
        <w:t xml:space="preserve">附表 A-11 </w:t>
      </w:r>
      <w:r>
        <w:rPr>
          <w:rFonts w:hint="eastAsia" w:ascii="宋体" w:hAnsi="宋体" w:eastAsia="宋体" w:cs="宋体"/>
          <w:color w:val="auto"/>
          <w:kern w:val="0"/>
          <w:sz w:val="21"/>
          <w:szCs w:val="21"/>
          <w:highlight w:val="none"/>
          <w:lang w:val="en-US" w:eastAsia="zh-CN" w:bidi="ar"/>
        </w:rPr>
        <w:t xml:space="preserve">记录对承包人建议书的评分结果，承包人建议书的得分记录为 </w:t>
      </w:r>
      <w:r>
        <w:rPr>
          <w:rFonts w:hint="eastAsia" w:ascii="宋体" w:hAnsi="宋体" w:eastAsia="宋体" w:cs="宋体"/>
          <w:b/>
          <w:bCs/>
          <w:color w:val="auto"/>
          <w:kern w:val="0"/>
          <w:sz w:val="21"/>
          <w:szCs w:val="21"/>
          <w:highlight w:val="none"/>
          <w:lang w:val="en-US" w:eastAsia="zh-CN" w:bidi="ar"/>
        </w:rPr>
        <w:t>B</w:t>
      </w:r>
      <w:r>
        <w:rPr>
          <w:rFonts w:hint="eastAsia" w:ascii="宋体" w:hAnsi="宋体" w:eastAsia="宋体" w:cs="宋体"/>
          <w:color w:val="auto"/>
          <w:kern w:val="0"/>
          <w:sz w:val="21"/>
          <w:szCs w:val="21"/>
          <w:highlight w:val="none"/>
          <w:lang w:val="en-US" w:eastAsia="zh-CN" w:bidi="ar"/>
        </w:rPr>
        <w:t xml:space="preserve">。 </w:t>
      </w:r>
    </w:p>
    <w:p w14:paraId="121AD54F">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黑体" w:hAnsi="宋体" w:eastAsia="黑体" w:cs="黑体"/>
          <w:color w:val="auto"/>
          <w:kern w:val="0"/>
          <w:sz w:val="21"/>
          <w:szCs w:val="21"/>
          <w:highlight w:val="none"/>
          <w:lang w:val="en-US" w:eastAsia="zh-CN" w:bidi="ar"/>
        </w:rPr>
        <w:t xml:space="preserve">A4.4 技术标评审和评分 </w:t>
      </w:r>
    </w:p>
    <w:p w14:paraId="37E1EC4E">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按照评标办法前附表中规定的分值设定、各项评分因素、评分标准，对承包人实施方案进行评审和评分，并使用</w:t>
      </w:r>
      <w:r>
        <w:rPr>
          <w:rFonts w:hint="eastAsia" w:ascii="宋体" w:hAnsi="宋体" w:eastAsia="宋体" w:cs="宋体"/>
          <w:b/>
          <w:bCs/>
          <w:color w:val="auto"/>
          <w:kern w:val="0"/>
          <w:sz w:val="21"/>
          <w:szCs w:val="21"/>
          <w:highlight w:val="none"/>
          <w:lang w:val="en-US" w:eastAsia="zh-CN" w:bidi="ar"/>
        </w:rPr>
        <w:t xml:space="preserve">附表 A-12 </w:t>
      </w:r>
      <w:r>
        <w:rPr>
          <w:rFonts w:hint="eastAsia" w:ascii="宋体" w:hAnsi="宋体" w:eastAsia="宋体" w:cs="宋体"/>
          <w:color w:val="auto"/>
          <w:kern w:val="0"/>
          <w:sz w:val="21"/>
          <w:szCs w:val="21"/>
          <w:highlight w:val="none"/>
          <w:lang w:val="en-US" w:eastAsia="zh-CN" w:bidi="ar"/>
        </w:rPr>
        <w:t xml:space="preserve">记录对技术标的评分结果，技术标的得分记录为 </w:t>
      </w:r>
      <w:r>
        <w:rPr>
          <w:rFonts w:hint="eastAsia" w:ascii="宋体" w:hAnsi="宋体" w:eastAsia="宋体" w:cs="宋体"/>
          <w:b/>
          <w:bCs/>
          <w:color w:val="auto"/>
          <w:kern w:val="0"/>
          <w:sz w:val="21"/>
          <w:szCs w:val="21"/>
          <w:highlight w:val="none"/>
          <w:lang w:val="en-US" w:eastAsia="zh-CN" w:bidi="ar"/>
        </w:rPr>
        <w:t>C</w:t>
      </w:r>
      <w:r>
        <w:rPr>
          <w:rFonts w:hint="eastAsia" w:ascii="宋体" w:hAnsi="宋体" w:eastAsia="宋体" w:cs="宋体"/>
          <w:color w:val="auto"/>
          <w:kern w:val="0"/>
          <w:sz w:val="21"/>
          <w:szCs w:val="21"/>
          <w:highlight w:val="none"/>
          <w:lang w:val="en-US" w:eastAsia="zh-CN" w:bidi="ar"/>
        </w:rPr>
        <w:t xml:space="preserve">。 </w:t>
      </w:r>
    </w:p>
    <w:p w14:paraId="7CA8629B">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黑体" w:hAnsi="宋体" w:eastAsia="黑体" w:cs="黑体"/>
          <w:color w:val="auto"/>
          <w:kern w:val="0"/>
          <w:sz w:val="21"/>
          <w:szCs w:val="21"/>
          <w:highlight w:val="none"/>
          <w:lang w:val="en-US" w:eastAsia="zh-CN" w:bidi="ar"/>
        </w:rPr>
        <w:t xml:space="preserve">A4.5 资信标评审和评分 </w:t>
      </w:r>
    </w:p>
    <w:p w14:paraId="676D2D68">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按照评标办法前附表中规定的分值设定、各项评分因素、评分标准，对企业业绩、资信和项目管理机构等进行评审和评分，并使用</w:t>
      </w:r>
      <w:r>
        <w:rPr>
          <w:rFonts w:hint="eastAsia" w:ascii="宋体" w:hAnsi="宋体" w:eastAsia="宋体" w:cs="宋体"/>
          <w:b/>
          <w:bCs/>
          <w:color w:val="auto"/>
          <w:kern w:val="0"/>
          <w:sz w:val="21"/>
          <w:szCs w:val="21"/>
          <w:highlight w:val="none"/>
          <w:lang w:val="en-US" w:eastAsia="zh-CN" w:bidi="ar"/>
        </w:rPr>
        <w:t xml:space="preserve">附表 A-14 </w:t>
      </w:r>
      <w:r>
        <w:rPr>
          <w:rFonts w:hint="eastAsia" w:ascii="宋体" w:hAnsi="宋体" w:eastAsia="宋体" w:cs="宋体"/>
          <w:color w:val="auto"/>
          <w:kern w:val="0"/>
          <w:sz w:val="21"/>
          <w:szCs w:val="21"/>
          <w:highlight w:val="none"/>
          <w:lang w:val="en-US" w:eastAsia="zh-CN" w:bidi="ar"/>
        </w:rPr>
        <w:t xml:space="preserve">记录对资信标的评分结果，资信标的得分记录为 </w:t>
      </w:r>
      <w:r>
        <w:rPr>
          <w:rFonts w:hint="eastAsia" w:ascii="宋体" w:hAnsi="宋体" w:eastAsia="宋体" w:cs="宋体"/>
          <w:b/>
          <w:bCs/>
          <w:color w:val="auto"/>
          <w:kern w:val="0"/>
          <w:sz w:val="21"/>
          <w:szCs w:val="21"/>
          <w:highlight w:val="none"/>
          <w:lang w:val="en-US" w:eastAsia="zh-CN" w:bidi="ar"/>
        </w:rPr>
        <w:t>D</w:t>
      </w:r>
      <w:r>
        <w:rPr>
          <w:rFonts w:hint="eastAsia" w:ascii="宋体" w:hAnsi="宋体" w:eastAsia="宋体" w:cs="宋体"/>
          <w:color w:val="auto"/>
          <w:kern w:val="0"/>
          <w:sz w:val="21"/>
          <w:szCs w:val="21"/>
          <w:highlight w:val="none"/>
          <w:lang w:val="en-US" w:eastAsia="zh-CN" w:bidi="ar"/>
        </w:rPr>
        <w:t xml:space="preserve">。 </w:t>
      </w:r>
    </w:p>
    <w:p w14:paraId="07185550">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黑体" w:hAnsi="宋体" w:eastAsia="黑体" w:cs="黑体"/>
          <w:color w:val="auto"/>
          <w:kern w:val="0"/>
          <w:sz w:val="21"/>
          <w:szCs w:val="21"/>
          <w:highlight w:val="none"/>
          <w:lang w:val="en-US" w:eastAsia="zh-CN" w:bidi="ar"/>
        </w:rPr>
        <w:t xml:space="preserve">A4.6 其他因素的评审和评分 </w:t>
      </w:r>
    </w:p>
    <w:p w14:paraId="621BEA16">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根据评标办法前附表中规定的分值设定、各项评分因素和相应的评分标准，对其他因素（如果有）进行评审和评分，并使用</w:t>
      </w:r>
      <w:r>
        <w:rPr>
          <w:rFonts w:hint="eastAsia" w:ascii="宋体" w:hAnsi="宋体" w:eastAsia="宋体" w:cs="宋体"/>
          <w:b/>
          <w:bCs/>
          <w:color w:val="auto"/>
          <w:kern w:val="0"/>
          <w:sz w:val="21"/>
          <w:szCs w:val="21"/>
          <w:highlight w:val="none"/>
          <w:lang w:val="en-US" w:eastAsia="zh-CN" w:bidi="ar"/>
        </w:rPr>
        <w:t xml:space="preserve">附表 A-15 </w:t>
      </w:r>
      <w:r>
        <w:rPr>
          <w:rFonts w:hint="eastAsia" w:ascii="宋体" w:hAnsi="宋体" w:eastAsia="宋体" w:cs="宋体"/>
          <w:color w:val="auto"/>
          <w:kern w:val="0"/>
          <w:sz w:val="21"/>
          <w:szCs w:val="21"/>
          <w:highlight w:val="none"/>
          <w:lang w:val="en-US" w:eastAsia="zh-CN" w:bidi="ar"/>
        </w:rPr>
        <w:t xml:space="preserve">记录对其他因素的评分结果，其他因素的得分记录为 </w:t>
      </w:r>
      <w:r>
        <w:rPr>
          <w:rFonts w:hint="eastAsia" w:ascii="宋体" w:hAnsi="宋体" w:eastAsia="宋体" w:cs="宋体"/>
          <w:b/>
          <w:bCs/>
          <w:color w:val="auto"/>
          <w:kern w:val="0"/>
          <w:sz w:val="21"/>
          <w:szCs w:val="21"/>
          <w:highlight w:val="none"/>
          <w:lang w:val="en-US" w:eastAsia="zh-CN" w:bidi="ar"/>
        </w:rPr>
        <w:t>E</w:t>
      </w:r>
      <w:r>
        <w:rPr>
          <w:rFonts w:hint="eastAsia" w:ascii="宋体" w:hAnsi="宋体" w:eastAsia="宋体" w:cs="宋体"/>
          <w:color w:val="auto"/>
          <w:kern w:val="0"/>
          <w:sz w:val="21"/>
          <w:szCs w:val="21"/>
          <w:highlight w:val="none"/>
          <w:lang w:val="en-US" w:eastAsia="zh-CN" w:bidi="ar"/>
        </w:rPr>
        <w:t xml:space="preserve">。 </w:t>
      </w:r>
    </w:p>
    <w:p w14:paraId="54A24888">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黑体" w:hAnsi="宋体" w:eastAsia="黑体" w:cs="黑体"/>
          <w:color w:val="auto"/>
          <w:kern w:val="0"/>
          <w:sz w:val="21"/>
          <w:szCs w:val="21"/>
          <w:highlight w:val="none"/>
          <w:lang w:val="en-US" w:eastAsia="zh-CN" w:bidi="ar"/>
        </w:rPr>
        <w:t xml:space="preserve">A4.7 澄清、说明或补正 </w:t>
      </w:r>
    </w:p>
    <w:p w14:paraId="58E128F4">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在详细评审过程中，评标委员会应当就投标文件中含义不明确、对同类问题表述不一致或者有明显文字和计算错误的内容要求投标人进行澄清、说明或者补正。投标人对此以书面形式予以澄清、说明或者补正。澄清、说明或补正根据本章第 3.3 款的规定执行。《投标文件问题澄清通知》及《投标文件问题的澄清》采用投标人须知附表六与投标人须知附表七所提供的格式，并通过电子招标投标系统（辽宁省工程建设项目数字化开标评标系统）以书面形式进行。 </w:t>
      </w:r>
    </w:p>
    <w:p w14:paraId="6D36A93C">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黑体" w:hAnsi="宋体" w:eastAsia="黑体" w:cs="黑体"/>
          <w:color w:val="auto"/>
          <w:kern w:val="0"/>
          <w:sz w:val="21"/>
          <w:szCs w:val="21"/>
          <w:highlight w:val="none"/>
          <w:lang w:val="en-US" w:eastAsia="zh-CN" w:bidi="ar"/>
        </w:rPr>
        <w:t xml:space="preserve">A4.8 汇总评分（评审）结果 </w:t>
      </w:r>
    </w:p>
    <w:p w14:paraId="7914AB63">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评标委员会成员应按照</w:t>
      </w:r>
      <w:r>
        <w:rPr>
          <w:rFonts w:hint="eastAsia" w:ascii="宋体" w:hAnsi="宋体" w:eastAsia="宋体" w:cs="宋体"/>
          <w:b/>
          <w:bCs/>
          <w:color w:val="auto"/>
          <w:kern w:val="0"/>
          <w:sz w:val="21"/>
          <w:szCs w:val="21"/>
          <w:highlight w:val="none"/>
          <w:lang w:val="en-US" w:eastAsia="zh-CN" w:bidi="ar"/>
        </w:rPr>
        <w:t xml:space="preserve">附表 A-16 </w:t>
      </w:r>
      <w:r>
        <w:rPr>
          <w:rFonts w:hint="eastAsia" w:ascii="宋体" w:hAnsi="宋体" w:eastAsia="宋体" w:cs="宋体"/>
          <w:color w:val="auto"/>
          <w:kern w:val="0"/>
          <w:sz w:val="21"/>
          <w:szCs w:val="21"/>
          <w:highlight w:val="none"/>
          <w:lang w:val="en-US" w:eastAsia="zh-CN" w:bidi="ar"/>
        </w:rPr>
        <w:t xml:space="preserve">的格式汇总各个评标委员会成员的详细评审评分结果，并按照详细评审最终得分由高至低的次序对投标人进行排序。 </w:t>
      </w:r>
    </w:p>
    <w:p w14:paraId="4FDC2798">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黑体" w:hAnsi="宋体" w:eastAsia="黑体" w:cs="黑体"/>
          <w:color w:val="auto"/>
          <w:kern w:val="0"/>
          <w:sz w:val="24"/>
          <w:szCs w:val="24"/>
          <w:highlight w:val="none"/>
          <w:lang w:val="en-US" w:eastAsia="zh-CN" w:bidi="ar"/>
        </w:rPr>
        <w:t xml:space="preserve">A5.推荐中标候选人或者直接确定中标人 </w:t>
      </w:r>
    </w:p>
    <w:p w14:paraId="6C7682FF">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黑体" w:hAnsi="宋体" w:eastAsia="黑体" w:cs="黑体"/>
          <w:color w:val="auto"/>
          <w:kern w:val="0"/>
          <w:sz w:val="21"/>
          <w:szCs w:val="21"/>
          <w:highlight w:val="none"/>
          <w:lang w:val="en-US" w:eastAsia="zh-CN" w:bidi="ar"/>
        </w:rPr>
        <w:t xml:space="preserve">A5.1 推荐中标候选人 </w:t>
      </w:r>
    </w:p>
    <w:p w14:paraId="61076890">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A5.1.1 评标委员会按照本章评标办法前附表规定的推荐方法和第二章“投标人须知”前附表第 </w:t>
      </w:r>
      <w:r>
        <w:rPr>
          <w:rFonts w:hint="default" w:ascii="Times New Roman" w:hAnsi="Times New Roman" w:eastAsia="宋体" w:cs="Times New Roman"/>
          <w:color w:val="auto"/>
          <w:kern w:val="0"/>
          <w:sz w:val="21"/>
          <w:szCs w:val="21"/>
          <w:highlight w:val="none"/>
          <w:lang w:val="en-US" w:eastAsia="zh-CN" w:bidi="ar"/>
        </w:rPr>
        <w:t xml:space="preserve">7.1 </w:t>
      </w:r>
      <w:r>
        <w:rPr>
          <w:rFonts w:hint="eastAsia" w:ascii="宋体" w:hAnsi="宋体" w:eastAsia="宋体" w:cs="宋体"/>
          <w:color w:val="auto"/>
          <w:kern w:val="0"/>
          <w:sz w:val="21"/>
          <w:szCs w:val="21"/>
          <w:highlight w:val="none"/>
          <w:lang w:val="en-US" w:eastAsia="zh-CN" w:bidi="ar"/>
        </w:rPr>
        <w:t>款推荐的中标候选人数量，按照</w:t>
      </w:r>
      <w:r>
        <w:rPr>
          <w:rFonts w:hint="eastAsia" w:ascii="宋体" w:hAnsi="宋体" w:eastAsia="宋体" w:cs="宋体"/>
          <w:b/>
          <w:bCs/>
          <w:color w:val="auto"/>
          <w:kern w:val="0"/>
          <w:sz w:val="21"/>
          <w:szCs w:val="21"/>
          <w:highlight w:val="none"/>
          <w:lang w:val="en-US" w:eastAsia="zh-CN" w:bidi="ar"/>
        </w:rPr>
        <w:t xml:space="preserve">附表 A-18 </w:t>
      </w:r>
      <w:r>
        <w:rPr>
          <w:rFonts w:hint="eastAsia" w:ascii="宋体" w:hAnsi="宋体" w:eastAsia="宋体" w:cs="宋体"/>
          <w:color w:val="auto"/>
          <w:kern w:val="0"/>
          <w:sz w:val="21"/>
          <w:szCs w:val="21"/>
          <w:highlight w:val="none"/>
          <w:lang w:val="en-US" w:eastAsia="zh-CN" w:bidi="ar"/>
        </w:rPr>
        <w:t xml:space="preserve">格式推荐中标候选人。评标委员会在推荐中标候选人时，应遵照以下原则: </w:t>
      </w:r>
    </w:p>
    <w:p w14:paraId="2D8BC883">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1）评标委员会按照本章评标办法前附表规定的方法推荐中标候选人。招标文件允许多标段投标、多标段中标的，各标段中标候选人的推荐按规定执行，对某些标段由此产生的空缺由排序在后的投标人依次替补。 </w:t>
      </w:r>
    </w:p>
    <w:p w14:paraId="64236BF2">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（2）如果评标委员会根据本章的规定否决有关投标后，有效投标不足三个，且少于第二章“投标人须知”前附表第 7.1 款规定的中标候选人数量的，则评标委员会可以将所有有效投标人作为中标候选人向招标人推荐。如果因有效投标不足三个使得投标明显缺乏竞争的，评标委员会可以否决所有投标，并建议招标人重新招标。 </w:t>
      </w:r>
    </w:p>
    <w:p w14:paraId="28C8DD8C">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A5.1.2 投标人数量少于三个或者所有投标被否决的，招标人应当依法重新招标。 </w:t>
      </w:r>
    </w:p>
    <w:p w14:paraId="1988836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黑体" w:hAnsi="宋体" w:eastAsia="黑体" w:cs="黑体"/>
          <w:color w:val="auto"/>
          <w:kern w:val="0"/>
          <w:sz w:val="21"/>
          <w:szCs w:val="21"/>
          <w:highlight w:val="none"/>
          <w:lang w:val="en-US" w:eastAsia="zh-CN" w:bidi="ar"/>
        </w:rPr>
        <w:t xml:space="preserve">A5.2 直接确定中标人 </w:t>
      </w:r>
    </w:p>
    <w:p w14:paraId="58D20DCC">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第二章“投标人须知”前附表授权评标委员会直接确定中标人的，评标委员会按照最终得分由高至低的次序排列。 </w:t>
      </w:r>
    </w:p>
    <w:p w14:paraId="21203A4E">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黑体" w:hAnsi="宋体" w:eastAsia="黑体" w:cs="黑体"/>
          <w:color w:val="auto"/>
          <w:kern w:val="0"/>
          <w:sz w:val="21"/>
          <w:szCs w:val="21"/>
          <w:highlight w:val="none"/>
          <w:lang w:val="en-US" w:eastAsia="zh-CN" w:bidi="ar"/>
        </w:rPr>
        <w:t xml:space="preserve">A5.3 编制评标报告 </w:t>
      </w:r>
    </w:p>
    <w:p w14:paraId="5CDC605C">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评标委员会根据本章第 3.4.2 项的规定向招标人提交评标报告。评标报告应当由全体评标委员会成员签字，并于评标结束时抄送有关行政监督部门。评标报告应当包括以下内容： </w:t>
      </w:r>
    </w:p>
    <w:p w14:paraId="6F257CA9">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（1）基本情况和数据表； </w:t>
      </w:r>
    </w:p>
    <w:p w14:paraId="1AF7D4B4">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（2）评标委员会成员名单； </w:t>
      </w:r>
    </w:p>
    <w:p w14:paraId="67C17AEC">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（3）开标记录； </w:t>
      </w:r>
    </w:p>
    <w:p w14:paraId="043E719D">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（4）通过初步评审的投标人一览表； </w:t>
      </w:r>
    </w:p>
    <w:p w14:paraId="4C1E4AA0">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（5）被否决投标的情况说明； </w:t>
      </w:r>
    </w:p>
    <w:p w14:paraId="157FB501">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（6）评标标准、评标方法或者评标因素一览表； </w:t>
      </w:r>
    </w:p>
    <w:p w14:paraId="60A47286">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（7）经评审的价格一览表（包括评标委员会在评标过程中所形成的所有记载评标结果、结论的表格、说明、记录等文件）； </w:t>
      </w:r>
    </w:p>
    <w:p w14:paraId="6042B3D5">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（8）经评审的投标人排序； </w:t>
      </w:r>
    </w:p>
    <w:p w14:paraId="12DE6CE8">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（9）推荐的中标候选人名单（如果第二章“投标人须知”前附表授权评标委员会直接确定中标人，则为“确定的中标人”）与签订合同前要处理的事宜； </w:t>
      </w:r>
    </w:p>
    <w:p w14:paraId="22C32068">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（10）澄清、说明、补正事项纪要。 </w:t>
      </w:r>
    </w:p>
    <w:p w14:paraId="642852D9">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黑体" w:hAnsi="宋体" w:eastAsia="黑体" w:cs="黑体"/>
          <w:color w:val="auto"/>
          <w:kern w:val="0"/>
          <w:sz w:val="24"/>
          <w:szCs w:val="24"/>
          <w:highlight w:val="none"/>
          <w:lang w:val="en-US" w:eastAsia="zh-CN" w:bidi="ar"/>
        </w:rPr>
        <w:t xml:space="preserve">A6.特殊情况的处置程序 </w:t>
      </w:r>
    </w:p>
    <w:p w14:paraId="5C54EC5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黑体" w:hAnsi="宋体" w:eastAsia="黑体" w:cs="黑体"/>
          <w:color w:val="auto"/>
          <w:kern w:val="0"/>
          <w:sz w:val="21"/>
          <w:szCs w:val="21"/>
          <w:highlight w:val="none"/>
          <w:lang w:val="en-US" w:eastAsia="zh-CN" w:bidi="ar"/>
        </w:rPr>
        <w:t xml:space="preserve">A6.1 暗标评审的评审程序规定（适用于对技术标进行暗标评审的） </w:t>
      </w:r>
    </w:p>
    <w:p w14:paraId="5FFDC84C">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如果第二章“投标人须知”前附表第 </w:t>
      </w:r>
      <w:r>
        <w:rPr>
          <w:rFonts w:hint="default" w:ascii="Times New Roman" w:hAnsi="Times New Roman" w:eastAsia="宋体" w:cs="Times New Roman"/>
          <w:color w:val="auto"/>
          <w:kern w:val="0"/>
          <w:sz w:val="21"/>
          <w:szCs w:val="21"/>
          <w:highlight w:val="none"/>
          <w:lang w:val="en-US" w:eastAsia="zh-CN" w:bidi="ar"/>
        </w:rPr>
        <w:t xml:space="preserve">3.7.4 </w:t>
      </w:r>
      <w:r>
        <w:rPr>
          <w:rFonts w:hint="eastAsia" w:ascii="宋体" w:hAnsi="宋体" w:eastAsia="宋体" w:cs="宋体"/>
          <w:color w:val="auto"/>
          <w:kern w:val="0"/>
          <w:sz w:val="21"/>
          <w:szCs w:val="21"/>
          <w:highlight w:val="none"/>
          <w:lang w:val="en-US" w:eastAsia="zh-CN" w:bidi="ar"/>
        </w:rPr>
        <w:t xml:space="preserve">项要求对技术标采用模块化暗标方式，如果技术标是详细评审阶段的评审内容的，则评标委员会需将技术标（暗标）的格式类评审在初步评审阶段完成，详细评审阶段发现某个模块存在出现投标人的名称和其它可识别投标人身份的字符、徽标、人员名称等以及雷同性标记内容，仍可对投标人的投标文件进行否决，否决任一模块代表着本投标人的投标文件全部被否决。电子招标投标系统（辽宁省工程建设项目数字化开标评标系统）应采取措施，在经济标、技术标、资信标、其他因素的评审完成后，再公开相应暗标编号与投标人名称之间的对应关系。初步评审被否决的投标不再进入详细评审阶段。 </w:t>
      </w:r>
    </w:p>
    <w:p w14:paraId="518596D5">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黑体" w:hAnsi="宋体" w:eastAsia="黑体" w:cs="黑体"/>
          <w:color w:val="auto"/>
          <w:kern w:val="0"/>
          <w:sz w:val="21"/>
          <w:szCs w:val="21"/>
          <w:highlight w:val="none"/>
          <w:lang w:val="en-US" w:eastAsia="zh-CN" w:bidi="ar"/>
        </w:rPr>
        <w:t xml:space="preserve">A6.2 关于评标活动暂停 </w:t>
      </w:r>
    </w:p>
    <w:p w14:paraId="105CB293">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A6.2.1 评标委员会应当执行连续评标的原则，按评标办法中规定的程序、内容、方法、标准完成全部评标工作。只有发生不可抗力导致评标工作无法继续时，评标活动方可暂停。 </w:t>
      </w:r>
    </w:p>
    <w:p w14:paraId="7D9817C5">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A6.2.2 发生评标暂停情况时，评标委员会应当封存全部投标文件和评标记录，待不可抗力的影响结束且具备继续评标的条件时，由原评标委员会继续评标。 </w:t>
      </w:r>
    </w:p>
    <w:p w14:paraId="789D63B8">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黑体" w:hAnsi="宋体" w:eastAsia="黑体" w:cs="黑体"/>
          <w:color w:val="auto"/>
          <w:kern w:val="0"/>
          <w:sz w:val="21"/>
          <w:szCs w:val="21"/>
          <w:highlight w:val="none"/>
          <w:lang w:val="en-US" w:eastAsia="zh-CN" w:bidi="ar"/>
        </w:rPr>
        <w:t xml:space="preserve">A6.3 关于评标中途更换评标委员会成员 </w:t>
      </w:r>
    </w:p>
    <w:p w14:paraId="2A33A11C">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A6.3.1 除非发生下列情况之一，评标委员会成员不得在评标中途更换： </w:t>
      </w:r>
    </w:p>
    <w:p w14:paraId="5B441CC9">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（1）因不可抗拒的客观原因，不能到场或需在评标中途退出评标活动。 </w:t>
      </w:r>
    </w:p>
    <w:p w14:paraId="143341C6">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（2）根据法律法规规定，某个或某几个评标委员会成员需要回避。 </w:t>
      </w:r>
    </w:p>
    <w:p w14:paraId="3BBE4EA5">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A6.3.2 退出评标的评标委员会成员，其已完成的评标行为无效。由招标人根据本招标文件规定的评标委员会成员生产方式另行确定替代者进行评标。 </w:t>
      </w:r>
    </w:p>
    <w:p w14:paraId="12F0F703">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黑体" w:hAnsi="宋体" w:eastAsia="黑体" w:cs="黑体"/>
          <w:color w:val="auto"/>
          <w:kern w:val="0"/>
          <w:sz w:val="21"/>
          <w:szCs w:val="21"/>
          <w:highlight w:val="none"/>
          <w:lang w:val="en-US" w:eastAsia="zh-CN" w:bidi="ar"/>
        </w:rPr>
        <w:t xml:space="preserve">A6.4 评标争议处理 </w:t>
      </w:r>
    </w:p>
    <w:p w14:paraId="4D1BD7DE">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A6.4.1 评标委员会全体成员应独立评审，对所提出的评审意见承担个人责任。 </w:t>
      </w:r>
    </w:p>
    <w:p w14:paraId="29A73C7E">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A6.4.2 在任何评标环节中，需评标委员会就某项定性的评审结论做出表决的，由评标委员会全体成员按照少数服从多数的原则，以记名投票方式表决。表决不得违背法律、法规、规章和招标文件的规定。 </w:t>
      </w:r>
    </w:p>
    <w:p w14:paraId="5F28DC16">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A6.4.3 评标委员会成员对书面决议或评审结论持有异议的，可以书面阐述其不同意见和理由。拒绝在书面决议或评标报告上签名，且不陈述其不同意见和理由的，视为同意书面决议或评标结论，评标委员会应当对此在评标报告中做出书面说明。 </w:t>
      </w:r>
    </w:p>
    <w:p w14:paraId="1CFE5D5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highlight w:val="none"/>
        </w:rPr>
      </w:pPr>
      <w:r>
        <w:rPr>
          <w:rFonts w:hint="eastAsia" w:ascii="黑体" w:hAnsi="宋体" w:eastAsia="黑体" w:cs="黑体"/>
          <w:color w:val="auto"/>
          <w:kern w:val="0"/>
          <w:sz w:val="24"/>
          <w:szCs w:val="24"/>
          <w:highlight w:val="none"/>
          <w:lang w:val="en-US" w:eastAsia="zh-CN" w:bidi="ar"/>
        </w:rPr>
        <w:t xml:space="preserve">A7.补充条款 </w:t>
      </w:r>
    </w:p>
    <w:p w14:paraId="1C12C875">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w:t>
      </w:r>
    </w:p>
    <w:p w14:paraId="7BF68FBA">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hAnsi="宋体" w:cs="宋体"/>
          <w:color w:val="auto"/>
          <w:szCs w:val="21"/>
          <w:highlight w:val="none"/>
        </w:rPr>
        <w:sectPr>
          <w:footerReference r:id="rId19" w:type="default"/>
          <w:pgSz w:w="11907" w:h="16839"/>
          <w:pgMar w:top="1431" w:right="1613" w:bottom="1012" w:left="1785" w:header="0" w:footer="812" w:gutter="0"/>
          <w:pgNumType w:fmt="decimal"/>
          <w:cols w:space="720" w:num="1"/>
        </w:sectPr>
      </w:pPr>
    </w:p>
    <w:p w14:paraId="2A4A2554">
      <w:pPr>
        <w:spacing w:before="47" w:line="219" w:lineRule="auto"/>
        <w:ind w:left="40"/>
        <w:outlineLvl w:val="1"/>
        <w:rPr>
          <w:rFonts w:ascii="宋体" w:hAnsi="宋体" w:cs="宋体"/>
          <w:color w:val="auto"/>
          <w:sz w:val="24"/>
          <w:highlight w:val="none"/>
        </w:rPr>
      </w:pPr>
      <w:bookmarkStart w:id="259" w:name="bookmark114"/>
      <w:bookmarkEnd w:id="259"/>
      <w:bookmarkStart w:id="260" w:name="_Toc32017"/>
      <w:bookmarkStart w:id="261" w:name="_Toc7355"/>
      <w:r>
        <w:rPr>
          <w:rFonts w:ascii="宋体" w:hAnsi="宋体" w:cs="宋体"/>
          <w:b/>
          <w:bCs/>
          <w:color w:val="auto"/>
          <w:spacing w:val="-6"/>
          <w:sz w:val="24"/>
          <w:highlight w:val="none"/>
        </w:rPr>
        <w:t>附件</w:t>
      </w:r>
      <w:r>
        <w:rPr>
          <w:rFonts w:hint="eastAsia" w:ascii="宋体" w:hAnsi="宋体" w:cs="宋体"/>
          <w:b/>
          <w:bCs/>
          <w:color w:val="auto"/>
          <w:spacing w:val="-6"/>
          <w:sz w:val="24"/>
          <w:highlight w:val="none"/>
          <w:lang w:val="en-US" w:eastAsia="zh-CN"/>
        </w:rPr>
        <w:t>B</w:t>
      </w:r>
      <w:r>
        <w:rPr>
          <w:rFonts w:ascii="宋体" w:hAnsi="宋体" w:cs="宋体"/>
          <w:b/>
          <w:bCs/>
          <w:color w:val="auto"/>
          <w:spacing w:val="-6"/>
          <w:sz w:val="24"/>
          <w:highlight w:val="none"/>
        </w:rPr>
        <w:t>：否决投标的条件</w:t>
      </w:r>
      <w:bookmarkEnd w:id="260"/>
      <w:bookmarkEnd w:id="261"/>
    </w:p>
    <w:p w14:paraId="7CC83CD3">
      <w:pPr>
        <w:pStyle w:val="17"/>
        <w:spacing w:line="424" w:lineRule="auto"/>
        <w:rPr>
          <w:color w:val="auto"/>
          <w:highlight w:val="none"/>
        </w:rPr>
      </w:pPr>
    </w:p>
    <w:p w14:paraId="3C1C5097">
      <w:pPr>
        <w:spacing w:before="91" w:line="220" w:lineRule="auto"/>
        <w:ind w:left="3193"/>
        <w:rPr>
          <w:rFonts w:ascii="黑体" w:hAnsi="黑体" w:eastAsia="黑体" w:cs="黑体"/>
          <w:color w:val="auto"/>
          <w:sz w:val="28"/>
          <w:szCs w:val="28"/>
          <w:highlight w:val="none"/>
        </w:rPr>
      </w:pPr>
      <w:bookmarkStart w:id="262" w:name="bookmark115"/>
      <w:bookmarkEnd w:id="262"/>
      <w:r>
        <w:rPr>
          <w:rFonts w:ascii="黑体" w:hAnsi="黑体" w:eastAsia="黑体" w:cs="黑体"/>
          <w:b/>
          <w:bCs/>
          <w:color w:val="auto"/>
          <w:spacing w:val="-4"/>
          <w:sz w:val="28"/>
          <w:szCs w:val="28"/>
          <w:highlight w:val="none"/>
        </w:rPr>
        <w:t>否决投标的条件</w:t>
      </w:r>
    </w:p>
    <w:p w14:paraId="7B51E9D3">
      <w:pPr>
        <w:spacing w:before="104" w:line="219" w:lineRule="auto"/>
        <w:ind w:left="33"/>
        <w:outlineLvl w:val="2"/>
        <w:rPr>
          <w:rFonts w:ascii="黑体" w:hAnsi="黑体" w:eastAsia="黑体" w:cs="黑体"/>
          <w:color w:val="auto"/>
          <w:sz w:val="24"/>
          <w:highlight w:val="none"/>
        </w:rPr>
      </w:pPr>
      <w:bookmarkStart w:id="263" w:name="bookmark404"/>
      <w:bookmarkEnd w:id="263"/>
      <w:bookmarkStart w:id="264" w:name="_Toc9686"/>
      <w:r>
        <w:rPr>
          <w:rFonts w:hint="eastAsia" w:ascii="黑体" w:hAnsi="黑体" w:eastAsia="黑体" w:cs="黑体"/>
          <w:color w:val="auto"/>
          <w:spacing w:val="-6"/>
          <w:sz w:val="24"/>
          <w:highlight w:val="none"/>
          <w:lang w:val="en-US" w:eastAsia="zh-CN"/>
        </w:rPr>
        <w:t>B0</w:t>
      </w:r>
      <w:r>
        <w:rPr>
          <w:rFonts w:ascii="黑体" w:hAnsi="黑体" w:eastAsia="黑体" w:cs="黑体"/>
          <w:color w:val="auto"/>
          <w:spacing w:val="-6"/>
          <w:sz w:val="24"/>
          <w:highlight w:val="none"/>
        </w:rPr>
        <w:t>.总则</w:t>
      </w:r>
      <w:bookmarkEnd w:id="264"/>
    </w:p>
    <w:p w14:paraId="1D194C35">
      <w:pPr>
        <w:spacing w:before="163" w:line="364" w:lineRule="auto"/>
        <w:ind w:left="6" w:right="296" w:firstLine="434"/>
        <w:rPr>
          <w:rFonts w:ascii="宋体" w:hAnsi="宋体" w:cs="宋体"/>
          <w:color w:val="auto"/>
          <w:szCs w:val="21"/>
          <w:highlight w:val="none"/>
        </w:rPr>
      </w:pPr>
      <w:r>
        <w:rPr>
          <w:rFonts w:ascii="宋体" w:hAnsi="宋体" w:cs="宋体"/>
          <w:color w:val="auto"/>
          <w:szCs w:val="21"/>
          <w:highlight w:val="none"/>
        </w:rPr>
        <w:t>本附件所集中列示的否决投标的条件，是本章“评标办法”的组成部分，是对</w:t>
      </w:r>
      <w:r>
        <w:rPr>
          <w:rFonts w:ascii="宋体" w:hAnsi="宋体" w:cs="宋体"/>
          <w:color w:val="auto"/>
          <w:spacing w:val="-1"/>
          <w:szCs w:val="21"/>
          <w:highlight w:val="none"/>
        </w:rPr>
        <w:t>第二章</w:t>
      </w:r>
      <w:r>
        <w:rPr>
          <w:rFonts w:ascii="宋体" w:hAnsi="宋体" w:cs="宋体"/>
          <w:color w:val="auto"/>
          <w:szCs w:val="21"/>
          <w:highlight w:val="none"/>
        </w:rPr>
        <w:t xml:space="preserve"> “投标人须知”和本章正文部分所规定的否决投标的条件的总结和补充，如果出现不一致的情况，以本章前附表和正文部分的规定为准。</w:t>
      </w:r>
    </w:p>
    <w:p w14:paraId="54D9AD57">
      <w:pPr>
        <w:spacing w:line="219" w:lineRule="auto"/>
        <w:ind w:left="19"/>
        <w:outlineLvl w:val="2"/>
        <w:rPr>
          <w:rFonts w:ascii="黑体" w:hAnsi="黑体" w:eastAsia="黑体" w:cs="黑体"/>
          <w:color w:val="auto"/>
          <w:sz w:val="24"/>
          <w:highlight w:val="none"/>
        </w:rPr>
      </w:pPr>
      <w:bookmarkStart w:id="265" w:name="bookmark116"/>
      <w:bookmarkEnd w:id="265"/>
      <w:bookmarkStart w:id="266" w:name="_Toc1482"/>
      <w:r>
        <w:rPr>
          <w:rFonts w:hint="eastAsia" w:ascii="黑体" w:hAnsi="黑体" w:eastAsia="黑体" w:cs="黑体"/>
          <w:color w:val="auto"/>
          <w:spacing w:val="-6"/>
          <w:sz w:val="24"/>
          <w:highlight w:val="none"/>
          <w:lang w:val="en-US" w:eastAsia="zh-CN"/>
        </w:rPr>
        <w:t>B1</w:t>
      </w:r>
      <w:r>
        <w:rPr>
          <w:rFonts w:ascii="黑体" w:hAnsi="黑体" w:eastAsia="黑体" w:cs="黑体"/>
          <w:color w:val="auto"/>
          <w:spacing w:val="-1"/>
          <w:sz w:val="24"/>
          <w:highlight w:val="none"/>
        </w:rPr>
        <w:t>.否决投标的条件</w:t>
      </w:r>
      <w:bookmarkEnd w:id="266"/>
    </w:p>
    <w:p w14:paraId="5C3F0977">
      <w:pPr>
        <w:spacing w:before="162" w:line="220" w:lineRule="auto"/>
        <w:ind w:left="442"/>
        <w:rPr>
          <w:rFonts w:ascii="宋体" w:hAnsi="宋体" w:cs="宋体"/>
          <w:color w:val="auto"/>
          <w:szCs w:val="21"/>
          <w:highlight w:val="none"/>
        </w:rPr>
      </w:pPr>
      <w:r>
        <w:rPr>
          <w:rFonts w:ascii="宋体" w:hAnsi="宋体" w:cs="宋体"/>
          <w:color w:val="auto"/>
          <w:spacing w:val="-1"/>
          <w:szCs w:val="21"/>
          <w:highlight w:val="none"/>
        </w:rPr>
        <w:t>投标人或其投标文件有下列情形之一的，评标委员会应当否决其投标：</w:t>
      </w:r>
    </w:p>
    <w:p w14:paraId="17D5E87E">
      <w:pPr>
        <w:spacing w:before="180" w:line="368" w:lineRule="auto"/>
        <w:ind w:left="19" w:right="176" w:firstLine="416"/>
        <w:rPr>
          <w:rFonts w:ascii="宋体" w:hAnsi="宋体" w:cs="宋体"/>
          <w:color w:val="auto"/>
          <w:szCs w:val="21"/>
          <w:highlight w:val="none"/>
        </w:rPr>
      </w:pPr>
      <w:r>
        <w:rPr>
          <w:rFonts w:hint="eastAsia" w:eastAsia="Times New Roman"/>
          <w:color w:val="auto"/>
          <w:szCs w:val="21"/>
          <w:highlight w:val="none"/>
          <w:lang w:val="en-US" w:eastAsia="zh-CN"/>
        </w:rPr>
        <w:t>B1</w:t>
      </w:r>
      <w:r>
        <w:rPr>
          <w:rFonts w:eastAsia="Times New Roman"/>
          <w:color w:val="auto"/>
          <w:szCs w:val="21"/>
          <w:highlight w:val="none"/>
        </w:rPr>
        <w:t>.1</w:t>
      </w:r>
      <w:r>
        <w:rPr>
          <w:rFonts w:ascii="宋体" w:hAnsi="宋体" w:cs="宋体"/>
          <w:color w:val="auto"/>
          <w:szCs w:val="21"/>
          <w:highlight w:val="none"/>
        </w:rPr>
        <w:t>在形式评审、资格评审、响应性评审中，评标委员会认定投标人</w:t>
      </w:r>
      <w:r>
        <w:rPr>
          <w:rFonts w:ascii="宋体" w:hAnsi="宋体" w:cs="宋体"/>
          <w:color w:val="auto"/>
          <w:spacing w:val="-1"/>
          <w:szCs w:val="21"/>
          <w:highlight w:val="none"/>
        </w:rPr>
        <w:t>的投标文件不符合</w:t>
      </w:r>
      <w:r>
        <w:rPr>
          <w:rFonts w:ascii="宋体" w:hAnsi="宋体" w:cs="宋体"/>
          <w:color w:val="auto"/>
          <w:szCs w:val="21"/>
          <w:highlight w:val="none"/>
        </w:rPr>
        <w:t xml:space="preserve"> 评标办法前附表中规定的任何一项评审标准的。主要包括以下内</w:t>
      </w:r>
      <w:r>
        <w:rPr>
          <w:rFonts w:ascii="宋体" w:hAnsi="宋体" w:cs="宋体"/>
          <w:color w:val="auto"/>
          <w:spacing w:val="-1"/>
          <w:szCs w:val="21"/>
          <w:highlight w:val="none"/>
        </w:rPr>
        <w:t>容：</w:t>
      </w:r>
    </w:p>
    <w:p w14:paraId="089A82AC">
      <w:pPr>
        <w:spacing w:before="21" w:line="299" w:lineRule="auto"/>
        <w:ind w:left="20" w:right="176" w:firstLine="426"/>
        <w:rPr>
          <w:rFonts w:ascii="宋体" w:hAnsi="宋体" w:cs="宋体"/>
          <w:color w:val="auto"/>
          <w:szCs w:val="21"/>
          <w:highlight w:val="none"/>
        </w:rPr>
      </w:pPr>
      <w:r>
        <w:rPr>
          <w:rFonts w:ascii="宋体" w:hAnsi="宋体" w:cs="宋体"/>
          <w:color w:val="auto"/>
          <w:szCs w:val="21"/>
          <w:highlight w:val="none"/>
        </w:rPr>
        <w:t>（</w:t>
      </w:r>
      <w:r>
        <w:rPr>
          <w:rFonts w:eastAsia="Times New Roman"/>
          <w:color w:val="auto"/>
          <w:szCs w:val="21"/>
          <w:highlight w:val="none"/>
        </w:rPr>
        <w:t>1</w:t>
      </w:r>
      <w:r>
        <w:rPr>
          <w:rFonts w:ascii="宋体" w:hAnsi="宋体" w:cs="宋体"/>
          <w:color w:val="auto"/>
          <w:szCs w:val="21"/>
          <w:highlight w:val="none"/>
        </w:rPr>
        <w:t>）投标人名称与营业执照、资质证书、安全生产许可证不一致；或提供无效的营业</w:t>
      </w:r>
      <w:r>
        <w:rPr>
          <w:rFonts w:ascii="宋体" w:hAnsi="宋体" w:cs="宋体"/>
          <w:color w:val="auto"/>
          <w:spacing w:val="-1"/>
          <w:szCs w:val="21"/>
          <w:highlight w:val="none"/>
        </w:rPr>
        <w:t>执照、资质证书、安全生</w:t>
      </w:r>
      <w:r>
        <w:rPr>
          <w:rFonts w:hint="eastAsia" w:ascii="宋体" w:hAnsi="宋体" w:cs="宋体"/>
          <w:color w:val="auto"/>
          <w:spacing w:val="-1"/>
          <w:szCs w:val="21"/>
          <w:highlight w:val="none"/>
          <w:lang w:eastAsia="zh-CN"/>
        </w:rPr>
        <w:t>产</w:t>
      </w:r>
      <w:r>
        <w:rPr>
          <w:rFonts w:ascii="宋体" w:hAnsi="宋体" w:cs="宋体"/>
          <w:color w:val="auto"/>
          <w:spacing w:val="-1"/>
          <w:szCs w:val="21"/>
          <w:highlight w:val="none"/>
        </w:rPr>
        <w:t>许可证的；</w:t>
      </w:r>
    </w:p>
    <w:p w14:paraId="48F954B5">
      <w:pPr>
        <w:spacing w:before="181" w:line="299" w:lineRule="auto"/>
        <w:ind w:left="18" w:right="176" w:firstLine="427"/>
        <w:rPr>
          <w:rFonts w:ascii="宋体" w:hAnsi="宋体" w:cs="宋体"/>
          <w:color w:val="auto"/>
          <w:szCs w:val="21"/>
          <w:highlight w:val="none"/>
        </w:rPr>
      </w:pPr>
      <w:r>
        <w:rPr>
          <w:rFonts w:ascii="宋体" w:hAnsi="宋体" w:cs="宋体"/>
          <w:color w:val="auto"/>
          <w:spacing w:val="1"/>
          <w:szCs w:val="21"/>
          <w:highlight w:val="none"/>
        </w:rPr>
        <w:t>（</w:t>
      </w:r>
      <w:r>
        <w:rPr>
          <w:rFonts w:eastAsia="Times New Roman"/>
          <w:color w:val="auto"/>
          <w:spacing w:val="1"/>
          <w:szCs w:val="21"/>
          <w:highlight w:val="none"/>
        </w:rPr>
        <w:t>2</w:t>
      </w:r>
      <w:r>
        <w:rPr>
          <w:rFonts w:ascii="宋体" w:hAnsi="宋体" w:cs="宋体"/>
          <w:color w:val="auto"/>
          <w:spacing w:val="1"/>
          <w:szCs w:val="21"/>
          <w:highlight w:val="none"/>
        </w:rPr>
        <w:t>）未按照第二章</w:t>
      </w:r>
      <w:r>
        <w:rPr>
          <w:rFonts w:eastAsia="Times New Roman"/>
          <w:color w:val="auto"/>
          <w:spacing w:val="1"/>
          <w:szCs w:val="21"/>
          <w:highlight w:val="none"/>
        </w:rPr>
        <w:t>“</w:t>
      </w:r>
      <w:r>
        <w:rPr>
          <w:rFonts w:ascii="宋体" w:hAnsi="宋体" w:cs="宋体"/>
          <w:color w:val="auto"/>
          <w:spacing w:val="1"/>
          <w:szCs w:val="21"/>
          <w:highlight w:val="none"/>
        </w:rPr>
        <w:t>投标人须知</w:t>
      </w:r>
      <w:r>
        <w:rPr>
          <w:rFonts w:eastAsia="Times New Roman"/>
          <w:color w:val="auto"/>
          <w:spacing w:val="1"/>
          <w:szCs w:val="21"/>
          <w:highlight w:val="none"/>
        </w:rPr>
        <w:t>”</w:t>
      </w:r>
      <w:r>
        <w:rPr>
          <w:rFonts w:ascii="宋体" w:hAnsi="宋体" w:cs="宋体"/>
          <w:color w:val="auto"/>
          <w:spacing w:val="1"/>
          <w:szCs w:val="21"/>
          <w:highlight w:val="none"/>
        </w:rPr>
        <w:t xml:space="preserve">第 </w:t>
      </w:r>
      <w:r>
        <w:rPr>
          <w:rFonts w:eastAsia="Times New Roman"/>
          <w:color w:val="auto"/>
          <w:spacing w:val="1"/>
          <w:szCs w:val="21"/>
          <w:highlight w:val="none"/>
        </w:rPr>
        <w:t>3.7.3</w:t>
      </w:r>
      <w:r>
        <w:rPr>
          <w:rFonts w:ascii="宋体" w:hAnsi="宋体" w:cs="宋体"/>
          <w:color w:val="auto"/>
          <w:spacing w:val="1"/>
          <w:szCs w:val="21"/>
          <w:highlight w:val="none"/>
        </w:rPr>
        <w:t>（</w:t>
      </w:r>
      <w:r>
        <w:rPr>
          <w:rFonts w:eastAsia="Times New Roman"/>
          <w:color w:val="auto"/>
          <w:spacing w:val="1"/>
          <w:szCs w:val="21"/>
          <w:highlight w:val="none"/>
        </w:rPr>
        <w:t>4</w:t>
      </w:r>
      <w:r>
        <w:rPr>
          <w:rFonts w:ascii="宋体" w:hAnsi="宋体" w:cs="宋体"/>
          <w:color w:val="auto"/>
          <w:spacing w:val="1"/>
          <w:szCs w:val="21"/>
          <w:highlight w:val="none"/>
        </w:rPr>
        <w:t>）目规定和第七章</w:t>
      </w:r>
      <w:r>
        <w:rPr>
          <w:rFonts w:eastAsia="Times New Roman"/>
          <w:color w:val="auto"/>
          <w:spacing w:val="1"/>
          <w:szCs w:val="21"/>
          <w:highlight w:val="none"/>
        </w:rPr>
        <w:t>“</w:t>
      </w:r>
      <w:r>
        <w:rPr>
          <w:rFonts w:ascii="宋体" w:hAnsi="宋体" w:cs="宋体"/>
          <w:color w:val="auto"/>
          <w:spacing w:val="1"/>
          <w:szCs w:val="21"/>
          <w:highlight w:val="none"/>
        </w:rPr>
        <w:t>投标文件格式</w:t>
      </w:r>
      <w:r>
        <w:rPr>
          <w:rFonts w:eastAsia="Times New Roman"/>
          <w:color w:val="auto"/>
          <w:spacing w:val="1"/>
          <w:szCs w:val="21"/>
          <w:highlight w:val="none"/>
        </w:rPr>
        <w:t>”</w:t>
      </w:r>
      <w:r>
        <w:rPr>
          <w:rFonts w:ascii="宋体" w:hAnsi="宋体" w:cs="宋体"/>
          <w:color w:val="auto"/>
          <w:spacing w:val="1"/>
          <w:szCs w:val="21"/>
          <w:highlight w:val="none"/>
        </w:rPr>
        <w:t>的要求</w:t>
      </w:r>
      <w:r>
        <w:rPr>
          <w:rFonts w:ascii="宋体" w:hAnsi="宋体" w:cs="宋体"/>
          <w:color w:val="auto"/>
          <w:spacing w:val="-1"/>
          <w:szCs w:val="21"/>
          <w:highlight w:val="none"/>
        </w:rPr>
        <w:t>进行电子签章的；</w:t>
      </w:r>
    </w:p>
    <w:p w14:paraId="2395A6D6">
      <w:pPr>
        <w:spacing w:before="179" w:line="326" w:lineRule="auto"/>
        <w:ind w:left="21" w:firstLine="425"/>
        <w:rPr>
          <w:rFonts w:ascii="宋体" w:hAnsi="宋体" w:cs="宋体"/>
          <w:color w:val="auto"/>
          <w:szCs w:val="21"/>
          <w:highlight w:val="none"/>
        </w:rPr>
      </w:pPr>
      <w:r>
        <w:rPr>
          <w:rFonts w:ascii="宋体" w:hAnsi="宋体" w:cs="宋体"/>
          <w:color w:val="auto"/>
          <w:spacing w:val="-1"/>
          <w:szCs w:val="21"/>
          <w:highlight w:val="none"/>
        </w:rPr>
        <w:t>（</w:t>
      </w:r>
      <w:r>
        <w:rPr>
          <w:rFonts w:eastAsia="Times New Roman"/>
          <w:color w:val="auto"/>
          <w:spacing w:val="-1"/>
          <w:szCs w:val="21"/>
          <w:highlight w:val="none"/>
        </w:rPr>
        <w:t>3</w:t>
      </w:r>
      <w:r>
        <w:rPr>
          <w:rFonts w:ascii="宋体" w:hAnsi="宋体" w:cs="宋体"/>
          <w:color w:val="auto"/>
          <w:spacing w:val="-1"/>
          <w:szCs w:val="21"/>
          <w:highlight w:val="none"/>
        </w:rPr>
        <w:t>）联合体投标没有提交共同投标协议或共同投标协议未按招标文件提供的格式签署、</w:t>
      </w:r>
      <w:r>
        <w:rPr>
          <w:rFonts w:ascii="宋体" w:hAnsi="宋体" w:cs="宋体"/>
          <w:color w:val="auto"/>
          <w:spacing w:val="3"/>
          <w:szCs w:val="21"/>
          <w:highlight w:val="none"/>
        </w:rPr>
        <w:t>提交，未明确联合体牵头人和各方权利与义务，未承诺就中标项目向招标人承担</w:t>
      </w:r>
      <w:r>
        <w:rPr>
          <w:rFonts w:ascii="宋体" w:hAnsi="宋体" w:cs="宋体"/>
          <w:color w:val="auto"/>
          <w:spacing w:val="2"/>
          <w:szCs w:val="21"/>
          <w:highlight w:val="none"/>
        </w:rPr>
        <w:t>连带责任</w:t>
      </w:r>
      <w:r>
        <w:rPr>
          <w:rFonts w:ascii="宋体" w:hAnsi="宋体" w:cs="宋体"/>
          <w:color w:val="auto"/>
          <w:spacing w:val="-2"/>
          <w:szCs w:val="21"/>
          <w:highlight w:val="none"/>
        </w:rPr>
        <w:t>的（如有</w:t>
      </w:r>
      <w:r>
        <w:rPr>
          <w:rFonts w:ascii="宋体" w:hAnsi="宋体" w:cs="宋体"/>
          <w:color w:val="auto"/>
          <w:szCs w:val="21"/>
          <w:highlight w:val="none"/>
        </w:rPr>
        <w:t>）；</w:t>
      </w:r>
    </w:p>
    <w:p w14:paraId="0C57273E">
      <w:pPr>
        <w:spacing w:before="178" w:line="300" w:lineRule="auto"/>
        <w:ind w:left="22" w:right="177" w:firstLine="423"/>
        <w:rPr>
          <w:rFonts w:ascii="宋体" w:hAnsi="宋体" w:cs="宋体"/>
          <w:color w:val="auto"/>
          <w:szCs w:val="21"/>
          <w:highlight w:val="none"/>
        </w:rPr>
      </w:pPr>
      <w:r>
        <w:rPr>
          <w:rFonts w:ascii="宋体" w:hAnsi="宋体" w:cs="宋体"/>
          <w:color w:val="auto"/>
          <w:szCs w:val="21"/>
          <w:highlight w:val="none"/>
        </w:rPr>
        <w:t>（</w:t>
      </w:r>
      <w:r>
        <w:rPr>
          <w:rFonts w:eastAsia="Times New Roman"/>
          <w:color w:val="auto"/>
          <w:szCs w:val="21"/>
          <w:highlight w:val="none"/>
        </w:rPr>
        <w:t>4</w:t>
      </w:r>
      <w:r>
        <w:rPr>
          <w:rFonts w:ascii="宋体" w:hAnsi="宋体" w:cs="宋体"/>
          <w:color w:val="auto"/>
          <w:szCs w:val="21"/>
          <w:highlight w:val="none"/>
        </w:rPr>
        <w:t>）同一投标人提交两个以上不同的投标文件或者投标报价的（但招标文件要求提交</w:t>
      </w:r>
      <w:r>
        <w:rPr>
          <w:rFonts w:ascii="宋体" w:hAnsi="宋体" w:cs="宋体"/>
          <w:color w:val="auto"/>
          <w:spacing w:val="-2"/>
          <w:szCs w:val="21"/>
          <w:highlight w:val="none"/>
        </w:rPr>
        <w:t>备选投标的除外</w:t>
      </w:r>
      <w:r>
        <w:rPr>
          <w:rFonts w:ascii="宋体" w:hAnsi="宋体" w:cs="宋体"/>
          <w:color w:val="auto"/>
          <w:spacing w:val="-10"/>
          <w:szCs w:val="21"/>
          <w:highlight w:val="none"/>
        </w:rPr>
        <w:t>）；</w:t>
      </w:r>
    </w:p>
    <w:p w14:paraId="59095DCC">
      <w:pPr>
        <w:spacing w:before="179" w:line="233" w:lineRule="auto"/>
        <w:ind w:left="446"/>
        <w:rPr>
          <w:rFonts w:ascii="宋体" w:hAnsi="宋体" w:cs="宋体"/>
          <w:color w:val="auto"/>
          <w:szCs w:val="21"/>
          <w:highlight w:val="none"/>
        </w:rPr>
      </w:pPr>
      <w:r>
        <w:rPr>
          <w:rFonts w:ascii="宋体" w:hAnsi="宋体" w:cs="宋体"/>
          <w:color w:val="auto"/>
          <w:spacing w:val="-2"/>
          <w:szCs w:val="21"/>
          <w:highlight w:val="none"/>
        </w:rPr>
        <w:t>（</w:t>
      </w:r>
      <w:r>
        <w:rPr>
          <w:rFonts w:eastAsia="Times New Roman"/>
          <w:color w:val="auto"/>
          <w:spacing w:val="-2"/>
          <w:szCs w:val="21"/>
          <w:highlight w:val="none"/>
        </w:rPr>
        <w:t>5</w:t>
      </w:r>
      <w:r>
        <w:rPr>
          <w:rFonts w:ascii="宋体" w:hAnsi="宋体" w:cs="宋体"/>
          <w:color w:val="auto"/>
          <w:spacing w:val="-2"/>
          <w:szCs w:val="21"/>
          <w:highlight w:val="none"/>
        </w:rPr>
        <w:t>）未按照招标文件的要求报送应有的投标报价表格的；</w:t>
      </w:r>
    </w:p>
    <w:p w14:paraId="2B33D736">
      <w:pPr>
        <w:spacing w:before="165" w:line="234" w:lineRule="auto"/>
        <w:ind w:left="446"/>
        <w:rPr>
          <w:rFonts w:ascii="宋体" w:hAnsi="宋体" w:cs="宋体"/>
          <w:color w:val="auto"/>
          <w:szCs w:val="21"/>
          <w:highlight w:val="none"/>
        </w:rPr>
      </w:pPr>
      <w:r>
        <w:rPr>
          <w:rFonts w:ascii="宋体" w:hAnsi="宋体" w:cs="宋体"/>
          <w:color w:val="auto"/>
          <w:spacing w:val="-1"/>
          <w:szCs w:val="21"/>
          <w:highlight w:val="none"/>
        </w:rPr>
        <w:t>（</w:t>
      </w:r>
      <w:r>
        <w:rPr>
          <w:rFonts w:eastAsia="Times New Roman"/>
          <w:color w:val="auto"/>
          <w:spacing w:val="-1"/>
          <w:szCs w:val="21"/>
          <w:highlight w:val="none"/>
        </w:rPr>
        <w:t>6</w:t>
      </w:r>
      <w:r>
        <w:rPr>
          <w:rFonts w:ascii="宋体" w:hAnsi="宋体" w:cs="宋体"/>
          <w:color w:val="auto"/>
          <w:spacing w:val="-1"/>
          <w:szCs w:val="21"/>
          <w:highlight w:val="none"/>
        </w:rPr>
        <w:t>）项目经理二次刷卡实名认证未通过的；</w:t>
      </w:r>
    </w:p>
    <w:p w14:paraId="07836078">
      <w:pPr>
        <w:spacing w:before="163" w:line="234" w:lineRule="auto"/>
        <w:ind w:left="446"/>
        <w:rPr>
          <w:rFonts w:ascii="宋体" w:hAnsi="宋体" w:cs="宋体"/>
          <w:color w:val="auto"/>
          <w:szCs w:val="21"/>
          <w:highlight w:val="none"/>
        </w:rPr>
      </w:pPr>
      <w:r>
        <w:rPr>
          <w:rFonts w:ascii="宋体" w:hAnsi="宋体" w:cs="宋体"/>
          <w:color w:val="auto"/>
          <w:spacing w:val="-2"/>
          <w:szCs w:val="21"/>
          <w:highlight w:val="none"/>
        </w:rPr>
        <w:t>（</w:t>
      </w:r>
      <w:r>
        <w:rPr>
          <w:rFonts w:eastAsia="Times New Roman"/>
          <w:color w:val="auto"/>
          <w:spacing w:val="-2"/>
          <w:szCs w:val="21"/>
          <w:highlight w:val="none"/>
        </w:rPr>
        <w:t>7</w:t>
      </w:r>
      <w:r>
        <w:rPr>
          <w:rFonts w:ascii="宋体" w:hAnsi="宋体" w:cs="宋体"/>
          <w:color w:val="auto"/>
          <w:spacing w:val="-2"/>
          <w:szCs w:val="21"/>
          <w:highlight w:val="none"/>
        </w:rPr>
        <w:t>）法定代表人或授权委托人未完成实名认证的；</w:t>
      </w:r>
    </w:p>
    <w:p w14:paraId="7C4C79C0">
      <w:pPr>
        <w:spacing w:before="164" w:line="234" w:lineRule="auto"/>
        <w:ind w:left="446"/>
        <w:rPr>
          <w:rFonts w:ascii="宋体" w:hAnsi="宋体" w:cs="宋体"/>
          <w:color w:val="auto"/>
          <w:szCs w:val="21"/>
          <w:highlight w:val="none"/>
        </w:rPr>
      </w:pPr>
      <w:r>
        <w:rPr>
          <w:rFonts w:ascii="宋体" w:hAnsi="宋体" w:cs="宋体"/>
          <w:color w:val="auto"/>
          <w:spacing w:val="-2"/>
          <w:szCs w:val="21"/>
          <w:highlight w:val="none"/>
        </w:rPr>
        <w:t>（</w:t>
      </w:r>
      <w:r>
        <w:rPr>
          <w:rFonts w:eastAsia="Times New Roman"/>
          <w:color w:val="auto"/>
          <w:spacing w:val="-2"/>
          <w:szCs w:val="21"/>
          <w:highlight w:val="none"/>
        </w:rPr>
        <w:t>8</w:t>
      </w:r>
      <w:r>
        <w:rPr>
          <w:rFonts w:ascii="宋体" w:hAnsi="宋体" w:cs="宋体"/>
          <w:color w:val="auto"/>
          <w:spacing w:val="-2"/>
          <w:szCs w:val="21"/>
          <w:highlight w:val="none"/>
        </w:rPr>
        <w:t>）未按招标文件要求编制技术标（暗标）投标文件的；</w:t>
      </w:r>
    </w:p>
    <w:p w14:paraId="1DA6C859">
      <w:pPr>
        <w:spacing w:before="164" w:line="234" w:lineRule="auto"/>
        <w:ind w:left="446"/>
        <w:rPr>
          <w:rFonts w:ascii="宋体" w:hAnsi="宋体" w:cs="宋体"/>
          <w:color w:val="auto"/>
          <w:szCs w:val="21"/>
          <w:highlight w:val="none"/>
        </w:rPr>
      </w:pPr>
      <w:r>
        <w:rPr>
          <w:rFonts w:ascii="宋体" w:hAnsi="宋体" w:cs="宋体"/>
          <w:color w:val="auto"/>
          <w:spacing w:val="-2"/>
          <w:szCs w:val="21"/>
          <w:highlight w:val="none"/>
        </w:rPr>
        <w:t>（</w:t>
      </w:r>
      <w:r>
        <w:rPr>
          <w:rFonts w:eastAsia="Times New Roman"/>
          <w:color w:val="auto"/>
          <w:spacing w:val="-2"/>
          <w:szCs w:val="21"/>
          <w:highlight w:val="none"/>
        </w:rPr>
        <w:t>9</w:t>
      </w:r>
      <w:r>
        <w:rPr>
          <w:rFonts w:ascii="宋体" w:hAnsi="宋体" w:cs="宋体"/>
          <w:color w:val="auto"/>
          <w:spacing w:val="-2"/>
          <w:szCs w:val="21"/>
          <w:highlight w:val="none"/>
        </w:rPr>
        <w:t>）投标人资质条件不符合国家规定和招标文件要求的；</w:t>
      </w:r>
    </w:p>
    <w:p w14:paraId="1783656A">
      <w:pPr>
        <w:spacing w:before="165" w:line="299" w:lineRule="auto"/>
        <w:ind w:left="19" w:right="180" w:firstLine="427"/>
        <w:rPr>
          <w:rFonts w:ascii="宋体" w:hAnsi="宋体" w:cs="宋体"/>
          <w:color w:val="auto"/>
          <w:szCs w:val="21"/>
          <w:highlight w:val="none"/>
        </w:rPr>
      </w:pPr>
      <w:r>
        <w:rPr>
          <w:rFonts w:ascii="宋体" w:hAnsi="宋体" w:cs="宋体"/>
          <w:color w:val="auto"/>
          <w:spacing w:val="3"/>
          <w:szCs w:val="21"/>
          <w:highlight w:val="none"/>
        </w:rPr>
        <w:t>（</w:t>
      </w:r>
      <w:r>
        <w:rPr>
          <w:rFonts w:eastAsia="Times New Roman"/>
          <w:color w:val="auto"/>
          <w:spacing w:val="3"/>
          <w:szCs w:val="21"/>
          <w:highlight w:val="none"/>
        </w:rPr>
        <w:t>10</w:t>
      </w:r>
      <w:r>
        <w:rPr>
          <w:rFonts w:ascii="宋体" w:hAnsi="宋体" w:cs="宋体"/>
          <w:color w:val="auto"/>
          <w:spacing w:val="3"/>
          <w:szCs w:val="21"/>
          <w:highlight w:val="none"/>
        </w:rPr>
        <w:t>）项目经理或施工负责人资格不符合招标文件规定的专业等级要求</w:t>
      </w:r>
      <w:r>
        <w:rPr>
          <w:rFonts w:ascii="宋体" w:hAnsi="宋体" w:cs="宋体"/>
          <w:color w:val="auto"/>
          <w:spacing w:val="2"/>
          <w:szCs w:val="21"/>
          <w:highlight w:val="none"/>
        </w:rPr>
        <w:t>，或已在其他</w:t>
      </w:r>
      <w:r>
        <w:rPr>
          <w:rFonts w:ascii="宋体" w:hAnsi="宋体" w:cs="宋体"/>
          <w:color w:val="auto"/>
          <w:szCs w:val="21"/>
          <w:highlight w:val="none"/>
        </w:rPr>
        <w:t xml:space="preserve"> 在建工程担任项目经理或施工负责人（同一工程相邻分段发包或者分期施工的除外</w:t>
      </w:r>
      <w:r>
        <w:rPr>
          <w:rFonts w:ascii="宋体" w:hAnsi="宋体" w:cs="宋体"/>
          <w:color w:val="auto"/>
          <w:spacing w:val="-1"/>
          <w:szCs w:val="21"/>
          <w:highlight w:val="none"/>
        </w:rPr>
        <w:t>）；</w:t>
      </w:r>
    </w:p>
    <w:p w14:paraId="047604E6">
      <w:pPr>
        <w:spacing w:before="179" w:line="234" w:lineRule="auto"/>
        <w:ind w:left="446"/>
        <w:rPr>
          <w:rFonts w:ascii="宋体" w:hAnsi="宋体" w:cs="宋体"/>
          <w:color w:val="auto"/>
          <w:szCs w:val="21"/>
          <w:highlight w:val="none"/>
        </w:rPr>
      </w:pPr>
      <w:r>
        <w:rPr>
          <w:rFonts w:ascii="宋体" w:hAnsi="宋体" w:cs="宋体"/>
          <w:color w:val="auto"/>
          <w:spacing w:val="-1"/>
          <w:szCs w:val="21"/>
          <w:highlight w:val="none"/>
        </w:rPr>
        <w:t>（</w:t>
      </w:r>
      <w:r>
        <w:rPr>
          <w:rFonts w:eastAsia="Times New Roman"/>
          <w:color w:val="auto"/>
          <w:spacing w:val="-1"/>
          <w:szCs w:val="21"/>
          <w:highlight w:val="none"/>
        </w:rPr>
        <w:t>11</w:t>
      </w:r>
      <w:r>
        <w:rPr>
          <w:rFonts w:ascii="宋体" w:hAnsi="宋体" w:cs="宋体"/>
          <w:color w:val="auto"/>
          <w:spacing w:val="-1"/>
          <w:szCs w:val="21"/>
          <w:highlight w:val="none"/>
        </w:rPr>
        <w:t>）具有投标人须知第</w:t>
      </w:r>
      <w:r>
        <w:rPr>
          <w:rFonts w:eastAsia="Times New Roman"/>
          <w:color w:val="auto"/>
          <w:spacing w:val="-1"/>
          <w:szCs w:val="21"/>
          <w:highlight w:val="none"/>
        </w:rPr>
        <w:t>1.4.3</w:t>
      </w:r>
      <w:r>
        <w:rPr>
          <w:rFonts w:ascii="宋体" w:hAnsi="宋体" w:cs="宋体"/>
          <w:color w:val="auto"/>
          <w:spacing w:val="-1"/>
          <w:szCs w:val="21"/>
          <w:highlight w:val="none"/>
        </w:rPr>
        <w:t>（</w:t>
      </w:r>
      <w:r>
        <w:rPr>
          <w:rFonts w:eastAsia="Times New Roman"/>
          <w:color w:val="auto"/>
          <w:spacing w:val="-1"/>
          <w:szCs w:val="21"/>
          <w:highlight w:val="none"/>
        </w:rPr>
        <w:t>11</w:t>
      </w:r>
      <w:r>
        <w:rPr>
          <w:rFonts w:ascii="宋体" w:hAnsi="宋体" w:cs="宋体"/>
          <w:color w:val="auto"/>
          <w:spacing w:val="-1"/>
          <w:szCs w:val="21"/>
          <w:highlight w:val="none"/>
        </w:rPr>
        <w:t>）至（</w:t>
      </w:r>
      <w:r>
        <w:rPr>
          <w:rFonts w:eastAsia="Times New Roman"/>
          <w:color w:val="auto"/>
          <w:spacing w:val="-1"/>
          <w:szCs w:val="21"/>
          <w:highlight w:val="none"/>
        </w:rPr>
        <w:t>18</w:t>
      </w:r>
      <w:r>
        <w:rPr>
          <w:rFonts w:ascii="宋体" w:hAnsi="宋体" w:cs="宋体"/>
          <w:color w:val="auto"/>
          <w:spacing w:val="-1"/>
          <w:szCs w:val="21"/>
          <w:highlight w:val="none"/>
        </w:rPr>
        <w:t>）条目规定的情形；</w:t>
      </w:r>
    </w:p>
    <w:p w14:paraId="0276B290">
      <w:pPr>
        <w:spacing w:before="164" w:line="234" w:lineRule="auto"/>
        <w:ind w:left="446"/>
        <w:rPr>
          <w:rFonts w:ascii="宋体" w:hAnsi="宋体" w:cs="宋体"/>
          <w:color w:val="auto"/>
          <w:szCs w:val="21"/>
          <w:highlight w:val="none"/>
        </w:rPr>
      </w:pPr>
      <w:r>
        <w:rPr>
          <w:rFonts w:ascii="宋体" w:hAnsi="宋体" w:cs="宋体"/>
          <w:color w:val="auto"/>
          <w:spacing w:val="-2"/>
          <w:szCs w:val="21"/>
          <w:highlight w:val="none"/>
        </w:rPr>
        <w:t>（</w:t>
      </w:r>
      <w:r>
        <w:rPr>
          <w:rFonts w:eastAsia="Times New Roman"/>
          <w:color w:val="auto"/>
          <w:spacing w:val="-2"/>
          <w:szCs w:val="21"/>
          <w:highlight w:val="none"/>
        </w:rPr>
        <w:t>12</w:t>
      </w:r>
      <w:r>
        <w:rPr>
          <w:rFonts w:ascii="宋体" w:hAnsi="宋体" w:cs="宋体"/>
          <w:color w:val="auto"/>
          <w:spacing w:val="-2"/>
          <w:szCs w:val="21"/>
          <w:highlight w:val="none"/>
        </w:rPr>
        <w:t>）未按招标文件要求提交投标保证金的；</w:t>
      </w:r>
    </w:p>
    <w:p w14:paraId="4C453081">
      <w:pPr>
        <w:spacing w:before="163" w:line="233" w:lineRule="auto"/>
        <w:ind w:left="446"/>
        <w:rPr>
          <w:rFonts w:ascii="宋体" w:hAnsi="宋体" w:cs="宋体"/>
          <w:color w:val="auto"/>
          <w:szCs w:val="21"/>
          <w:highlight w:val="none"/>
        </w:rPr>
      </w:pPr>
      <w:r>
        <w:rPr>
          <w:rFonts w:ascii="宋体" w:hAnsi="宋体" w:cs="宋体"/>
          <w:color w:val="auto"/>
          <w:szCs w:val="21"/>
          <w:highlight w:val="none"/>
        </w:rPr>
        <w:t>（</w:t>
      </w:r>
      <w:r>
        <w:rPr>
          <w:rFonts w:eastAsia="Times New Roman"/>
          <w:color w:val="auto"/>
          <w:szCs w:val="21"/>
          <w:highlight w:val="none"/>
        </w:rPr>
        <w:t>13</w:t>
      </w:r>
      <w:r>
        <w:rPr>
          <w:rFonts w:ascii="宋体" w:hAnsi="宋体" w:cs="宋体"/>
          <w:color w:val="auto"/>
          <w:szCs w:val="21"/>
          <w:highlight w:val="none"/>
        </w:rPr>
        <w:t>）投标人填写的价格清单与招标文件给</w:t>
      </w:r>
      <w:r>
        <w:rPr>
          <w:rFonts w:ascii="宋体" w:hAnsi="宋体" w:cs="宋体"/>
          <w:color w:val="auto"/>
          <w:spacing w:val="-1"/>
          <w:szCs w:val="21"/>
          <w:highlight w:val="none"/>
        </w:rPr>
        <w:t>定的格式不一致的；</w:t>
      </w:r>
    </w:p>
    <w:p w14:paraId="0272FB7A">
      <w:pPr>
        <w:spacing w:before="165" w:line="234" w:lineRule="auto"/>
        <w:ind w:left="446"/>
        <w:rPr>
          <w:rFonts w:ascii="宋体" w:hAnsi="宋体" w:cs="宋体"/>
          <w:color w:val="auto"/>
          <w:szCs w:val="21"/>
          <w:highlight w:val="none"/>
        </w:rPr>
      </w:pPr>
      <w:r>
        <w:rPr>
          <w:rFonts w:ascii="宋体" w:hAnsi="宋体" w:cs="宋体"/>
          <w:color w:val="auto"/>
          <w:spacing w:val="-3"/>
          <w:szCs w:val="21"/>
          <w:highlight w:val="none"/>
        </w:rPr>
        <w:t>（</w:t>
      </w:r>
      <w:r>
        <w:rPr>
          <w:rFonts w:eastAsia="Times New Roman"/>
          <w:color w:val="auto"/>
          <w:spacing w:val="-3"/>
          <w:szCs w:val="21"/>
          <w:highlight w:val="none"/>
        </w:rPr>
        <w:t>14</w:t>
      </w:r>
      <w:r>
        <w:rPr>
          <w:rFonts w:ascii="宋体" w:hAnsi="宋体" w:cs="宋体"/>
          <w:color w:val="auto"/>
          <w:spacing w:val="-3"/>
          <w:szCs w:val="21"/>
          <w:highlight w:val="none"/>
        </w:rPr>
        <w:t>）工期未响应招标文件规定的；</w:t>
      </w:r>
    </w:p>
    <w:p w14:paraId="788F58BC">
      <w:pPr>
        <w:spacing w:before="166" w:line="233" w:lineRule="auto"/>
        <w:ind w:left="446"/>
        <w:rPr>
          <w:rFonts w:ascii="宋体" w:hAnsi="宋体" w:cs="宋体"/>
          <w:color w:val="auto"/>
          <w:szCs w:val="21"/>
          <w:highlight w:val="none"/>
        </w:rPr>
      </w:pPr>
      <w:r>
        <w:rPr>
          <w:rFonts w:ascii="宋体" w:hAnsi="宋体" w:cs="宋体"/>
          <w:color w:val="auto"/>
          <w:spacing w:val="-2"/>
          <w:szCs w:val="21"/>
          <w:highlight w:val="none"/>
        </w:rPr>
        <w:t>（</w:t>
      </w:r>
      <w:r>
        <w:rPr>
          <w:rFonts w:eastAsia="Times New Roman"/>
          <w:color w:val="auto"/>
          <w:spacing w:val="-2"/>
          <w:szCs w:val="21"/>
          <w:highlight w:val="none"/>
        </w:rPr>
        <w:t>15</w:t>
      </w:r>
      <w:r>
        <w:rPr>
          <w:rFonts w:ascii="宋体" w:hAnsi="宋体" w:cs="宋体"/>
          <w:color w:val="auto"/>
          <w:spacing w:val="-2"/>
          <w:szCs w:val="21"/>
          <w:highlight w:val="none"/>
        </w:rPr>
        <w:t>）投标人不接受算术错误修正后的报价；</w:t>
      </w:r>
    </w:p>
    <w:p w14:paraId="5B209864">
      <w:pPr>
        <w:spacing w:line="233" w:lineRule="auto"/>
        <w:rPr>
          <w:rFonts w:ascii="宋体" w:hAnsi="宋体" w:cs="宋体"/>
          <w:color w:val="auto"/>
          <w:szCs w:val="21"/>
          <w:highlight w:val="none"/>
        </w:rPr>
        <w:sectPr>
          <w:footerReference r:id="rId20" w:type="default"/>
          <w:pgSz w:w="11907" w:h="16839"/>
          <w:pgMar w:top="1428" w:right="1614" w:bottom="1012" w:left="1785" w:header="0" w:footer="812" w:gutter="0"/>
          <w:pgNumType w:fmt="decimal"/>
          <w:cols w:space="720" w:num="1"/>
        </w:sectPr>
      </w:pPr>
    </w:p>
    <w:p w14:paraId="3F7E71C8">
      <w:pPr>
        <w:spacing w:before="170" w:line="233" w:lineRule="auto"/>
        <w:ind w:left="446"/>
        <w:rPr>
          <w:rFonts w:ascii="宋体" w:hAnsi="宋体" w:cs="宋体"/>
          <w:color w:val="auto"/>
          <w:szCs w:val="21"/>
          <w:highlight w:val="none"/>
        </w:rPr>
      </w:pPr>
      <w:r>
        <w:rPr>
          <w:rFonts w:ascii="宋体" w:hAnsi="宋体" w:cs="宋体"/>
          <w:color w:val="auto"/>
          <w:spacing w:val="-1"/>
          <w:szCs w:val="21"/>
          <w:highlight w:val="none"/>
        </w:rPr>
        <w:t>（</w:t>
      </w:r>
      <w:r>
        <w:rPr>
          <w:rFonts w:eastAsia="Times New Roman"/>
          <w:color w:val="auto"/>
          <w:spacing w:val="-1"/>
          <w:szCs w:val="21"/>
          <w:highlight w:val="none"/>
        </w:rPr>
        <w:t>16</w:t>
      </w:r>
      <w:r>
        <w:rPr>
          <w:rFonts w:ascii="宋体" w:hAnsi="宋体" w:cs="宋体"/>
          <w:color w:val="auto"/>
          <w:spacing w:val="-1"/>
          <w:szCs w:val="21"/>
          <w:highlight w:val="none"/>
        </w:rPr>
        <w:t>）投标报价（含修正后）高于招标文件设定的最高投</w:t>
      </w:r>
      <w:r>
        <w:rPr>
          <w:rFonts w:ascii="宋体" w:hAnsi="宋体" w:cs="宋体"/>
          <w:color w:val="auto"/>
          <w:spacing w:val="-2"/>
          <w:szCs w:val="21"/>
          <w:highlight w:val="none"/>
        </w:rPr>
        <w:t>标价的；</w:t>
      </w:r>
    </w:p>
    <w:p w14:paraId="51A80F8B">
      <w:pPr>
        <w:spacing w:before="165" w:line="234" w:lineRule="auto"/>
        <w:ind w:left="446"/>
        <w:rPr>
          <w:rFonts w:ascii="宋体" w:hAnsi="宋体" w:cs="宋体"/>
          <w:color w:val="auto"/>
          <w:szCs w:val="21"/>
          <w:highlight w:val="none"/>
        </w:rPr>
      </w:pPr>
      <w:r>
        <w:rPr>
          <w:rFonts w:ascii="宋体" w:hAnsi="宋体" w:cs="宋体"/>
          <w:color w:val="auto"/>
          <w:spacing w:val="-2"/>
          <w:szCs w:val="21"/>
          <w:highlight w:val="none"/>
        </w:rPr>
        <w:t>（</w:t>
      </w:r>
      <w:r>
        <w:rPr>
          <w:rFonts w:eastAsia="Times New Roman"/>
          <w:color w:val="auto"/>
          <w:spacing w:val="-2"/>
          <w:szCs w:val="21"/>
          <w:highlight w:val="none"/>
        </w:rPr>
        <w:t>17</w:t>
      </w:r>
      <w:r>
        <w:rPr>
          <w:rFonts w:ascii="宋体" w:hAnsi="宋体" w:cs="宋体"/>
          <w:color w:val="auto"/>
          <w:spacing w:val="-2"/>
          <w:szCs w:val="21"/>
          <w:highlight w:val="none"/>
        </w:rPr>
        <w:t>）质量标准不满足招标文件规定的；</w:t>
      </w:r>
    </w:p>
    <w:p w14:paraId="3A9DA1CF">
      <w:pPr>
        <w:spacing w:before="163" w:line="234" w:lineRule="auto"/>
        <w:ind w:left="446"/>
        <w:rPr>
          <w:rFonts w:ascii="宋体" w:hAnsi="宋体" w:cs="宋体"/>
          <w:color w:val="auto"/>
          <w:szCs w:val="21"/>
          <w:highlight w:val="none"/>
        </w:rPr>
      </w:pPr>
      <w:r>
        <w:rPr>
          <w:rFonts w:ascii="宋体" w:hAnsi="宋体" w:cs="宋体"/>
          <w:color w:val="auto"/>
          <w:spacing w:val="-1"/>
          <w:szCs w:val="21"/>
          <w:highlight w:val="none"/>
        </w:rPr>
        <w:t>（</w:t>
      </w:r>
      <w:r>
        <w:rPr>
          <w:rFonts w:eastAsia="Times New Roman"/>
          <w:color w:val="auto"/>
          <w:spacing w:val="-1"/>
          <w:szCs w:val="21"/>
          <w:highlight w:val="none"/>
        </w:rPr>
        <w:t>18</w:t>
      </w:r>
      <w:r>
        <w:rPr>
          <w:rFonts w:ascii="宋体" w:hAnsi="宋体" w:cs="宋体"/>
          <w:color w:val="auto"/>
          <w:spacing w:val="-1"/>
          <w:szCs w:val="21"/>
          <w:highlight w:val="none"/>
        </w:rPr>
        <w:t>）投标有效期不符合招标文件规定的；</w:t>
      </w:r>
    </w:p>
    <w:p w14:paraId="2E119885">
      <w:pPr>
        <w:spacing w:before="165" w:line="234" w:lineRule="auto"/>
        <w:ind w:left="446"/>
        <w:rPr>
          <w:rFonts w:ascii="宋体" w:hAnsi="宋体" w:cs="宋体"/>
          <w:color w:val="auto"/>
          <w:szCs w:val="21"/>
          <w:highlight w:val="none"/>
        </w:rPr>
      </w:pPr>
      <w:r>
        <w:rPr>
          <w:rFonts w:ascii="宋体" w:hAnsi="宋体" w:cs="宋体"/>
          <w:color w:val="auto"/>
          <w:spacing w:val="-1"/>
          <w:szCs w:val="21"/>
          <w:highlight w:val="none"/>
        </w:rPr>
        <w:t>（</w:t>
      </w:r>
      <w:r>
        <w:rPr>
          <w:rFonts w:eastAsia="Times New Roman"/>
          <w:color w:val="auto"/>
          <w:spacing w:val="-1"/>
          <w:szCs w:val="21"/>
          <w:highlight w:val="none"/>
        </w:rPr>
        <w:t>19</w:t>
      </w:r>
      <w:r>
        <w:rPr>
          <w:rFonts w:ascii="宋体" w:hAnsi="宋体" w:cs="宋体"/>
          <w:color w:val="auto"/>
          <w:spacing w:val="-1"/>
          <w:szCs w:val="21"/>
          <w:highlight w:val="none"/>
        </w:rPr>
        <w:t>）权利义务承诺不符合或低于招标文件规定的；</w:t>
      </w:r>
    </w:p>
    <w:p w14:paraId="038CDB82">
      <w:pPr>
        <w:spacing w:before="163" w:line="234" w:lineRule="auto"/>
        <w:ind w:left="446"/>
        <w:rPr>
          <w:rFonts w:ascii="宋体" w:hAnsi="宋体" w:cs="宋体"/>
          <w:color w:val="auto"/>
          <w:szCs w:val="21"/>
          <w:highlight w:val="none"/>
        </w:rPr>
      </w:pPr>
      <w:r>
        <w:rPr>
          <w:rFonts w:ascii="宋体" w:hAnsi="宋体" w:cs="宋体"/>
          <w:color w:val="auto"/>
          <w:spacing w:val="-1"/>
          <w:szCs w:val="21"/>
          <w:highlight w:val="none"/>
        </w:rPr>
        <w:t>（</w:t>
      </w:r>
      <w:r>
        <w:rPr>
          <w:rFonts w:eastAsia="Times New Roman"/>
          <w:color w:val="auto"/>
          <w:spacing w:val="-1"/>
          <w:szCs w:val="21"/>
          <w:highlight w:val="none"/>
        </w:rPr>
        <w:t>20</w:t>
      </w:r>
      <w:r>
        <w:rPr>
          <w:rFonts w:ascii="宋体" w:hAnsi="宋体" w:cs="宋体"/>
          <w:color w:val="auto"/>
          <w:spacing w:val="-1"/>
          <w:szCs w:val="21"/>
          <w:highlight w:val="none"/>
        </w:rPr>
        <w:t>）承包人建议或承包人实施方案不符合招标文件规定的；</w:t>
      </w:r>
    </w:p>
    <w:p w14:paraId="3F796B6B">
      <w:pPr>
        <w:spacing w:before="164" w:line="234" w:lineRule="auto"/>
        <w:ind w:left="446"/>
        <w:rPr>
          <w:rFonts w:ascii="宋体" w:hAnsi="宋体" w:cs="宋体"/>
          <w:color w:val="auto"/>
          <w:szCs w:val="21"/>
          <w:highlight w:val="none"/>
        </w:rPr>
      </w:pPr>
      <w:r>
        <w:rPr>
          <w:rFonts w:ascii="宋体" w:hAnsi="宋体" w:cs="宋体"/>
          <w:color w:val="auto"/>
          <w:spacing w:val="-2"/>
          <w:szCs w:val="21"/>
          <w:highlight w:val="none"/>
        </w:rPr>
        <w:t>（</w:t>
      </w:r>
      <w:r>
        <w:rPr>
          <w:rFonts w:eastAsia="Times New Roman"/>
          <w:color w:val="auto"/>
          <w:spacing w:val="-2"/>
          <w:szCs w:val="21"/>
          <w:highlight w:val="none"/>
        </w:rPr>
        <w:t>21</w:t>
      </w:r>
      <w:r>
        <w:rPr>
          <w:rFonts w:ascii="宋体" w:hAnsi="宋体" w:cs="宋体"/>
          <w:color w:val="auto"/>
          <w:spacing w:val="-2"/>
          <w:szCs w:val="21"/>
          <w:highlight w:val="none"/>
        </w:rPr>
        <w:t>）分包计划不符合招标文件规定的。</w:t>
      </w:r>
    </w:p>
    <w:p w14:paraId="164CB3E5">
      <w:pPr>
        <w:spacing w:before="162" w:line="234" w:lineRule="auto"/>
        <w:ind w:left="436"/>
        <w:rPr>
          <w:rFonts w:ascii="宋体" w:hAnsi="宋体" w:cs="宋体"/>
          <w:color w:val="auto"/>
          <w:szCs w:val="21"/>
          <w:highlight w:val="none"/>
        </w:rPr>
      </w:pPr>
      <w:r>
        <w:rPr>
          <w:rFonts w:hint="eastAsia" w:eastAsia="Times New Roman"/>
          <w:color w:val="auto"/>
          <w:spacing w:val="-1"/>
          <w:szCs w:val="21"/>
          <w:highlight w:val="none"/>
          <w:lang w:val="en-US" w:eastAsia="zh-CN"/>
        </w:rPr>
        <w:t>B1</w:t>
      </w:r>
      <w:r>
        <w:rPr>
          <w:rFonts w:eastAsia="Times New Roman"/>
          <w:color w:val="auto"/>
          <w:spacing w:val="-1"/>
          <w:szCs w:val="21"/>
          <w:highlight w:val="none"/>
        </w:rPr>
        <w:t xml:space="preserve">.2 </w:t>
      </w:r>
      <w:r>
        <w:rPr>
          <w:rFonts w:ascii="宋体" w:hAnsi="宋体" w:cs="宋体"/>
          <w:color w:val="auto"/>
          <w:spacing w:val="-1"/>
          <w:szCs w:val="21"/>
          <w:highlight w:val="none"/>
        </w:rPr>
        <w:t>不按评标委员会要求澄清、说明或补正的。</w:t>
      </w:r>
    </w:p>
    <w:p w14:paraId="55958E71">
      <w:pPr>
        <w:spacing w:before="164" w:line="234" w:lineRule="auto"/>
        <w:ind w:left="436"/>
        <w:rPr>
          <w:rFonts w:ascii="宋体" w:hAnsi="宋体" w:cs="宋体"/>
          <w:color w:val="auto"/>
          <w:szCs w:val="21"/>
          <w:highlight w:val="none"/>
        </w:rPr>
      </w:pPr>
      <w:r>
        <w:rPr>
          <w:rFonts w:hint="eastAsia" w:eastAsia="Times New Roman"/>
          <w:color w:val="auto"/>
          <w:spacing w:val="-1"/>
          <w:szCs w:val="21"/>
          <w:highlight w:val="none"/>
          <w:lang w:val="en-US" w:eastAsia="zh-CN"/>
        </w:rPr>
        <w:t>B1</w:t>
      </w:r>
      <w:r>
        <w:rPr>
          <w:rFonts w:eastAsia="Times New Roman"/>
          <w:color w:val="auto"/>
          <w:szCs w:val="21"/>
          <w:highlight w:val="none"/>
        </w:rPr>
        <w:t xml:space="preserve">.3 </w:t>
      </w:r>
      <w:r>
        <w:rPr>
          <w:rFonts w:ascii="宋体" w:hAnsi="宋体" w:cs="宋体"/>
          <w:color w:val="auto"/>
          <w:szCs w:val="21"/>
          <w:highlight w:val="none"/>
        </w:rPr>
        <w:t>有串通投标、弄虚作假或有其他违法行为的。包括以下内容：</w:t>
      </w:r>
    </w:p>
    <w:p w14:paraId="0E33C5FB">
      <w:pPr>
        <w:spacing w:before="164" w:line="235" w:lineRule="auto"/>
        <w:ind w:left="446"/>
        <w:rPr>
          <w:rFonts w:ascii="宋体" w:hAnsi="宋体" w:cs="宋体"/>
          <w:color w:val="auto"/>
          <w:szCs w:val="21"/>
          <w:highlight w:val="none"/>
        </w:rPr>
      </w:pPr>
      <w:r>
        <w:rPr>
          <w:rFonts w:ascii="宋体" w:hAnsi="宋体" w:cs="宋体"/>
          <w:color w:val="auto"/>
          <w:spacing w:val="-1"/>
          <w:szCs w:val="21"/>
          <w:highlight w:val="none"/>
        </w:rPr>
        <w:t>（</w:t>
      </w:r>
      <w:r>
        <w:rPr>
          <w:rFonts w:eastAsia="Times New Roman"/>
          <w:color w:val="auto"/>
          <w:spacing w:val="-1"/>
          <w:szCs w:val="21"/>
          <w:highlight w:val="none"/>
        </w:rPr>
        <w:t>1</w:t>
      </w:r>
      <w:r>
        <w:rPr>
          <w:rFonts w:ascii="宋体" w:hAnsi="宋体" w:cs="宋体"/>
          <w:color w:val="auto"/>
          <w:spacing w:val="-1"/>
          <w:szCs w:val="21"/>
          <w:highlight w:val="none"/>
        </w:rPr>
        <w:t>）有下列情形之一的，视为投标人相互串通投标：</w:t>
      </w:r>
    </w:p>
    <w:p w14:paraId="0D35F92B">
      <w:pPr>
        <w:spacing w:before="165" w:line="218" w:lineRule="auto"/>
        <w:ind w:left="439"/>
        <w:rPr>
          <w:rFonts w:ascii="宋体" w:hAnsi="宋体" w:cs="宋体"/>
          <w:color w:val="auto"/>
          <w:szCs w:val="21"/>
          <w:highlight w:val="none"/>
        </w:rPr>
      </w:pPr>
      <w:r>
        <w:rPr>
          <w:rFonts w:ascii="宋体" w:hAnsi="宋体" w:cs="宋体"/>
          <w:color w:val="auto"/>
          <w:szCs w:val="21"/>
          <w:highlight w:val="none"/>
        </w:rPr>
        <w:t>① 不同投标人的投标文件由同一单位或者</w:t>
      </w:r>
      <w:r>
        <w:rPr>
          <w:rFonts w:ascii="宋体" w:hAnsi="宋体" w:cs="宋体"/>
          <w:color w:val="auto"/>
          <w:spacing w:val="-1"/>
          <w:szCs w:val="21"/>
          <w:highlight w:val="none"/>
        </w:rPr>
        <w:t>个人编制；</w:t>
      </w:r>
    </w:p>
    <w:p w14:paraId="5838B70A">
      <w:pPr>
        <w:spacing w:before="182" w:line="218" w:lineRule="auto"/>
        <w:ind w:left="438"/>
        <w:rPr>
          <w:rFonts w:ascii="宋体" w:hAnsi="宋体" w:cs="宋体"/>
          <w:color w:val="auto"/>
          <w:szCs w:val="21"/>
          <w:highlight w:val="none"/>
        </w:rPr>
      </w:pPr>
      <w:r>
        <w:rPr>
          <w:rFonts w:ascii="宋体" w:hAnsi="宋体" w:cs="宋体"/>
          <w:color w:val="auto"/>
          <w:szCs w:val="21"/>
          <w:highlight w:val="none"/>
        </w:rPr>
        <w:t>② 不同投标人委托同一单位或者个人办理投</w:t>
      </w:r>
      <w:r>
        <w:rPr>
          <w:rFonts w:ascii="宋体" w:hAnsi="宋体" w:cs="宋体"/>
          <w:color w:val="auto"/>
          <w:spacing w:val="-1"/>
          <w:szCs w:val="21"/>
          <w:highlight w:val="none"/>
        </w:rPr>
        <w:t>标事宜；</w:t>
      </w:r>
    </w:p>
    <w:p w14:paraId="7E53D902">
      <w:pPr>
        <w:spacing w:before="181" w:line="299" w:lineRule="auto"/>
        <w:ind w:left="19" w:firstLine="419"/>
        <w:rPr>
          <w:rFonts w:ascii="宋体" w:hAnsi="宋体" w:cs="宋体"/>
          <w:color w:val="auto"/>
          <w:szCs w:val="21"/>
          <w:highlight w:val="none"/>
        </w:rPr>
      </w:pPr>
      <w:r>
        <w:rPr>
          <w:rFonts w:ascii="宋体" w:hAnsi="宋体" w:cs="宋体"/>
          <w:color w:val="auto"/>
          <w:szCs w:val="21"/>
          <w:highlight w:val="none"/>
        </w:rPr>
        <w:t>③ 不同投标人使用同一电脑等电子设备办理投</w:t>
      </w:r>
      <w:r>
        <w:rPr>
          <w:rFonts w:ascii="宋体" w:hAnsi="宋体" w:cs="宋体"/>
          <w:color w:val="auto"/>
          <w:spacing w:val="-1"/>
          <w:szCs w:val="21"/>
          <w:highlight w:val="none"/>
        </w:rPr>
        <w:t>标事宜（下载招标文件、上传投标文件、授权委托人或项目经理实名认证等关键环节</w:t>
      </w:r>
      <w:r>
        <w:rPr>
          <w:rFonts w:ascii="宋体" w:hAnsi="宋体" w:cs="宋体"/>
          <w:color w:val="auto"/>
          <w:spacing w:val="-6"/>
          <w:szCs w:val="21"/>
          <w:highlight w:val="none"/>
        </w:rPr>
        <w:t>）；</w:t>
      </w:r>
    </w:p>
    <w:p w14:paraId="7847C8A5">
      <w:pPr>
        <w:spacing w:before="179" w:line="218" w:lineRule="auto"/>
        <w:ind w:left="438"/>
        <w:rPr>
          <w:rFonts w:ascii="宋体" w:hAnsi="宋体" w:cs="宋体"/>
          <w:color w:val="auto"/>
          <w:szCs w:val="21"/>
          <w:highlight w:val="none"/>
        </w:rPr>
      </w:pPr>
      <w:r>
        <w:rPr>
          <w:rFonts w:ascii="宋体" w:hAnsi="宋体" w:cs="宋体"/>
          <w:color w:val="auto"/>
          <w:spacing w:val="-1"/>
          <w:szCs w:val="21"/>
          <w:highlight w:val="none"/>
        </w:rPr>
        <w:t>④ 不同投标人的投标文件载明的项目管理成员为同</w:t>
      </w:r>
      <w:r>
        <w:rPr>
          <w:rFonts w:ascii="宋体" w:hAnsi="宋体" w:cs="宋体"/>
          <w:color w:val="auto"/>
          <w:spacing w:val="-2"/>
          <w:szCs w:val="21"/>
          <w:highlight w:val="none"/>
        </w:rPr>
        <w:t>一人；</w:t>
      </w:r>
    </w:p>
    <w:p w14:paraId="4037008D">
      <w:pPr>
        <w:spacing w:before="182" w:line="218" w:lineRule="auto"/>
        <w:ind w:left="438"/>
        <w:rPr>
          <w:rFonts w:ascii="宋体" w:hAnsi="宋体" w:cs="宋体"/>
          <w:color w:val="auto"/>
          <w:szCs w:val="21"/>
          <w:highlight w:val="none"/>
        </w:rPr>
      </w:pPr>
      <w:r>
        <w:rPr>
          <w:rFonts w:ascii="宋体" w:hAnsi="宋体" w:cs="宋体"/>
          <w:color w:val="auto"/>
          <w:spacing w:val="-1"/>
          <w:szCs w:val="21"/>
          <w:highlight w:val="none"/>
        </w:rPr>
        <w:t>⑤ 不同投标人的投标文件非典型一致或者投标报价呈规律性差异；</w:t>
      </w:r>
    </w:p>
    <w:p w14:paraId="72764532">
      <w:pPr>
        <w:spacing w:before="184" w:line="218" w:lineRule="auto"/>
        <w:ind w:left="438"/>
        <w:rPr>
          <w:rFonts w:ascii="宋体" w:hAnsi="宋体" w:cs="宋体"/>
          <w:color w:val="auto"/>
          <w:szCs w:val="21"/>
          <w:highlight w:val="none"/>
        </w:rPr>
      </w:pPr>
      <w:r>
        <w:rPr>
          <w:rFonts w:ascii="宋体" w:hAnsi="宋体" w:cs="宋体"/>
          <w:color w:val="auto"/>
          <w:spacing w:val="-2"/>
          <w:szCs w:val="21"/>
          <w:highlight w:val="none"/>
        </w:rPr>
        <w:t>⑥ 不同投标人的投标文件相互混装；</w:t>
      </w:r>
    </w:p>
    <w:p w14:paraId="488C4D3A">
      <w:pPr>
        <w:spacing w:before="182" w:line="218" w:lineRule="auto"/>
        <w:jc w:val="right"/>
        <w:rPr>
          <w:rFonts w:ascii="宋体" w:hAnsi="宋体" w:cs="宋体"/>
          <w:color w:val="auto"/>
          <w:szCs w:val="21"/>
          <w:highlight w:val="none"/>
        </w:rPr>
      </w:pPr>
      <w:r>
        <w:rPr>
          <w:rFonts w:ascii="宋体" w:hAnsi="宋体" w:cs="宋体"/>
          <w:color w:val="auto"/>
          <w:spacing w:val="-1"/>
          <w:szCs w:val="21"/>
          <w:highlight w:val="none"/>
        </w:rPr>
        <w:t>⑦ 不同投标人的投标保证金或保函（保险）财务费用从同一单位或者个人的账户转出；</w:t>
      </w:r>
    </w:p>
    <w:p w14:paraId="7800C52E">
      <w:pPr>
        <w:spacing w:before="181" w:line="299" w:lineRule="auto"/>
        <w:ind w:left="29" w:right="177" w:firstLine="409"/>
        <w:rPr>
          <w:rFonts w:ascii="宋体" w:hAnsi="宋体" w:cs="宋体"/>
          <w:color w:val="auto"/>
          <w:szCs w:val="21"/>
          <w:highlight w:val="none"/>
        </w:rPr>
      </w:pPr>
      <w:r>
        <w:rPr>
          <w:rFonts w:ascii="宋体" w:hAnsi="宋体" w:cs="宋体"/>
          <w:color w:val="auto"/>
          <w:spacing w:val="-1"/>
          <w:szCs w:val="21"/>
          <w:highlight w:val="none"/>
        </w:rPr>
        <w:t>⑧ 不同投标人的投标文件存在</w:t>
      </w:r>
      <w:r>
        <w:rPr>
          <w:rFonts w:eastAsia="Times New Roman"/>
          <w:color w:val="auto"/>
          <w:spacing w:val="-1"/>
          <w:szCs w:val="21"/>
          <w:highlight w:val="none"/>
        </w:rPr>
        <w:t>“MAC</w:t>
      </w:r>
      <w:r>
        <w:rPr>
          <w:rFonts w:ascii="宋体" w:hAnsi="宋体" w:cs="宋体"/>
          <w:color w:val="auto"/>
          <w:spacing w:val="-1"/>
          <w:szCs w:val="21"/>
          <w:highlight w:val="none"/>
        </w:rPr>
        <w:t>地址</w:t>
      </w:r>
      <w:r>
        <w:rPr>
          <w:rFonts w:eastAsia="Times New Roman"/>
          <w:color w:val="auto"/>
          <w:spacing w:val="-1"/>
          <w:szCs w:val="21"/>
          <w:highlight w:val="none"/>
        </w:rPr>
        <w:t>”</w:t>
      </w:r>
      <w:r>
        <w:rPr>
          <w:rFonts w:ascii="宋体" w:hAnsi="宋体" w:cs="宋体"/>
          <w:color w:val="auto"/>
          <w:spacing w:val="-1"/>
          <w:szCs w:val="21"/>
          <w:highlight w:val="none"/>
        </w:rPr>
        <w:t>、</w:t>
      </w:r>
      <w:r>
        <w:rPr>
          <w:rFonts w:eastAsia="Times New Roman"/>
          <w:color w:val="auto"/>
          <w:spacing w:val="-1"/>
          <w:szCs w:val="21"/>
          <w:highlight w:val="none"/>
        </w:rPr>
        <w:t>“</w:t>
      </w:r>
      <w:r>
        <w:rPr>
          <w:rFonts w:ascii="宋体" w:hAnsi="宋体" w:cs="宋体"/>
          <w:color w:val="auto"/>
          <w:spacing w:val="-1"/>
          <w:szCs w:val="21"/>
          <w:highlight w:val="none"/>
        </w:rPr>
        <w:t>文件创建标识</w:t>
      </w:r>
      <w:r>
        <w:rPr>
          <w:rFonts w:ascii="宋体" w:hAnsi="宋体" w:cs="宋体"/>
          <w:color w:val="auto"/>
          <w:spacing w:val="-2"/>
          <w:szCs w:val="21"/>
          <w:highlight w:val="none"/>
        </w:rPr>
        <w:t>码</w:t>
      </w:r>
      <w:r>
        <w:rPr>
          <w:rFonts w:eastAsia="Times New Roman"/>
          <w:color w:val="auto"/>
          <w:spacing w:val="-2"/>
          <w:szCs w:val="21"/>
          <w:highlight w:val="none"/>
        </w:rPr>
        <w:t>”</w:t>
      </w:r>
      <w:r>
        <w:rPr>
          <w:rFonts w:ascii="宋体" w:hAnsi="宋体" w:cs="宋体"/>
          <w:color w:val="auto"/>
          <w:spacing w:val="-2"/>
          <w:szCs w:val="21"/>
          <w:highlight w:val="none"/>
        </w:rPr>
        <w:t>、</w:t>
      </w:r>
      <w:r>
        <w:rPr>
          <w:rFonts w:eastAsia="Times New Roman"/>
          <w:color w:val="auto"/>
          <w:spacing w:val="-2"/>
          <w:szCs w:val="21"/>
          <w:highlight w:val="none"/>
        </w:rPr>
        <w:t>“</w:t>
      </w:r>
      <w:r>
        <w:rPr>
          <w:rFonts w:ascii="宋体" w:hAnsi="宋体" w:cs="宋体"/>
          <w:color w:val="auto"/>
          <w:spacing w:val="-2"/>
          <w:szCs w:val="21"/>
          <w:highlight w:val="none"/>
        </w:rPr>
        <w:t>文件制作机器码</w:t>
      </w:r>
      <w:r>
        <w:rPr>
          <w:rFonts w:eastAsia="Times New Roman"/>
          <w:color w:val="auto"/>
          <w:spacing w:val="-2"/>
          <w:szCs w:val="21"/>
          <w:highlight w:val="none"/>
        </w:rPr>
        <w:t>”</w:t>
      </w:r>
      <w:r>
        <w:rPr>
          <w:rFonts w:ascii="宋体" w:hAnsi="宋体" w:cs="宋体"/>
          <w:color w:val="auto"/>
          <w:spacing w:val="-2"/>
          <w:szCs w:val="21"/>
          <w:highlight w:val="none"/>
        </w:rPr>
        <w:t>等</w:t>
      </w:r>
      <w:r>
        <w:rPr>
          <w:rFonts w:ascii="宋体" w:hAnsi="宋体" w:cs="宋体"/>
          <w:color w:val="auto"/>
          <w:spacing w:val="-3"/>
          <w:szCs w:val="21"/>
          <w:highlight w:val="none"/>
        </w:rPr>
        <w:t>唯一性标识一致等情形。</w:t>
      </w:r>
    </w:p>
    <w:p w14:paraId="55D20772">
      <w:pPr>
        <w:spacing w:before="179" w:line="234" w:lineRule="auto"/>
        <w:ind w:left="237"/>
        <w:rPr>
          <w:rFonts w:ascii="宋体" w:hAnsi="宋体" w:cs="宋体"/>
          <w:color w:val="auto"/>
          <w:szCs w:val="21"/>
          <w:highlight w:val="none"/>
        </w:rPr>
      </w:pPr>
      <w:r>
        <w:rPr>
          <w:rFonts w:ascii="宋体" w:hAnsi="宋体" w:cs="宋体"/>
          <w:color w:val="auto"/>
          <w:spacing w:val="-2"/>
          <w:szCs w:val="21"/>
          <w:highlight w:val="none"/>
        </w:rPr>
        <w:t>（</w:t>
      </w:r>
      <w:r>
        <w:rPr>
          <w:rFonts w:eastAsia="Times New Roman"/>
          <w:color w:val="auto"/>
          <w:spacing w:val="-2"/>
          <w:szCs w:val="21"/>
          <w:highlight w:val="none"/>
        </w:rPr>
        <w:t>2</w:t>
      </w:r>
      <w:r>
        <w:rPr>
          <w:rFonts w:ascii="宋体" w:hAnsi="宋体" w:cs="宋体"/>
          <w:color w:val="auto"/>
          <w:spacing w:val="-2"/>
          <w:szCs w:val="21"/>
          <w:highlight w:val="none"/>
        </w:rPr>
        <w:t>）有下列情形之一的，属于弄虚作假行为：</w:t>
      </w:r>
    </w:p>
    <w:p w14:paraId="18159369">
      <w:pPr>
        <w:spacing w:before="164" w:line="218" w:lineRule="auto"/>
        <w:jc w:val="right"/>
        <w:rPr>
          <w:rFonts w:ascii="宋体" w:hAnsi="宋体" w:cs="宋体"/>
          <w:color w:val="auto"/>
          <w:szCs w:val="21"/>
          <w:highlight w:val="none"/>
        </w:rPr>
      </w:pPr>
      <w:r>
        <w:rPr>
          <w:rFonts w:ascii="宋体" w:hAnsi="宋体" w:cs="宋体"/>
          <w:color w:val="auto"/>
          <w:szCs w:val="21"/>
          <w:highlight w:val="none"/>
        </w:rPr>
        <w:t>① 使用通过受让或者租借等方式获取的资</w:t>
      </w:r>
      <w:r>
        <w:rPr>
          <w:rFonts w:ascii="宋体" w:hAnsi="宋体" w:cs="宋体"/>
          <w:color w:val="auto"/>
          <w:spacing w:val="-1"/>
          <w:szCs w:val="21"/>
          <w:highlight w:val="none"/>
        </w:rPr>
        <w:t>格、资质证书投标的，即以他人名义投标的。</w:t>
      </w:r>
    </w:p>
    <w:p w14:paraId="34618C4A">
      <w:pPr>
        <w:spacing w:before="184" w:line="218" w:lineRule="auto"/>
        <w:ind w:left="438"/>
        <w:rPr>
          <w:rFonts w:ascii="宋体" w:hAnsi="宋体" w:cs="宋体"/>
          <w:color w:val="auto"/>
          <w:szCs w:val="21"/>
          <w:highlight w:val="none"/>
        </w:rPr>
      </w:pPr>
      <w:r>
        <w:rPr>
          <w:rFonts w:ascii="宋体" w:hAnsi="宋体" w:cs="宋体"/>
          <w:color w:val="auto"/>
          <w:spacing w:val="-3"/>
          <w:szCs w:val="21"/>
          <w:highlight w:val="none"/>
        </w:rPr>
        <w:t>② 使用伪造、变造的许可证件；</w:t>
      </w:r>
    </w:p>
    <w:p w14:paraId="4EA29ADF">
      <w:pPr>
        <w:spacing w:before="182" w:line="218" w:lineRule="auto"/>
        <w:ind w:left="438"/>
        <w:rPr>
          <w:rFonts w:ascii="宋体" w:hAnsi="宋体" w:cs="宋体"/>
          <w:color w:val="auto"/>
          <w:szCs w:val="21"/>
          <w:highlight w:val="none"/>
        </w:rPr>
      </w:pPr>
      <w:r>
        <w:rPr>
          <w:rFonts w:ascii="宋体" w:hAnsi="宋体" w:cs="宋体"/>
          <w:color w:val="auto"/>
          <w:spacing w:val="-1"/>
          <w:szCs w:val="21"/>
          <w:highlight w:val="none"/>
        </w:rPr>
        <w:t>③ 提供虚假的财务状况或者业绩；</w:t>
      </w:r>
    </w:p>
    <w:p w14:paraId="3A6DB574">
      <w:pPr>
        <w:spacing w:before="182" w:line="218" w:lineRule="auto"/>
        <w:ind w:left="438"/>
        <w:rPr>
          <w:rFonts w:ascii="宋体" w:hAnsi="宋体" w:cs="宋体"/>
          <w:color w:val="auto"/>
          <w:szCs w:val="21"/>
          <w:highlight w:val="none"/>
        </w:rPr>
      </w:pPr>
      <w:r>
        <w:rPr>
          <w:rFonts w:ascii="宋体" w:hAnsi="宋体" w:cs="宋体"/>
          <w:color w:val="auto"/>
          <w:szCs w:val="21"/>
          <w:highlight w:val="none"/>
        </w:rPr>
        <w:t>④ 提供虚假的项目负责人或者主要技术人员简历、社会保</w:t>
      </w:r>
      <w:r>
        <w:rPr>
          <w:rFonts w:ascii="宋体" w:hAnsi="宋体" w:cs="宋体"/>
          <w:color w:val="auto"/>
          <w:spacing w:val="-1"/>
          <w:szCs w:val="21"/>
          <w:highlight w:val="none"/>
        </w:rPr>
        <w:t>险证明；</w:t>
      </w:r>
    </w:p>
    <w:p w14:paraId="527C9F8A">
      <w:pPr>
        <w:spacing w:before="182" w:line="218" w:lineRule="auto"/>
        <w:ind w:left="438"/>
        <w:rPr>
          <w:rFonts w:ascii="宋体" w:hAnsi="宋体" w:cs="宋体"/>
          <w:color w:val="auto"/>
          <w:szCs w:val="21"/>
          <w:highlight w:val="none"/>
        </w:rPr>
      </w:pPr>
      <w:r>
        <w:rPr>
          <w:rFonts w:ascii="宋体" w:hAnsi="宋体" w:cs="宋体"/>
          <w:color w:val="auto"/>
          <w:spacing w:val="-1"/>
          <w:szCs w:val="21"/>
          <w:highlight w:val="none"/>
        </w:rPr>
        <w:t>⑤ 提供虚假的信用状况；</w:t>
      </w:r>
    </w:p>
    <w:p w14:paraId="4B173419">
      <w:pPr>
        <w:spacing w:before="181" w:line="218" w:lineRule="auto"/>
        <w:ind w:left="438"/>
        <w:rPr>
          <w:rFonts w:ascii="宋体" w:hAnsi="宋体" w:cs="宋体"/>
          <w:color w:val="auto"/>
          <w:szCs w:val="21"/>
          <w:highlight w:val="none"/>
        </w:rPr>
      </w:pPr>
      <w:r>
        <w:rPr>
          <w:rFonts w:ascii="宋体" w:hAnsi="宋体" w:cs="宋体"/>
          <w:color w:val="auto"/>
          <w:spacing w:val="-1"/>
          <w:szCs w:val="21"/>
          <w:highlight w:val="none"/>
        </w:rPr>
        <w:t>⑥ 其他弄虚作假的行为。</w:t>
      </w:r>
    </w:p>
    <w:p w14:paraId="4DDB938E">
      <w:pPr>
        <w:spacing w:before="181" w:line="234" w:lineRule="auto"/>
        <w:ind w:left="436"/>
        <w:rPr>
          <w:rFonts w:ascii="宋体" w:hAnsi="宋体" w:cs="宋体"/>
          <w:color w:val="auto"/>
          <w:szCs w:val="21"/>
          <w:highlight w:val="none"/>
        </w:rPr>
      </w:pPr>
      <w:r>
        <w:rPr>
          <w:rFonts w:hint="eastAsia" w:eastAsia="Times New Roman"/>
          <w:color w:val="auto"/>
          <w:spacing w:val="-1"/>
          <w:szCs w:val="21"/>
          <w:highlight w:val="none"/>
          <w:lang w:val="en-US" w:eastAsia="zh-CN"/>
        </w:rPr>
        <w:t>B1</w:t>
      </w:r>
      <w:r>
        <w:rPr>
          <w:rFonts w:eastAsia="Times New Roman"/>
          <w:color w:val="auto"/>
          <w:spacing w:val="-1"/>
          <w:szCs w:val="21"/>
          <w:highlight w:val="none"/>
        </w:rPr>
        <w:t xml:space="preserve">.4 </w:t>
      </w:r>
      <w:r>
        <w:rPr>
          <w:rFonts w:ascii="宋体" w:hAnsi="宋体" w:cs="宋体"/>
          <w:color w:val="auto"/>
          <w:spacing w:val="-1"/>
          <w:szCs w:val="21"/>
          <w:highlight w:val="none"/>
        </w:rPr>
        <w:t>有第二章</w:t>
      </w:r>
      <w:r>
        <w:rPr>
          <w:rFonts w:eastAsia="Times New Roman"/>
          <w:color w:val="auto"/>
          <w:spacing w:val="-1"/>
          <w:szCs w:val="21"/>
          <w:highlight w:val="none"/>
        </w:rPr>
        <w:t>“</w:t>
      </w:r>
      <w:r>
        <w:rPr>
          <w:rFonts w:ascii="宋体" w:hAnsi="宋体" w:cs="宋体"/>
          <w:color w:val="auto"/>
          <w:spacing w:val="-1"/>
          <w:szCs w:val="21"/>
          <w:highlight w:val="none"/>
        </w:rPr>
        <w:t>投标人须知</w:t>
      </w:r>
      <w:r>
        <w:rPr>
          <w:rFonts w:eastAsia="Times New Roman"/>
          <w:color w:val="auto"/>
          <w:spacing w:val="-1"/>
          <w:szCs w:val="21"/>
          <w:highlight w:val="none"/>
        </w:rPr>
        <w:t>”</w:t>
      </w:r>
      <w:r>
        <w:rPr>
          <w:rFonts w:ascii="宋体" w:hAnsi="宋体" w:cs="宋体"/>
          <w:color w:val="auto"/>
          <w:spacing w:val="-1"/>
          <w:szCs w:val="21"/>
          <w:highlight w:val="none"/>
        </w:rPr>
        <w:t>第</w:t>
      </w:r>
      <w:r>
        <w:rPr>
          <w:rFonts w:eastAsia="Times New Roman"/>
          <w:color w:val="auto"/>
          <w:spacing w:val="-1"/>
          <w:szCs w:val="21"/>
          <w:highlight w:val="none"/>
        </w:rPr>
        <w:t xml:space="preserve">1.4.3 </w:t>
      </w:r>
      <w:r>
        <w:rPr>
          <w:rFonts w:ascii="宋体" w:hAnsi="宋体" w:cs="宋体"/>
          <w:color w:val="auto"/>
          <w:spacing w:val="-1"/>
          <w:szCs w:val="21"/>
          <w:highlight w:val="none"/>
        </w:rPr>
        <w:t>项规定的任何一种情形。包括以下内容：</w:t>
      </w:r>
    </w:p>
    <w:p w14:paraId="6E462AC9">
      <w:pPr>
        <w:spacing w:before="142" w:line="234" w:lineRule="auto"/>
        <w:ind w:left="340"/>
        <w:rPr>
          <w:rFonts w:ascii="宋体" w:hAnsi="宋体" w:cs="宋体"/>
          <w:color w:val="auto"/>
          <w:szCs w:val="21"/>
          <w:highlight w:val="none"/>
        </w:rPr>
      </w:pPr>
      <w:r>
        <w:rPr>
          <w:rFonts w:ascii="宋体" w:hAnsi="宋体" w:cs="宋体"/>
          <w:color w:val="auto"/>
          <w:spacing w:val="-3"/>
          <w:szCs w:val="21"/>
          <w:highlight w:val="none"/>
        </w:rPr>
        <w:t>（</w:t>
      </w:r>
      <w:r>
        <w:rPr>
          <w:rFonts w:eastAsia="Times New Roman"/>
          <w:color w:val="auto"/>
          <w:spacing w:val="-3"/>
          <w:szCs w:val="21"/>
          <w:highlight w:val="none"/>
        </w:rPr>
        <w:t>1</w:t>
      </w:r>
      <w:r>
        <w:rPr>
          <w:rFonts w:ascii="宋体" w:hAnsi="宋体" w:cs="宋体"/>
          <w:color w:val="auto"/>
          <w:spacing w:val="-3"/>
          <w:szCs w:val="21"/>
          <w:highlight w:val="none"/>
        </w:rPr>
        <w:t>）为招标人不具有独立法人资格的附属</w:t>
      </w:r>
      <w:r>
        <w:rPr>
          <w:rFonts w:ascii="宋体" w:hAnsi="宋体" w:cs="宋体"/>
          <w:color w:val="auto"/>
          <w:spacing w:val="-4"/>
          <w:szCs w:val="21"/>
          <w:highlight w:val="none"/>
        </w:rPr>
        <w:t>机构（单位</w:t>
      </w:r>
      <w:r>
        <w:rPr>
          <w:rFonts w:ascii="宋体" w:hAnsi="宋体" w:cs="宋体"/>
          <w:color w:val="auto"/>
          <w:spacing w:val="-28"/>
          <w:szCs w:val="21"/>
          <w:highlight w:val="none"/>
        </w:rPr>
        <w:t>）；</w:t>
      </w:r>
    </w:p>
    <w:p w14:paraId="45FEF92E">
      <w:pPr>
        <w:spacing w:before="135" w:line="234" w:lineRule="auto"/>
        <w:ind w:left="340"/>
        <w:rPr>
          <w:rFonts w:ascii="宋体" w:hAnsi="宋体" w:cs="宋体"/>
          <w:color w:val="auto"/>
          <w:szCs w:val="21"/>
          <w:highlight w:val="none"/>
        </w:rPr>
      </w:pPr>
      <w:r>
        <w:rPr>
          <w:rFonts w:ascii="宋体" w:hAnsi="宋体" w:cs="宋体"/>
          <w:color w:val="auto"/>
          <w:spacing w:val="-2"/>
          <w:szCs w:val="21"/>
          <w:highlight w:val="none"/>
        </w:rPr>
        <w:t>（</w:t>
      </w:r>
      <w:r>
        <w:rPr>
          <w:rFonts w:eastAsia="Times New Roman"/>
          <w:color w:val="auto"/>
          <w:spacing w:val="-2"/>
          <w:szCs w:val="21"/>
          <w:highlight w:val="none"/>
        </w:rPr>
        <w:t>2</w:t>
      </w:r>
      <w:r>
        <w:rPr>
          <w:rFonts w:ascii="宋体" w:hAnsi="宋体" w:cs="宋体"/>
          <w:color w:val="auto"/>
          <w:spacing w:val="-2"/>
          <w:szCs w:val="21"/>
          <w:highlight w:val="none"/>
        </w:rPr>
        <w:t>）</w:t>
      </w:r>
      <w:r>
        <w:rPr>
          <w:rFonts w:hint="eastAsia" w:ascii="宋体" w:hAnsi="宋体" w:cs="宋体"/>
          <w:color w:val="auto"/>
          <w:spacing w:val="-2"/>
          <w:szCs w:val="21"/>
          <w:highlight w:val="none"/>
          <w:lang w:val="en-US" w:eastAsia="zh-CN"/>
        </w:rPr>
        <w:t>为本招标项目前期准备提供设计或咨询服务的（招标文件另有规定的情形除外）</w:t>
      </w:r>
      <w:r>
        <w:rPr>
          <w:rFonts w:ascii="宋体" w:hAnsi="宋体" w:cs="宋体"/>
          <w:color w:val="auto"/>
          <w:spacing w:val="-2"/>
          <w:szCs w:val="21"/>
          <w:highlight w:val="none"/>
        </w:rPr>
        <w:t>；</w:t>
      </w:r>
    </w:p>
    <w:p w14:paraId="443B9459">
      <w:pPr>
        <w:spacing w:before="132" w:line="234" w:lineRule="auto"/>
        <w:ind w:left="340"/>
        <w:rPr>
          <w:rFonts w:ascii="宋体" w:hAnsi="宋体" w:cs="宋体"/>
          <w:color w:val="auto"/>
          <w:szCs w:val="21"/>
          <w:highlight w:val="none"/>
        </w:rPr>
      </w:pPr>
      <w:r>
        <w:rPr>
          <w:rFonts w:ascii="宋体" w:hAnsi="宋体" w:cs="宋体"/>
          <w:color w:val="auto"/>
          <w:spacing w:val="-3"/>
          <w:szCs w:val="21"/>
          <w:highlight w:val="none"/>
        </w:rPr>
        <w:t>（</w:t>
      </w:r>
      <w:r>
        <w:rPr>
          <w:rFonts w:hint="eastAsia" w:eastAsia="宋体"/>
          <w:color w:val="auto"/>
          <w:spacing w:val="-3"/>
          <w:szCs w:val="21"/>
          <w:highlight w:val="none"/>
          <w:lang w:val="en-US" w:eastAsia="zh-CN"/>
        </w:rPr>
        <w:t>3</w:t>
      </w:r>
      <w:r>
        <w:rPr>
          <w:rFonts w:ascii="宋体" w:hAnsi="宋体" w:cs="宋体"/>
          <w:color w:val="auto"/>
          <w:spacing w:val="-3"/>
          <w:szCs w:val="21"/>
          <w:highlight w:val="none"/>
        </w:rPr>
        <w:t>）为本招标项目的监理人；</w:t>
      </w:r>
    </w:p>
    <w:p w14:paraId="6C1D4C68">
      <w:pPr>
        <w:spacing w:before="149" w:line="234" w:lineRule="auto"/>
        <w:ind w:left="340"/>
        <w:rPr>
          <w:rFonts w:ascii="宋体" w:hAnsi="宋体" w:cs="宋体"/>
          <w:color w:val="auto"/>
          <w:spacing w:val="-3"/>
          <w:szCs w:val="21"/>
          <w:highlight w:val="none"/>
        </w:rPr>
      </w:pPr>
      <w:r>
        <w:rPr>
          <w:rFonts w:ascii="宋体" w:hAnsi="宋体" w:cs="宋体"/>
          <w:color w:val="auto"/>
          <w:spacing w:val="-3"/>
          <w:szCs w:val="21"/>
          <w:highlight w:val="none"/>
        </w:rPr>
        <w:t>（</w:t>
      </w:r>
      <w:r>
        <w:rPr>
          <w:rFonts w:hint="eastAsia" w:eastAsia="宋体"/>
          <w:color w:val="auto"/>
          <w:spacing w:val="-3"/>
          <w:szCs w:val="21"/>
          <w:highlight w:val="none"/>
          <w:lang w:val="en-US" w:eastAsia="zh-CN"/>
        </w:rPr>
        <w:t>4</w:t>
      </w:r>
      <w:r>
        <w:rPr>
          <w:rFonts w:ascii="宋体" w:hAnsi="宋体" w:cs="宋体"/>
          <w:color w:val="auto"/>
          <w:spacing w:val="-3"/>
          <w:szCs w:val="21"/>
          <w:highlight w:val="none"/>
        </w:rPr>
        <w:t>）为本招标项目的代建人；</w:t>
      </w:r>
    </w:p>
    <w:p w14:paraId="00FDBE0E">
      <w:pPr>
        <w:spacing w:before="149" w:line="234" w:lineRule="auto"/>
        <w:ind w:left="340"/>
        <w:rPr>
          <w:rFonts w:ascii="宋体" w:hAnsi="宋体" w:cs="宋体"/>
          <w:color w:val="auto"/>
          <w:szCs w:val="21"/>
          <w:highlight w:val="none"/>
        </w:rPr>
      </w:pPr>
      <w:r>
        <w:rPr>
          <w:rFonts w:ascii="宋体" w:hAnsi="宋体" w:cs="宋体"/>
          <w:color w:val="auto"/>
          <w:spacing w:val="-2"/>
          <w:szCs w:val="21"/>
          <w:highlight w:val="none"/>
        </w:rPr>
        <w:t>（</w:t>
      </w:r>
      <w:r>
        <w:rPr>
          <w:rFonts w:hint="eastAsia" w:eastAsia="宋体"/>
          <w:color w:val="auto"/>
          <w:spacing w:val="-2"/>
          <w:szCs w:val="21"/>
          <w:highlight w:val="none"/>
          <w:lang w:val="en-US" w:eastAsia="zh-CN"/>
        </w:rPr>
        <w:t>5</w:t>
      </w:r>
      <w:r>
        <w:rPr>
          <w:rFonts w:ascii="宋体" w:hAnsi="宋体" w:cs="宋体"/>
          <w:color w:val="auto"/>
          <w:spacing w:val="-2"/>
          <w:szCs w:val="21"/>
          <w:highlight w:val="none"/>
        </w:rPr>
        <w:t>）为本招标项目提供招标代理服务的；</w:t>
      </w:r>
    </w:p>
    <w:p w14:paraId="6F05405F">
      <w:pPr>
        <w:spacing w:before="131" w:line="288" w:lineRule="auto"/>
        <w:ind w:left="22" w:right="45" w:firstLine="318"/>
        <w:rPr>
          <w:rFonts w:ascii="宋体" w:hAnsi="宋体" w:cs="宋体"/>
          <w:color w:val="auto"/>
          <w:szCs w:val="21"/>
          <w:highlight w:val="none"/>
        </w:rPr>
      </w:pPr>
      <w:r>
        <w:rPr>
          <w:rFonts w:ascii="宋体" w:hAnsi="宋体" w:cs="宋体"/>
          <w:color w:val="auto"/>
          <w:spacing w:val="3"/>
          <w:szCs w:val="21"/>
          <w:highlight w:val="none"/>
        </w:rPr>
        <w:t>（</w:t>
      </w:r>
      <w:r>
        <w:rPr>
          <w:rFonts w:hint="eastAsia" w:eastAsia="宋体"/>
          <w:color w:val="auto"/>
          <w:spacing w:val="3"/>
          <w:szCs w:val="21"/>
          <w:highlight w:val="none"/>
          <w:lang w:val="en-US" w:eastAsia="zh-CN"/>
        </w:rPr>
        <w:t>6</w:t>
      </w:r>
      <w:r>
        <w:rPr>
          <w:rFonts w:ascii="宋体" w:hAnsi="宋体" w:cs="宋体"/>
          <w:color w:val="auto"/>
          <w:spacing w:val="3"/>
          <w:szCs w:val="21"/>
          <w:highlight w:val="none"/>
        </w:rPr>
        <w:t>）与本招标项目的监理人或代建人或招标代理机构同为一个法定代表人或单</w:t>
      </w:r>
      <w:r>
        <w:rPr>
          <w:rFonts w:ascii="宋体" w:hAnsi="宋体" w:cs="宋体"/>
          <w:color w:val="auto"/>
          <w:spacing w:val="2"/>
          <w:szCs w:val="21"/>
          <w:highlight w:val="none"/>
        </w:rPr>
        <w:t>位负责</w:t>
      </w:r>
      <w:r>
        <w:rPr>
          <w:rFonts w:ascii="宋体" w:hAnsi="宋体" w:cs="宋体"/>
          <w:color w:val="auto"/>
          <w:spacing w:val="-15"/>
          <w:szCs w:val="21"/>
          <w:highlight w:val="none"/>
        </w:rPr>
        <w:t>人；</w:t>
      </w:r>
    </w:p>
    <w:p w14:paraId="163C02C8">
      <w:pPr>
        <w:spacing w:before="147" w:line="234" w:lineRule="auto"/>
        <w:ind w:left="340"/>
        <w:rPr>
          <w:rFonts w:ascii="宋体" w:hAnsi="宋体" w:cs="宋体"/>
          <w:color w:val="auto"/>
          <w:szCs w:val="21"/>
          <w:highlight w:val="none"/>
        </w:rPr>
      </w:pPr>
      <w:r>
        <w:rPr>
          <w:rFonts w:ascii="宋体" w:hAnsi="宋体" w:cs="宋体"/>
          <w:color w:val="auto"/>
          <w:szCs w:val="21"/>
          <w:highlight w:val="none"/>
        </w:rPr>
        <w:t>（</w:t>
      </w:r>
      <w:r>
        <w:rPr>
          <w:rFonts w:hint="eastAsia" w:eastAsia="宋体"/>
          <w:color w:val="auto"/>
          <w:szCs w:val="21"/>
          <w:highlight w:val="none"/>
          <w:lang w:val="en-US" w:eastAsia="zh-CN"/>
        </w:rPr>
        <w:t>7</w:t>
      </w:r>
      <w:r>
        <w:rPr>
          <w:rFonts w:ascii="宋体" w:hAnsi="宋体" w:cs="宋体"/>
          <w:color w:val="auto"/>
          <w:szCs w:val="21"/>
          <w:highlight w:val="none"/>
        </w:rPr>
        <w:t>）与本招标项目的监理人或代建人或招标代理</w:t>
      </w:r>
      <w:r>
        <w:rPr>
          <w:rFonts w:ascii="宋体" w:hAnsi="宋体" w:cs="宋体"/>
          <w:color w:val="auto"/>
          <w:spacing w:val="-1"/>
          <w:szCs w:val="21"/>
          <w:highlight w:val="none"/>
        </w:rPr>
        <w:t>机构相互控股或参股的；</w:t>
      </w:r>
    </w:p>
    <w:p w14:paraId="210C45F2">
      <w:pPr>
        <w:spacing w:before="132" w:line="287" w:lineRule="auto"/>
        <w:ind w:left="21" w:right="54" w:firstLine="319"/>
        <w:rPr>
          <w:rFonts w:ascii="宋体" w:hAnsi="宋体" w:cs="宋体"/>
          <w:color w:val="auto"/>
          <w:szCs w:val="21"/>
          <w:highlight w:val="none"/>
        </w:rPr>
      </w:pPr>
      <w:r>
        <w:rPr>
          <w:rFonts w:ascii="宋体" w:hAnsi="宋体" w:cs="宋体"/>
          <w:color w:val="auto"/>
          <w:spacing w:val="3"/>
          <w:szCs w:val="21"/>
          <w:highlight w:val="none"/>
        </w:rPr>
        <w:t>（</w:t>
      </w:r>
      <w:r>
        <w:rPr>
          <w:rFonts w:hint="eastAsia" w:eastAsia="宋体"/>
          <w:color w:val="auto"/>
          <w:spacing w:val="3"/>
          <w:szCs w:val="21"/>
          <w:highlight w:val="none"/>
          <w:lang w:val="en-US" w:eastAsia="zh-CN"/>
        </w:rPr>
        <w:t>8</w:t>
      </w:r>
      <w:r>
        <w:rPr>
          <w:rFonts w:ascii="宋体" w:hAnsi="宋体" w:cs="宋体"/>
          <w:color w:val="auto"/>
          <w:spacing w:val="3"/>
          <w:szCs w:val="21"/>
          <w:highlight w:val="none"/>
        </w:rPr>
        <w:t>）与本招标项目的监理人或代建人或招标代理机构法定</w:t>
      </w:r>
      <w:r>
        <w:rPr>
          <w:rFonts w:ascii="宋体" w:hAnsi="宋体" w:cs="宋体"/>
          <w:color w:val="auto"/>
          <w:spacing w:val="2"/>
          <w:szCs w:val="21"/>
          <w:highlight w:val="none"/>
        </w:rPr>
        <w:t>代表人或单位负责人相互任</w:t>
      </w:r>
      <w:r>
        <w:rPr>
          <w:rFonts w:ascii="宋体" w:hAnsi="宋体" w:cs="宋体"/>
          <w:color w:val="auto"/>
          <w:spacing w:val="-7"/>
          <w:szCs w:val="21"/>
          <w:highlight w:val="none"/>
        </w:rPr>
        <w:t>职或工作；</w:t>
      </w:r>
    </w:p>
    <w:p w14:paraId="10021151">
      <w:pPr>
        <w:spacing w:before="150" w:line="286" w:lineRule="auto"/>
        <w:ind w:left="37" w:right="45" w:firstLine="303"/>
        <w:rPr>
          <w:rFonts w:ascii="宋体" w:hAnsi="宋体" w:cs="宋体"/>
          <w:color w:val="auto"/>
          <w:szCs w:val="21"/>
          <w:highlight w:val="none"/>
        </w:rPr>
      </w:pPr>
      <w:r>
        <w:rPr>
          <w:rFonts w:ascii="宋体" w:hAnsi="宋体" w:cs="宋体"/>
          <w:color w:val="auto"/>
          <w:szCs w:val="21"/>
          <w:highlight w:val="none"/>
        </w:rPr>
        <w:t>（</w:t>
      </w:r>
      <w:r>
        <w:rPr>
          <w:rFonts w:hint="eastAsia" w:eastAsia="宋体"/>
          <w:color w:val="auto"/>
          <w:szCs w:val="21"/>
          <w:highlight w:val="none"/>
          <w:lang w:val="en-US" w:eastAsia="zh-CN"/>
        </w:rPr>
        <w:t>9</w:t>
      </w:r>
      <w:r>
        <w:rPr>
          <w:rFonts w:ascii="宋体" w:hAnsi="宋体" w:cs="宋体"/>
          <w:color w:val="auto"/>
          <w:szCs w:val="21"/>
          <w:highlight w:val="none"/>
        </w:rPr>
        <w:t>）单位负责人为同一人或者存在控股、管理关系的不同单位，同时参加本标段投标</w:t>
      </w:r>
      <w:r>
        <w:rPr>
          <w:rFonts w:ascii="宋体" w:hAnsi="宋体" w:cs="宋体"/>
          <w:color w:val="auto"/>
          <w:spacing w:val="-19"/>
          <w:szCs w:val="21"/>
          <w:highlight w:val="none"/>
        </w:rPr>
        <w:t>的；</w:t>
      </w:r>
    </w:p>
    <w:p w14:paraId="1F7C2DBD">
      <w:pPr>
        <w:spacing w:before="133" w:line="308" w:lineRule="auto"/>
        <w:ind w:left="25" w:right="47" w:firstLine="315"/>
        <w:rPr>
          <w:rFonts w:ascii="宋体" w:hAnsi="宋体" w:cs="宋体"/>
          <w:color w:val="auto"/>
          <w:spacing w:val="-33"/>
          <w:szCs w:val="21"/>
          <w:highlight w:val="none"/>
        </w:rPr>
      </w:pPr>
      <w:r>
        <w:rPr>
          <w:rFonts w:ascii="宋体" w:hAnsi="宋体" w:cs="宋体"/>
          <w:color w:val="auto"/>
          <w:szCs w:val="21"/>
          <w:highlight w:val="none"/>
        </w:rPr>
        <w:t>（</w:t>
      </w:r>
      <w:r>
        <w:rPr>
          <w:rFonts w:hint="eastAsia" w:eastAsia="宋体"/>
          <w:color w:val="auto"/>
          <w:szCs w:val="21"/>
          <w:highlight w:val="none"/>
          <w:lang w:val="en-US" w:eastAsia="zh-CN"/>
        </w:rPr>
        <w:t>10</w:t>
      </w:r>
      <w:r>
        <w:rPr>
          <w:rFonts w:ascii="宋体" w:hAnsi="宋体" w:cs="宋体"/>
          <w:color w:val="auto"/>
          <w:szCs w:val="21"/>
          <w:highlight w:val="none"/>
        </w:rPr>
        <w:t>）被依法暂停或取消投标资格（指被本招标项目所在地县级及以上住房城乡建设主</w:t>
      </w:r>
      <w:r>
        <w:rPr>
          <w:rFonts w:ascii="宋体" w:hAnsi="宋体" w:cs="宋体"/>
          <w:color w:val="auto"/>
          <w:spacing w:val="3"/>
          <w:szCs w:val="21"/>
          <w:highlight w:val="none"/>
        </w:rPr>
        <w:t>管部门或其他行政主管部门暂停或取消投标资格或禁止进入该区域建设</w:t>
      </w:r>
      <w:r>
        <w:rPr>
          <w:rFonts w:ascii="宋体" w:hAnsi="宋体" w:cs="宋体"/>
          <w:color w:val="auto"/>
          <w:spacing w:val="2"/>
          <w:szCs w:val="21"/>
          <w:highlight w:val="none"/>
        </w:rPr>
        <w:t>市场且处于有效期</w:t>
      </w:r>
      <w:r>
        <w:rPr>
          <w:rFonts w:ascii="宋体" w:hAnsi="宋体" w:cs="宋体"/>
          <w:color w:val="auto"/>
          <w:spacing w:val="-54"/>
          <w:w w:val="94"/>
          <w:szCs w:val="21"/>
          <w:highlight w:val="none"/>
        </w:rPr>
        <w:t>内</w:t>
      </w:r>
      <w:r>
        <w:rPr>
          <w:rFonts w:ascii="宋体" w:hAnsi="宋体" w:cs="宋体"/>
          <w:color w:val="auto"/>
          <w:spacing w:val="-33"/>
          <w:szCs w:val="21"/>
          <w:highlight w:val="none"/>
        </w:rPr>
        <w:t>）；</w:t>
      </w:r>
    </w:p>
    <w:p w14:paraId="5F783BFC">
      <w:pPr>
        <w:spacing w:before="147" w:line="234" w:lineRule="auto"/>
        <w:ind w:left="340"/>
        <w:rPr>
          <w:rFonts w:ascii="宋体" w:hAnsi="宋体" w:cs="宋体"/>
          <w:color w:val="auto"/>
          <w:spacing w:val="-33"/>
          <w:szCs w:val="21"/>
          <w:highlight w:val="none"/>
        </w:rPr>
      </w:pPr>
      <w:r>
        <w:rPr>
          <w:rFonts w:ascii="宋体" w:hAnsi="宋体" w:cs="宋体"/>
          <w:color w:val="auto"/>
          <w:spacing w:val="-1"/>
          <w:szCs w:val="21"/>
          <w:highlight w:val="none"/>
        </w:rPr>
        <w:t>（</w:t>
      </w:r>
      <w:r>
        <w:rPr>
          <w:rFonts w:hint="eastAsia"/>
          <w:color w:val="auto"/>
          <w:spacing w:val="-1"/>
          <w:szCs w:val="21"/>
          <w:highlight w:val="none"/>
          <w:lang w:val="en-US" w:eastAsia="zh-CN"/>
        </w:rPr>
        <w:t>11</w:t>
      </w:r>
      <w:r>
        <w:rPr>
          <w:rFonts w:ascii="宋体" w:hAnsi="宋体" w:cs="宋体"/>
          <w:color w:val="auto"/>
          <w:spacing w:val="-1"/>
          <w:szCs w:val="21"/>
          <w:highlight w:val="none"/>
        </w:rPr>
        <w:t>）被责令停产停业、暂扣或者吊销许可证、暂扣或者吊销执照；</w:t>
      </w:r>
    </w:p>
    <w:p w14:paraId="59EF5BBE">
      <w:pPr>
        <w:spacing w:before="150" w:line="233" w:lineRule="auto"/>
        <w:ind w:left="340"/>
        <w:rPr>
          <w:rFonts w:ascii="宋体" w:hAnsi="宋体" w:cs="宋体"/>
          <w:color w:val="auto"/>
          <w:szCs w:val="21"/>
          <w:highlight w:val="none"/>
        </w:rPr>
      </w:pPr>
      <w:r>
        <w:rPr>
          <w:rFonts w:ascii="宋体" w:hAnsi="宋体" w:cs="宋体"/>
          <w:color w:val="auto"/>
          <w:szCs w:val="21"/>
          <w:highlight w:val="none"/>
        </w:rPr>
        <w:t>（</w:t>
      </w:r>
      <w:r>
        <w:rPr>
          <w:rFonts w:hint="eastAsia" w:eastAsia="宋体"/>
          <w:color w:val="auto"/>
          <w:szCs w:val="21"/>
          <w:highlight w:val="none"/>
          <w:lang w:val="en-US" w:eastAsia="zh-CN"/>
        </w:rPr>
        <w:t>12</w:t>
      </w:r>
      <w:r>
        <w:rPr>
          <w:rFonts w:ascii="宋体" w:hAnsi="宋体" w:cs="宋体"/>
          <w:color w:val="auto"/>
          <w:szCs w:val="21"/>
          <w:highlight w:val="none"/>
        </w:rPr>
        <w:t>）进入清算程序，或被宣告破产，或其他丧</w:t>
      </w:r>
      <w:r>
        <w:rPr>
          <w:rFonts w:ascii="宋体" w:hAnsi="宋体" w:cs="宋体"/>
          <w:color w:val="auto"/>
          <w:spacing w:val="-1"/>
          <w:szCs w:val="21"/>
          <w:highlight w:val="none"/>
        </w:rPr>
        <w:t>失履约能力的情形；</w:t>
      </w:r>
    </w:p>
    <w:p w14:paraId="2E7C98F5">
      <w:pPr>
        <w:spacing w:before="134" w:line="286" w:lineRule="auto"/>
        <w:ind w:left="22" w:right="58" w:firstLine="318"/>
        <w:rPr>
          <w:rFonts w:ascii="宋体" w:hAnsi="宋体" w:cs="宋体"/>
          <w:color w:val="auto"/>
          <w:szCs w:val="21"/>
          <w:highlight w:val="none"/>
        </w:rPr>
      </w:pPr>
      <w:r>
        <w:rPr>
          <w:rFonts w:ascii="宋体" w:hAnsi="宋体" w:cs="宋体"/>
          <w:color w:val="auto"/>
          <w:spacing w:val="3"/>
          <w:szCs w:val="21"/>
          <w:highlight w:val="none"/>
        </w:rPr>
        <w:t>（</w:t>
      </w:r>
      <w:r>
        <w:rPr>
          <w:rFonts w:hint="eastAsia" w:eastAsia="宋体"/>
          <w:color w:val="auto"/>
          <w:spacing w:val="3"/>
          <w:szCs w:val="21"/>
          <w:highlight w:val="none"/>
          <w:lang w:val="en-US" w:eastAsia="zh-CN"/>
        </w:rPr>
        <w:t>13</w:t>
      </w:r>
      <w:r>
        <w:rPr>
          <w:rFonts w:ascii="宋体" w:hAnsi="宋体" w:cs="宋体"/>
          <w:color w:val="auto"/>
          <w:spacing w:val="3"/>
          <w:szCs w:val="21"/>
          <w:highlight w:val="none"/>
        </w:rPr>
        <w:t>）在最近三年内有骗取中标或严重违约</w:t>
      </w:r>
      <w:r>
        <w:rPr>
          <w:rFonts w:ascii="宋体" w:hAnsi="宋体" w:cs="宋体"/>
          <w:color w:val="auto"/>
          <w:spacing w:val="2"/>
          <w:szCs w:val="21"/>
          <w:highlight w:val="none"/>
        </w:rPr>
        <w:t>或重大工程质量问题的 （以相关行业主管</w:t>
      </w:r>
      <w:r>
        <w:rPr>
          <w:rFonts w:ascii="宋体" w:hAnsi="宋体" w:cs="宋体"/>
          <w:color w:val="auto"/>
          <w:szCs w:val="21"/>
          <w:highlight w:val="none"/>
        </w:rPr>
        <w:t>部门的行政处罚决定或司法机关出具的有关</w:t>
      </w:r>
      <w:r>
        <w:rPr>
          <w:rFonts w:ascii="宋体" w:hAnsi="宋体" w:cs="宋体"/>
          <w:color w:val="auto"/>
          <w:spacing w:val="-1"/>
          <w:szCs w:val="21"/>
          <w:highlight w:val="none"/>
        </w:rPr>
        <w:t>法律文书为准</w:t>
      </w:r>
      <w:r>
        <w:rPr>
          <w:rFonts w:ascii="宋体" w:hAnsi="宋体" w:cs="宋体"/>
          <w:color w:val="auto"/>
          <w:spacing w:val="-54"/>
          <w:w w:val="97"/>
          <w:szCs w:val="21"/>
          <w:highlight w:val="none"/>
        </w:rPr>
        <w:t>）；</w:t>
      </w:r>
    </w:p>
    <w:p w14:paraId="371E0A6F">
      <w:pPr>
        <w:spacing w:before="150" w:line="286" w:lineRule="auto"/>
        <w:ind w:left="22" w:right="55" w:firstLine="318"/>
        <w:rPr>
          <w:rFonts w:ascii="宋体" w:hAnsi="宋体" w:cs="宋体"/>
          <w:color w:val="auto"/>
          <w:szCs w:val="21"/>
          <w:highlight w:val="none"/>
        </w:rPr>
      </w:pPr>
      <w:r>
        <w:rPr>
          <w:rFonts w:ascii="宋体" w:hAnsi="宋体" w:cs="宋体"/>
          <w:color w:val="auto"/>
          <w:szCs w:val="21"/>
          <w:highlight w:val="none"/>
        </w:rPr>
        <w:t>（</w:t>
      </w:r>
      <w:r>
        <w:rPr>
          <w:rFonts w:eastAsia="Times New Roman"/>
          <w:color w:val="auto"/>
          <w:szCs w:val="21"/>
          <w:highlight w:val="none"/>
        </w:rPr>
        <w:t>1</w:t>
      </w:r>
      <w:r>
        <w:rPr>
          <w:rFonts w:hint="eastAsia" w:eastAsia="宋体"/>
          <w:color w:val="auto"/>
          <w:szCs w:val="21"/>
          <w:highlight w:val="none"/>
          <w:lang w:val="en-US" w:eastAsia="zh-CN"/>
        </w:rPr>
        <w:t>4</w:t>
      </w:r>
      <w:r>
        <w:rPr>
          <w:rFonts w:ascii="宋体" w:hAnsi="宋体" w:cs="宋体"/>
          <w:color w:val="auto"/>
          <w:szCs w:val="21"/>
          <w:highlight w:val="none"/>
        </w:rPr>
        <w:t>）在</w:t>
      </w:r>
      <w:r>
        <w:rPr>
          <w:rFonts w:eastAsia="Times New Roman"/>
          <w:color w:val="auto"/>
          <w:szCs w:val="21"/>
          <w:highlight w:val="none"/>
        </w:rPr>
        <w:t>“</w:t>
      </w:r>
      <w:r>
        <w:rPr>
          <w:rFonts w:ascii="宋体" w:hAnsi="宋体" w:cs="宋体"/>
          <w:color w:val="auto"/>
          <w:szCs w:val="21"/>
          <w:highlight w:val="none"/>
        </w:rPr>
        <w:t>国家企业信用信息公示系统</w:t>
      </w:r>
      <w:r>
        <w:rPr>
          <w:rFonts w:eastAsia="Times New Roman"/>
          <w:color w:val="auto"/>
          <w:szCs w:val="21"/>
          <w:highlight w:val="none"/>
        </w:rPr>
        <w:t>”</w:t>
      </w:r>
      <w:r>
        <w:rPr>
          <w:rFonts w:ascii="宋体" w:hAnsi="宋体" w:cs="宋体"/>
          <w:color w:val="auto"/>
          <w:szCs w:val="21"/>
          <w:highlight w:val="none"/>
        </w:rPr>
        <w:t>（</w:t>
      </w:r>
      <w:r>
        <w:rPr>
          <w:color w:val="auto"/>
          <w:highlight w:val="none"/>
        </w:rPr>
        <w:fldChar w:fldCharType="begin"/>
      </w:r>
      <w:r>
        <w:rPr>
          <w:color w:val="auto"/>
          <w:highlight w:val="none"/>
        </w:rPr>
        <w:instrText xml:space="preserve"> HYPERLINK "https://www.gsxt.gov.cn" </w:instrText>
      </w:r>
      <w:r>
        <w:rPr>
          <w:color w:val="auto"/>
          <w:highlight w:val="none"/>
        </w:rPr>
        <w:fldChar w:fldCharType="separate"/>
      </w:r>
      <w:r>
        <w:rPr>
          <w:rFonts w:eastAsia="Times New Roman"/>
          <w:color w:val="auto"/>
          <w:szCs w:val="21"/>
          <w:highlight w:val="none"/>
        </w:rPr>
        <w:t>www.gsxt.go</w:t>
      </w:r>
      <w:r>
        <w:rPr>
          <w:rFonts w:eastAsia="Times New Roman"/>
          <w:color w:val="auto"/>
          <w:spacing w:val="-1"/>
          <w:szCs w:val="21"/>
          <w:highlight w:val="none"/>
        </w:rPr>
        <w:t>v.cn</w:t>
      </w:r>
      <w:r>
        <w:rPr>
          <w:rFonts w:eastAsia="Times New Roman"/>
          <w:color w:val="auto"/>
          <w:spacing w:val="-1"/>
          <w:szCs w:val="21"/>
          <w:highlight w:val="none"/>
        </w:rPr>
        <w:fldChar w:fldCharType="end"/>
      </w:r>
      <w:r>
        <w:rPr>
          <w:rFonts w:ascii="宋体" w:hAnsi="宋体" w:cs="宋体"/>
          <w:color w:val="auto"/>
          <w:spacing w:val="-1"/>
          <w:szCs w:val="21"/>
          <w:highlight w:val="none"/>
        </w:rPr>
        <w:t>）中被列入严重违法失信企业</w:t>
      </w:r>
      <w:r>
        <w:rPr>
          <w:rFonts w:ascii="宋体" w:hAnsi="宋体" w:cs="宋体"/>
          <w:color w:val="auto"/>
          <w:spacing w:val="-13"/>
          <w:szCs w:val="21"/>
          <w:highlight w:val="none"/>
        </w:rPr>
        <w:t>名单；</w:t>
      </w:r>
    </w:p>
    <w:p w14:paraId="43ADB643">
      <w:pPr>
        <w:spacing w:before="149" w:line="283" w:lineRule="auto"/>
        <w:ind w:left="26" w:firstLine="314"/>
        <w:rPr>
          <w:rFonts w:ascii="宋体" w:hAnsi="宋体" w:cs="宋体"/>
          <w:color w:val="auto"/>
          <w:szCs w:val="21"/>
          <w:highlight w:val="none"/>
        </w:rPr>
      </w:pPr>
      <w:r>
        <w:rPr>
          <w:rFonts w:ascii="宋体" w:hAnsi="宋体" w:cs="宋体"/>
          <w:color w:val="auto"/>
          <w:spacing w:val="14"/>
          <w:szCs w:val="21"/>
          <w:highlight w:val="none"/>
        </w:rPr>
        <w:t>（</w:t>
      </w:r>
      <w:r>
        <w:rPr>
          <w:rFonts w:eastAsia="Times New Roman"/>
          <w:color w:val="auto"/>
          <w:spacing w:val="14"/>
          <w:szCs w:val="21"/>
          <w:highlight w:val="none"/>
        </w:rPr>
        <w:t>1</w:t>
      </w:r>
      <w:r>
        <w:rPr>
          <w:rFonts w:hint="eastAsia" w:eastAsia="宋体"/>
          <w:color w:val="auto"/>
          <w:spacing w:val="14"/>
          <w:szCs w:val="21"/>
          <w:highlight w:val="none"/>
          <w:lang w:val="en-US" w:eastAsia="zh-CN"/>
        </w:rPr>
        <w:t>5</w:t>
      </w:r>
      <w:r>
        <w:rPr>
          <w:rFonts w:ascii="宋体" w:hAnsi="宋体" w:cs="宋体"/>
          <w:color w:val="auto"/>
          <w:spacing w:val="14"/>
          <w:szCs w:val="21"/>
          <w:highlight w:val="none"/>
        </w:rPr>
        <w:t>）在</w:t>
      </w:r>
      <w:r>
        <w:rPr>
          <w:rFonts w:eastAsia="Times New Roman"/>
          <w:color w:val="auto"/>
          <w:spacing w:val="14"/>
          <w:szCs w:val="21"/>
          <w:highlight w:val="none"/>
        </w:rPr>
        <w:t>“</w:t>
      </w:r>
      <w:r>
        <w:rPr>
          <w:rFonts w:ascii="宋体" w:hAnsi="宋体" w:cs="宋体"/>
          <w:color w:val="auto"/>
          <w:spacing w:val="14"/>
          <w:szCs w:val="21"/>
          <w:highlight w:val="none"/>
        </w:rPr>
        <w:t>信用中国</w:t>
      </w:r>
      <w:r>
        <w:rPr>
          <w:rFonts w:eastAsia="Times New Roman"/>
          <w:color w:val="auto"/>
          <w:spacing w:val="14"/>
          <w:szCs w:val="21"/>
          <w:highlight w:val="none"/>
        </w:rPr>
        <w:t xml:space="preserve">” </w:t>
      </w:r>
      <w:r>
        <w:rPr>
          <w:rFonts w:ascii="宋体" w:hAnsi="宋体" w:cs="宋体"/>
          <w:color w:val="auto"/>
          <w:spacing w:val="14"/>
          <w:szCs w:val="21"/>
          <w:highlight w:val="none"/>
        </w:rPr>
        <w:t>网站（</w:t>
      </w:r>
      <w:r>
        <w:rPr>
          <w:color w:val="auto"/>
          <w:highlight w:val="none"/>
        </w:rPr>
        <w:fldChar w:fldCharType="begin"/>
      </w:r>
      <w:r>
        <w:rPr>
          <w:color w:val="auto"/>
          <w:highlight w:val="none"/>
        </w:rPr>
        <w:instrText xml:space="preserve"> HYPERLINK "https://www.creditchina.gov.cn" </w:instrText>
      </w:r>
      <w:r>
        <w:rPr>
          <w:color w:val="auto"/>
          <w:highlight w:val="none"/>
        </w:rPr>
        <w:fldChar w:fldCharType="separate"/>
      </w:r>
      <w:r>
        <w:rPr>
          <w:rFonts w:eastAsia="Times New Roman"/>
          <w:color w:val="auto"/>
          <w:szCs w:val="21"/>
          <w:highlight w:val="none"/>
        </w:rPr>
        <w:t>www</w:t>
      </w:r>
      <w:r>
        <w:rPr>
          <w:rFonts w:eastAsia="Times New Roman"/>
          <w:color w:val="auto"/>
          <w:spacing w:val="14"/>
          <w:szCs w:val="21"/>
          <w:highlight w:val="none"/>
        </w:rPr>
        <w:t>.</w:t>
      </w:r>
      <w:r>
        <w:rPr>
          <w:rFonts w:eastAsia="Times New Roman"/>
          <w:color w:val="auto"/>
          <w:szCs w:val="21"/>
          <w:highlight w:val="none"/>
        </w:rPr>
        <w:t>creditchina</w:t>
      </w:r>
      <w:r>
        <w:rPr>
          <w:rFonts w:eastAsia="Times New Roman"/>
          <w:color w:val="auto"/>
          <w:spacing w:val="14"/>
          <w:szCs w:val="21"/>
          <w:highlight w:val="none"/>
        </w:rPr>
        <w:t>.</w:t>
      </w:r>
      <w:r>
        <w:rPr>
          <w:rFonts w:eastAsia="Times New Roman"/>
          <w:color w:val="auto"/>
          <w:szCs w:val="21"/>
          <w:highlight w:val="none"/>
        </w:rPr>
        <w:t>gov</w:t>
      </w:r>
      <w:r>
        <w:rPr>
          <w:rFonts w:eastAsia="Times New Roman"/>
          <w:color w:val="auto"/>
          <w:spacing w:val="14"/>
          <w:szCs w:val="21"/>
          <w:highlight w:val="none"/>
        </w:rPr>
        <w:t>.</w:t>
      </w:r>
      <w:r>
        <w:rPr>
          <w:rFonts w:eastAsia="Times New Roman"/>
          <w:color w:val="auto"/>
          <w:szCs w:val="21"/>
          <w:highlight w:val="none"/>
        </w:rPr>
        <w:t>cn</w:t>
      </w:r>
      <w:r>
        <w:rPr>
          <w:rFonts w:eastAsia="Times New Roman"/>
          <w:color w:val="auto"/>
          <w:szCs w:val="21"/>
          <w:highlight w:val="none"/>
        </w:rPr>
        <w:fldChar w:fldCharType="end"/>
      </w:r>
      <w:r>
        <w:rPr>
          <w:rFonts w:ascii="宋体" w:hAnsi="宋体" w:cs="宋体"/>
          <w:color w:val="auto"/>
          <w:spacing w:val="14"/>
          <w:szCs w:val="21"/>
          <w:highlight w:val="none"/>
        </w:rPr>
        <w:t>）或</w:t>
      </w:r>
      <w:r>
        <w:rPr>
          <w:rFonts w:eastAsia="Times New Roman"/>
          <w:color w:val="auto"/>
          <w:spacing w:val="14"/>
          <w:szCs w:val="21"/>
          <w:highlight w:val="none"/>
        </w:rPr>
        <w:t xml:space="preserve">“ </w:t>
      </w:r>
      <w:r>
        <w:rPr>
          <w:rFonts w:ascii="宋体" w:hAnsi="宋体" w:cs="宋体"/>
          <w:color w:val="auto"/>
          <w:spacing w:val="14"/>
          <w:szCs w:val="21"/>
          <w:highlight w:val="none"/>
        </w:rPr>
        <w:t>中</w:t>
      </w:r>
      <w:r>
        <w:rPr>
          <w:rFonts w:ascii="宋体" w:hAnsi="宋体" w:cs="宋体"/>
          <w:color w:val="auto"/>
          <w:spacing w:val="13"/>
          <w:szCs w:val="21"/>
          <w:highlight w:val="none"/>
        </w:rPr>
        <w:t>国执行信息公开网</w:t>
      </w:r>
      <w:r>
        <w:rPr>
          <w:rFonts w:eastAsia="Times New Roman"/>
          <w:color w:val="auto"/>
          <w:spacing w:val="13"/>
          <w:szCs w:val="21"/>
          <w:highlight w:val="none"/>
        </w:rPr>
        <w:t>”</w:t>
      </w:r>
      <w:r>
        <w:rPr>
          <w:rFonts w:ascii="宋体" w:hAnsi="宋体" w:cs="宋体"/>
          <w:color w:val="auto"/>
          <w:szCs w:val="21"/>
          <w:highlight w:val="none"/>
        </w:rPr>
        <w:t>（</w:t>
      </w:r>
      <w:r>
        <w:rPr>
          <w:color w:val="auto"/>
          <w:highlight w:val="none"/>
        </w:rPr>
        <w:fldChar w:fldCharType="begin"/>
      </w:r>
      <w:r>
        <w:rPr>
          <w:color w:val="auto"/>
          <w:highlight w:val="none"/>
        </w:rPr>
        <w:instrText xml:space="preserve"> HYPERLINK "http://zxgk.court.gov.cn/shixin/" </w:instrText>
      </w:r>
      <w:r>
        <w:rPr>
          <w:color w:val="auto"/>
          <w:highlight w:val="none"/>
        </w:rPr>
        <w:fldChar w:fldCharType="separate"/>
      </w:r>
      <w:r>
        <w:rPr>
          <w:rFonts w:eastAsia="Times New Roman"/>
          <w:color w:val="auto"/>
          <w:szCs w:val="21"/>
          <w:highlight w:val="none"/>
        </w:rPr>
        <w:t>http://zxgk.court.g</w:t>
      </w:r>
      <w:r>
        <w:rPr>
          <w:rFonts w:eastAsia="Times New Roman"/>
          <w:color w:val="auto"/>
          <w:spacing w:val="-1"/>
          <w:szCs w:val="21"/>
          <w:highlight w:val="none"/>
        </w:rPr>
        <w:t>ov.cn/shixin/</w:t>
      </w:r>
      <w:r>
        <w:rPr>
          <w:rFonts w:eastAsia="Times New Roman"/>
          <w:color w:val="auto"/>
          <w:spacing w:val="-1"/>
          <w:szCs w:val="21"/>
          <w:highlight w:val="none"/>
        </w:rPr>
        <w:fldChar w:fldCharType="end"/>
      </w:r>
      <w:r>
        <w:rPr>
          <w:rFonts w:ascii="宋体" w:hAnsi="宋体" w:cs="宋体"/>
          <w:color w:val="auto"/>
          <w:spacing w:val="-1"/>
          <w:szCs w:val="21"/>
          <w:highlight w:val="none"/>
        </w:rPr>
        <w:t>）被列入失信被执行人名单；</w:t>
      </w:r>
    </w:p>
    <w:p w14:paraId="3DA255EE">
      <w:pPr>
        <w:spacing w:before="156" w:line="286" w:lineRule="auto"/>
        <w:ind w:left="20" w:right="52" w:firstLine="320"/>
        <w:rPr>
          <w:rFonts w:ascii="宋体" w:hAnsi="宋体" w:cs="宋体"/>
          <w:color w:val="auto"/>
          <w:szCs w:val="21"/>
          <w:highlight w:val="none"/>
        </w:rPr>
      </w:pPr>
      <w:r>
        <w:rPr>
          <w:rFonts w:ascii="宋体" w:hAnsi="宋体" w:cs="宋体"/>
          <w:color w:val="auto"/>
          <w:spacing w:val="4"/>
          <w:szCs w:val="21"/>
          <w:highlight w:val="none"/>
        </w:rPr>
        <w:t>（</w:t>
      </w:r>
      <w:r>
        <w:rPr>
          <w:rFonts w:eastAsia="Times New Roman"/>
          <w:color w:val="auto"/>
          <w:spacing w:val="4"/>
          <w:szCs w:val="21"/>
          <w:highlight w:val="none"/>
        </w:rPr>
        <w:t>1</w:t>
      </w:r>
      <w:r>
        <w:rPr>
          <w:rFonts w:hint="eastAsia" w:eastAsia="宋体"/>
          <w:color w:val="auto"/>
          <w:spacing w:val="4"/>
          <w:szCs w:val="21"/>
          <w:highlight w:val="none"/>
          <w:lang w:val="en-US" w:eastAsia="zh-CN"/>
        </w:rPr>
        <w:t>6</w:t>
      </w:r>
      <w:r>
        <w:rPr>
          <w:rFonts w:ascii="宋体" w:hAnsi="宋体" w:cs="宋体"/>
          <w:color w:val="auto"/>
          <w:spacing w:val="4"/>
          <w:szCs w:val="21"/>
          <w:highlight w:val="none"/>
        </w:rPr>
        <w:t>）在辽宁省建设工程招投标监督平台</w:t>
      </w:r>
      <w:r>
        <w:rPr>
          <w:rFonts w:eastAsia="Times New Roman"/>
          <w:color w:val="auto"/>
          <w:spacing w:val="4"/>
          <w:szCs w:val="21"/>
          <w:highlight w:val="none"/>
        </w:rPr>
        <w:t>-</w:t>
      </w:r>
      <w:r>
        <w:rPr>
          <w:rFonts w:ascii="宋体" w:hAnsi="宋体" w:cs="宋体"/>
          <w:color w:val="auto"/>
          <w:spacing w:val="4"/>
          <w:szCs w:val="21"/>
          <w:highlight w:val="none"/>
        </w:rPr>
        <w:t>辽宁</w:t>
      </w:r>
      <w:r>
        <w:rPr>
          <w:rFonts w:ascii="宋体" w:hAnsi="宋体" w:cs="宋体"/>
          <w:color w:val="auto"/>
          <w:spacing w:val="3"/>
          <w:szCs w:val="21"/>
          <w:highlight w:val="none"/>
        </w:rPr>
        <w:t>建设工程信息网上被列入不良行为记录</w:t>
      </w:r>
      <w:r>
        <w:rPr>
          <w:rFonts w:ascii="宋体" w:hAnsi="宋体" w:cs="宋体"/>
          <w:color w:val="auto"/>
          <w:spacing w:val="-1"/>
          <w:szCs w:val="21"/>
          <w:highlight w:val="none"/>
        </w:rPr>
        <w:t>且在公布期内的；</w:t>
      </w:r>
    </w:p>
    <w:p w14:paraId="10CCF295">
      <w:pPr>
        <w:spacing w:before="151" w:line="234" w:lineRule="auto"/>
        <w:ind w:left="340"/>
        <w:rPr>
          <w:rFonts w:ascii="宋体" w:hAnsi="宋体" w:cs="宋体"/>
          <w:color w:val="auto"/>
          <w:szCs w:val="21"/>
          <w:highlight w:val="none"/>
        </w:rPr>
      </w:pPr>
      <w:r>
        <w:rPr>
          <w:rFonts w:ascii="宋体" w:hAnsi="宋体" w:cs="宋体"/>
          <w:color w:val="auto"/>
          <w:spacing w:val="-1"/>
          <w:szCs w:val="21"/>
          <w:highlight w:val="none"/>
        </w:rPr>
        <w:t>（</w:t>
      </w:r>
      <w:r>
        <w:rPr>
          <w:rFonts w:eastAsia="Times New Roman"/>
          <w:color w:val="auto"/>
          <w:spacing w:val="-1"/>
          <w:szCs w:val="21"/>
          <w:highlight w:val="none"/>
        </w:rPr>
        <w:t>1</w:t>
      </w:r>
      <w:r>
        <w:rPr>
          <w:rFonts w:hint="eastAsia" w:eastAsia="宋体"/>
          <w:color w:val="auto"/>
          <w:spacing w:val="-1"/>
          <w:szCs w:val="21"/>
          <w:highlight w:val="none"/>
          <w:lang w:val="en-US" w:eastAsia="zh-CN"/>
        </w:rPr>
        <w:t>7</w:t>
      </w:r>
      <w:r>
        <w:rPr>
          <w:rFonts w:ascii="宋体" w:hAnsi="宋体" w:cs="宋体"/>
          <w:color w:val="auto"/>
          <w:spacing w:val="-1"/>
          <w:szCs w:val="21"/>
          <w:highlight w:val="none"/>
        </w:rPr>
        <w:t>）法律法规规定的其他情形。</w:t>
      </w:r>
    </w:p>
    <w:p w14:paraId="6306CAB8">
      <w:pPr>
        <w:spacing w:before="156" w:line="299" w:lineRule="auto"/>
        <w:ind w:left="22" w:right="44" w:firstLine="414"/>
        <w:rPr>
          <w:rFonts w:hint="eastAsia" w:eastAsia="宋体"/>
          <w:color w:val="auto"/>
          <w:szCs w:val="21"/>
          <w:highlight w:val="none"/>
          <w:lang w:val="en-US" w:eastAsia="zh-CN"/>
        </w:rPr>
      </w:pPr>
      <w:r>
        <w:rPr>
          <w:rFonts w:hint="eastAsia" w:eastAsia="宋体"/>
          <w:color w:val="auto"/>
          <w:szCs w:val="21"/>
          <w:highlight w:val="none"/>
          <w:lang w:val="en-US" w:eastAsia="zh-CN"/>
        </w:rPr>
        <w:t>B1</w:t>
      </w:r>
      <w:r>
        <w:rPr>
          <w:rFonts w:eastAsia="Times New Roman"/>
          <w:color w:val="auto"/>
          <w:szCs w:val="21"/>
          <w:highlight w:val="none"/>
        </w:rPr>
        <w:t>.</w:t>
      </w:r>
      <w:r>
        <w:rPr>
          <w:rFonts w:hint="eastAsia" w:eastAsia="宋体"/>
          <w:color w:val="auto"/>
          <w:szCs w:val="21"/>
          <w:highlight w:val="none"/>
          <w:lang w:val="en-US" w:eastAsia="zh-CN"/>
        </w:rPr>
        <w:t>5未如实填写近年发生的诉讼及仲裁情况，隐瞒真实情况的。</w:t>
      </w:r>
    </w:p>
    <w:p w14:paraId="0DFC8E62">
      <w:pPr>
        <w:spacing w:before="156" w:line="299" w:lineRule="auto"/>
        <w:ind w:left="22" w:right="44" w:firstLine="414"/>
        <w:rPr>
          <w:rFonts w:ascii="宋体" w:hAnsi="宋体" w:cs="宋体"/>
          <w:color w:val="auto"/>
          <w:szCs w:val="21"/>
          <w:highlight w:val="none"/>
        </w:rPr>
      </w:pPr>
      <w:r>
        <w:rPr>
          <w:rFonts w:hint="eastAsia" w:eastAsia="宋体"/>
          <w:color w:val="auto"/>
          <w:szCs w:val="21"/>
          <w:highlight w:val="none"/>
          <w:lang w:val="en-US" w:eastAsia="zh-CN"/>
        </w:rPr>
        <w:t>B1</w:t>
      </w:r>
      <w:r>
        <w:rPr>
          <w:rFonts w:eastAsia="Times New Roman"/>
          <w:color w:val="auto"/>
          <w:szCs w:val="21"/>
          <w:highlight w:val="none"/>
        </w:rPr>
        <w:t>.</w:t>
      </w:r>
      <w:r>
        <w:rPr>
          <w:rFonts w:hint="eastAsia" w:eastAsia="宋体"/>
          <w:color w:val="auto"/>
          <w:szCs w:val="21"/>
          <w:highlight w:val="none"/>
          <w:lang w:val="en-US" w:eastAsia="zh-CN"/>
        </w:rPr>
        <w:t>6</w:t>
      </w:r>
      <w:r>
        <w:rPr>
          <w:rFonts w:ascii="宋体" w:hAnsi="宋体" w:cs="宋体"/>
          <w:color w:val="auto"/>
          <w:szCs w:val="21"/>
          <w:highlight w:val="none"/>
        </w:rPr>
        <w:t>未按招标文件要求进行实名身份认证的或同一标段实名</w:t>
      </w:r>
      <w:r>
        <w:rPr>
          <w:rFonts w:ascii="宋体" w:hAnsi="宋体" w:cs="宋体"/>
          <w:color w:val="auto"/>
          <w:spacing w:val="-1"/>
          <w:szCs w:val="21"/>
          <w:highlight w:val="none"/>
        </w:rPr>
        <w:t>身份认证中存在不同投标人</w:t>
      </w:r>
      <w:r>
        <w:rPr>
          <w:rFonts w:ascii="宋体" w:hAnsi="宋体" w:cs="宋体"/>
          <w:color w:val="auto"/>
          <w:spacing w:val="-2"/>
          <w:szCs w:val="21"/>
          <w:highlight w:val="none"/>
        </w:rPr>
        <w:t>之间身份证识别器码一致的。</w:t>
      </w:r>
    </w:p>
    <w:p w14:paraId="632A871E">
      <w:pPr>
        <w:spacing w:before="180" w:line="233" w:lineRule="auto"/>
        <w:ind w:left="436"/>
        <w:rPr>
          <w:rFonts w:ascii="宋体" w:hAnsi="宋体" w:cs="宋体"/>
          <w:color w:val="auto"/>
          <w:szCs w:val="21"/>
          <w:highlight w:val="none"/>
        </w:rPr>
      </w:pPr>
      <w:r>
        <w:rPr>
          <w:rFonts w:hint="eastAsia" w:eastAsia="宋体"/>
          <w:color w:val="auto"/>
          <w:szCs w:val="21"/>
          <w:highlight w:val="none"/>
          <w:lang w:val="en-US" w:eastAsia="zh-CN"/>
        </w:rPr>
        <w:t>B1</w:t>
      </w:r>
      <w:r>
        <w:rPr>
          <w:rFonts w:eastAsia="Times New Roman"/>
          <w:color w:val="auto"/>
          <w:szCs w:val="21"/>
          <w:highlight w:val="none"/>
        </w:rPr>
        <w:t>.</w:t>
      </w:r>
      <w:r>
        <w:rPr>
          <w:rFonts w:hint="eastAsia" w:eastAsia="宋体"/>
          <w:color w:val="auto"/>
          <w:szCs w:val="21"/>
          <w:highlight w:val="none"/>
          <w:lang w:val="en-US" w:eastAsia="zh-CN"/>
        </w:rPr>
        <w:t>7</w:t>
      </w:r>
      <w:r>
        <w:rPr>
          <w:rFonts w:eastAsia="Times New Roman"/>
          <w:color w:val="auto"/>
          <w:szCs w:val="21"/>
          <w:highlight w:val="none"/>
        </w:rPr>
        <w:t xml:space="preserve"> </w:t>
      </w:r>
      <w:r>
        <w:rPr>
          <w:rFonts w:ascii="宋体" w:hAnsi="宋体" w:cs="宋体"/>
          <w:color w:val="auto"/>
          <w:szCs w:val="21"/>
          <w:highlight w:val="none"/>
        </w:rPr>
        <w:t>投标报价明显低于企业成本可能影响履约</w:t>
      </w:r>
      <w:r>
        <w:rPr>
          <w:rFonts w:ascii="宋体" w:hAnsi="宋体" w:cs="宋体"/>
          <w:color w:val="auto"/>
          <w:spacing w:val="-1"/>
          <w:szCs w:val="21"/>
          <w:highlight w:val="none"/>
        </w:rPr>
        <w:t>的。</w:t>
      </w:r>
    </w:p>
    <w:p w14:paraId="7828A20A">
      <w:pPr>
        <w:spacing w:before="164" w:line="234" w:lineRule="auto"/>
        <w:ind w:left="436"/>
        <w:rPr>
          <w:rFonts w:ascii="宋体" w:hAnsi="宋体" w:cs="宋体"/>
          <w:color w:val="auto"/>
          <w:spacing w:val="-5"/>
          <w:szCs w:val="21"/>
          <w:highlight w:val="none"/>
        </w:rPr>
      </w:pPr>
      <w:r>
        <w:rPr>
          <w:rFonts w:hint="eastAsia" w:eastAsia="宋体"/>
          <w:color w:val="auto"/>
          <w:szCs w:val="21"/>
          <w:highlight w:val="none"/>
          <w:lang w:val="en-US" w:eastAsia="zh-CN"/>
        </w:rPr>
        <w:t>B1</w:t>
      </w:r>
      <w:r>
        <w:rPr>
          <w:rFonts w:hint="eastAsia"/>
          <w:color w:val="auto"/>
          <w:szCs w:val="21"/>
          <w:highlight w:val="none"/>
          <w:lang w:val="en-US" w:eastAsia="zh-CN"/>
        </w:rPr>
        <w:t>.8</w:t>
      </w:r>
      <w:r>
        <w:rPr>
          <w:rFonts w:ascii="宋体" w:hAnsi="宋体" w:cs="宋体"/>
          <w:color w:val="auto"/>
          <w:spacing w:val="-5"/>
          <w:szCs w:val="21"/>
          <w:highlight w:val="none"/>
        </w:rPr>
        <w:t>未按招标文件要求采用建筑信息模型技术的（如有）。</w:t>
      </w:r>
    </w:p>
    <w:p w14:paraId="21DBB0AF">
      <w:pPr>
        <w:spacing w:before="164" w:line="234" w:lineRule="auto"/>
        <w:ind w:left="436"/>
        <w:rPr>
          <w:rFonts w:ascii="宋体" w:hAnsi="宋体" w:cs="宋体"/>
          <w:color w:val="auto"/>
          <w:spacing w:val="-5"/>
          <w:szCs w:val="21"/>
          <w:highlight w:val="none"/>
        </w:rPr>
      </w:pPr>
      <w:r>
        <w:rPr>
          <w:rFonts w:hint="default" w:eastAsia="宋体"/>
          <w:color w:val="auto"/>
          <w:szCs w:val="21"/>
          <w:highlight w:val="none"/>
          <w:lang w:val="en-US" w:eastAsia="zh-CN"/>
        </w:rPr>
        <w:t xml:space="preserve">B1.9 </w:t>
      </w:r>
      <w:r>
        <w:rPr>
          <w:rFonts w:hint="eastAsia" w:ascii="宋体" w:hAnsi="宋体" w:cs="宋体"/>
          <w:color w:val="auto"/>
          <w:spacing w:val="-5"/>
          <w:szCs w:val="21"/>
          <w:highlight w:val="none"/>
          <w:lang w:val="en-US" w:eastAsia="zh-CN"/>
        </w:rPr>
        <w:t xml:space="preserve">技术标不同模块赋分点之间多个模块固定位置存在内容表述非必要性雷同的。 </w:t>
      </w:r>
    </w:p>
    <w:p w14:paraId="3F0AD765">
      <w:pPr>
        <w:spacing w:before="164" w:line="234" w:lineRule="auto"/>
        <w:ind w:left="436"/>
        <w:rPr>
          <w:rFonts w:ascii="宋体" w:hAnsi="宋体" w:cs="宋体"/>
          <w:color w:val="auto"/>
          <w:spacing w:val="-5"/>
          <w:szCs w:val="21"/>
          <w:highlight w:val="none"/>
        </w:rPr>
      </w:pPr>
      <w:r>
        <w:rPr>
          <w:rFonts w:hint="eastAsia" w:ascii="宋体" w:hAnsi="宋体" w:cs="宋体"/>
          <w:color w:val="auto"/>
          <w:spacing w:val="-5"/>
          <w:szCs w:val="21"/>
          <w:highlight w:val="none"/>
          <w:lang w:val="en-US" w:eastAsia="zh-CN"/>
        </w:rPr>
        <w:t>……</w:t>
      </w:r>
    </w:p>
    <w:p w14:paraId="263A0741">
      <w:pPr>
        <w:spacing w:before="164" w:line="234" w:lineRule="auto"/>
        <w:ind w:left="436"/>
        <w:rPr>
          <w:rFonts w:ascii="宋体" w:hAnsi="宋体" w:cs="宋体"/>
          <w:color w:val="auto"/>
          <w:spacing w:val="-5"/>
          <w:szCs w:val="21"/>
          <w:highlight w:val="none"/>
        </w:rPr>
      </w:pPr>
    </w:p>
    <w:p w14:paraId="1AF99E4D">
      <w:pPr>
        <w:spacing w:before="164" w:line="234" w:lineRule="auto"/>
        <w:ind w:left="436"/>
        <w:rPr>
          <w:rFonts w:ascii="宋体" w:hAnsi="宋体" w:cs="宋体"/>
          <w:color w:val="auto"/>
          <w:spacing w:val="-5"/>
          <w:szCs w:val="21"/>
          <w:highlight w:val="none"/>
        </w:rPr>
      </w:pPr>
    </w:p>
    <w:p w14:paraId="3345425A">
      <w:pPr>
        <w:spacing w:before="164" w:line="234" w:lineRule="auto"/>
        <w:ind w:left="436"/>
        <w:rPr>
          <w:rFonts w:ascii="宋体" w:hAnsi="宋体" w:cs="宋体"/>
          <w:color w:val="auto"/>
          <w:spacing w:val="-5"/>
          <w:szCs w:val="21"/>
          <w:highlight w:val="none"/>
        </w:rPr>
      </w:pPr>
    </w:p>
    <w:p w14:paraId="4DA62F81">
      <w:pPr>
        <w:spacing w:before="164" w:line="234" w:lineRule="auto"/>
        <w:ind w:left="436"/>
        <w:rPr>
          <w:rFonts w:ascii="宋体" w:hAnsi="宋体" w:cs="宋体"/>
          <w:color w:val="auto"/>
          <w:spacing w:val="-5"/>
          <w:szCs w:val="21"/>
          <w:highlight w:val="none"/>
        </w:rPr>
      </w:pPr>
    </w:p>
    <w:p w14:paraId="41E5E563">
      <w:pPr>
        <w:spacing w:before="164" w:line="234" w:lineRule="auto"/>
        <w:ind w:left="436"/>
        <w:rPr>
          <w:rFonts w:ascii="宋体" w:hAnsi="宋体" w:cs="宋体"/>
          <w:color w:val="auto"/>
          <w:spacing w:val="-5"/>
          <w:szCs w:val="21"/>
          <w:highlight w:val="none"/>
        </w:rPr>
      </w:pPr>
    </w:p>
    <w:p w14:paraId="5DE8717D">
      <w:pPr>
        <w:spacing w:before="164" w:line="234" w:lineRule="auto"/>
        <w:ind w:left="436"/>
        <w:rPr>
          <w:rFonts w:ascii="宋体" w:hAnsi="宋体" w:cs="宋体"/>
          <w:color w:val="auto"/>
          <w:spacing w:val="-5"/>
          <w:szCs w:val="21"/>
          <w:highlight w:val="none"/>
        </w:rPr>
      </w:pPr>
    </w:p>
    <w:p w14:paraId="289237C5">
      <w:pPr>
        <w:spacing w:before="164" w:line="234" w:lineRule="auto"/>
        <w:ind w:left="436"/>
        <w:rPr>
          <w:rFonts w:ascii="宋体" w:hAnsi="宋体" w:cs="宋体"/>
          <w:color w:val="auto"/>
          <w:spacing w:val="-5"/>
          <w:szCs w:val="21"/>
          <w:highlight w:val="none"/>
        </w:rPr>
      </w:pPr>
    </w:p>
    <w:p w14:paraId="1FBEE256">
      <w:pPr>
        <w:spacing w:before="164" w:line="234" w:lineRule="auto"/>
        <w:ind w:left="436"/>
        <w:rPr>
          <w:rFonts w:ascii="宋体" w:hAnsi="宋体" w:cs="宋体"/>
          <w:color w:val="auto"/>
          <w:spacing w:val="-5"/>
          <w:szCs w:val="21"/>
          <w:highlight w:val="none"/>
        </w:rPr>
      </w:pPr>
    </w:p>
    <w:p w14:paraId="7F5E4DB7">
      <w:pPr>
        <w:spacing w:before="164" w:line="234" w:lineRule="auto"/>
        <w:ind w:left="436"/>
        <w:rPr>
          <w:rFonts w:ascii="宋体" w:hAnsi="宋体" w:cs="宋体"/>
          <w:color w:val="auto"/>
          <w:spacing w:val="-5"/>
          <w:szCs w:val="21"/>
          <w:highlight w:val="none"/>
        </w:rPr>
      </w:pPr>
    </w:p>
    <w:p w14:paraId="1FA94CCA">
      <w:pPr>
        <w:spacing w:before="164" w:line="234" w:lineRule="auto"/>
        <w:ind w:left="436"/>
        <w:rPr>
          <w:rFonts w:ascii="宋体" w:hAnsi="宋体" w:cs="宋体"/>
          <w:color w:val="auto"/>
          <w:spacing w:val="-5"/>
          <w:szCs w:val="21"/>
          <w:highlight w:val="none"/>
        </w:rPr>
      </w:pPr>
      <w:r>
        <w:rPr>
          <w:rFonts w:hint="eastAsia" w:ascii="宋体" w:hAnsi="宋体" w:cs="宋体"/>
          <w:b/>
          <w:bCs/>
          <w:i w:val="0"/>
          <w:iCs w:val="0"/>
          <w:color w:val="auto"/>
          <w:kern w:val="0"/>
          <w:sz w:val="20"/>
          <w:szCs w:val="20"/>
          <w:highlight w:val="none"/>
          <w:u w:val="none"/>
          <w:lang w:val="en-US" w:eastAsia="zh-CN" w:bidi="ar"/>
        </w:rPr>
        <w:t>附件C：</w:t>
      </w:r>
      <w:r>
        <w:rPr>
          <w:rFonts w:hint="eastAsia" w:ascii="宋体" w:hAnsi="宋体" w:eastAsia="宋体" w:cs="宋体"/>
          <w:b/>
          <w:bCs/>
          <w:i w:val="0"/>
          <w:iCs w:val="0"/>
          <w:color w:val="auto"/>
          <w:kern w:val="0"/>
          <w:sz w:val="20"/>
          <w:szCs w:val="20"/>
          <w:highlight w:val="none"/>
          <w:u w:val="none"/>
          <w:lang w:val="en-US" w:eastAsia="zh-CN" w:bidi="ar"/>
        </w:rPr>
        <w:t>定标办法</w:t>
      </w:r>
    </w:p>
    <w:p w14:paraId="22B14F1B">
      <w:pPr>
        <w:spacing w:before="164" w:line="234" w:lineRule="auto"/>
        <w:ind w:left="436"/>
        <w:rPr>
          <w:rFonts w:ascii="宋体" w:hAnsi="宋体" w:cs="宋体"/>
          <w:color w:val="auto"/>
          <w:spacing w:val="-5"/>
          <w:szCs w:val="21"/>
          <w:highlight w:val="none"/>
        </w:rPr>
      </w:pPr>
    </w:p>
    <w:tbl>
      <w:tblPr>
        <w:tblStyle w:val="42"/>
        <w:tblW w:w="901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42"/>
        <w:gridCol w:w="702"/>
        <w:gridCol w:w="2000"/>
        <w:gridCol w:w="4250"/>
        <w:gridCol w:w="1518"/>
      </w:tblGrid>
      <w:tr w14:paraId="0F802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9012" w:type="dxa"/>
            <w:gridSpan w:val="5"/>
            <w:tcBorders>
              <w:top w:val="nil"/>
              <w:left w:val="nil"/>
              <w:bottom w:val="nil"/>
              <w:right w:val="nil"/>
            </w:tcBorders>
            <w:shd w:val="clear" w:color="auto" w:fill="auto"/>
            <w:noWrap/>
            <w:vAlign w:val="center"/>
          </w:tcPr>
          <w:p w14:paraId="3A1D34B1">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定标办法前附表</w:t>
            </w:r>
          </w:p>
        </w:tc>
      </w:tr>
      <w:tr w14:paraId="68762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 w:hRule="atLeast"/>
          <w:jc w:val="center"/>
        </w:trPr>
        <w:tc>
          <w:tcPr>
            <w:tcW w:w="124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2F26E">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条款号</w:t>
            </w:r>
          </w:p>
        </w:tc>
        <w:tc>
          <w:tcPr>
            <w:tcW w:w="2000" w:type="dxa"/>
            <w:tcBorders>
              <w:top w:val="single" w:color="000000" w:sz="4" w:space="0"/>
              <w:left w:val="single" w:color="000000" w:sz="4" w:space="0"/>
              <w:bottom w:val="single" w:color="000000" w:sz="4" w:space="0"/>
              <w:right w:val="nil"/>
            </w:tcBorders>
            <w:shd w:val="clear" w:color="auto" w:fill="auto"/>
            <w:noWrap/>
            <w:vAlign w:val="center"/>
          </w:tcPr>
          <w:p w14:paraId="2565F133">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条款内容</w:t>
            </w:r>
          </w:p>
        </w:tc>
        <w:tc>
          <w:tcPr>
            <w:tcW w:w="576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02504">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编列内容</w:t>
            </w:r>
          </w:p>
        </w:tc>
      </w:tr>
      <w:tr w14:paraId="28AC1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1" w:hRule="atLeast"/>
          <w:jc w:val="center"/>
        </w:trPr>
        <w:tc>
          <w:tcPr>
            <w:tcW w:w="542" w:type="dxa"/>
            <w:vMerge w:val="restart"/>
            <w:tcBorders>
              <w:top w:val="single" w:color="000000" w:sz="4" w:space="0"/>
              <w:left w:val="single" w:color="000000" w:sz="4" w:space="0"/>
              <w:bottom w:val="nil"/>
              <w:right w:val="single" w:color="000000" w:sz="4" w:space="0"/>
            </w:tcBorders>
            <w:shd w:val="clear" w:color="auto" w:fill="auto"/>
            <w:noWrap/>
            <w:vAlign w:val="center"/>
          </w:tcPr>
          <w:p w14:paraId="0829D8D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70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767B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定标准备</w:t>
            </w:r>
          </w:p>
        </w:tc>
        <w:tc>
          <w:tcPr>
            <w:tcW w:w="2000" w:type="dxa"/>
            <w:tcBorders>
              <w:top w:val="single" w:color="000000" w:sz="4" w:space="0"/>
              <w:left w:val="single" w:color="000000" w:sz="4" w:space="0"/>
              <w:bottom w:val="single" w:color="000000" w:sz="4" w:space="0"/>
              <w:right w:val="nil"/>
            </w:tcBorders>
            <w:shd w:val="clear" w:color="auto" w:fill="auto"/>
            <w:noWrap/>
            <w:vAlign w:val="center"/>
          </w:tcPr>
          <w:p w14:paraId="5F0CC27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定标委员会组成</w:t>
            </w:r>
          </w:p>
        </w:tc>
        <w:tc>
          <w:tcPr>
            <w:tcW w:w="57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20151C">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定标委员会由本单位或本系统在职人员或邀请外部专业技术人员共_人组成。</w:t>
            </w:r>
          </w:p>
        </w:tc>
      </w:tr>
      <w:tr w14:paraId="46570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6" w:hRule="atLeast"/>
          <w:jc w:val="center"/>
        </w:trPr>
        <w:tc>
          <w:tcPr>
            <w:tcW w:w="542" w:type="dxa"/>
            <w:vMerge w:val="continue"/>
            <w:tcBorders>
              <w:top w:val="single" w:color="000000" w:sz="4" w:space="0"/>
              <w:left w:val="single" w:color="000000" w:sz="4" w:space="0"/>
              <w:bottom w:val="nil"/>
              <w:right w:val="single" w:color="000000" w:sz="4" w:space="0"/>
            </w:tcBorders>
            <w:shd w:val="clear" w:color="auto" w:fill="auto"/>
            <w:noWrap/>
            <w:vAlign w:val="center"/>
          </w:tcPr>
          <w:p w14:paraId="2A04F7E8">
            <w:pPr>
              <w:jc w:val="center"/>
              <w:rPr>
                <w:rFonts w:hint="eastAsia" w:ascii="宋体" w:hAnsi="宋体" w:eastAsia="宋体" w:cs="宋体"/>
                <w:i w:val="0"/>
                <w:iCs w:val="0"/>
                <w:color w:val="auto"/>
                <w:sz w:val="20"/>
                <w:szCs w:val="20"/>
                <w:highlight w:val="none"/>
                <w:u w:val="none"/>
              </w:rPr>
            </w:pPr>
          </w:p>
        </w:tc>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563CD">
            <w:pPr>
              <w:jc w:val="center"/>
              <w:rPr>
                <w:rFonts w:hint="eastAsia" w:ascii="宋体" w:hAnsi="宋体" w:eastAsia="宋体" w:cs="宋体"/>
                <w:i w:val="0"/>
                <w:iCs w:val="0"/>
                <w:color w:val="auto"/>
                <w:sz w:val="20"/>
                <w:szCs w:val="20"/>
                <w:highlight w:val="none"/>
                <w:u w:val="none"/>
              </w:rPr>
            </w:pPr>
          </w:p>
        </w:tc>
        <w:tc>
          <w:tcPr>
            <w:tcW w:w="2000" w:type="dxa"/>
            <w:tcBorders>
              <w:top w:val="single" w:color="000000" w:sz="4" w:space="0"/>
              <w:left w:val="single" w:color="000000" w:sz="4" w:space="0"/>
              <w:bottom w:val="nil"/>
              <w:right w:val="nil"/>
            </w:tcBorders>
            <w:shd w:val="clear" w:color="auto" w:fill="auto"/>
            <w:noWrap/>
            <w:vAlign w:val="center"/>
          </w:tcPr>
          <w:p w14:paraId="49547D1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定标原则</w:t>
            </w:r>
          </w:p>
        </w:tc>
        <w:tc>
          <w:tcPr>
            <w:tcW w:w="57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450CC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定标工作由招标人组建的定标委员会负责。招标人应当根据招标项目类型、项目具体特点和实现履约需要分类确定单一或若干定标因素。</w:t>
            </w:r>
          </w:p>
        </w:tc>
      </w:tr>
      <w:tr w14:paraId="3E774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jc w:val="center"/>
        </w:trPr>
        <w:tc>
          <w:tcPr>
            <w:tcW w:w="1244" w:type="dxa"/>
            <w:gridSpan w:val="2"/>
            <w:tcBorders>
              <w:top w:val="single" w:color="000000" w:sz="4" w:space="0"/>
              <w:left w:val="single" w:color="000000" w:sz="4" w:space="0"/>
              <w:bottom w:val="nil"/>
              <w:right w:val="single" w:color="000000" w:sz="4" w:space="0"/>
            </w:tcBorders>
            <w:shd w:val="clear" w:color="auto" w:fill="auto"/>
            <w:noWrap/>
            <w:vAlign w:val="center"/>
          </w:tcPr>
          <w:p w14:paraId="1C723320">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条款号</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D793B">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定标因素</w:t>
            </w:r>
          </w:p>
        </w:tc>
        <w:tc>
          <w:tcPr>
            <w:tcW w:w="4250" w:type="dxa"/>
            <w:tcBorders>
              <w:top w:val="nil"/>
              <w:left w:val="single" w:color="000000" w:sz="4" w:space="0"/>
              <w:bottom w:val="single" w:color="000000" w:sz="4" w:space="0"/>
              <w:right w:val="single" w:color="000000" w:sz="4" w:space="0"/>
            </w:tcBorders>
            <w:shd w:val="clear" w:color="auto" w:fill="auto"/>
            <w:noWrap/>
            <w:vAlign w:val="center"/>
          </w:tcPr>
          <w:p w14:paraId="5C7169F3">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定标规则</w:t>
            </w:r>
          </w:p>
        </w:tc>
        <w:tc>
          <w:tcPr>
            <w:tcW w:w="1518" w:type="dxa"/>
            <w:tcBorders>
              <w:top w:val="nil"/>
              <w:left w:val="single" w:color="000000" w:sz="4" w:space="0"/>
              <w:bottom w:val="single" w:color="000000" w:sz="4" w:space="0"/>
              <w:right w:val="single" w:color="000000" w:sz="4" w:space="0"/>
            </w:tcBorders>
            <w:shd w:val="clear" w:color="auto" w:fill="auto"/>
            <w:noWrap/>
            <w:vAlign w:val="center"/>
          </w:tcPr>
          <w:p w14:paraId="652FEDB2">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权重(%)</w:t>
            </w:r>
          </w:p>
        </w:tc>
      </w:tr>
      <w:tr w14:paraId="4E26D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jc w:val="center"/>
        </w:trPr>
        <w:tc>
          <w:tcPr>
            <w:tcW w:w="124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6393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F4C9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评标报告审核报告</w:t>
            </w:r>
          </w:p>
        </w:tc>
        <w:tc>
          <w:tcPr>
            <w:tcW w:w="4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61CCF">
            <w:pPr>
              <w:rPr>
                <w:rFonts w:hint="eastAsia" w:ascii="宋体" w:hAnsi="宋体" w:eastAsia="宋体" w:cs="宋体"/>
                <w:i w:val="0"/>
                <w:iCs w:val="0"/>
                <w:color w:val="auto"/>
                <w:sz w:val="20"/>
                <w:szCs w:val="20"/>
                <w:highlight w:val="none"/>
                <w:u w:val="none"/>
              </w:rPr>
            </w:pP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DBF5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非必须设定项</w:t>
            </w:r>
          </w:p>
        </w:tc>
      </w:tr>
      <w:tr w14:paraId="339B3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 w:hRule="atLeast"/>
          <w:jc w:val="center"/>
        </w:trPr>
        <w:tc>
          <w:tcPr>
            <w:tcW w:w="124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A059A">
            <w:pPr>
              <w:jc w:val="center"/>
              <w:rPr>
                <w:rFonts w:hint="eastAsia" w:ascii="宋体" w:hAnsi="宋体" w:eastAsia="宋体" w:cs="宋体"/>
                <w:i w:val="0"/>
                <w:iCs w:val="0"/>
                <w:color w:val="auto"/>
                <w:sz w:val="24"/>
                <w:szCs w:val="24"/>
                <w:highlight w:val="none"/>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409D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履约能力核查报告</w:t>
            </w:r>
          </w:p>
        </w:tc>
        <w:tc>
          <w:tcPr>
            <w:tcW w:w="4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C4897">
            <w:pPr>
              <w:rPr>
                <w:rFonts w:hint="eastAsia" w:ascii="宋体" w:hAnsi="宋体" w:eastAsia="宋体" w:cs="宋体"/>
                <w:i w:val="0"/>
                <w:iCs w:val="0"/>
                <w:color w:val="auto"/>
                <w:sz w:val="20"/>
                <w:szCs w:val="20"/>
                <w:highlight w:val="none"/>
                <w:u w:val="none"/>
              </w:rPr>
            </w:pP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48348">
            <w:pPr>
              <w:rPr>
                <w:rFonts w:hint="eastAsia" w:ascii="宋体" w:hAnsi="宋体" w:eastAsia="宋体" w:cs="宋体"/>
                <w:i w:val="0"/>
                <w:iCs w:val="0"/>
                <w:color w:val="auto"/>
                <w:sz w:val="20"/>
                <w:szCs w:val="20"/>
                <w:highlight w:val="none"/>
                <w:u w:val="none"/>
              </w:rPr>
            </w:pPr>
          </w:p>
        </w:tc>
      </w:tr>
      <w:tr w14:paraId="700CE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jc w:val="center"/>
        </w:trPr>
        <w:tc>
          <w:tcPr>
            <w:tcW w:w="124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7FFEA">
            <w:pPr>
              <w:jc w:val="center"/>
              <w:rPr>
                <w:rFonts w:hint="eastAsia" w:ascii="宋体" w:hAnsi="宋体" w:eastAsia="宋体" w:cs="宋体"/>
                <w:i w:val="0"/>
                <w:iCs w:val="0"/>
                <w:color w:val="auto"/>
                <w:sz w:val="24"/>
                <w:szCs w:val="24"/>
                <w:highlight w:val="none"/>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0E3E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投标报价</w:t>
            </w:r>
          </w:p>
        </w:tc>
        <w:tc>
          <w:tcPr>
            <w:tcW w:w="4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CFF9F">
            <w:pPr>
              <w:rPr>
                <w:rFonts w:hint="eastAsia" w:ascii="宋体" w:hAnsi="宋体" w:eastAsia="宋体" w:cs="宋体"/>
                <w:i w:val="0"/>
                <w:iCs w:val="0"/>
                <w:color w:val="auto"/>
                <w:sz w:val="20"/>
                <w:szCs w:val="20"/>
                <w:highlight w:val="none"/>
                <w:u w:val="none"/>
              </w:rPr>
            </w:pP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164D0">
            <w:pPr>
              <w:rPr>
                <w:rFonts w:hint="eastAsia" w:ascii="宋体" w:hAnsi="宋体" w:eastAsia="宋体" w:cs="宋体"/>
                <w:i w:val="0"/>
                <w:iCs w:val="0"/>
                <w:color w:val="auto"/>
                <w:sz w:val="20"/>
                <w:szCs w:val="20"/>
                <w:highlight w:val="none"/>
                <w:u w:val="none"/>
              </w:rPr>
            </w:pPr>
          </w:p>
        </w:tc>
      </w:tr>
      <w:tr w14:paraId="4AFC1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 w:hRule="atLeast"/>
          <w:jc w:val="center"/>
        </w:trPr>
        <w:tc>
          <w:tcPr>
            <w:tcW w:w="124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1CFA9">
            <w:pPr>
              <w:jc w:val="center"/>
              <w:rPr>
                <w:rFonts w:hint="eastAsia" w:ascii="宋体" w:hAnsi="宋体" w:eastAsia="宋体" w:cs="宋体"/>
                <w:i w:val="0"/>
                <w:iCs w:val="0"/>
                <w:color w:val="auto"/>
                <w:sz w:val="24"/>
                <w:szCs w:val="24"/>
                <w:highlight w:val="none"/>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68BF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团队实力</w:t>
            </w:r>
          </w:p>
        </w:tc>
        <w:tc>
          <w:tcPr>
            <w:tcW w:w="4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43621">
            <w:pPr>
              <w:rPr>
                <w:rFonts w:hint="eastAsia" w:ascii="宋体" w:hAnsi="宋体" w:eastAsia="宋体" w:cs="宋体"/>
                <w:i w:val="0"/>
                <w:iCs w:val="0"/>
                <w:color w:val="auto"/>
                <w:sz w:val="20"/>
                <w:szCs w:val="20"/>
                <w:highlight w:val="none"/>
                <w:u w:val="none"/>
              </w:rPr>
            </w:pP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C4B0C">
            <w:pPr>
              <w:rPr>
                <w:rFonts w:hint="eastAsia" w:ascii="宋体" w:hAnsi="宋体" w:eastAsia="宋体" w:cs="宋体"/>
                <w:i w:val="0"/>
                <w:iCs w:val="0"/>
                <w:color w:val="auto"/>
                <w:sz w:val="20"/>
                <w:szCs w:val="20"/>
                <w:highlight w:val="none"/>
                <w:u w:val="none"/>
              </w:rPr>
            </w:pPr>
          </w:p>
        </w:tc>
      </w:tr>
      <w:tr w14:paraId="78CA4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jc w:val="center"/>
        </w:trPr>
        <w:tc>
          <w:tcPr>
            <w:tcW w:w="124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F96A3">
            <w:pPr>
              <w:jc w:val="center"/>
              <w:rPr>
                <w:rFonts w:hint="eastAsia" w:ascii="宋体" w:hAnsi="宋体" w:eastAsia="宋体" w:cs="宋体"/>
                <w:i w:val="0"/>
                <w:iCs w:val="0"/>
                <w:color w:val="auto"/>
                <w:sz w:val="24"/>
                <w:szCs w:val="24"/>
                <w:highlight w:val="none"/>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DF93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实施方案</w:t>
            </w:r>
          </w:p>
        </w:tc>
        <w:tc>
          <w:tcPr>
            <w:tcW w:w="4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4E0F3">
            <w:pPr>
              <w:rPr>
                <w:rFonts w:hint="eastAsia" w:ascii="宋体" w:hAnsi="宋体" w:eastAsia="宋体" w:cs="宋体"/>
                <w:i w:val="0"/>
                <w:iCs w:val="0"/>
                <w:color w:val="auto"/>
                <w:sz w:val="20"/>
                <w:szCs w:val="20"/>
                <w:highlight w:val="none"/>
                <w:u w:val="none"/>
              </w:rPr>
            </w:pP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1CDF0">
            <w:pPr>
              <w:rPr>
                <w:rFonts w:hint="eastAsia" w:ascii="宋体" w:hAnsi="宋体" w:eastAsia="宋体" w:cs="宋体"/>
                <w:i w:val="0"/>
                <w:iCs w:val="0"/>
                <w:color w:val="auto"/>
                <w:sz w:val="20"/>
                <w:szCs w:val="20"/>
                <w:highlight w:val="none"/>
                <w:u w:val="none"/>
              </w:rPr>
            </w:pPr>
          </w:p>
        </w:tc>
      </w:tr>
      <w:tr w14:paraId="02ED1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 w:hRule="atLeast"/>
          <w:jc w:val="center"/>
        </w:trPr>
        <w:tc>
          <w:tcPr>
            <w:tcW w:w="124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6D6A7">
            <w:pPr>
              <w:jc w:val="center"/>
              <w:rPr>
                <w:rFonts w:hint="eastAsia" w:ascii="宋体" w:hAnsi="宋体" w:eastAsia="宋体" w:cs="宋体"/>
                <w:i w:val="0"/>
                <w:iCs w:val="0"/>
                <w:color w:val="auto"/>
                <w:sz w:val="24"/>
                <w:szCs w:val="24"/>
                <w:highlight w:val="none"/>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E963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相匹配的履约能力</w:t>
            </w:r>
          </w:p>
        </w:tc>
        <w:tc>
          <w:tcPr>
            <w:tcW w:w="4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B5F5D">
            <w:pPr>
              <w:rPr>
                <w:rFonts w:hint="eastAsia" w:ascii="宋体" w:hAnsi="宋体" w:eastAsia="宋体" w:cs="宋体"/>
                <w:i w:val="0"/>
                <w:iCs w:val="0"/>
                <w:color w:val="auto"/>
                <w:sz w:val="20"/>
                <w:szCs w:val="20"/>
                <w:highlight w:val="none"/>
                <w:u w:val="none"/>
              </w:rPr>
            </w:pP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C7882">
            <w:pPr>
              <w:rPr>
                <w:rFonts w:hint="eastAsia" w:ascii="宋体" w:hAnsi="宋体" w:eastAsia="宋体" w:cs="宋体"/>
                <w:i w:val="0"/>
                <w:iCs w:val="0"/>
                <w:color w:val="auto"/>
                <w:sz w:val="20"/>
                <w:szCs w:val="20"/>
                <w:highlight w:val="none"/>
                <w:u w:val="none"/>
              </w:rPr>
            </w:pPr>
          </w:p>
        </w:tc>
      </w:tr>
      <w:tr w14:paraId="43250C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jc w:val="center"/>
        </w:trPr>
        <w:tc>
          <w:tcPr>
            <w:tcW w:w="124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EC6CA">
            <w:pPr>
              <w:jc w:val="center"/>
              <w:rPr>
                <w:rFonts w:hint="eastAsia" w:ascii="宋体" w:hAnsi="宋体" w:eastAsia="宋体" w:cs="宋体"/>
                <w:i w:val="0"/>
                <w:iCs w:val="0"/>
                <w:color w:val="auto"/>
                <w:sz w:val="24"/>
                <w:szCs w:val="24"/>
                <w:highlight w:val="none"/>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2AF0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履约评价</w:t>
            </w:r>
          </w:p>
        </w:tc>
        <w:tc>
          <w:tcPr>
            <w:tcW w:w="4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D73E0">
            <w:pPr>
              <w:rPr>
                <w:rFonts w:hint="eastAsia" w:ascii="宋体" w:hAnsi="宋体" w:eastAsia="宋体" w:cs="宋体"/>
                <w:i w:val="0"/>
                <w:iCs w:val="0"/>
                <w:color w:val="auto"/>
                <w:sz w:val="20"/>
                <w:szCs w:val="20"/>
                <w:highlight w:val="none"/>
                <w:u w:val="none"/>
              </w:rPr>
            </w:pP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0D6BB">
            <w:pPr>
              <w:rPr>
                <w:rFonts w:hint="eastAsia" w:ascii="宋体" w:hAnsi="宋体" w:eastAsia="宋体" w:cs="宋体"/>
                <w:i w:val="0"/>
                <w:iCs w:val="0"/>
                <w:color w:val="auto"/>
                <w:sz w:val="20"/>
                <w:szCs w:val="20"/>
                <w:highlight w:val="none"/>
                <w:u w:val="none"/>
              </w:rPr>
            </w:pPr>
          </w:p>
        </w:tc>
      </w:tr>
      <w:tr w14:paraId="5AFE0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 w:hRule="atLeast"/>
          <w:jc w:val="center"/>
        </w:trPr>
        <w:tc>
          <w:tcPr>
            <w:tcW w:w="124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1DE67">
            <w:pPr>
              <w:jc w:val="center"/>
              <w:rPr>
                <w:rFonts w:hint="eastAsia" w:ascii="宋体" w:hAnsi="宋体" w:eastAsia="宋体" w:cs="宋体"/>
                <w:i w:val="0"/>
                <w:iCs w:val="0"/>
                <w:color w:val="auto"/>
                <w:sz w:val="24"/>
                <w:szCs w:val="24"/>
                <w:highlight w:val="none"/>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D73E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信用</w:t>
            </w:r>
          </w:p>
        </w:tc>
        <w:tc>
          <w:tcPr>
            <w:tcW w:w="4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7CFEF">
            <w:pPr>
              <w:rPr>
                <w:rFonts w:hint="eastAsia" w:ascii="宋体" w:hAnsi="宋体" w:eastAsia="宋体" w:cs="宋体"/>
                <w:i w:val="0"/>
                <w:iCs w:val="0"/>
                <w:color w:val="auto"/>
                <w:sz w:val="20"/>
                <w:szCs w:val="20"/>
                <w:highlight w:val="none"/>
                <w:u w:val="none"/>
              </w:rPr>
            </w:pP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9D1AF">
            <w:pPr>
              <w:rPr>
                <w:rFonts w:hint="eastAsia" w:ascii="宋体" w:hAnsi="宋体" w:eastAsia="宋体" w:cs="宋体"/>
                <w:i w:val="0"/>
                <w:iCs w:val="0"/>
                <w:color w:val="auto"/>
                <w:sz w:val="20"/>
                <w:szCs w:val="20"/>
                <w:highlight w:val="none"/>
                <w:u w:val="none"/>
              </w:rPr>
            </w:pPr>
          </w:p>
        </w:tc>
      </w:tr>
      <w:tr w14:paraId="661769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jc w:val="center"/>
        </w:trPr>
        <w:tc>
          <w:tcPr>
            <w:tcW w:w="124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C7D74">
            <w:pPr>
              <w:jc w:val="center"/>
              <w:rPr>
                <w:rFonts w:hint="eastAsia" w:ascii="宋体" w:hAnsi="宋体" w:eastAsia="宋体" w:cs="宋体"/>
                <w:i w:val="0"/>
                <w:iCs w:val="0"/>
                <w:color w:val="auto"/>
                <w:sz w:val="24"/>
                <w:szCs w:val="24"/>
                <w:highlight w:val="none"/>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9D29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综合实力</w:t>
            </w:r>
          </w:p>
        </w:tc>
        <w:tc>
          <w:tcPr>
            <w:tcW w:w="4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7356A">
            <w:pPr>
              <w:rPr>
                <w:rFonts w:hint="eastAsia" w:ascii="宋体" w:hAnsi="宋体" w:eastAsia="宋体" w:cs="宋体"/>
                <w:i w:val="0"/>
                <w:iCs w:val="0"/>
                <w:color w:val="auto"/>
                <w:sz w:val="20"/>
                <w:szCs w:val="20"/>
                <w:highlight w:val="none"/>
                <w:u w:val="none"/>
              </w:rPr>
            </w:pP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BD4B7">
            <w:pPr>
              <w:rPr>
                <w:rFonts w:hint="eastAsia" w:ascii="宋体" w:hAnsi="宋体" w:eastAsia="宋体" w:cs="宋体"/>
                <w:i w:val="0"/>
                <w:iCs w:val="0"/>
                <w:color w:val="auto"/>
                <w:sz w:val="20"/>
                <w:szCs w:val="20"/>
                <w:highlight w:val="none"/>
                <w:u w:val="none"/>
              </w:rPr>
            </w:pPr>
          </w:p>
        </w:tc>
      </w:tr>
      <w:tr w14:paraId="473EC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jc w:val="center"/>
        </w:trPr>
        <w:tc>
          <w:tcPr>
            <w:tcW w:w="124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7D8AD">
            <w:pPr>
              <w:jc w:val="center"/>
              <w:rPr>
                <w:rFonts w:hint="eastAsia" w:ascii="宋体" w:hAnsi="宋体" w:eastAsia="宋体" w:cs="宋体"/>
                <w:i w:val="0"/>
                <w:iCs w:val="0"/>
                <w:color w:val="auto"/>
                <w:sz w:val="24"/>
                <w:szCs w:val="24"/>
                <w:highlight w:val="none"/>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020F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产品性能指标</w:t>
            </w:r>
          </w:p>
        </w:tc>
        <w:tc>
          <w:tcPr>
            <w:tcW w:w="4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8EB5C">
            <w:pPr>
              <w:rPr>
                <w:rFonts w:hint="eastAsia" w:ascii="宋体" w:hAnsi="宋体" w:eastAsia="宋体" w:cs="宋体"/>
                <w:i w:val="0"/>
                <w:iCs w:val="0"/>
                <w:color w:val="auto"/>
                <w:sz w:val="20"/>
                <w:szCs w:val="20"/>
                <w:highlight w:val="none"/>
                <w:u w:val="none"/>
              </w:rPr>
            </w:pP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E5263">
            <w:pPr>
              <w:rPr>
                <w:rFonts w:hint="eastAsia" w:ascii="宋体" w:hAnsi="宋体" w:eastAsia="宋体" w:cs="宋体"/>
                <w:i w:val="0"/>
                <w:iCs w:val="0"/>
                <w:color w:val="auto"/>
                <w:sz w:val="20"/>
                <w:szCs w:val="20"/>
                <w:highlight w:val="none"/>
                <w:u w:val="none"/>
              </w:rPr>
            </w:pPr>
          </w:p>
        </w:tc>
      </w:tr>
      <w:tr w14:paraId="4D8C7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jc w:val="center"/>
        </w:trPr>
        <w:tc>
          <w:tcPr>
            <w:tcW w:w="124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FB8AC">
            <w:pPr>
              <w:jc w:val="center"/>
              <w:rPr>
                <w:rFonts w:hint="eastAsia" w:ascii="宋体" w:hAnsi="宋体" w:eastAsia="宋体" w:cs="宋体"/>
                <w:i w:val="0"/>
                <w:iCs w:val="0"/>
                <w:color w:val="auto"/>
                <w:sz w:val="24"/>
                <w:szCs w:val="24"/>
                <w:highlight w:val="none"/>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32CA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产品性价比</w:t>
            </w:r>
          </w:p>
        </w:tc>
        <w:tc>
          <w:tcPr>
            <w:tcW w:w="4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FED3D">
            <w:pPr>
              <w:rPr>
                <w:rFonts w:hint="eastAsia" w:ascii="宋体" w:hAnsi="宋体" w:eastAsia="宋体" w:cs="宋体"/>
                <w:i w:val="0"/>
                <w:iCs w:val="0"/>
                <w:color w:val="auto"/>
                <w:sz w:val="20"/>
                <w:szCs w:val="20"/>
                <w:highlight w:val="none"/>
                <w:u w:val="none"/>
              </w:rPr>
            </w:pP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91560">
            <w:pPr>
              <w:rPr>
                <w:rFonts w:hint="eastAsia" w:ascii="宋体" w:hAnsi="宋体" w:eastAsia="宋体" w:cs="宋体"/>
                <w:i w:val="0"/>
                <w:iCs w:val="0"/>
                <w:color w:val="auto"/>
                <w:sz w:val="20"/>
                <w:szCs w:val="20"/>
                <w:highlight w:val="none"/>
                <w:u w:val="none"/>
              </w:rPr>
            </w:pPr>
          </w:p>
        </w:tc>
      </w:tr>
      <w:tr w14:paraId="142EDD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jc w:val="center"/>
        </w:trPr>
        <w:tc>
          <w:tcPr>
            <w:tcW w:w="124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6A4B9">
            <w:pPr>
              <w:jc w:val="center"/>
              <w:rPr>
                <w:rFonts w:hint="eastAsia" w:ascii="宋体" w:hAnsi="宋体" w:eastAsia="宋体" w:cs="宋体"/>
                <w:i w:val="0"/>
                <w:iCs w:val="0"/>
                <w:color w:val="auto"/>
                <w:sz w:val="24"/>
                <w:szCs w:val="24"/>
                <w:highlight w:val="none"/>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14F3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商务条款响应度</w:t>
            </w:r>
          </w:p>
        </w:tc>
        <w:tc>
          <w:tcPr>
            <w:tcW w:w="4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7E90C">
            <w:pPr>
              <w:rPr>
                <w:rFonts w:hint="eastAsia" w:ascii="宋体" w:hAnsi="宋体" w:eastAsia="宋体" w:cs="宋体"/>
                <w:i w:val="0"/>
                <w:iCs w:val="0"/>
                <w:color w:val="auto"/>
                <w:sz w:val="20"/>
                <w:szCs w:val="20"/>
                <w:highlight w:val="none"/>
                <w:u w:val="none"/>
              </w:rPr>
            </w:pP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C7749">
            <w:pPr>
              <w:rPr>
                <w:rFonts w:hint="eastAsia" w:ascii="宋体" w:hAnsi="宋体" w:eastAsia="宋体" w:cs="宋体"/>
                <w:i w:val="0"/>
                <w:iCs w:val="0"/>
                <w:color w:val="auto"/>
                <w:sz w:val="20"/>
                <w:szCs w:val="20"/>
                <w:highlight w:val="none"/>
                <w:u w:val="none"/>
              </w:rPr>
            </w:pPr>
          </w:p>
        </w:tc>
      </w:tr>
      <w:tr w14:paraId="7E3BA7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jc w:val="center"/>
        </w:trPr>
        <w:tc>
          <w:tcPr>
            <w:tcW w:w="124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017BF">
            <w:pPr>
              <w:jc w:val="center"/>
              <w:rPr>
                <w:rFonts w:hint="eastAsia" w:ascii="宋体" w:hAnsi="宋体" w:eastAsia="宋体" w:cs="宋体"/>
                <w:i w:val="0"/>
                <w:iCs w:val="0"/>
                <w:color w:val="auto"/>
                <w:sz w:val="24"/>
                <w:szCs w:val="24"/>
                <w:highlight w:val="none"/>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8FFA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质保服务</w:t>
            </w:r>
          </w:p>
        </w:tc>
        <w:tc>
          <w:tcPr>
            <w:tcW w:w="4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275E9">
            <w:pPr>
              <w:rPr>
                <w:rFonts w:hint="eastAsia" w:ascii="宋体" w:hAnsi="宋体" w:eastAsia="宋体" w:cs="宋体"/>
                <w:i w:val="0"/>
                <w:iCs w:val="0"/>
                <w:color w:val="auto"/>
                <w:sz w:val="20"/>
                <w:szCs w:val="20"/>
                <w:highlight w:val="none"/>
                <w:u w:val="none"/>
              </w:rPr>
            </w:pP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B3532">
            <w:pPr>
              <w:rPr>
                <w:rFonts w:hint="eastAsia" w:ascii="宋体" w:hAnsi="宋体" w:eastAsia="宋体" w:cs="宋体"/>
                <w:i w:val="0"/>
                <w:iCs w:val="0"/>
                <w:color w:val="auto"/>
                <w:sz w:val="20"/>
                <w:szCs w:val="20"/>
                <w:highlight w:val="none"/>
                <w:u w:val="none"/>
              </w:rPr>
            </w:pPr>
          </w:p>
        </w:tc>
      </w:tr>
      <w:tr w14:paraId="2C867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jc w:val="center"/>
        </w:trPr>
        <w:tc>
          <w:tcPr>
            <w:tcW w:w="124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162B1">
            <w:pPr>
              <w:jc w:val="center"/>
              <w:rPr>
                <w:rFonts w:hint="eastAsia" w:ascii="宋体" w:hAnsi="宋体" w:eastAsia="宋体" w:cs="宋体"/>
                <w:i w:val="0"/>
                <w:iCs w:val="0"/>
                <w:color w:val="auto"/>
                <w:sz w:val="24"/>
                <w:szCs w:val="24"/>
                <w:highlight w:val="none"/>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F1F7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科技创新(四新技术)</w:t>
            </w:r>
          </w:p>
        </w:tc>
        <w:tc>
          <w:tcPr>
            <w:tcW w:w="4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D1BE7">
            <w:pPr>
              <w:rPr>
                <w:rFonts w:hint="eastAsia" w:ascii="宋体" w:hAnsi="宋体" w:eastAsia="宋体" w:cs="宋体"/>
                <w:i w:val="0"/>
                <w:iCs w:val="0"/>
                <w:color w:val="auto"/>
                <w:sz w:val="20"/>
                <w:szCs w:val="20"/>
                <w:highlight w:val="none"/>
                <w:u w:val="none"/>
              </w:rPr>
            </w:pP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5D15D">
            <w:pPr>
              <w:rPr>
                <w:rFonts w:hint="eastAsia" w:ascii="宋体" w:hAnsi="宋体" w:eastAsia="宋体" w:cs="宋体"/>
                <w:i w:val="0"/>
                <w:iCs w:val="0"/>
                <w:color w:val="auto"/>
                <w:sz w:val="20"/>
                <w:szCs w:val="20"/>
                <w:highlight w:val="none"/>
                <w:u w:val="none"/>
              </w:rPr>
            </w:pPr>
          </w:p>
        </w:tc>
      </w:tr>
      <w:tr w14:paraId="0E8D70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 w:hRule="atLeast"/>
          <w:jc w:val="center"/>
        </w:trPr>
        <w:tc>
          <w:tcPr>
            <w:tcW w:w="124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24D50">
            <w:pPr>
              <w:jc w:val="center"/>
              <w:rPr>
                <w:rFonts w:hint="eastAsia" w:ascii="宋体" w:hAnsi="宋体" w:eastAsia="宋体" w:cs="宋体"/>
                <w:i w:val="0"/>
                <w:iCs w:val="0"/>
                <w:color w:val="auto"/>
                <w:sz w:val="24"/>
                <w:szCs w:val="24"/>
                <w:highlight w:val="none"/>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694F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绿色低碳</w:t>
            </w:r>
          </w:p>
        </w:tc>
        <w:tc>
          <w:tcPr>
            <w:tcW w:w="4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872D0">
            <w:pPr>
              <w:rPr>
                <w:rFonts w:hint="eastAsia" w:ascii="宋体" w:hAnsi="宋体" w:eastAsia="宋体" w:cs="宋体"/>
                <w:i w:val="0"/>
                <w:iCs w:val="0"/>
                <w:color w:val="auto"/>
                <w:sz w:val="20"/>
                <w:szCs w:val="20"/>
                <w:highlight w:val="none"/>
                <w:u w:val="none"/>
              </w:rPr>
            </w:pP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EB02F">
            <w:pPr>
              <w:rPr>
                <w:rFonts w:hint="eastAsia" w:ascii="宋体" w:hAnsi="宋体" w:eastAsia="宋体" w:cs="宋体"/>
                <w:i w:val="0"/>
                <w:iCs w:val="0"/>
                <w:color w:val="auto"/>
                <w:sz w:val="20"/>
                <w:szCs w:val="20"/>
                <w:highlight w:val="none"/>
                <w:u w:val="none"/>
              </w:rPr>
            </w:pPr>
          </w:p>
        </w:tc>
      </w:tr>
      <w:tr w14:paraId="32F67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jc w:val="center"/>
        </w:trPr>
        <w:tc>
          <w:tcPr>
            <w:tcW w:w="124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3369D">
            <w:pPr>
              <w:jc w:val="center"/>
              <w:rPr>
                <w:rFonts w:hint="eastAsia" w:ascii="宋体" w:hAnsi="宋体" w:eastAsia="宋体" w:cs="宋体"/>
                <w:i w:val="0"/>
                <w:iCs w:val="0"/>
                <w:color w:val="auto"/>
                <w:sz w:val="24"/>
                <w:szCs w:val="24"/>
                <w:highlight w:val="none"/>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CC91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智能建造</w:t>
            </w:r>
          </w:p>
        </w:tc>
        <w:tc>
          <w:tcPr>
            <w:tcW w:w="4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3D604">
            <w:pPr>
              <w:rPr>
                <w:rFonts w:hint="eastAsia" w:ascii="宋体" w:hAnsi="宋体" w:eastAsia="宋体" w:cs="宋体"/>
                <w:i w:val="0"/>
                <w:iCs w:val="0"/>
                <w:color w:val="auto"/>
                <w:sz w:val="20"/>
                <w:szCs w:val="20"/>
                <w:highlight w:val="none"/>
                <w:u w:val="none"/>
              </w:rPr>
            </w:pP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E83F4">
            <w:pPr>
              <w:rPr>
                <w:rFonts w:hint="eastAsia" w:ascii="宋体" w:hAnsi="宋体" w:eastAsia="宋体" w:cs="宋体"/>
                <w:i w:val="0"/>
                <w:iCs w:val="0"/>
                <w:color w:val="auto"/>
                <w:sz w:val="20"/>
                <w:szCs w:val="20"/>
                <w:highlight w:val="none"/>
                <w:u w:val="none"/>
              </w:rPr>
            </w:pPr>
          </w:p>
        </w:tc>
      </w:tr>
      <w:tr w14:paraId="18E67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1" w:hRule="atLeast"/>
          <w:jc w:val="center"/>
        </w:trPr>
        <w:tc>
          <w:tcPr>
            <w:tcW w:w="124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B587A">
            <w:pPr>
              <w:jc w:val="center"/>
              <w:rPr>
                <w:rFonts w:hint="eastAsia" w:ascii="宋体" w:hAnsi="宋体" w:eastAsia="宋体" w:cs="宋体"/>
                <w:i w:val="0"/>
                <w:iCs w:val="0"/>
                <w:color w:val="auto"/>
                <w:sz w:val="24"/>
                <w:szCs w:val="24"/>
                <w:highlight w:val="none"/>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3345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大型企业与中小企业组成联合体</w:t>
            </w:r>
          </w:p>
        </w:tc>
        <w:tc>
          <w:tcPr>
            <w:tcW w:w="4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F0C22">
            <w:pPr>
              <w:rPr>
                <w:rFonts w:hint="eastAsia" w:ascii="宋体" w:hAnsi="宋体" w:eastAsia="宋体" w:cs="宋体"/>
                <w:i w:val="0"/>
                <w:iCs w:val="0"/>
                <w:color w:val="auto"/>
                <w:sz w:val="20"/>
                <w:szCs w:val="20"/>
                <w:highlight w:val="none"/>
                <w:u w:val="none"/>
              </w:rPr>
            </w:pP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9624C">
            <w:pPr>
              <w:rPr>
                <w:rFonts w:hint="eastAsia" w:ascii="宋体" w:hAnsi="宋体" w:eastAsia="宋体" w:cs="宋体"/>
                <w:i w:val="0"/>
                <w:iCs w:val="0"/>
                <w:color w:val="auto"/>
                <w:sz w:val="20"/>
                <w:szCs w:val="20"/>
                <w:highlight w:val="none"/>
                <w:u w:val="none"/>
              </w:rPr>
            </w:pPr>
          </w:p>
        </w:tc>
      </w:tr>
      <w:tr w14:paraId="2E216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jc w:val="center"/>
        </w:trPr>
        <w:tc>
          <w:tcPr>
            <w:tcW w:w="124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6681D">
            <w:pPr>
              <w:jc w:val="center"/>
              <w:rPr>
                <w:rFonts w:hint="eastAsia" w:ascii="宋体" w:hAnsi="宋体" w:eastAsia="宋体" w:cs="宋体"/>
                <w:i w:val="0"/>
                <w:iCs w:val="0"/>
                <w:color w:val="auto"/>
                <w:sz w:val="24"/>
                <w:szCs w:val="24"/>
                <w:highlight w:val="none"/>
                <w:u w:val="none"/>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767D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4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EED07">
            <w:pPr>
              <w:rPr>
                <w:rFonts w:hint="eastAsia" w:ascii="宋体" w:hAnsi="宋体" w:eastAsia="宋体" w:cs="宋体"/>
                <w:i w:val="0"/>
                <w:iCs w:val="0"/>
                <w:color w:val="auto"/>
                <w:sz w:val="20"/>
                <w:szCs w:val="20"/>
                <w:highlight w:val="none"/>
                <w:u w:val="none"/>
              </w:rPr>
            </w:pPr>
          </w:p>
        </w:tc>
        <w:tc>
          <w:tcPr>
            <w:tcW w:w="15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59C34">
            <w:pPr>
              <w:rPr>
                <w:rFonts w:hint="eastAsia" w:ascii="宋体" w:hAnsi="宋体" w:eastAsia="宋体" w:cs="宋体"/>
                <w:i w:val="0"/>
                <w:iCs w:val="0"/>
                <w:color w:val="auto"/>
                <w:sz w:val="20"/>
                <w:szCs w:val="20"/>
                <w:highlight w:val="none"/>
                <w:u w:val="none"/>
              </w:rPr>
            </w:pPr>
          </w:p>
        </w:tc>
      </w:tr>
      <w:tr w14:paraId="5A60D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jc w:val="center"/>
        </w:trPr>
        <w:tc>
          <w:tcPr>
            <w:tcW w:w="124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B5B96">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条款号</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DDA4F">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条款内容</w:t>
            </w:r>
          </w:p>
        </w:tc>
        <w:tc>
          <w:tcPr>
            <w:tcW w:w="576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373D2">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编列内容</w:t>
            </w:r>
          </w:p>
        </w:tc>
      </w:tr>
      <w:tr w14:paraId="61996A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9" w:hRule="atLeast"/>
          <w:jc w:val="center"/>
        </w:trPr>
        <w:tc>
          <w:tcPr>
            <w:tcW w:w="124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1FBA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EA52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定标办法</w:t>
            </w:r>
          </w:p>
        </w:tc>
        <w:tc>
          <w:tcPr>
            <w:tcW w:w="57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BC6BC0">
            <w:pPr>
              <w:keepNext w:val="0"/>
              <w:keepLines w:val="0"/>
              <w:widowControl/>
              <w:suppressLineNumbers w:val="0"/>
              <w:jc w:val="left"/>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□集中票决法</w:t>
            </w:r>
            <w:r>
              <w:rPr>
                <w:rStyle w:val="188"/>
                <w:color w:val="auto"/>
                <w:highlight w:val="none"/>
                <w:lang w:val="en-US" w:eastAsia="zh-CN" w:bidi="ar"/>
              </w:rPr>
              <w:br w:type="textWrapping"/>
            </w:r>
            <w:r>
              <w:rPr>
                <w:rStyle w:val="188"/>
                <w:color w:val="auto"/>
                <w:highlight w:val="none"/>
                <w:lang w:val="en-US" w:eastAsia="zh-CN" w:bidi="ar"/>
              </w:rPr>
              <w:t xml:space="preserve">   □直接票决定标法</w:t>
            </w:r>
            <w:r>
              <w:rPr>
                <w:rStyle w:val="188"/>
                <w:color w:val="auto"/>
                <w:highlight w:val="none"/>
                <w:lang w:val="en-US" w:eastAsia="zh-CN" w:bidi="ar"/>
              </w:rPr>
              <w:br w:type="textWrapping"/>
            </w:r>
            <w:r>
              <w:rPr>
                <w:rStyle w:val="188"/>
                <w:color w:val="auto"/>
                <w:highlight w:val="none"/>
                <w:lang w:val="en-US" w:eastAsia="zh-CN" w:bidi="ar"/>
              </w:rPr>
              <w:t xml:space="preserve">   □逐轮票决定标法</w:t>
            </w:r>
            <w:r>
              <w:rPr>
                <w:rStyle w:val="188"/>
                <w:color w:val="auto"/>
                <w:highlight w:val="none"/>
                <w:lang w:val="en-US" w:eastAsia="zh-CN" w:bidi="ar"/>
              </w:rPr>
              <w:br w:type="textWrapping"/>
            </w:r>
            <w:r>
              <w:rPr>
                <w:rStyle w:val="188"/>
                <w:color w:val="auto"/>
                <w:highlight w:val="none"/>
                <w:lang w:val="en-US" w:eastAsia="zh-CN" w:bidi="ar"/>
              </w:rPr>
              <w:t xml:space="preserve">   □票决低价定标法</w:t>
            </w:r>
            <w:r>
              <w:rPr>
                <w:rStyle w:val="188"/>
                <w:color w:val="auto"/>
                <w:highlight w:val="none"/>
                <w:lang w:val="en-US" w:eastAsia="zh-CN" w:bidi="ar"/>
              </w:rPr>
              <w:br w:type="textWrapping"/>
            </w:r>
            <w:r>
              <w:rPr>
                <w:rStyle w:val="188"/>
                <w:color w:val="auto"/>
                <w:highlight w:val="none"/>
                <w:lang w:val="en-US" w:eastAsia="zh-CN" w:bidi="ar"/>
              </w:rPr>
              <w:t xml:space="preserve">   □票决抽签定标法 </w:t>
            </w:r>
            <w:r>
              <w:rPr>
                <w:rStyle w:val="188"/>
                <w:color w:val="auto"/>
                <w:highlight w:val="none"/>
                <w:lang w:val="en-US" w:eastAsia="zh-CN" w:bidi="ar"/>
              </w:rPr>
              <w:br w:type="textWrapping"/>
            </w:r>
            <w:r>
              <w:rPr>
                <w:rStyle w:val="188"/>
                <w:color w:val="auto"/>
                <w:highlight w:val="none"/>
                <w:lang w:val="en-US" w:eastAsia="zh-CN" w:bidi="ar"/>
              </w:rPr>
              <w:t xml:space="preserve">   定标委员会成员按照票决方法、规则独立行使投票权，不得弃权或产生废票。投票采用实名方式，定标委员会在投票时应当写明投票理由。</w:t>
            </w:r>
            <w:r>
              <w:rPr>
                <w:rStyle w:val="188"/>
                <w:color w:val="auto"/>
                <w:highlight w:val="none"/>
                <w:lang w:val="en-US" w:eastAsia="zh-CN" w:bidi="ar"/>
              </w:rPr>
              <w:br w:type="textWrapping"/>
            </w:r>
            <w:r>
              <w:rPr>
                <w:rStyle w:val="189"/>
                <w:color w:val="auto"/>
                <w:highlight w:val="none"/>
                <w:lang w:val="en-US" w:eastAsia="zh-CN" w:bidi="ar"/>
              </w:rPr>
              <w:t xml:space="preserve">□集体议事法:_      </w:t>
            </w:r>
            <w:r>
              <w:rPr>
                <w:rStyle w:val="189"/>
                <w:color w:val="auto"/>
                <w:highlight w:val="none"/>
                <w:lang w:val="en-US" w:eastAsia="zh-CN" w:bidi="ar"/>
              </w:rPr>
              <w:br w:type="textWrapping"/>
            </w:r>
            <w:r>
              <w:rPr>
                <w:rStyle w:val="189"/>
                <w:color w:val="auto"/>
                <w:highlight w:val="none"/>
                <w:lang w:val="en-US" w:eastAsia="zh-CN" w:bidi="ar"/>
              </w:rPr>
              <w:t>□其他定标法:__</w:t>
            </w:r>
          </w:p>
        </w:tc>
      </w:tr>
    </w:tbl>
    <w:p w14:paraId="39B8E0C2">
      <w:pPr>
        <w:spacing w:before="164" w:line="234" w:lineRule="auto"/>
        <w:ind w:left="436"/>
        <w:rPr>
          <w:rFonts w:ascii="宋体" w:hAnsi="宋体" w:cs="宋体"/>
          <w:color w:val="auto"/>
          <w:spacing w:val="-5"/>
          <w:szCs w:val="21"/>
          <w:highlight w:val="none"/>
        </w:rPr>
      </w:pPr>
    </w:p>
    <w:p w14:paraId="3E50DE03">
      <w:pPr>
        <w:spacing w:before="164" w:line="234" w:lineRule="auto"/>
        <w:ind w:left="436"/>
        <w:rPr>
          <w:rFonts w:ascii="宋体" w:hAnsi="宋体" w:cs="宋体"/>
          <w:color w:val="auto"/>
          <w:spacing w:val="-5"/>
          <w:szCs w:val="21"/>
          <w:highlight w:val="none"/>
        </w:rPr>
      </w:pPr>
    </w:p>
    <w:p w14:paraId="20C9868F">
      <w:pPr>
        <w:spacing w:before="164" w:line="234" w:lineRule="auto"/>
        <w:ind w:left="436"/>
        <w:rPr>
          <w:rFonts w:ascii="宋体" w:hAnsi="宋体" w:cs="宋体"/>
          <w:color w:val="auto"/>
          <w:spacing w:val="-5"/>
          <w:szCs w:val="21"/>
          <w:highlight w:val="none"/>
        </w:rPr>
      </w:pPr>
    </w:p>
    <w:p w14:paraId="0FE0FF7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ascii="黑体" w:hAnsi="宋体" w:eastAsia="黑体" w:cs="黑体"/>
          <w:color w:val="auto"/>
          <w:kern w:val="0"/>
          <w:sz w:val="28"/>
          <w:szCs w:val="28"/>
          <w:highlight w:val="none"/>
          <w:lang w:val="en-US" w:eastAsia="zh-CN" w:bidi="ar"/>
        </w:rPr>
        <w:t xml:space="preserve">定标办法正文 </w:t>
      </w:r>
    </w:p>
    <w:p w14:paraId="5381599B">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default" w:ascii="Times New Roman" w:hAnsi="Times New Roman" w:eastAsia="宋体" w:cs="Times New Roman"/>
          <w:color w:val="auto"/>
          <w:kern w:val="0"/>
          <w:sz w:val="28"/>
          <w:szCs w:val="28"/>
          <w:highlight w:val="none"/>
          <w:lang w:val="en-US" w:eastAsia="zh-CN" w:bidi="ar"/>
        </w:rPr>
        <w:t>1.</w:t>
      </w:r>
      <w:r>
        <w:rPr>
          <w:rFonts w:hint="eastAsia" w:ascii="黑体" w:hAnsi="宋体" w:eastAsia="黑体" w:cs="黑体"/>
          <w:color w:val="auto"/>
          <w:kern w:val="0"/>
          <w:sz w:val="28"/>
          <w:szCs w:val="28"/>
          <w:highlight w:val="none"/>
          <w:lang w:val="en-US" w:eastAsia="zh-CN" w:bidi="ar"/>
        </w:rPr>
        <w:t xml:space="preserve">定标方法 </w:t>
      </w:r>
    </w:p>
    <w:p w14:paraId="6A2B20B1">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default" w:ascii="Times New Roman" w:hAnsi="Times New Roman" w:eastAsia="宋体" w:cs="Times New Roman"/>
          <w:color w:val="auto"/>
          <w:kern w:val="0"/>
          <w:sz w:val="21"/>
          <w:szCs w:val="21"/>
          <w:highlight w:val="none"/>
          <w:lang w:val="en-US" w:eastAsia="zh-CN" w:bidi="ar"/>
        </w:rPr>
        <w:t xml:space="preserve">1.1 </w:t>
      </w:r>
      <w:r>
        <w:rPr>
          <w:rFonts w:hint="eastAsia" w:ascii="宋体" w:hAnsi="宋体" w:eastAsia="宋体" w:cs="宋体"/>
          <w:color w:val="auto"/>
          <w:kern w:val="0"/>
          <w:sz w:val="21"/>
          <w:szCs w:val="21"/>
          <w:highlight w:val="none"/>
          <w:lang w:val="en-US" w:eastAsia="zh-CN" w:bidi="ar"/>
        </w:rPr>
        <w:t xml:space="preserve">定标委员会应严格按照评定分离操作规程及相关规定执行，不得随意改变已确定且备案登记的定标程序、定标因素和规则、定标方法。 </w:t>
      </w:r>
    </w:p>
    <w:p w14:paraId="73D86725">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default" w:ascii="Times New Roman" w:hAnsi="Times New Roman" w:eastAsia="宋体" w:cs="Times New Roman"/>
          <w:color w:val="auto"/>
          <w:kern w:val="0"/>
          <w:sz w:val="21"/>
          <w:szCs w:val="21"/>
          <w:highlight w:val="none"/>
          <w:lang w:val="en-US" w:eastAsia="zh-CN" w:bidi="ar"/>
        </w:rPr>
        <w:t xml:space="preserve">1.2 </w:t>
      </w:r>
      <w:r>
        <w:rPr>
          <w:rFonts w:hint="eastAsia" w:ascii="宋体" w:hAnsi="宋体" w:eastAsia="宋体" w:cs="宋体"/>
          <w:color w:val="auto"/>
          <w:kern w:val="0"/>
          <w:sz w:val="21"/>
          <w:szCs w:val="21"/>
          <w:highlight w:val="none"/>
          <w:lang w:val="en-US" w:eastAsia="zh-CN" w:bidi="ar"/>
        </w:rPr>
        <w:t xml:space="preserve">招标人根据招标项目类型、项目具体特点和实现履约确定的定标因素作为定标依据。 </w:t>
      </w:r>
    </w:p>
    <w:p w14:paraId="789D5928">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default" w:ascii="Times New Roman" w:hAnsi="Times New Roman" w:eastAsia="宋体" w:cs="Times New Roman"/>
          <w:color w:val="auto"/>
          <w:kern w:val="0"/>
          <w:sz w:val="21"/>
          <w:szCs w:val="21"/>
          <w:highlight w:val="none"/>
          <w:lang w:val="en-US" w:eastAsia="zh-CN" w:bidi="ar"/>
        </w:rPr>
        <w:t xml:space="preserve">1.3 </w:t>
      </w:r>
      <w:r>
        <w:rPr>
          <w:rFonts w:hint="eastAsia" w:ascii="宋体" w:hAnsi="宋体" w:eastAsia="宋体" w:cs="宋体"/>
          <w:color w:val="auto"/>
          <w:kern w:val="0"/>
          <w:sz w:val="21"/>
          <w:szCs w:val="21"/>
          <w:highlight w:val="none"/>
          <w:lang w:val="en-US" w:eastAsia="zh-CN" w:bidi="ar"/>
        </w:rPr>
        <w:t xml:space="preserve">定标委员会按照招标文件明确规定的定标因素、定标规则和定标方法进行定标，确定中标人。 </w:t>
      </w:r>
    </w:p>
    <w:p w14:paraId="0047FEFE">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default" w:ascii="Times New Roman" w:hAnsi="Times New Roman" w:eastAsia="宋体" w:cs="Times New Roman"/>
          <w:color w:val="auto"/>
          <w:kern w:val="0"/>
          <w:sz w:val="28"/>
          <w:szCs w:val="28"/>
          <w:highlight w:val="none"/>
          <w:lang w:val="en-US" w:eastAsia="zh-CN" w:bidi="ar"/>
        </w:rPr>
        <w:t>2.</w:t>
      </w:r>
      <w:r>
        <w:rPr>
          <w:rFonts w:hint="eastAsia" w:ascii="黑体" w:hAnsi="宋体" w:eastAsia="黑体" w:cs="黑体"/>
          <w:color w:val="auto"/>
          <w:kern w:val="0"/>
          <w:sz w:val="28"/>
          <w:szCs w:val="28"/>
          <w:highlight w:val="none"/>
          <w:lang w:val="en-US" w:eastAsia="zh-CN" w:bidi="ar"/>
        </w:rPr>
        <w:t xml:space="preserve">定标流程及规则 </w:t>
      </w:r>
    </w:p>
    <w:p w14:paraId="6648CD80">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default" w:ascii="Times New Roman" w:hAnsi="Times New Roman" w:eastAsia="宋体" w:cs="Times New Roman"/>
          <w:color w:val="auto"/>
          <w:kern w:val="0"/>
          <w:sz w:val="24"/>
          <w:szCs w:val="24"/>
          <w:highlight w:val="none"/>
          <w:lang w:val="en-US" w:eastAsia="zh-CN" w:bidi="ar"/>
        </w:rPr>
        <w:t xml:space="preserve">2.1 </w:t>
      </w:r>
      <w:r>
        <w:rPr>
          <w:rFonts w:hint="eastAsia" w:ascii="黑体" w:hAnsi="宋体" w:eastAsia="黑体" w:cs="黑体"/>
          <w:color w:val="auto"/>
          <w:kern w:val="0"/>
          <w:sz w:val="24"/>
          <w:szCs w:val="24"/>
          <w:highlight w:val="none"/>
          <w:lang w:val="en-US" w:eastAsia="zh-CN" w:bidi="ar"/>
        </w:rPr>
        <w:t xml:space="preserve">组建定标委员会 </w:t>
      </w:r>
    </w:p>
    <w:p w14:paraId="54B43EBC">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定标前，招标人负责组建定标委员会，负责定标工作。定标委员会人员组成详见定标办法前附表。 </w:t>
      </w:r>
    </w:p>
    <w:p w14:paraId="4C05BFB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default" w:ascii="Times New Roman" w:hAnsi="Times New Roman" w:eastAsia="宋体" w:cs="Times New Roman"/>
          <w:color w:val="auto"/>
          <w:kern w:val="0"/>
          <w:sz w:val="24"/>
          <w:szCs w:val="24"/>
          <w:highlight w:val="none"/>
          <w:lang w:val="en-US" w:eastAsia="zh-CN" w:bidi="ar"/>
        </w:rPr>
        <w:t xml:space="preserve">2.2 </w:t>
      </w:r>
      <w:r>
        <w:rPr>
          <w:rFonts w:hint="eastAsia" w:ascii="黑体" w:hAnsi="宋体" w:eastAsia="黑体" w:cs="黑体"/>
          <w:color w:val="auto"/>
          <w:kern w:val="0"/>
          <w:sz w:val="24"/>
          <w:szCs w:val="24"/>
          <w:highlight w:val="none"/>
          <w:lang w:val="en-US" w:eastAsia="zh-CN" w:bidi="ar"/>
        </w:rPr>
        <w:t xml:space="preserve">定标因素及规则 </w:t>
      </w:r>
    </w:p>
    <w:p w14:paraId="1945FB70">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 xml:space="preserve">）定标因素：见定标办法前附表； </w:t>
      </w:r>
    </w:p>
    <w:p w14:paraId="2D9F2288">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 xml:space="preserve">）定标规则：见定标办法前附表。 </w:t>
      </w:r>
    </w:p>
    <w:p w14:paraId="082E2BB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default" w:ascii="Times New Roman" w:hAnsi="Times New Roman" w:eastAsia="宋体" w:cs="Times New Roman"/>
          <w:color w:val="auto"/>
          <w:kern w:val="0"/>
          <w:sz w:val="24"/>
          <w:szCs w:val="24"/>
          <w:highlight w:val="none"/>
          <w:lang w:val="en-US" w:eastAsia="zh-CN" w:bidi="ar"/>
        </w:rPr>
        <w:t xml:space="preserve">2.3 </w:t>
      </w:r>
      <w:r>
        <w:rPr>
          <w:rFonts w:hint="eastAsia" w:ascii="黑体" w:hAnsi="宋体" w:eastAsia="黑体" w:cs="黑体"/>
          <w:color w:val="auto"/>
          <w:kern w:val="0"/>
          <w:sz w:val="24"/>
          <w:szCs w:val="24"/>
          <w:highlight w:val="none"/>
          <w:lang w:val="en-US" w:eastAsia="zh-CN" w:bidi="ar"/>
        </w:rPr>
        <w:t xml:space="preserve">定标办法 </w:t>
      </w:r>
    </w:p>
    <w:p w14:paraId="2F25FA64">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定标办法包括集中票决法、集体议事法或招标人结合项目具体特点和实际情况制定的其他定标法。 </w:t>
      </w:r>
    </w:p>
    <w:p w14:paraId="5CB5E688">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default" w:ascii="Times New Roman" w:hAnsi="Times New Roman" w:eastAsia="宋体" w:cs="Times New Roman"/>
          <w:color w:val="auto"/>
          <w:kern w:val="0"/>
          <w:sz w:val="21"/>
          <w:szCs w:val="21"/>
          <w:highlight w:val="none"/>
          <w:lang w:val="en-US" w:eastAsia="zh-CN" w:bidi="ar"/>
        </w:rPr>
        <w:t xml:space="preserve">2.3.1 </w:t>
      </w:r>
      <w:r>
        <w:rPr>
          <w:rFonts w:hint="eastAsia" w:ascii="宋体" w:hAnsi="宋体" w:eastAsia="宋体" w:cs="宋体"/>
          <w:color w:val="auto"/>
          <w:kern w:val="0"/>
          <w:sz w:val="21"/>
          <w:szCs w:val="21"/>
          <w:highlight w:val="none"/>
          <w:lang w:val="en-US" w:eastAsia="zh-CN" w:bidi="ar"/>
        </w:rPr>
        <w:t xml:space="preserve">集中票决法包括直接票决定标法、逐轮票决定标法、票决低价定标法、票决抽签定标法。 </w:t>
      </w:r>
    </w:p>
    <w:p w14:paraId="0D5BD97B">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default" w:ascii="Times New Roman" w:hAnsi="Times New Roman" w:eastAsia="宋体" w:cs="Times New Roman"/>
          <w:color w:val="auto"/>
          <w:kern w:val="0"/>
          <w:sz w:val="21"/>
          <w:szCs w:val="21"/>
          <w:highlight w:val="none"/>
          <w:lang w:val="en-US" w:eastAsia="zh-CN" w:bidi="ar"/>
        </w:rPr>
        <w:t xml:space="preserve">2.3.1.1 </w:t>
      </w:r>
      <w:r>
        <w:rPr>
          <w:rFonts w:hint="eastAsia" w:ascii="宋体" w:hAnsi="宋体" w:eastAsia="宋体" w:cs="宋体"/>
          <w:color w:val="auto"/>
          <w:kern w:val="0"/>
          <w:sz w:val="21"/>
          <w:szCs w:val="21"/>
          <w:highlight w:val="none"/>
          <w:lang w:val="en-US" w:eastAsia="zh-CN" w:bidi="ar"/>
        </w:rPr>
        <w:t xml:space="preserve">直接票决定标法。通过投票，取票数最多且超过半数的为中标人。若中标候选人票数均未超过半数的，取票数前 </w:t>
      </w:r>
      <w:r>
        <w:rPr>
          <w:rFonts w:hint="default" w:ascii="Times New Roman" w:hAnsi="Times New Roman" w:eastAsia="宋体" w:cs="Times New Roman"/>
          <w:color w:val="auto"/>
          <w:kern w:val="0"/>
          <w:sz w:val="21"/>
          <w:szCs w:val="21"/>
          <w:highlight w:val="none"/>
          <w:lang w:val="en-US" w:eastAsia="zh-CN" w:bidi="ar"/>
        </w:rPr>
        <w:t xml:space="preserve">2 </w:t>
      </w:r>
      <w:r>
        <w:rPr>
          <w:rFonts w:hint="eastAsia" w:ascii="宋体" w:hAnsi="宋体" w:eastAsia="宋体" w:cs="宋体"/>
          <w:color w:val="auto"/>
          <w:kern w:val="0"/>
          <w:sz w:val="21"/>
          <w:szCs w:val="21"/>
          <w:highlight w:val="none"/>
          <w:lang w:val="en-US" w:eastAsia="zh-CN" w:bidi="ar"/>
        </w:rPr>
        <w:t xml:space="preserve">名再次票决确定中标人。因并列无法确定前 </w:t>
      </w:r>
      <w:r>
        <w:rPr>
          <w:rFonts w:hint="default" w:ascii="Times New Roman" w:hAnsi="Times New Roman" w:eastAsia="宋体" w:cs="Times New Roman"/>
          <w:color w:val="auto"/>
          <w:kern w:val="0"/>
          <w:sz w:val="21"/>
          <w:szCs w:val="21"/>
          <w:highlight w:val="none"/>
          <w:lang w:val="en-US" w:eastAsia="zh-CN" w:bidi="ar"/>
        </w:rPr>
        <w:t xml:space="preserve">2 </w:t>
      </w:r>
      <w:r>
        <w:rPr>
          <w:rFonts w:hint="eastAsia" w:ascii="宋体" w:hAnsi="宋体" w:eastAsia="宋体" w:cs="宋体"/>
          <w:color w:val="auto"/>
          <w:kern w:val="0"/>
          <w:sz w:val="21"/>
          <w:szCs w:val="21"/>
          <w:highlight w:val="none"/>
          <w:lang w:val="en-US" w:eastAsia="zh-CN" w:bidi="ar"/>
        </w:rPr>
        <w:t xml:space="preserve">名时，按价格由低到高选取前 </w:t>
      </w:r>
      <w:r>
        <w:rPr>
          <w:rFonts w:hint="default" w:ascii="Times New Roman" w:hAnsi="Times New Roman" w:eastAsia="宋体" w:cs="Times New Roman"/>
          <w:color w:val="auto"/>
          <w:kern w:val="0"/>
          <w:sz w:val="21"/>
          <w:szCs w:val="21"/>
          <w:highlight w:val="none"/>
          <w:lang w:val="en-US" w:eastAsia="zh-CN" w:bidi="ar"/>
        </w:rPr>
        <w:t xml:space="preserve">2 </w:t>
      </w:r>
      <w:r>
        <w:rPr>
          <w:rFonts w:hint="eastAsia" w:ascii="宋体" w:hAnsi="宋体" w:eastAsia="宋体" w:cs="宋体"/>
          <w:color w:val="auto"/>
          <w:kern w:val="0"/>
          <w:sz w:val="21"/>
          <w:szCs w:val="21"/>
          <w:highlight w:val="none"/>
          <w:lang w:val="en-US" w:eastAsia="zh-CN" w:bidi="ar"/>
        </w:rPr>
        <w:t xml:space="preserve">名。 </w:t>
      </w:r>
    </w:p>
    <w:p w14:paraId="400A1AE8">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default" w:ascii="Times New Roman" w:hAnsi="Times New Roman" w:eastAsia="宋体" w:cs="Times New Roman"/>
          <w:color w:val="auto"/>
          <w:kern w:val="0"/>
          <w:sz w:val="21"/>
          <w:szCs w:val="21"/>
          <w:highlight w:val="none"/>
          <w:lang w:val="en-US" w:eastAsia="zh-CN" w:bidi="ar"/>
        </w:rPr>
        <w:t xml:space="preserve">2.3.1.2 </w:t>
      </w:r>
      <w:r>
        <w:rPr>
          <w:rFonts w:hint="eastAsia" w:ascii="宋体" w:hAnsi="宋体" w:eastAsia="宋体" w:cs="宋体"/>
          <w:color w:val="auto"/>
          <w:kern w:val="0"/>
          <w:sz w:val="21"/>
          <w:szCs w:val="21"/>
          <w:highlight w:val="none"/>
          <w:lang w:val="en-US" w:eastAsia="zh-CN" w:bidi="ar"/>
        </w:rPr>
        <w:t xml:space="preserve">逐轮票决定标法。通过投票，每轮淘汰 </w:t>
      </w:r>
      <w:r>
        <w:rPr>
          <w:rFonts w:hint="default" w:ascii="Times New Roman" w:hAnsi="Times New Roman" w:eastAsia="宋体" w:cs="Times New Roman"/>
          <w:color w:val="auto"/>
          <w:kern w:val="0"/>
          <w:sz w:val="21"/>
          <w:szCs w:val="21"/>
          <w:highlight w:val="none"/>
          <w:lang w:val="en-US" w:eastAsia="zh-CN" w:bidi="ar"/>
        </w:rPr>
        <w:t xml:space="preserve">1 </w:t>
      </w:r>
      <w:r>
        <w:rPr>
          <w:rFonts w:hint="eastAsia" w:ascii="宋体" w:hAnsi="宋体" w:eastAsia="宋体" w:cs="宋体"/>
          <w:color w:val="auto"/>
          <w:kern w:val="0"/>
          <w:sz w:val="21"/>
          <w:szCs w:val="21"/>
          <w:highlight w:val="none"/>
          <w:lang w:val="en-US" w:eastAsia="zh-CN" w:bidi="ar"/>
        </w:rPr>
        <w:t xml:space="preserve">名票数最少的中标候选人，最终确定中标人。票数最少中标候选人出现并列时，淘汰报价高者。 </w:t>
      </w:r>
    </w:p>
    <w:p w14:paraId="4B304CC1">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default" w:ascii="Times New Roman" w:hAnsi="Times New Roman" w:eastAsia="宋体" w:cs="Times New Roman"/>
          <w:color w:val="auto"/>
          <w:kern w:val="0"/>
          <w:sz w:val="21"/>
          <w:szCs w:val="21"/>
          <w:highlight w:val="none"/>
          <w:lang w:val="en-US" w:eastAsia="zh-CN" w:bidi="ar"/>
        </w:rPr>
        <w:t xml:space="preserve">2.3.1.3 </w:t>
      </w:r>
      <w:r>
        <w:rPr>
          <w:rFonts w:hint="eastAsia" w:ascii="宋体" w:hAnsi="宋体" w:eastAsia="宋体" w:cs="宋体"/>
          <w:color w:val="auto"/>
          <w:kern w:val="0"/>
          <w:sz w:val="21"/>
          <w:szCs w:val="21"/>
          <w:highlight w:val="none"/>
          <w:lang w:val="en-US" w:eastAsia="zh-CN" w:bidi="ar"/>
        </w:rPr>
        <w:t xml:space="preserve">票决低价定标法。由定标委员会从进入票决定标的投标人中，以投票表决方式确定不少于 </w:t>
      </w:r>
      <w:r>
        <w:rPr>
          <w:rFonts w:hint="default" w:ascii="Times New Roman" w:hAnsi="Times New Roman" w:eastAsia="宋体" w:cs="Times New Roman"/>
          <w:color w:val="auto"/>
          <w:kern w:val="0"/>
          <w:sz w:val="21"/>
          <w:szCs w:val="21"/>
          <w:highlight w:val="none"/>
          <w:lang w:val="en-US" w:eastAsia="zh-CN" w:bidi="ar"/>
        </w:rPr>
        <w:t xml:space="preserve">3 </w:t>
      </w:r>
      <w:r>
        <w:rPr>
          <w:rFonts w:hint="eastAsia" w:ascii="宋体" w:hAnsi="宋体" w:eastAsia="宋体" w:cs="宋体"/>
          <w:color w:val="auto"/>
          <w:kern w:val="0"/>
          <w:sz w:val="21"/>
          <w:szCs w:val="21"/>
          <w:highlight w:val="none"/>
          <w:lang w:val="en-US" w:eastAsia="zh-CN" w:bidi="ar"/>
        </w:rPr>
        <w:t xml:space="preserve">名投标人，以投标报价最低投标人确定为中标人。 </w:t>
      </w:r>
    </w:p>
    <w:p w14:paraId="3CD69251">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default" w:ascii="Times New Roman" w:hAnsi="Times New Roman" w:eastAsia="宋体" w:cs="Times New Roman"/>
          <w:color w:val="auto"/>
          <w:kern w:val="0"/>
          <w:sz w:val="21"/>
          <w:szCs w:val="21"/>
          <w:highlight w:val="none"/>
          <w:lang w:val="en-US" w:eastAsia="zh-CN" w:bidi="ar"/>
        </w:rPr>
        <w:t xml:space="preserve">2.3.1.4 </w:t>
      </w:r>
      <w:r>
        <w:rPr>
          <w:rFonts w:hint="eastAsia" w:ascii="宋体" w:hAnsi="宋体" w:eastAsia="宋体" w:cs="宋体"/>
          <w:color w:val="auto"/>
          <w:kern w:val="0"/>
          <w:sz w:val="21"/>
          <w:szCs w:val="21"/>
          <w:highlight w:val="none"/>
          <w:lang w:val="en-US" w:eastAsia="zh-CN" w:bidi="ar"/>
        </w:rPr>
        <w:t xml:space="preserve">票决抽签定标法。由定标委员会从进入票决定标的投标人中，以投票表决方式确定不少于 </w:t>
      </w:r>
      <w:r>
        <w:rPr>
          <w:rFonts w:hint="default" w:ascii="Times New Roman" w:hAnsi="Times New Roman" w:eastAsia="宋体" w:cs="Times New Roman"/>
          <w:color w:val="auto"/>
          <w:kern w:val="0"/>
          <w:sz w:val="21"/>
          <w:szCs w:val="21"/>
          <w:highlight w:val="none"/>
          <w:lang w:val="en-US" w:eastAsia="zh-CN" w:bidi="ar"/>
        </w:rPr>
        <w:t xml:space="preserve">3 </w:t>
      </w:r>
      <w:r>
        <w:rPr>
          <w:rFonts w:hint="eastAsia" w:ascii="宋体" w:hAnsi="宋体" w:eastAsia="宋体" w:cs="宋体"/>
          <w:color w:val="auto"/>
          <w:kern w:val="0"/>
          <w:sz w:val="21"/>
          <w:szCs w:val="21"/>
          <w:highlight w:val="none"/>
          <w:lang w:val="en-US" w:eastAsia="zh-CN" w:bidi="ar"/>
        </w:rPr>
        <w:t xml:space="preserve">名投标人，以随机抽签方式确定中标人。 </w:t>
      </w:r>
    </w:p>
    <w:p w14:paraId="355EA730">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default" w:ascii="Times New Roman" w:hAnsi="Times New Roman" w:eastAsia="宋体" w:cs="Times New Roman"/>
          <w:color w:val="auto"/>
          <w:kern w:val="0"/>
          <w:sz w:val="21"/>
          <w:szCs w:val="21"/>
          <w:highlight w:val="none"/>
          <w:lang w:val="en-US" w:eastAsia="zh-CN" w:bidi="ar"/>
        </w:rPr>
        <w:t xml:space="preserve">2.3.2 </w:t>
      </w:r>
      <w:r>
        <w:rPr>
          <w:rFonts w:hint="eastAsia" w:ascii="宋体" w:hAnsi="宋体" w:eastAsia="宋体" w:cs="宋体"/>
          <w:color w:val="auto"/>
          <w:kern w:val="0"/>
          <w:sz w:val="21"/>
          <w:szCs w:val="21"/>
          <w:highlight w:val="none"/>
          <w:lang w:val="en-US" w:eastAsia="zh-CN" w:bidi="ar"/>
        </w:rPr>
        <w:t xml:space="preserve">集体议事法 </w:t>
      </w:r>
    </w:p>
    <w:p w14:paraId="55C4D879">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指定标委员会进行集体商议，定标委员各自发表意见，最终由定标委员会组长确定中标人的定标方法，具体方法见定标办法前附表。 </w:t>
      </w:r>
    </w:p>
    <w:p w14:paraId="2E852D07">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default" w:ascii="Times New Roman" w:hAnsi="Times New Roman" w:eastAsia="宋体" w:cs="Times New Roman"/>
          <w:color w:val="auto"/>
          <w:kern w:val="0"/>
          <w:sz w:val="21"/>
          <w:szCs w:val="21"/>
          <w:highlight w:val="none"/>
          <w:lang w:val="en-US" w:eastAsia="zh-CN" w:bidi="ar"/>
        </w:rPr>
        <w:t xml:space="preserve">2.3.3 </w:t>
      </w:r>
      <w:r>
        <w:rPr>
          <w:rFonts w:hint="eastAsia" w:ascii="宋体" w:hAnsi="宋体" w:eastAsia="宋体" w:cs="宋体"/>
          <w:color w:val="auto"/>
          <w:kern w:val="0"/>
          <w:sz w:val="21"/>
          <w:szCs w:val="21"/>
          <w:highlight w:val="none"/>
          <w:lang w:val="en-US" w:eastAsia="zh-CN" w:bidi="ar"/>
        </w:rPr>
        <w:t xml:space="preserve">其他定标法 </w:t>
      </w:r>
    </w:p>
    <w:p w14:paraId="55BBF06A">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招标人结合项目具体特点和实际情况制定的合理且规则明确的定标办法，具体方法见定标办法前附表。 </w:t>
      </w:r>
    </w:p>
    <w:p w14:paraId="233960D6">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default" w:ascii="Times New Roman" w:hAnsi="Times New Roman" w:eastAsia="宋体" w:cs="Times New Roman"/>
          <w:color w:val="auto"/>
          <w:kern w:val="0"/>
          <w:sz w:val="28"/>
          <w:szCs w:val="28"/>
          <w:highlight w:val="none"/>
          <w:lang w:val="en-US" w:eastAsia="zh-CN" w:bidi="ar"/>
        </w:rPr>
        <w:t>3.</w:t>
      </w:r>
      <w:r>
        <w:rPr>
          <w:rFonts w:hint="eastAsia" w:ascii="黑体" w:hAnsi="宋体" w:eastAsia="黑体" w:cs="黑体"/>
          <w:color w:val="auto"/>
          <w:kern w:val="0"/>
          <w:sz w:val="28"/>
          <w:szCs w:val="28"/>
          <w:highlight w:val="none"/>
          <w:lang w:val="en-US" w:eastAsia="zh-CN" w:bidi="ar"/>
        </w:rPr>
        <w:t xml:space="preserve">重新定标 </w:t>
      </w:r>
    </w:p>
    <w:p w14:paraId="43B22E9F">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定标后有下列情形之一的，招标人可从其他定标候选人中采用原定标方办法，由原定标委员会重新确定中标人： </w:t>
      </w:r>
    </w:p>
    <w:p w14:paraId="14DCEB90">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default" w:ascii="Times New Roman" w:hAnsi="Times New Roman" w:eastAsia="宋体" w:cs="Times New Roman"/>
          <w:color w:val="auto"/>
          <w:kern w:val="0"/>
          <w:sz w:val="21"/>
          <w:szCs w:val="21"/>
          <w:highlight w:val="none"/>
          <w:lang w:val="en-US" w:eastAsia="zh-CN" w:bidi="ar"/>
        </w:rPr>
        <w:t xml:space="preserve">3.1 </w:t>
      </w:r>
      <w:r>
        <w:rPr>
          <w:rFonts w:hint="eastAsia" w:ascii="宋体" w:hAnsi="宋体" w:eastAsia="宋体" w:cs="宋体"/>
          <w:color w:val="auto"/>
          <w:kern w:val="0"/>
          <w:sz w:val="21"/>
          <w:szCs w:val="21"/>
          <w:highlight w:val="none"/>
          <w:lang w:val="en-US" w:eastAsia="zh-CN" w:bidi="ar"/>
        </w:rPr>
        <w:t xml:space="preserve">中标人放弃中标或者拒不签订合同的； </w:t>
      </w:r>
    </w:p>
    <w:p w14:paraId="096B9A6C">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default" w:ascii="Times New Roman" w:hAnsi="Times New Roman" w:eastAsia="宋体" w:cs="Times New Roman"/>
          <w:color w:val="auto"/>
          <w:kern w:val="0"/>
          <w:sz w:val="21"/>
          <w:szCs w:val="21"/>
          <w:highlight w:val="none"/>
          <w:lang w:val="en-US" w:eastAsia="zh-CN" w:bidi="ar"/>
        </w:rPr>
        <w:t xml:space="preserve">3.2 </w:t>
      </w:r>
      <w:r>
        <w:rPr>
          <w:rFonts w:hint="eastAsia" w:ascii="宋体" w:hAnsi="宋体" w:eastAsia="宋体" w:cs="宋体"/>
          <w:color w:val="auto"/>
          <w:kern w:val="0"/>
          <w:sz w:val="21"/>
          <w:szCs w:val="21"/>
          <w:highlight w:val="none"/>
          <w:lang w:val="en-US" w:eastAsia="zh-CN" w:bidi="ar"/>
        </w:rPr>
        <w:t xml:space="preserve">中标人不按照招标文件要求提交履约担保的； </w:t>
      </w:r>
    </w:p>
    <w:p w14:paraId="2A1A4189">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default" w:ascii="Times New Roman" w:hAnsi="Times New Roman" w:eastAsia="宋体" w:cs="Times New Roman"/>
          <w:color w:val="auto"/>
          <w:kern w:val="0"/>
          <w:sz w:val="21"/>
          <w:szCs w:val="21"/>
          <w:highlight w:val="none"/>
          <w:lang w:val="en-US" w:eastAsia="zh-CN" w:bidi="ar"/>
        </w:rPr>
        <w:t xml:space="preserve">3.3 </w:t>
      </w:r>
      <w:r>
        <w:rPr>
          <w:rFonts w:hint="eastAsia" w:ascii="宋体" w:hAnsi="宋体" w:eastAsia="宋体" w:cs="宋体"/>
          <w:color w:val="auto"/>
          <w:kern w:val="0"/>
          <w:sz w:val="21"/>
          <w:szCs w:val="21"/>
          <w:highlight w:val="none"/>
          <w:lang w:val="en-US" w:eastAsia="zh-CN" w:bidi="ar"/>
        </w:rPr>
        <w:t xml:space="preserve">被查实存在影响中标结果的违法行为的； </w:t>
      </w:r>
    </w:p>
    <w:p w14:paraId="37C208CE">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default" w:ascii="Times New Roman" w:hAnsi="Times New Roman" w:eastAsia="宋体" w:cs="Times New Roman"/>
          <w:color w:val="auto"/>
          <w:kern w:val="0"/>
          <w:sz w:val="21"/>
          <w:szCs w:val="21"/>
          <w:highlight w:val="none"/>
          <w:lang w:val="en-US" w:eastAsia="zh-CN" w:bidi="ar"/>
        </w:rPr>
        <w:t xml:space="preserve">3.4 </w:t>
      </w:r>
      <w:r>
        <w:rPr>
          <w:rFonts w:hint="eastAsia" w:ascii="宋体" w:hAnsi="宋体" w:eastAsia="宋体" w:cs="宋体"/>
          <w:color w:val="auto"/>
          <w:kern w:val="0"/>
          <w:sz w:val="21"/>
          <w:szCs w:val="21"/>
          <w:highlight w:val="none"/>
          <w:lang w:val="en-US" w:eastAsia="zh-CN" w:bidi="ar"/>
        </w:rPr>
        <w:t xml:space="preserve">法律法规规定的其他情形。 </w:t>
      </w:r>
    </w:p>
    <w:p w14:paraId="1B986471">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default" w:ascii="Times New Roman" w:hAnsi="Times New Roman" w:eastAsia="宋体" w:cs="Times New Roman"/>
          <w:color w:val="auto"/>
          <w:kern w:val="0"/>
          <w:sz w:val="28"/>
          <w:szCs w:val="28"/>
          <w:highlight w:val="none"/>
          <w:lang w:val="en-US" w:eastAsia="zh-CN" w:bidi="ar"/>
        </w:rPr>
        <w:t>4.</w:t>
      </w:r>
      <w:r>
        <w:rPr>
          <w:rFonts w:hint="eastAsia" w:ascii="黑体" w:hAnsi="宋体" w:eastAsia="黑体" w:cs="黑体"/>
          <w:color w:val="auto"/>
          <w:kern w:val="0"/>
          <w:sz w:val="28"/>
          <w:szCs w:val="28"/>
          <w:highlight w:val="none"/>
          <w:lang w:val="en-US" w:eastAsia="zh-CN" w:bidi="ar"/>
        </w:rPr>
        <w:t xml:space="preserve">监督 </w:t>
      </w:r>
    </w:p>
    <w:p w14:paraId="49DA3650">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招标人负责组建监督小组，对“评定分离”招投标活动全过程进行监督，重点监督招标人是否按照确定的定标办法定标。</w:t>
      </w:r>
    </w:p>
    <w:p w14:paraId="415D3775">
      <w:pPr>
        <w:spacing w:before="164" w:line="234" w:lineRule="auto"/>
        <w:ind w:left="436"/>
        <w:rPr>
          <w:rFonts w:ascii="宋体" w:hAnsi="宋体" w:cs="宋体"/>
          <w:color w:val="auto"/>
          <w:spacing w:val="-5"/>
          <w:szCs w:val="21"/>
          <w:highlight w:val="none"/>
        </w:rPr>
      </w:pPr>
    </w:p>
    <w:p w14:paraId="3633F0F9">
      <w:pPr>
        <w:spacing w:before="164" w:line="234" w:lineRule="auto"/>
        <w:ind w:left="436"/>
        <w:rPr>
          <w:rFonts w:ascii="宋体" w:hAnsi="宋体" w:cs="宋体"/>
          <w:color w:val="auto"/>
          <w:spacing w:val="-5"/>
          <w:szCs w:val="21"/>
          <w:highlight w:val="none"/>
        </w:rPr>
      </w:pPr>
    </w:p>
    <w:p w14:paraId="65EF1334">
      <w:pPr>
        <w:spacing w:before="164" w:line="234" w:lineRule="auto"/>
        <w:ind w:left="436"/>
        <w:rPr>
          <w:rFonts w:ascii="宋体" w:hAnsi="宋体" w:cs="宋体"/>
          <w:color w:val="auto"/>
          <w:spacing w:val="-5"/>
          <w:szCs w:val="21"/>
          <w:highlight w:val="none"/>
        </w:rPr>
      </w:pPr>
    </w:p>
    <w:p w14:paraId="432862D4">
      <w:pPr>
        <w:spacing w:line="333" w:lineRule="exact"/>
        <w:rPr>
          <w:rFonts w:ascii="宋体" w:hAnsi="宋体" w:cs="宋体"/>
          <w:color w:val="auto"/>
          <w:szCs w:val="21"/>
          <w:highlight w:val="none"/>
        </w:rPr>
        <w:sectPr>
          <w:footerReference r:id="rId21" w:type="default"/>
          <w:pgSz w:w="11907" w:h="16839"/>
          <w:pgMar w:top="1431" w:right="1746" w:bottom="1012" w:left="1785" w:header="0" w:footer="812" w:gutter="0"/>
          <w:pgNumType w:fmt="decimal"/>
          <w:cols w:space="720" w:num="1"/>
        </w:sectPr>
      </w:pPr>
    </w:p>
    <w:p w14:paraId="530829D2">
      <w:pPr>
        <w:pStyle w:val="17"/>
        <w:spacing w:line="264" w:lineRule="auto"/>
        <w:rPr>
          <w:color w:val="auto"/>
          <w:highlight w:val="none"/>
        </w:rPr>
      </w:pPr>
    </w:p>
    <w:p w14:paraId="3478D880">
      <w:pPr>
        <w:spacing w:before="78" w:line="218" w:lineRule="auto"/>
        <w:ind w:left="27"/>
        <w:outlineLvl w:val="2"/>
        <w:rPr>
          <w:rFonts w:ascii="黑体" w:hAnsi="黑体" w:eastAsia="黑体" w:cs="黑体"/>
          <w:color w:val="auto"/>
          <w:sz w:val="24"/>
          <w:highlight w:val="none"/>
        </w:rPr>
      </w:pPr>
      <w:bookmarkStart w:id="267" w:name="bookmark408"/>
      <w:bookmarkEnd w:id="267"/>
      <w:bookmarkStart w:id="268" w:name="_Toc979"/>
      <w:r>
        <w:rPr>
          <w:rFonts w:ascii="黑体" w:hAnsi="黑体" w:eastAsia="黑体" w:cs="黑体"/>
          <w:color w:val="auto"/>
          <w:spacing w:val="-3"/>
          <w:sz w:val="24"/>
          <w:highlight w:val="none"/>
        </w:rPr>
        <w:t>附表A-1：评标委员会签到表</w:t>
      </w:r>
      <w:bookmarkEnd w:id="268"/>
    </w:p>
    <w:p w14:paraId="1A4B16F1">
      <w:pPr>
        <w:spacing w:before="285" w:line="218" w:lineRule="auto"/>
        <w:ind w:left="5439"/>
        <w:rPr>
          <w:rFonts w:ascii="黑体" w:hAnsi="黑体" w:eastAsia="黑体" w:cs="黑体"/>
          <w:color w:val="auto"/>
          <w:sz w:val="36"/>
          <w:szCs w:val="36"/>
          <w:highlight w:val="none"/>
        </w:rPr>
      </w:pPr>
      <w:bookmarkStart w:id="269" w:name="bookmark130"/>
      <w:bookmarkEnd w:id="269"/>
      <w:r>
        <w:rPr>
          <w:rFonts w:ascii="黑体" w:hAnsi="黑体" w:eastAsia="黑体" w:cs="黑体"/>
          <w:color w:val="auto"/>
          <w:spacing w:val="-2"/>
          <w:sz w:val="36"/>
          <w:szCs w:val="36"/>
          <w:highlight w:val="none"/>
        </w:rPr>
        <w:t>评标委员会签到表</w:t>
      </w:r>
    </w:p>
    <w:p w14:paraId="532513DB">
      <w:pPr>
        <w:spacing w:before="240" w:line="221" w:lineRule="auto"/>
        <w:ind w:left="107"/>
        <w:rPr>
          <w:rFonts w:ascii="宋体" w:hAnsi="宋体" w:cs="宋体"/>
          <w:color w:val="auto"/>
          <w:szCs w:val="21"/>
          <w:highlight w:val="none"/>
        </w:rPr>
      </w:pPr>
      <w:r>
        <w:rPr>
          <w:rFonts w:ascii="宋体" w:hAnsi="宋体" w:cs="宋体"/>
          <w:color w:val="auto"/>
          <w:spacing w:val="-7"/>
          <w:szCs w:val="21"/>
          <w:highlight w:val="none"/>
        </w:rPr>
        <w:t>标段名称：</w:t>
      </w:r>
    </w:p>
    <w:p w14:paraId="0720BFFC">
      <w:pPr>
        <w:spacing w:before="22" w:line="212" w:lineRule="auto"/>
        <w:ind w:left="107"/>
        <w:rPr>
          <w:rFonts w:ascii="宋体" w:hAnsi="宋体" w:cs="宋体"/>
          <w:color w:val="auto"/>
          <w:szCs w:val="21"/>
          <w:highlight w:val="none"/>
        </w:rPr>
      </w:pPr>
      <w:r>
        <w:rPr>
          <w:rFonts w:ascii="宋体" w:hAnsi="宋体" w:cs="宋体"/>
          <w:color w:val="auto"/>
          <w:szCs w:val="21"/>
          <w:highlight w:val="none"/>
        </w:rPr>
        <w:t xml:space="preserve">标段唯一标识码：              </w:t>
      </w:r>
      <w:r>
        <w:rPr>
          <w:rFonts w:ascii="宋体" w:hAnsi="宋体" w:cs="宋体"/>
          <w:color w:val="auto"/>
          <w:spacing w:val="-1"/>
          <w:szCs w:val="21"/>
          <w:highlight w:val="none"/>
        </w:rPr>
        <w:t xml:space="preserve">                                                            评标时间：         年     月     日</w:t>
      </w:r>
    </w:p>
    <w:tbl>
      <w:tblPr>
        <w:tblStyle w:val="42"/>
        <w:tblW w:w="1485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6"/>
        <w:gridCol w:w="1656"/>
        <w:gridCol w:w="1934"/>
        <w:gridCol w:w="1984"/>
        <w:gridCol w:w="1842"/>
        <w:gridCol w:w="1469"/>
        <w:gridCol w:w="1557"/>
        <w:gridCol w:w="1757"/>
        <w:gridCol w:w="1757"/>
      </w:tblGrid>
      <w:tr w14:paraId="5F74BD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896" w:type="dxa"/>
          </w:tcPr>
          <w:p w14:paraId="29943CEC">
            <w:pPr>
              <w:pStyle w:val="185"/>
              <w:spacing w:before="254" w:line="221" w:lineRule="auto"/>
              <w:jc w:val="center"/>
              <w:rPr>
                <w:rFonts w:hint="eastAsia" w:eastAsia="宋体"/>
                <w:b/>
                <w:bCs/>
                <w:color w:val="auto"/>
                <w:spacing w:val="-4"/>
                <w:highlight w:val="none"/>
                <w:lang w:val="en-US" w:eastAsia="zh-CN"/>
              </w:rPr>
            </w:pPr>
            <w:r>
              <w:rPr>
                <w:rFonts w:hint="eastAsia"/>
                <w:b/>
                <w:bCs/>
                <w:color w:val="auto"/>
                <w:spacing w:val="-4"/>
                <w:highlight w:val="none"/>
                <w:lang w:val="en-US" w:eastAsia="zh-CN"/>
              </w:rPr>
              <w:t>序号</w:t>
            </w:r>
          </w:p>
        </w:tc>
        <w:tc>
          <w:tcPr>
            <w:tcW w:w="1656" w:type="dxa"/>
          </w:tcPr>
          <w:p w14:paraId="63772044">
            <w:pPr>
              <w:pStyle w:val="185"/>
              <w:spacing w:before="254" w:line="221" w:lineRule="auto"/>
              <w:ind w:left="432"/>
              <w:rPr>
                <w:color w:val="auto"/>
                <w:highlight w:val="none"/>
              </w:rPr>
            </w:pPr>
            <w:r>
              <w:rPr>
                <w:b/>
                <w:bCs/>
                <w:color w:val="auto"/>
                <w:spacing w:val="-4"/>
                <w:highlight w:val="none"/>
              </w:rPr>
              <w:t>姓名</w:t>
            </w:r>
          </w:p>
        </w:tc>
        <w:tc>
          <w:tcPr>
            <w:tcW w:w="1934" w:type="dxa"/>
          </w:tcPr>
          <w:p w14:paraId="32662919">
            <w:pPr>
              <w:pStyle w:val="185"/>
              <w:spacing w:before="255" w:line="221" w:lineRule="auto"/>
              <w:ind w:left="548"/>
              <w:rPr>
                <w:color w:val="auto"/>
                <w:highlight w:val="none"/>
              </w:rPr>
            </w:pPr>
            <w:r>
              <w:rPr>
                <w:b/>
                <w:bCs/>
                <w:color w:val="auto"/>
                <w:spacing w:val="-3"/>
                <w:highlight w:val="none"/>
              </w:rPr>
              <w:t>所在单位</w:t>
            </w:r>
          </w:p>
        </w:tc>
        <w:tc>
          <w:tcPr>
            <w:tcW w:w="1984" w:type="dxa"/>
          </w:tcPr>
          <w:p w14:paraId="1937F912">
            <w:pPr>
              <w:pStyle w:val="185"/>
              <w:spacing w:before="254" w:line="221" w:lineRule="auto"/>
              <w:ind w:left="582"/>
              <w:rPr>
                <w:color w:val="auto"/>
                <w:highlight w:val="none"/>
              </w:rPr>
            </w:pPr>
            <w:r>
              <w:rPr>
                <w:b/>
                <w:bCs/>
                <w:color w:val="auto"/>
                <w:spacing w:val="-4"/>
                <w:highlight w:val="none"/>
              </w:rPr>
              <w:t>身份证号</w:t>
            </w:r>
          </w:p>
        </w:tc>
        <w:tc>
          <w:tcPr>
            <w:tcW w:w="1842" w:type="dxa"/>
          </w:tcPr>
          <w:p w14:paraId="54F7DD6D">
            <w:pPr>
              <w:pStyle w:val="185"/>
              <w:spacing w:before="255" w:line="222" w:lineRule="auto"/>
              <w:ind w:left="506"/>
              <w:rPr>
                <w:color w:val="auto"/>
                <w:highlight w:val="none"/>
              </w:rPr>
            </w:pPr>
            <w:r>
              <w:rPr>
                <w:b/>
                <w:bCs/>
                <w:color w:val="auto"/>
                <w:spacing w:val="-4"/>
                <w:highlight w:val="none"/>
              </w:rPr>
              <w:t>联系方式</w:t>
            </w:r>
          </w:p>
        </w:tc>
        <w:tc>
          <w:tcPr>
            <w:tcW w:w="1469" w:type="dxa"/>
          </w:tcPr>
          <w:p w14:paraId="14D1D943">
            <w:pPr>
              <w:pStyle w:val="185"/>
              <w:spacing w:before="254" w:line="221" w:lineRule="auto"/>
              <w:ind w:left="318"/>
              <w:rPr>
                <w:color w:val="auto"/>
                <w:highlight w:val="none"/>
              </w:rPr>
            </w:pPr>
            <w:r>
              <w:rPr>
                <w:b/>
                <w:bCs/>
                <w:color w:val="auto"/>
                <w:spacing w:val="-3"/>
                <w:highlight w:val="none"/>
              </w:rPr>
              <w:t>评审内容</w:t>
            </w:r>
          </w:p>
        </w:tc>
        <w:tc>
          <w:tcPr>
            <w:tcW w:w="1557" w:type="dxa"/>
          </w:tcPr>
          <w:p w14:paraId="421C7EC6">
            <w:pPr>
              <w:pStyle w:val="185"/>
              <w:spacing w:before="255" w:line="220" w:lineRule="auto"/>
              <w:ind w:left="364"/>
              <w:rPr>
                <w:color w:val="auto"/>
                <w:highlight w:val="none"/>
              </w:rPr>
            </w:pPr>
            <w:r>
              <w:rPr>
                <w:b/>
                <w:bCs/>
                <w:color w:val="auto"/>
                <w:spacing w:val="-3"/>
                <w:highlight w:val="none"/>
              </w:rPr>
              <w:t>评审角色</w:t>
            </w:r>
          </w:p>
        </w:tc>
        <w:tc>
          <w:tcPr>
            <w:tcW w:w="1757" w:type="dxa"/>
          </w:tcPr>
          <w:p w14:paraId="60D4CBD9">
            <w:pPr>
              <w:pStyle w:val="185"/>
              <w:spacing w:before="255" w:line="221" w:lineRule="auto"/>
              <w:ind w:left="250"/>
              <w:rPr>
                <w:rFonts w:hint="default" w:eastAsia="宋体"/>
                <w:b/>
                <w:bCs/>
                <w:color w:val="auto"/>
                <w:spacing w:val="-3"/>
                <w:highlight w:val="none"/>
                <w:lang w:val="en-US" w:eastAsia="zh-CN"/>
              </w:rPr>
            </w:pPr>
            <w:r>
              <w:rPr>
                <w:rFonts w:hint="eastAsia"/>
                <w:b/>
                <w:bCs/>
                <w:color w:val="auto"/>
                <w:spacing w:val="-3"/>
                <w:highlight w:val="none"/>
                <w:lang w:val="en-US" w:eastAsia="zh-CN"/>
              </w:rPr>
              <w:t>评标签到时间</w:t>
            </w:r>
          </w:p>
        </w:tc>
        <w:tc>
          <w:tcPr>
            <w:tcW w:w="1757" w:type="dxa"/>
          </w:tcPr>
          <w:p w14:paraId="52A8760F">
            <w:pPr>
              <w:pStyle w:val="185"/>
              <w:spacing w:before="255" w:line="221" w:lineRule="auto"/>
              <w:ind w:left="250"/>
              <w:jc w:val="center"/>
              <w:rPr>
                <w:color w:val="auto"/>
                <w:highlight w:val="none"/>
              </w:rPr>
            </w:pPr>
            <w:r>
              <w:rPr>
                <w:b/>
                <w:bCs/>
                <w:color w:val="auto"/>
                <w:spacing w:val="-3"/>
                <w:highlight w:val="none"/>
              </w:rPr>
              <w:t>签名</w:t>
            </w:r>
          </w:p>
        </w:tc>
      </w:tr>
      <w:tr w14:paraId="54C583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896" w:type="dxa"/>
            <w:vAlign w:val="center"/>
          </w:tcPr>
          <w:p w14:paraId="303AAD50">
            <w:pPr>
              <w:jc w:val="center"/>
              <w:rPr>
                <w:rFonts w:hint="eastAsia" w:ascii="Arial" w:eastAsia="宋体"/>
                <w:color w:val="auto"/>
                <w:highlight w:val="none"/>
                <w:lang w:val="en-US" w:eastAsia="zh-CN"/>
              </w:rPr>
            </w:pPr>
            <w:r>
              <w:rPr>
                <w:rFonts w:hint="eastAsia" w:ascii="Arial"/>
                <w:color w:val="auto"/>
                <w:highlight w:val="none"/>
                <w:lang w:val="en-US" w:eastAsia="zh-CN"/>
              </w:rPr>
              <w:t>1</w:t>
            </w:r>
          </w:p>
        </w:tc>
        <w:tc>
          <w:tcPr>
            <w:tcW w:w="1656" w:type="dxa"/>
          </w:tcPr>
          <w:p w14:paraId="59731763">
            <w:pPr>
              <w:rPr>
                <w:rFonts w:ascii="Arial"/>
                <w:color w:val="auto"/>
                <w:highlight w:val="none"/>
              </w:rPr>
            </w:pPr>
          </w:p>
        </w:tc>
        <w:tc>
          <w:tcPr>
            <w:tcW w:w="1934" w:type="dxa"/>
          </w:tcPr>
          <w:p w14:paraId="06A99FA8">
            <w:pPr>
              <w:rPr>
                <w:rFonts w:ascii="Arial"/>
                <w:color w:val="auto"/>
                <w:highlight w:val="none"/>
              </w:rPr>
            </w:pPr>
          </w:p>
        </w:tc>
        <w:tc>
          <w:tcPr>
            <w:tcW w:w="1984" w:type="dxa"/>
          </w:tcPr>
          <w:p w14:paraId="0B4CAD20">
            <w:pPr>
              <w:rPr>
                <w:rFonts w:ascii="Arial"/>
                <w:color w:val="auto"/>
                <w:highlight w:val="none"/>
              </w:rPr>
            </w:pPr>
          </w:p>
        </w:tc>
        <w:tc>
          <w:tcPr>
            <w:tcW w:w="1842" w:type="dxa"/>
          </w:tcPr>
          <w:p w14:paraId="7DDB069C">
            <w:pPr>
              <w:rPr>
                <w:rFonts w:ascii="Arial"/>
                <w:color w:val="auto"/>
                <w:highlight w:val="none"/>
              </w:rPr>
            </w:pPr>
          </w:p>
        </w:tc>
        <w:tc>
          <w:tcPr>
            <w:tcW w:w="1469" w:type="dxa"/>
          </w:tcPr>
          <w:p w14:paraId="60D2055A">
            <w:pPr>
              <w:rPr>
                <w:rFonts w:ascii="Arial"/>
                <w:color w:val="auto"/>
                <w:highlight w:val="none"/>
              </w:rPr>
            </w:pPr>
          </w:p>
        </w:tc>
        <w:tc>
          <w:tcPr>
            <w:tcW w:w="1557" w:type="dxa"/>
          </w:tcPr>
          <w:p w14:paraId="4647097F">
            <w:pPr>
              <w:rPr>
                <w:rFonts w:ascii="Arial"/>
                <w:color w:val="auto"/>
                <w:highlight w:val="none"/>
              </w:rPr>
            </w:pPr>
          </w:p>
        </w:tc>
        <w:tc>
          <w:tcPr>
            <w:tcW w:w="1757" w:type="dxa"/>
          </w:tcPr>
          <w:p w14:paraId="48A7FA66">
            <w:pPr>
              <w:rPr>
                <w:rFonts w:ascii="Arial"/>
                <w:color w:val="auto"/>
                <w:highlight w:val="none"/>
              </w:rPr>
            </w:pPr>
          </w:p>
        </w:tc>
        <w:tc>
          <w:tcPr>
            <w:tcW w:w="1757" w:type="dxa"/>
          </w:tcPr>
          <w:p w14:paraId="349D0ADF">
            <w:pPr>
              <w:rPr>
                <w:rFonts w:ascii="Arial"/>
                <w:color w:val="auto"/>
                <w:highlight w:val="none"/>
              </w:rPr>
            </w:pPr>
          </w:p>
        </w:tc>
      </w:tr>
      <w:tr w14:paraId="5AC0B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896" w:type="dxa"/>
            <w:vAlign w:val="center"/>
          </w:tcPr>
          <w:p w14:paraId="04272F2E">
            <w:pPr>
              <w:jc w:val="center"/>
              <w:rPr>
                <w:rFonts w:hint="eastAsia" w:ascii="Arial" w:eastAsia="宋体"/>
                <w:color w:val="auto"/>
                <w:highlight w:val="none"/>
                <w:lang w:val="en-US" w:eastAsia="zh-CN"/>
              </w:rPr>
            </w:pPr>
            <w:r>
              <w:rPr>
                <w:rFonts w:hint="eastAsia" w:ascii="Arial"/>
                <w:color w:val="auto"/>
                <w:highlight w:val="none"/>
                <w:lang w:val="en-US" w:eastAsia="zh-CN"/>
              </w:rPr>
              <w:t>2</w:t>
            </w:r>
          </w:p>
        </w:tc>
        <w:tc>
          <w:tcPr>
            <w:tcW w:w="1656" w:type="dxa"/>
          </w:tcPr>
          <w:p w14:paraId="0F3AF107">
            <w:pPr>
              <w:rPr>
                <w:rFonts w:ascii="Arial"/>
                <w:color w:val="auto"/>
                <w:highlight w:val="none"/>
              </w:rPr>
            </w:pPr>
          </w:p>
        </w:tc>
        <w:tc>
          <w:tcPr>
            <w:tcW w:w="1934" w:type="dxa"/>
          </w:tcPr>
          <w:p w14:paraId="18DCDD32">
            <w:pPr>
              <w:rPr>
                <w:rFonts w:ascii="Arial"/>
                <w:color w:val="auto"/>
                <w:highlight w:val="none"/>
              </w:rPr>
            </w:pPr>
          </w:p>
        </w:tc>
        <w:tc>
          <w:tcPr>
            <w:tcW w:w="1984" w:type="dxa"/>
          </w:tcPr>
          <w:p w14:paraId="0A400FD1">
            <w:pPr>
              <w:rPr>
                <w:rFonts w:ascii="Arial"/>
                <w:color w:val="auto"/>
                <w:highlight w:val="none"/>
              </w:rPr>
            </w:pPr>
          </w:p>
        </w:tc>
        <w:tc>
          <w:tcPr>
            <w:tcW w:w="1842" w:type="dxa"/>
          </w:tcPr>
          <w:p w14:paraId="39E7260F">
            <w:pPr>
              <w:rPr>
                <w:rFonts w:ascii="Arial"/>
                <w:color w:val="auto"/>
                <w:highlight w:val="none"/>
              </w:rPr>
            </w:pPr>
          </w:p>
        </w:tc>
        <w:tc>
          <w:tcPr>
            <w:tcW w:w="1469" w:type="dxa"/>
          </w:tcPr>
          <w:p w14:paraId="17288EA2">
            <w:pPr>
              <w:rPr>
                <w:rFonts w:ascii="Arial"/>
                <w:color w:val="auto"/>
                <w:highlight w:val="none"/>
              </w:rPr>
            </w:pPr>
          </w:p>
        </w:tc>
        <w:tc>
          <w:tcPr>
            <w:tcW w:w="1557" w:type="dxa"/>
          </w:tcPr>
          <w:p w14:paraId="5AAFCB2C">
            <w:pPr>
              <w:rPr>
                <w:rFonts w:ascii="Arial"/>
                <w:color w:val="auto"/>
                <w:highlight w:val="none"/>
              </w:rPr>
            </w:pPr>
          </w:p>
        </w:tc>
        <w:tc>
          <w:tcPr>
            <w:tcW w:w="1757" w:type="dxa"/>
          </w:tcPr>
          <w:p w14:paraId="70661E62">
            <w:pPr>
              <w:rPr>
                <w:rFonts w:ascii="Arial"/>
                <w:color w:val="auto"/>
                <w:highlight w:val="none"/>
              </w:rPr>
            </w:pPr>
          </w:p>
        </w:tc>
        <w:tc>
          <w:tcPr>
            <w:tcW w:w="1757" w:type="dxa"/>
          </w:tcPr>
          <w:p w14:paraId="64ACB01E">
            <w:pPr>
              <w:rPr>
                <w:rFonts w:ascii="Arial"/>
                <w:color w:val="auto"/>
                <w:highlight w:val="none"/>
              </w:rPr>
            </w:pPr>
          </w:p>
        </w:tc>
      </w:tr>
      <w:tr w14:paraId="64E28F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896" w:type="dxa"/>
            <w:vAlign w:val="center"/>
          </w:tcPr>
          <w:p w14:paraId="29F07C2A">
            <w:pPr>
              <w:jc w:val="center"/>
              <w:rPr>
                <w:rFonts w:hint="eastAsia" w:ascii="Arial" w:eastAsia="宋体"/>
                <w:color w:val="auto"/>
                <w:highlight w:val="none"/>
                <w:lang w:val="en-US" w:eastAsia="zh-CN"/>
              </w:rPr>
            </w:pPr>
            <w:r>
              <w:rPr>
                <w:rFonts w:hint="eastAsia" w:ascii="Arial"/>
                <w:color w:val="auto"/>
                <w:highlight w:val="none"/>
                <w:lang w:val="en-US" w:eastAsia="zh-CN"/>
              </w:rPr>
              <w:t>3</w:t>
            </w:r>
          </w:p>
        </w:tc>
        <w:tc>
          <w:tcPr>
            <w:tcW w:w="1656" w:type="dxa"/>
          </w:tcPr>
          <w:p w14:paraId="02187B37">
            <w:pPr>
              <w:rPr>
                <w:rFonts w:ascii="Arial"/>
                <w:color w:val="auto"/>
                <w:highlight w:val="none"/>
              </w:rPr>
            </w:pPr>
          </w:p>
        </w:tc>
        <w:tc>
          <w:tcPr>
            <w:tcW w:w="1934" w:type="dxa"/>
          </w:tcPr>
          <w:p w14:paraId="713DC0A4">
            <w:pPr>
              <w:rPr>
                <w:rFonts w:ascii="Arial"/>
                <w:color w:val="auto"/>
                <w:highlight w:val="none"/>
              </w:rPr>
            </w:pPr>
          </w:p>
        </w:tc>
        <w:tc>
          <w:tcPr>
            <w:tcW w:w="1984" w:type="dxa"/>
          </w:tcPr>
          <w:p w14:paraId="17CA7781">
            <w:pPr>
              <w:rPr>
                <w:rFonts w:ascii="Arial"/>
                <w:color w:val="auto"/>
                <w:highlight w:val="none"/>
              </w:rPr>
            </w:pPr>
          </w:p>
        </w:tc>
        <w:tc>
          <w:tcPr>
            <w:tcW w:w="1842" w:type="dxa"/>
          </w:tcPr>
          <w:p w14:paraId="5E639A10">
            <w:pPr>
              <w:rPr>
                <w:rFonts w:ascii="Arial"/>
                <w:color w:val="auto"/>
                <w:highlight w:val="none"/>
              </w:rPr>
            </w:pPr>
          </w:p>
        </w:tc>
        <w:tc>
          <w:tcPr>
            <w:tcW w:w="1469" w:type="dxa"/>
          </w:tcPr>
          <w:p w14:paraId="2BCEF34C">
            <w:pPr>
              <w:rPr>
                <w:rFonts w:ascii="Arial"/>
                <w:color w:val="auto"/>
                <w:highlight w:val="none"/>
              </w:rPr>
            </w:pPr>
          </w:p>
        </w:tc>
        <w:tc>
          <w:tcPr>
            <w:tcW w:w="1557" w:type="dxa"/>
          </w:tcPr>
          <w:p w14:paraId="45ECADAB">
            <w:pPr>
              <w:rPr>
                <w:rFonts w:ascii="Arial"/>
                <w:color w:val="auto"/>
                <w:highlight w:val="none"/>
              </w:rPr>
            </w:pPr>
          </w:p>
        </w:tc>
        <w:tc>
          <w:tcPr>
            <w:tcW w:w="1757" w:type="dxa"/>
          </w:tcPr>
          <w:p w14:paraId="426C3E9A">
            <w:pPr>
              <w:rPr>
                <w:rFonts w:ascii="Arial"/>
                <w:color w:val="auto"/>
                <w:highlight w:val="none"/>
              </w:rPr>
            </w:pPr>
          </w:p>
        </w:tc>
        <w:tc>
          <w:tcPr>
            <w:tcW w:w="1757" w:type="dxa"/>
          </w:tcPr>
          <w:p w14:paraId="3BC7B3AB">
            <w:pPr>
              <w:rPr>
                <w:rFonts w:ascii="Arial"/>
                <w:color w:val="auto"/>
                <w:highlight w:val="none"/>
              </w:rPr>
            </w:pPr>
          </w:p>
        </w:tc>
      </w:tr>
      <w:tr w14:paraId="05DEED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896" w:type="dxa"/>
            <w:vAlign w:val="center"/>
          </w:tcPr>
          <w:p w14:paraId="428B4369">
            <w:pPr>
              <w:jc w:val="center"/>
              <w:rPr>
                <w:rFonts w:hint="eastAsia" w:ascii="Arial" w:eastAsia="宋体"/>
                <w:color w:val="auto"/>
                <w:highlight w:val="none"/>
                <w:lang w:val="en-US" w:eastAsia="zh-CN"/>
              </w:rPr>
            </w:pPr>
            <w:r>
              <w:rPr>
                <w:rFonts w:hint="eastAsia" w:ascii="Arial"/>
                <w:color w:val="auto"/>
                <w:highlight w:val="none"/>
                <w:lang w:val="en-US" w:eastAsia="zh-CN"/>
              </w:rPr>
              <w:t>4</w:t>
            </w:r>
          </w:p>
        </w:tc>
        <w:tc>
          <w:tcPr>
            <w:tcW w:w="1656" w:type="dxa"/>
          </w:tcPr>
          <w:p w14:paraId="183815D9">
            <w:pPr>
              <w:rPr>
                <w:rFonts w:ascii="Arial"/>
                <w:color w:val="auto"/>
                <w:highlight w:val="none"/>
              </w:rPr>
            </w:pPr>
          </w:p>
        </w:tc>
        <w:tc>
          <w:tcPr>
            <w:tcW w:w="1934" w:type="dxa"/>
          </w:tcPr>
          <w:p w14:paraId="4D987E40">
            <w:pPr>
              <w:rPr>
                <w:rFonts w:ascii="Arial"/>
                <w:color w:val="auto"/>
                <w:highlight w:val="none"/>
              </w:rPr>
            </w:pPr>
          </w:p>
        </w:tc>
        <w:tc>
          <w:tcPr>
            <w:tcW w:w="1984" w:type="dxa"/>
          </w:tcPr>
          <w:p w14:paraId="56197DD5">
            <w:pPr>
              <w:rPr>
                <w:rFonts w:ascii="Arial"/>
                <w:color w:val="auto"/>
                <w:highlight w:val="none"/>
              </w:rPr>
            </w:pPr>
          </w:p>
        </w:tc>
        <w:tc>
          <w:tcPr>
            <w:tcW w:w="1842" w:type="dxa"/>
          </w:tcPr>
          <w:p w14:paraId="5F9DF434">
            <w:pPr>
              <w:rPr>
                <w:rFonts w:ascii="Arial"/>
                <w:color w:val="auto"/>
                <w:highlight w:val="none"/>
              </w:rPr>
            </w:pPr>
          </w:p>
        </w:tc>
        <w:tc>
          <w:tcPr>
            <w:tcW w:w="1469" w:type="dxa"/>
          </w:tcPr>
          <w:p w14:paraId="2F012E26">
            <w:pPr>
              <w:rPr>
                <w:rFonts w:ascii="Arial"/>
                <w:color w:val="auto"/>
                <w:highlight w:val="none"/>
              </w:rPr>
            </w:pPr>
          </w:p>
        </w:tc>
        <w:tc>
          <w:tcPr>
            <w:tcW w:w="1557" w:type="dxa"/>
          </w:tcPr>
          <w:p w14:paraId="6068DEB4">
            <w:pPr>
              <w:rPr>
                <w:rFonts w:ascii="Arial"/>
                <w:color w:val="auto"/>
                <w:highlight w:val="none"/>
              </w:rPr>
            </w:pPr>
          </w:p>
        </w:tc>
        <w:tc>
          <w:tcPr>
            <w:tcW w:w="1757" w:type="dxa"/>
          </w:tcPr>
          <w:p w14:paraId="684DFB70">
            <w:pPr>
              <w:rPr>
                <w:rFonts w:ascii="Arial"/>
                <w:color w:val="auto"/>
                <w:highlight w:val="none"/>
              </w:rPr>
            </w:pPr>
          </w:p>
        </w:tc>
        <w:tc>
          <w:tcPr>
            <w:tcW w:w="1757" w:type="dxa"/>
          </w:tcPr>
          <w:p w14:paraId="7EE87801">
            <w:pPr>
              <w:rPr>
                <w:rFonts w:ascii="Arial"/>
                <w:color w:val="auto"/>
                <w:highlight w:val="none"/>
              </w:rPr>
            </w:pPr>
          </w:p>
        </w:tc>
      </w:tr>
      <w:tr w14:paraId="6729F4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896" w:type="dxa"/>
            <w:vAlign w:val="center"/>
          </w:tcPr>
          <w:p w14:paraId="73F8560A">
            <w:pPr>
              <w:jc w:val="center"/>
              <w:rPr>
                <w:rFonts w:hint="eastAsia" w:ascii="Arial" w:eastAsia="宋体"/>
                <w:color w:val="auto"/>
                <w:highlight w:val="none"/>
                <w:lang w:val="en-US" w:eastAsia="zh-CN"/>
              </w:rPr>
            </w:pPr>
            <w:r>
              <w:rPr>
                <w:rFonts w:hint="eastAsia" w:ascii="Arial"/>
                <w:color w:val="auto"/>
                <w:highlight w:val="none"/>
                <w:lang w:val="en-US" w:eastAsia="zh-CN"/>
              </w:rPr>
              <w:t>5</w:t>
            </w:r>
          </w:p>
        </w:tc>
        <w:tc>
          <w:tcPr>
            <w:tcW w:w="1656" w:type="dxa"/>
          </w:tcPr>
          <w:p w14:paraId="2BAEE60C">
            <w:pPr>
              <w:rPr>
                <w:rFonts w:ascii="Arial"/>
                <w:color w:val="auto"/>
                <w:highlight w:val="none"/>
              </w:rPr>
            </w:pPr>
          </w:p>
        </w:tc>
        <w:tc>
          <w:tcPr>
            <w:tcW w:w="1934" w:type="dxa"/>
          </w:tcPr>
          <w:p w14:paraId="69FDE67E">
            <w:pPr>
              <w:rPr>
                <w:rFonts w:ascii="Arial"/>
                <w:color w:val="auto"/>
                <w:highlight w:val="none"/>
              </w:rPr>
            </w:pPr>
          </w:p>
        </w:tc>
        <w:tc>
          <w:tcPr>
            <w:tcW w:w="1984" w:type="dxa"/>
          </w:tcPr>
          <w:p w14:paraId="04B1363A">
            <w:pPr>
              <w:rPr>
                <w:rFonts w:ascii="Arial"/>
                <w:color w:val="auto"/>
                <w:highlight w:val="none"/>
              </w:rPr>
            </w:pPr>
          </w:p>
        </w:tc>
        <w:tc>
          <w:tcPr>
            <w:tcW w:w="1842" w:type="dxa"/>
          </w:tcPr>
          <w:p w14:paraId="5C0D19A9">
            <w:pPr>
              <w:rPr>
                <w:rFonts w:ascii="Arial"/>
                <w:color w:val="auto"/>
                <w:highlight w:val="none"/>
              </w:rPr>
            </w:pPr>
          </w:p>
        </w:tc>
        <w:tc>
          <w:tcPr>
            <w:tcW w:w="1469" w:type="dxa"/>
          </w:tcPr>
          <w:p w14:paraId="0AED8EC5">
            <w:pPr>
              <w:rPr>
                <w:rFonts w:ascii="Arial"/>
                <w:color w:val="auto"/>
                <w:highlight w:val="none"/>
              </w:rPr>
            </w:pPr>
          </w:p>
        </w:tc>
        <w:tc>
          <w:tcPr>
            <w:tcW w:w="1557" w:type="dxa"/>
          </w:tcPr>
          <w:p w14:paraId="118AF3D4">
            <w:pPr>
              <w:rPr>
                <w:rFonts w:ascii="Arial"/>
                <w:color w:val="auto"/>
                <w:highlight w:val="none"/>
              </w:rPr>
            </w:pPr>
          </w:p>
        </w:tc>
        <w:tc>
          <w:tcPr>
            <w:tcW w:w="1757" w:type="dxa"/>
          </w:tcPr>
          <w:p w14:paraId="52AA4C1C">
            <w:pPr>
              <w:rPr>
                <w:rFonts w:ascii="Arial"/>
                <w:color w:val="auto"/>
                <w:highlight w:val="none"/>
              </w:rPr>
            </w:pPr>
          </w:p>
        </w:tc>
        <w:tc>
          <w:tcPr>
            <w:tcW w:w="1757" w:type="dxa"/>
          </w:tcPr>
          <w:p w14:paraId="04E66620">
            <w:pPr>
              <w:rPr>
                <w:rFonts w:ascii="Arial"/>
                <w:color w:val="auto"/>
                <w:highlight w:val="none"/>
              </w:rPr>
            </w:pPr>
          </w:p>
        </w:tc>
      </w:tr>
      <w:tr w14:paraId="703CF6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896" w:type="dxa"/>
            <w:vAlign w:val="center"/>
          </w:tcPr>
          <w:p w14:paraId="50C0B69C">
            <w:pPr>
              <w:jc w:val="center"/>
              <w:rPr>
                <w:rFonts w:hint="eastAsia" w:ascii="Arial" w:eastAsia="宋体"/>
                <w:color w:val="auto"/>
                <w:highlight w:val="none"/>
                <w:lang w:val="en-US" w:eastAsia="zh-CN"/>
              </w:rPr>
            </w:pPr>
            <w:r>
              <w:rPr>
                <w:rFonts w:hint="eastAsia" w:ascii="Arial"/>
                <w:color w:val="auto"/>
                <w:highlight w:val="none"/>
                <w:lang w:val="en-US" w:eastAsia="zh-CN"/>
              </w:rPr>
              <w:t>6</w:t>
            </w:r>
          </w:p>
        </w:tc>
        <w:tc>
          <w:tcPr>
            <w:tcW w:w="1656" w:type="dxa"/>
          </w:tcPr>
          <w:p w14:paraId="0B9F38C7">
            <w:pPr>
              <w:rPr>
                <w:rFonts w:ascii="Arial"/>
                <w:color w:val="auto"/>
                <w:highlight w:val="none"/>
              </w:rPr>
            </w:pPr>
          </w:p>
        </w:tc>
        <w:tc>
          <w:tcPr>
            <w:tcW w:w="1934" w:type="dxa"/>
          </w:tcPr>
          <w:p w14:paraId="22ADEEC6">
            <w:pPr>
              <w:rPr>
                <w:rFonts w:ascii="Arial"/>
                <w:color w:val="auto"/>
                <w:highlight w:val="none"/>
              </w:rPr>
            </w:pPr>
          </w:p>
        </w:tc>
        <w:tc>
          <w:tcPr>
            <w:tcW w:w="1984" w:type="dxa"/>
          </w:tcPr>
          <w:p w14:paraId="056F56D3">
            <w:pPr>
              <w:rPr>
                <w:rFonts w:ascii="Arial"/>
                <w:color w:val="auto"/>
                <w:highlight w:val="none"/>
              </w:rPr>
            </w:pPr>
          </w:p>
        </w:tc>
        <w:tc>
          <w:tcPr>
            <w:tcW w:w="1842" w:type="dxa"/>
          </w:tcPr>
          <w:p w14:paraId="4AEEE5D5">
            <w:pPr>
              <w:rPr>
                <w:rFonts w:ascii="Arial"/>
                <w:color w:val="auto"/>
                <w:highlight w:val="none"/>
              </w:rPr>
            </w:pPr>
          </w:p>
        </w:tc>
        <w:tc>
          <w:tcPr>
            <w:tcW w:w="1469" w:type="dxa"/>
          </w:tcPr>
          <w:p w14:paraId="0BBE2563">
            <w:pPr>
              <w:rPr>
                <w:rFonts w:ascii="Arial"/>
                <w:color w:val="auto"/>
                <w:highlight w:val="none"/>
              </w:rPr>
            </w:pPr>
          </w:p>
        </w:tc>
        <w:tc>
          <w:tcPr>
            <w:tcW w:w="1557" w:type="dxa"/>
          </w:tcPr>
          <w:p w14:paraId="321557BB">
            <w:pPr>
              <w:rPr>
                <w:rFonts w:ascii="Arial"/>
                <w:color w:val="auto"/>
                <w:highlight w:val="none"/>
              </w:rPr>
            </w:pPr>
          </w:p>
        </w:tc>
        <w:tc>
          <w:tcPr>
            <w:tcW w:w="1757" w:type="dxa"/>
          </w:tcPr>
          <w:p w14:paraId="5F35A8AA">
            <w:pPr>
              <w:rPr>
                <w:rFonts w:ascii="Arial"/>
                <w:color w:val="auto"/>
                <w:highlight w:val="none"/>
              </w:rPr>
            </w:pPr>
          </w:p>
        </w:tc>
        <w:tc>
          <w:tcPr>
            <w:tcW w:w="1757" w:type="dxa"/>
          </w:tcPr>
          <w:p w14:paraId="1A044795">
            <w:pPr>
              <w:rPr>
                <w:rFonts w:ascii="Arial"/>
                <w:color w:val="auto"/>
                <w:highlight w:val="none"/>
              </w:rPr>
            </w:pPr>
          </w:p>
        </w:tc>
      </w:tr>
      <w:tr w14:paraId="2E0497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896" w:type="dxa"/>
            <w:vAlign w:val="center"/>
          </w:tcPr>
          <w:p w14:paraId="6C547A9C">
            <w:pPr>
              <w:jc w:val="center"/>
              <w:rPr>
                <w:rFonts w:hint="eastAsia" w:ascii="Arial" w:eastAsia="宋体"/>
                <w:color w:val="auto"/>
                <w:highlight w:val="none"/>
                <w:lang w:val="en-US" w:eastAsia="zh-CN"/>
              </w:rPr>
            </w:pPr>
            <w:r>
              <w:rPr>
                <w:rFonts w:hint="eastAsia" w:ascii="Arial"/>
                <w:color w:val="auto"/>
                <w:highlight w:val="none"/>
                <w:lang w:val="en-US" w:eastAsia="zh-CN"/>
              </w:rPr>
              <w:t>7</w:t>
            </w:r>
          </w:p>
        </w:tc>
        <w:tc>
          <w:tcPr>
            <w:tcW w:w="1656" w:type="dxa"/>
          </w:tcPr>
          <w:p w14:paraId="49F828B6">
            <w:pPr>
              <w:rPr>
                <w:rFonts w:ascii="Arial"/>
                <w:color w:val="auto"/>
                <w:highlight w:val="none"/>
              </w:rPr>
            </w:pPr>
          </w:p>
        </w:tc>
        <w:tc>
          <w:tcPr>
            <w:tcW w:w="1934" w:type="dxa"/>
          </w:tcPr>
          <w:p w14:paraId="52D1AA6D">
            <w:pPr>
              <w:rPr>
                <w:rFonts w:ascii="Arial"/>
                <w:color w:val="auto"/>
                <w:highlight w:val="none"/>
              </w:rPr>
            </w:pPr>
          </w:p>
        </w:tc>
        <w:tc>
          <w:tcPr>
            <w:tcW w:w="1984" w:type="dxa"/>
          </w:tcPr>
          <w:p w14:paraId="7EAC52AB">
            <w:pPr>
              <w:rPr>
                <w:rFonts w:ascii="Arial"/>
                <w:color w:val="auto"/>
                <w:highlight w:val="none"/>
              </w:rPr>
            </w:pPr>
          </w:p>
        </w:tc>
        <w:tc>
          <w:tcPr>
            <w:tcW w:w="1842" w:type="dxa"/>
          </w:tcPr>
          <w:p w14:paraId="2955D3E1">
            <w:pPr>
              <w:rPr>
                <w:rFonts w:ascii="Arial"/>
                <w:color w:val="auto"/>
                <w:highlight w:val="none"/>
              </w:rPr>
            </w:pPr>
          </w:p>
        </w:tc>
        <w:tc>
          <w:tcPr>
            <w:tcW w:w="1469" w:type="dxa"/>
          </w:tcPr>
          <w:p w14:paraId="50222C8B">
            <w:pPr>
              <w:rPr>
                <w:rFonts w:ascii="Arial"/>
                <w:color w:val="auto"/>
                <w:highlight w:val="none"/>
              </w:rPr>
            </w:pPr>
          </w:p>
        </w:tc>
        <w:tc>
          <w:tcPr>
            <w:tcW w:w="1557" w:type="dxa"/>
          </w:tcPr>
          <w:p w14:paraId="379F4C3E">
            <w:pPr>
              <w:rPr>
                <w:rFonts w:ascii="Arial"/>
                <w:color w:val="auto"/>
                <w:highlight w:val="none"/>
              </w:rPr>
            </w:pPr>
          </w:p>
        </w:tc>
        <w:tc>
          <w:tcPr>
            <w:tcW w:w="1757" w:type="dxa"/>
          </w:tcPr>
          <w:p w14:paraId="569BF3DB">
            <w:pPr>
              <w:rPr>
                <w:rFonts w:ascii="Arial"/>
                <w:color w:val="auto"/>
                <w:highlight w:val="none"/>
              </w:rPr>
            </w:pPr>
          </w:p>
        </w:tc>
        <w:tc>
          <w:tcPr>
            <w:tcW w:w="1757" w:type="dxa"/>
          </w:tcPr>
          <w:p w14:paraId="006F28A7">
            <w:pPr>
              <w:rPr>
                <w:rFonts w:ascii="Arial"/>
                <w:color w:val="auto"/>
                <w:highlight w:val="none"/>
              </w:rPr>
            </w:pPr>
          </w:p>
        </w:tc>
      </w:tr>
    </w:tbl>
    <w:p w14:paraId="6A5D242B">
      <w:pPr>
        <w:pStyle w:val="17"/>
        <w:rPr>
          <w:color w:val="auto"/>
          <w:highlight w:val="none"/>
        </w:rPr>
      </w:pPr>
    </w:p>
    <w:p w14:paraId="40CE894E">
      <w:pPr>
        <w:rPr>
          <w:color w:val="auto"/>
          <w:highlight w:val="none"/>
        </w:rPr>
        <w:sectPr>
          <w:footerReference r:id="rId22" w:type="default"/>
          <w:pgSz w:w="16839" w:h="11907"/>
          <w:pgMar w:top="1012" w:right="1761" w:bottom="1031" w:left="1553" w:header="0" w:footer="800" w:gutter="0"/>
          <w:pgNumType w:fmt="decimal"/>
          <w:cols w:space="720" w:num="1"/>
        </w:sectPr>
      </w:pPr>
    </w:p>
    <w:p w14:paraId="43F173D9">
      <w:pPr>
        <w:pStyle w:val="17"/>
        <w:spacing w:line="241" w:lineRule="auto"/>
        <w:rPr>
          <w:color w:val="auto"/>
          <w:highlight w:val="none"/>
        </w:rPr>
      </w:pPr>
    </w:p>
    <w:p w14:paraId="2CF329A2">
      <w:pPr>
        <w:spacing w:before="78" w:line="219" w:lineRule="auto"/>
        <w:ind w:left="152"/>
        <w:outlineLvl w:val="2"/>
        <w:rPr>
          <w:rFonts w:ascii="黑体" w:hAnsi="黑体" w:eastAsia="黑体" w:cs="黑体"/>
          <w:color w:val="auto"/>
          <w:sz w:val="24"/>
          <w:highlight w:val="none"/>
        </w:rPr>
      </w:pPr>
      <w:bookmarkStart w:id="270" w:name="bookmark409"/>
      <w:bookmarkEnd w:id="270"/>
      <w:bookmarkStart w:id="271" w:name="_Toc27128"/>
      <w:r>
        <w:rPr>
          <w:rFonts w:ascii="黑体" w:hAnsi="黑体" w:eastAsia="黑体" w:cs="黑体"/>
          <w:color w:val="auto"/>
          <w:spacing w:val="-2"/>
          <w:sz w:val="24"/>
          <w:highlight w:val="none"/>
        </w:rPr>
        <w:t>附表A-2：评标专家告知承诺函</w:t>
      </w:r>
      <w:bookmarkEnd w:id="271"/>
    </w:p>
    <w:p w14:paraId="6C69C95D">
      <w:pPr>
        <w:pStyle w:val="17"/>
        <w:spacing w:line="301" w:lineRule="auto"/>
        <w:rPr>
          <w:color w:val="auto"/>
          <w:highlight w:val="none"/>
        </w:rPr>
      </w:pPr>
    </w:p>
    <w:p w14:paraId="6C64F0F2">
      <w:pPr>
        <w:pStyle w:val="17"/>
        <w:spacing w:line="301" w:lineRule="auto"/>
        <w:rPr>
          <w:color w:val="auto"/>
          <w:highlight w:val="none"/>
        </w:rPr>
      </w:pPr>
    </w:p>
    <w:p w14:paraId="0DE40649">
      <w:pPr>
        <w:spacing w:before="117" w:line="219" w:lineRule="auto"/>
        <w:ind w:left="1864"/>
        <w:rPr>
          <w:rFonts w:ascii="黑体" w:hAnsi="黑体" w:eastAsia="黑体" w:cs="黑体"/>
          <w:color w:val="auto"/>
          <w:sz w:val="36"/>
          <w:szCs w:val="36"/>
          <w:highlight w:val="none"/>
        </w:rPr>
      </w:pPr>
      <w:bookmarkStart w:id="272" w:name="bookmark131"/>
      <w:bookmarkEnd w:id="272"/>
      <w:r>
        <w:rPr>
          <w:rFonts w:ascii="黑体" w:hAnsi="黑体" w:eastAsia="黑体" w:cs="黑体"/>
          <w:color w:val="auto"/>
          <w:spacing w:val="-6"/>
          <w:sz w:val="36"/>
          <w:szCs w:val="36"/>
          <w:highlight w:val="none"/>
        </w:rPr>
        <w:t>（姓名）评标专家告知承诺函</w:t>
      </w:r>
    </w:p>
    <w:p w14:paraId="797FB5BA">
      <w:pPr>
        <w:pStyle w:val="17"/>
        <w:spacing w:line="265" w:lineRule="auto"/>
        <w:rPr>
          <w:color w:val="auto"/>
          <w:highlight w:val="none"/>
        </w:rPr>
      </w:pPr>
    </w:p>
    <w:p w14:paraId="5E9874E4">
      <w:pPr>
        <w:pStyle w:val="17"/>
        <w:spacing w:line="266" w:lineRule="auto"/>
        <w:rPr>
          <w:color w:val="auto"/>
          <w:highlight w:val="none"/>
        </w:rPr>
      </w:pPr>
    </w:p>
    <w:p w14:paraId="6F67C56C">
      <w:pPr>
        <w:spacing w:before="69" w:line="220" w:lineRule="auto"/>
        <w:ind w:left="441"/>
        <w:rPr>
          <w:rFonts w:ascii="宋体" w:hAnsi="宋体" w:cs="宋体"/>
          <w:color w:val="auto"/>
          <w:szCs w:val="21"/>
          <w:highlight w:val="none"/>
        </w:rPr>
      </w:pPr>
      <w:r>
        <w:rPr>
          <w:rFonts w:ascii="宋体" w:hAnsi="宋体" w:cs="宋体"/>
          <w:color w:val="auto"/>
          <w:szCs w:val="21"/>
          <w:highlight w:val="none"/>
        </w:rPr>
        <w:t>本人接受招标人邀请，担任</w:t>
      </w:r>
      <w:r>
        <w:rPr>
          <w:rFonts w:hint="eastAsia" w:ascii="宋体" w:hAnsi="宋体" w:cs="宋体"/>
          <w:color w:val="auto"/>
          <w:szCs w:val="21"/>
          <w:highlight w:val="none"/>
          <w:u w:val="single"/>
          <w:lang w:val="en-US" w:eastAsia="zh-CN"/>
        </w:rPr>
        <w:t xml:space="preserve">                  </w:t>
      </w:r>
      <w:r>
        <w:rPr>
          <w:rFonts w:ascii="宋体" w:hAnsi="宋体" w:cs="宋体"/>
          <w:color w:val="auto"/>
          <w:szCs w:val="21"/>
          <w:highlight w:val="none"/>
        </w:rPr>
        <w:t>（标段名称）项目招标的评</w:t>
      </w:r>
      <w:r>
        <w:rPr>
          <w:rFonts w:ascii="宋体" w:hAnsi="宋体" w:cs="宋体"/>
          <w:color w:val="auto"/>
          <w:spacing w:val="-1"/>
          <w:szCs w:val="21"/>
          <w:highlight w:val="none"/>
        </w:rPr>
        <w:t>标专家。</w:t>
      </w:r>
    </w:p>
    <w:p w14:paraId="20F871E0">
      <w:pPr>
        <w:spacing w:before="157" w:line="359" w:lineRule="auto"/>
        <w:ind w:left="25" w:firstLine="415"/>
        <w:rPr>
          <w:rFonts w:ascii="宋体" w:hAnsi="宋体" w:cs="宋体"/>
          <w:color w:val="auto"/>
          <w:szCs w:val="21"/>
          <w:highlight w:val="none"/>
        </w:rPr>
      </w:pPr>
      <w:r>
        <w:rPr>
          <w:rFonts w:ascii="宋体" w:hAnsi="宋体" w:cs="宋体"/>
          <w:color w:val="auto"/>
          <w:spacing w:val="2"/>
          <w:szCs w:val="21"/>
          <w:highlight w:val="none"/>
        </w:rPr>
        <w:t>本人作为辽宁省评标专家库评标专家，已知悉相关权利义务，已熟</w:t>
      </w:r>
      <w:r>
        <w:rPr>
          <w:rFonts w:ascii="宋体" w:hAnsi="宋体" w:cs="宋体"/>
          <w:color w:val="auto"/>
          <w:spacing w:val="1"/>
          <w:szCs w:val="21"/>
          <w:highlight w:val="none"/>
        </w:rPr>
        <w:t>知告知承诺函内容，</w:t>
      </w:r>
      <w:r>
        <w:rPr>
          <w:rFonts w:ascii="宋体" w:hAnsi="宋体" w:cs="宋体"/>
          <w:color w:val="auto"/>
          <w:spacing w:val="3"/>
          <w:szCs w:val="21"/>
          <w:highlight w:val="none"/>
        </w:rPr>
        <w:t>并在此郑重承诺:</w:t>
      </w:r>
    </w:p>
    <w:p w14:paraId="345F6709">
      <w:pPr>
        <w:spacing w:line="220" w:lineRule="auto"/>
        <w:ind w:left="443"/>
        <w:rPr>
          <w:rFonts w:ascii="宋体" w:hAnsi="宋体" w:cs="宋体"/>
          <w:color w:val="auto"/>
          <w:szCs w:val="21"/>
          <w:highlight w:val="none"/>
        </w:rPr>
      </w:pPr>
      <w:r>
        <w:rPr>
          <w:rFonts w:ascii="宋体" w:hAnsi="宋体" w:cs="宋体"/>
          <w:color w:val="auto"/>
          <w:spacing w:val="-2"/>
          <w:szCs w:val="21"/>
          <w:highlight w:val="none"/>
        </w:rPr>
        <w:t>一、尽职承诺</w:t>
      </w:r>
    </w:p>
    <w:p w14:paraId="11E1D0C3">
      <w:pPr>
        <w:spacing w:before="157" w:line="291" w:lineRule="auto"/>
        <w:ind w:left="19" w:right="180" w:firstLine="427"/>
        <w:rPr>
          <w:rFonts w:ascii="宋体" w:hAnsi="宋体" w:cs="宋体"/>
          <w:color w:val="auto"/>
          <w:szCs w:val="21"/>
          <w:highlight w:val="none"/>
        </w:rPr>
      </w:pPr>
      <w:r>
        <w:rPr>
          <w:rFonts w:ascii="宋体" w:hAnsi="宋体" w:cs="宋体"/>
          <w:color w:val="auto"/>
          <w:spacing w:val="2"/>
          <w:szCs w:val="21"/>
          <w:highlight w:val="none"/>
        </w:rPr>
        <w:t>（一）客观、公正地履行职务，严格按照法律法规规定、评标办法独立完成该项目的</w:t>
      </w:r>
      <w:r>
        <w:rPr>
          <w:rFonts w:ascii="宋体" w:hAnsi="宋体" w:cs="宋体"/>
          <w:color w:val="auto"/>
          <w:spacing w:val="-4"/>
          <w:szCs w:val="21"/>
          <w:highlight w:val="none"/>
        </w:rPr>
        <w:t>评标工作。</w:t>
      </w:r>
    </w:p>
    <w:p w14:paraId="1894328F">
      <w:pPr>
        <w:spacing w:before="157" w:line="290" w:lineRule="auto"/>
        <w:ind w:left="26" w:right="199" w:firstLine="420"/>
        <w:rPr>
          <w:rFonts w:ascii="宋体" w:hAnsi="宋体" w:cs="宋体"/>
          <w:color w:val="auto"/>
          <w:szCs w:val="21"/>
          <w:highlight w:val="none"/>
        </w:rPr>
      </w:pPr>
      <w:r>
        <w:rPr>
          <w:rFonts w:ascii="宋体" w:hAnsi="宋体" w:cs="宋体"/>
          <w:color w:val="auto"/>
          <w:spacing w:val="2"/>
          <w:szCs w:val="21"/>
          <w:highlight w:val="none"/>
        </w:rPr>
        <w:t>（二）严格遵守评标纪律，保证评标过程中不发表任何涉及实质性内容的倾向</w:t>
      </w:r>
      <w:r>
        <w:rPr>
          <w:rFonts w:ascii="宋体" w:hAnsi="宋体" w:cs="宋体"/>
          <w:color w:val="auto"/>
          <w:spacing w:val="1"/>
          <w:szCs w:val="21"/>
          <w:highlight w:val="none"/>
        </w:rPr>
        <w:t>性、引</w:t>
      </w:r>
      <w:r>
        <w:rPr>
          <w:rFonts w:ascii="宋体" w:hAnsi="宋体" w:cs="宋体"/>
          <w:color w:val="auto"/>
          <w:spacing w:val="-3"/>
          <w:szCs w:val="21"/>
          <w:highlight w:val="none"/>
        </w:rPr>
        <w:t>导性言论，不擅离职守。</w:t>
      </w:r>
    </w:p>
    <w:p w14:paraId="45FE399F">
      <w:pPr>
        <w:spacing w:before="157" w:line="313" w:lineRule="auto"/>
        <w:ind w:left="19" w:right="163" w:firstLine="427"/>
        <w:rPr>
          <w:rFonts w:ascii="宋体" w:hAnsi="宋体" w:cs="宋体"/>
          <w:color w:val="auto"/>
          <w:szCs w:val="21"/>
          <w:highlight w:val="none"/>
        </w:rPr>
      </w:pPr>
      <w:r>
        <w:rPr>
          <w:rFonts w:ascii="宋体" w:hAnsi="宋体" w:cs="宋体"/>
          <w:color w:val="auto"/>
          <w:spacing w:val="-3"/>
          <w:szCs w:val="21"/>
          <w:highlight w:val="none"/>
        </w:rPr>
        <w:t>（三）严格遵守《中华人民共和国招标投标法》《中华人民共和国</w:t>
      </w:r>
      <w:r>
        <w:rPr>
          <w:rFonts w:hint="eastAsia" w:ascii="宋体" w:hAnsi="宋体" w:cs="宋体"/>
          <w:color w:val="auto"/>
          <w:spacing w:val="-3"/>
          <w:szCs w:val="21"/>
          <w:highlight w:val="none"/>
          <w:lang w:eastAsia="zh-CN"/>
        </w:rPr>
        <w:t>保守国家秘</w:t>
      </w:r>
      <w:r>
        <w:rPr>
          <w:rFonts w:ascii="宋体" w:hAnsi="宋体" w:cs="宋体"/>
          <w:color w:val="auto"/>
          <w:spacing w:val="-3"/>
          <w:szCs w:val="21"/>
          <w:highlight w:val="none"/>
        </w:rPr>
        <w:t>密法》《中华人民</w:t>
      </w:r>
      <w:r>
        <w:rPr>
          <w:rFonts w:ascii="宋体" w:hAnsi="宋体" w:cs="宋体"/>
          <w:color w:val="auto"/>
          <w:spacing w:val="3"/>
          <w:szCs w:val="21"/>
          <w:highlight w:val="none"/>
        </w:rPr>
        <w:t>共和国招标投标法实施条例》相关规定，遵守职业道德，对所提出的评审意见承担个</w:t>
      </w:r>
      <w:r>
        <w:rPr>
          <w:rFonts w:ascii="宋体" w:hAnsi="宋体" w:cs="宋体"/>
          <w:color w:val="auto"/>
          <w:spacing w:val="2"/>
          <w:szCs w:val="21"/>
          <w:highlight w:val="none"/>
        </w:rPr>
        <w:t>人责</w:t>
      </w:r>
      <w:r>
        <w:rPr>
          <w:rFonts w:ascii="宋体" w:hAnsi="宋体" w:cs="宋体"/>
          <w:color w:val="auto"/>
          <w:spacing w:val="-1"/>
          <w:szCs w:val="21"/>
          <w:highlight w:val="none"/>
        </w:rPr>
        <w:t>任，自觉维护国家利益、社会公共利益。</w:t>
      </w:r>
    </w:p>
    <w:p w14:paraId="7A78BAB3">
      <w:pPr>
        <w:spacing w:before="157" w:line="220" w:lineRule="auto"/>
        <w:ind w:left="446"/>
        <w:rPr>
          <w:rFonts w:ascii="宋体" w:hAnsi="宋体" w:cs="宋体"/>
          <w:color w:val="auto"/>
          <w:szCs w:val="21"/>
          <w:highlight w:val="none"/>
        </w:rPr>
      </w:pPr>
      <w:r>
        <w:rPr>
          <w:rFonts w:ascii="宋体" w:hAnsi="宋体" w:cs="宋体"/>
          <w:color w:val="auto"/>
          <w:spacing w:val="-2"/>
          <w:szCs w:val="21"/>
          <w:highlight w:val="none"/>
        </w:rPr>
        <w:t>（四）对依法应当否决的投标提出否决意见。</w:t>
      </w:r>
    </w:p>
    <w:p w14:paraId="2EA8EEF2">
      <w:pPr>
        <w:spacing w:before="158" w:line="221" w:lineRule="auto"/>
        <w:ind w:left="443"/>
        <w:rPr>
          <w:rFonts w:ascii="宋体" w:hAnsi="宋体" w:cs="宋体"/>
          <w:color w:val="auto"/>
          <w:szCs w:val="21"/>
          <w:highlight w:val="none"/>
        </w:rPr>
      </w:pPr>
      <w:r>
        <w:rPr>
          <w:rFonts w:ascii="宋体" w:hAnsi="宋体" w:cs="宋体"/>
          <w:color w:val="auto"/>
          <w:spacing w:val="-2"/>
          <w:szCs w:val="21"/>
          <w:highlight w:val="none"/>
        </w:rPr>
        <w:t>二、回避承诺</w:t>
      </w:r>
    </w:p>
    <w:p w14:paraId="07F17AEB">
      <w:pPr>
        <w:spacing w:before="156" w:line="221" w:lineRule="auto"/>
        <w:ind w:left="446"/>
        <w:rPr>
          <w:rFonts w:ascii="宋体" w:hAnsi="宋体" w:cs="宋体"/>
          <w:color w:val="auto"/>
          <w:szCs w:val="21"/>
          <w:highlight w:val="none"/>
        </w:rPr>
      </w:pPr>
      <w:r>
        <w:rPr>
          <w:rFonts w:ascii="宋体" w:hAnsi="宋体" w:cs="宋体"/>
          <w:color w:val="auto"/>
          <w:spacing w:val="-1"/>
          <w:szCs w:val="21"/>
          <w:highlight w:val="none"/>
        </w:rPr>
        <w:t>（一）与招标人或投标人的主要负责人不存在近亲属关系。</w:t>
      </w:r>
    </w:p>
    <w:p w14:paraId="13A272F1">
      <w:pPr>
        <w:spacing w:before="159" w:line="221" w:lineRule="auto"/>
        <w:ind w:left="446"/>
        <w:rPr>
          <w:rFonts w:ascii="宋体" w:hAnsi="宋体" w:cs="宋体"/>
          <w:color w:val="auto"/>
          <w:szCs w:val="21"/>
          <w:highlight w:val="none"/>
        </w:rPr>
      </w:pPr>
      <w:r>
        <w:rPr>
          <w:rFonts w:ascii="宋体" w:hAnsi="宋体" w:cs="宋体"/>
          <w:color w:val="auto"/>
          <w:spacing w:val="-2"/>
          <w:szCs w:val="21"/>
          <w:highlight w:val="none"/>
        </w:rPr>
        <w:t>（二）非项目主管部门或者行政监督部门的人员。</w:t>
      </w:r>
    </w:p>
    <w:p w14:paraId="494FF82F">
      <w:pPr>
        <w:spacing w:before="157" w:line="220" w:lineRule="auto"/>
        <w:ind w:left="446"/>
        <w:rPr>
          <w:rFonts w:ascii="宋体" w:hAnsi="宋体" w:cs="宋体"/>
          <w:color w:val="auto"/>
          <w:szCs w:val="21"/>
          <w:highlight w:val="none"/>
        </w:rPr>
      </w:pPr>
      <w:r>
        <w:rPr>
          <w:rFonts w:ascii="宋体" w:hAnsi="宋体" w:cs="宋体"/>
          <w:color w:val="auto"/>
          <w:spacing w:val="-1"/>
          <w:szCs w:val="21"/>
          <w:highlight w:val="none"/>
        </w:rPr>
        <w:t>（三）近5年未与投标人或者投标人主要负责人有其他社会关系或者经济利益关系。</w:t>
      </w:r>
    </w:p>
    <w:p w14:paraId="339E3EF3">
      <w:pPr>
        <w:spacing w:before="158" w:line="290" w:lineRule="auto"/>
        <w:ind w:left="24" w:right="172" w:firstLine="421"/>
        <w:rPr>
          <w:rFonts w:ascii="宋体" w:hAnsi="宋体" w:cs="宋体"/>
          <w:color w:val="auto"/>
          <w:szCs w:val="21"/>
          <w:highlight w:val="none"/>
        </w:rPr>
      </w:pPr>
      <w:r>
        <w:rPr>
          <w:rFonts w:ascii="宋体" w:hAnsi="宋体" w:cs="宋体"/>
          <w:color w:val="auto"/>
          <w:spacing w:val="3"/>
          <w:szCs w:val="21"/>
          <w:highlight w:val="none"/>
        </w:rPr>
        <w:t>（四）未曾因在招标、评标以及其他与招标投标有关活动</w:t>
      </w:r>
      <w:r>
        <w:rPr>
          <w:rFonts w:ascii="宋体" w:hAnsi="宋体" w:cs="宋体"/>
          <w:color w:val="auto"/>
          <w:spacing w:val="2"/>
          <w:szCs w:val="21"/>
          <w:highlight w:val="none"/>
        </w:rPr>
        <w:t>中从事违法行为而受过行政</w:t>
      </w:r>
      <w:r>
        <w:rPr>
          <w:rFonts w:ascii="宋体" w:hAnsi="宋体" w:cs="宋体"/>
          <w:color w:val="auto"/>
          <w:spacing w:val="-3"/>
          <w:szCs w:val="21"/>
          <w:highlight w:val="none"/>
        </w:rPr>
        <w:t>处罚或刑事处罚的。</w:t>
      </w:r>
    </w:p>
    <w:p w14:paraId="234769B0">
      <w:pPr>
        <w:spacing w:before="157" w:line="221" w:lineRule="auto"/>
        <w:ind w:left="440"/>
        <w:rPr>
          <w:rFonts w:ascii="宋体" w:hAnsi="宋体" w:cs="宋体"/>
          <w:color w:val="auto"/>
          <w:szCs w:val="21"/>
          <w:highlight w:val="none"/>
        </w:rPr>
      </w:pPr>
      <w:r>
        <w:rPr>
          <w:rFonts w:ascii="宋体" w:hAnsi="宋体" w:cs="宋体"/>
          <w:color w:val="auto"/>
          <w:spacing w:val="-1"/>
          <w:szCs w:val="21"/>
          <w:highlight w:val="none"/>
        </w:rPr>
        <w:t>三、保密承诺</w:t>
      </w:r>
    </w:p>
    <w:p w14:paraId="2133009F">
      <w:pPr>
        <w:spacing w:before="158" w:line="290" w:lineRule="auto"/>
        <w:ind w:left="21" w:right="160" w:firstLine="425"/>
        <w:rPr>
          <w:rFonts w:ascii="宋体" w:hAnsi="宋体" w:cs="宋体"/>
          <w:color w:val="auto"/>
          <w:szCs w:val="21"/>
          <w:highlight w:val="none"/>
        </w:rPr>
      </w:pPr>
      <w:r>
        <w:rPr>
          <w:rFonts w:ascii="宋体" w:hAnsi="宋体" w:cs="宋体"/>
          <w:color w:val="auto"/>
          <w:szCs w:val="21"/>
          <w:highlight w:val="none"/>
        </w:rPr>
        <w:t>（一）不在公共社交网站、媒体、平台，如微信群、QQ 群、朋友圈、个人微博等，通</w:t>
      </w:r>
      <w:r>
        <w:rPr>
          <w:rFonts w:ascii="宋体" w:hAnsi="宋体" w:cs="宋体"/>
          <w:color w:val="auto"/>
          <w:spacing w:val="-1"/>
          <w:szCs w:val="21"/>
          <w:highlight w:val="none"/>
        </w:rPr>
        <w:t>过视频、图片、暗语等方式泄露评标任务。</w:t>
      </w:r>
    </w:p>
    <w:p w14:paraId="11058030">
      <w:pPr>
        <w:spacing w:before="158" w:line="289" w:lineRule="auto"/>
        <w:ind w:left="22" w:right="171" w:firstLine="424"/>
        <w:rPr>
          <w:rFonts w:ascii="宋体" w:hAnsi="宋体" w:cs="宋体"/>
          <w:color w:val="auto"/>
          <w:szCs w:val="21"/>
          <w:highlight w:val="none"/>
        </w:rPr>
      </w:pPr>
      <w:r>
        <w:rPr>
          <w:rFonts w:ascii="宋体" w:hAnsi="宋体" w:cs="宋体"/>
          <w:color w:val="auto"/>
          <w:spacing w:val="1"/>
          <w:szCs w:val="21"/>
          <w:highlight w:val="none"/>
        </w:rPr>
        <w:t>（二）评审结束时，全部清退不应由个人持有的评审项目所有文件和资料，不向任何</w:t>
      </w:r>
      <w:r>
        <w:rPr>
          <w:rFonts w:ascii="宋体" w:hAnsi="宋体" w:cs="宋体"/>
          <w:color w:val="auto"/>
          <w:szCs w:val="21"/>
          <w:highlight w:val="none"/>
        </w:rPr>
        <w:t xml:space="preserve"> 人透露投标文件的评审和比较情况、中标候</w:t>
      </w:r>
      <w:r>
        <w:rPr>
          <w:rFonts w:ascii="宋体" w:hAnsi="宋体" w:cs="宋体"/>
          <w:color w:val="auto"/>
          <w:spacing w:val="-1"/>
          <w:szCs w:val="21"/>
          <w:highlight w:val="none"/>
        </w:rPr>
        <w:t>选人推荐情况以及与评审有关的其他情况。</w:t>
      </w:r>
    </w:p>
    <w:p w14:paraId="49EF4956">
      <w:pPr>
        <w:spacing w:before="160" w:line="221" w:lineRule="auto"/>
        <w:ind w:left="460"/>
        <w:rPr>
          <w:rFonts w:ascii="宋体" w:hAnsi="宋体" w:cs="宋体"/>
          <w:color w:val="auto"/>
          <w:szCs w:val="21"/>
          <w:highlight w:val="none"/>
        </w:rPr>
      </w:pPr>
      <w:r>
        <w:rPr>
          <w:rFonts w:ascii="宋体" w:hAnsi="宋体" w:cs="宋体"/>
          <w:color w:val="auto"/>
          <w:spacing w:val="-5"/>
          <w:szCs w:val="21"/>
          <w:highlight w:val="none"/>
        </w:rPr>
        <w:t>四、廉洁承诺</w:t>
      </w:r>
    </w:p>
    <w:p w14:paraId="52758B18">
      <w:pPr>
        <w:spacing w:before="158" w:line="289" w:lineRule="auto"/>
        <w:ind w:left="19" w:right="170" w:firstLine="427"/>
        <w:rPr>
          <w:rFonts w:ascii="宋体" w:hAnsi="宋体" w:cs="宋体"/>
          <w:color w:val="auto"/>
          <w:szCs w:val="21"/>
          <w:highlight w:val="none"/>
        </w:rPr>
      </w:pPr>
      <w:r>
        <w:rPr>
          <w:rFonts w:ascii="宋体" w:hAnsi="宋体" w:cs="宋体"/>
          <w:color w:val="auto"/>
          <w:spacing w:val="3"/>
          <w:szCs w:val="21"/>
          <w:highlight w:val="none"/>
        </w:rPr>
        <w:t>（一）严格履行廉政自律责任，遵守评标廉政纪律，没有私</w:t>
      </w:r>
      <w:r>
        <w:rPr>
          <w:rFonts w:ascii="宋体" w:hAnsi="宋体" w:cs="宋体"/>
          <w:color w:val="auto"/>
          <w:spacing w:val="2"/>
          <w:szCs w:val="21"/>
          <w:highlight w:val="none"/>
        </w:rPr>
        <w:t>下接触招标人、招标代理</w:t>
      </w:r>
      <w:r>
        <w:rPr>
          <w:rFonts w:ascii="宋体" w:hAnsi="宋体" w:cs="宋体"/>
          <w:color w:val="auto"/>
          <w:spacing w:val="-1"/>
          <w:szCs w:val="21"/>
          <w:highlight w:val="none"/>
        </w:rPr>
        <w:t>机构、投标人，没有收受利益相关人或企业的财物、好处。</w:t>
      </w:r>
    </w:p>
    <w:p w14:paraId="18D8C263">
      <w:pPr>
        <w:spacing w:before="159" w:line="290" w:lineRule="auto"/>
        <w:ind w:left="22" w:right="171" w:firstLine="424"/>
        <w:rPr>
          <w:rFonts w:ascii="宋体" w:hAnsi="宋体" w:cs="宋体"/>
          <w:color w:val="auto"/>
          <w:szCs w:val="21"/>
          <w:highlight w:val="none"/>
        </w:rPr>
      </w:pPr>
      <w:r>
        <w:rPr>
          <w:rFonts w:ascii="宋体" w:hAnsi="宋体" w:cs="宋体"/>
          <w:color w:val="auto"/>
          <w:spacing w:val="3"/>
          <w:szCs w:val="21"/>
          <w:highlight w:val="none"/>
        </w:rPr>
        <w:t>（二）不向招标人征询确定中标人的意向或者接受任何单位</w:t>
      </w:r>
      <w:r>
        <w:rPr>
          <w:rFonts w:ascii="宋体" w:hAnsi="宋体" w:cs="宋体"/>
          <w:color w:val="auto"/>
          <w:spacing w:val="2"/>
          <w:szCs w:val="21"/>
          <w:highlight w:val="none"/>
        </w:rPr>
        <w:t>、个人明示暗示特定投标</w:t>
      </w:r>
      <w:r>
        <w:rPr>
          <w:rFonts w:ascii="宋体" w:hAnsi="宋体" w:cs="宋体"/>
          <w:color w:val="auto"/>
          <w:spacing w:val="-5"/>
          <w:szCs w:val="21"/>
          <w:highlight w:val="none"/>
        </w:rPr>
        <w:t>人的要求。</w:t>
      </w:r>
    </w:p>
    <w:p w14:paraId="05BD16C7">
      <w:pPr>
        <w:spacing w:before="41" w:line="221" w:lineRule="auto"/>
        <w:jc w:val="right"/>
        <w:rPr>
          <w:rFonts w:ascii="宋体" w:hAnsi="宋体" w:cs="宋体"/>
          <w:color w:val="auto"/>
          <w:szCs w:val="21"/>
          <w:highlight w:val="none"/>
        </w:rPr>
      </w:pPr>
      <w:r>
        <w:rPr>
          <w:rFonts w:ascii="宋体" w:hAnsi="宋体" w:cs="宋体"/>
          <w:color w:val="auto"/>
          <w:spacing w:val="2"/>
          <w:szCs w:val="21"/>
          <w:highlight w:val="none"/>
        </w:rPr>
        <w:t>（三）不暗示或者诱导投标人作出澄清、说明或者接受投标人主动提出的澄清、说明。</w:t>
      </w:r>
    </w:p>
    <w:p w14:paraId="1BBE43BD">
      <w:pPr>
        <w:spacing w:before="157" w:line="289" w:lineRule="auto"/>
        <w:ind w:left="21" w:right="189" w:firstLine="425"/>
        <w:rPr>
          <w:rFonts w:ascii="宋体" w:hAnsi="宋体" w:cs="宋体"/>
          <w:color w:val="auto"/>
          <w:szCs w:val="21"/>
          <w:highlight w:val="none"/>
        </w:rPr>
      </w:pPr>
      <w:r>
        <w:rPr>
          <w:rFonts w:ascii="宋体" w:hAnsi="宋体" w:cs="宋体"/>
          <w:color w:val="auto"/>
          <w:spacing w:val="1"/>
          <w:szCs w:val="21"/>
          <w:highlight w:val="none"/>
        </w:rPr>
        <w:t>（四）自觉抵制招标投标活动中的违法违规行为，积极配合协助行政监督部门、纪检</w:t>
      </w:r>
      <w:r>
        <w:rPr>
          <w:rFonts w:ascii="宋体" w:hAnsi="宋体" w:cs="宋体"/>
          <w:color w:val="auto"/>
          <w:spacing w:val="-1"/>
          <w:szCs w:val="21"/>
          <w:highlight w:val="none"/>
        </w:rPr>
        <w:t>监察部门、公安部门、检察机关等依法进行监督。</w:t>
      </w:r>
    </w:p>
    <w:p w14:paraId="388B8517">
      <w:pPr>
        <w:spacing w:before="159" w:line="221" w:lineRule="auto"/>
        <w:ind w:left="443"/>
        <w:rPr>
          <w:rFonts w:ascii="宋体" w:hAnsi="宋体" w:cs="宋体"/>
          <w:color w:val="auto"/>
          <w:szCs w:val="21"/>
          <w:highlight w:val="none"/>
        </w:rPr>
      </w:pPr>
      <w:r>
        <w:rPr>
          <w:rFonts w:ascii="宋体" w:hAnsi="宋体" w:cs="宋体"/>
          <w:color w:val="auto"/>
          <w:spacing w:val="-1"/>
          <w:szCs w:val="21"/>
          <w:highlight w:val="none"/>
        </w:rPr>
        <w:t>五、不参与串通投标承诺</w:t>
      </w:r>
    </w:p>
    <w:p w14:paraId="468464D0">
      <w:pPr>
        <w:spacing w:before="157" w:line="220" w:lineRule="auto"/>
        <w:ind w:left="446"/>
        <w:rPr>
          <w:rFonts w:ascii="宋体" w:hAnsi="宋体" w:cs="宋体"/>
          <w:color w:val="auto"/>
          <w:szCs w:val="21"/>
          <w:highlight w:val="none"/>
        </w:rPr>
      </w:pPr>
      <w:r>
        <w:rPr>
          <w:rFonts w:ascii="宋体" w:hAnsi="宋体" w:cs="宋体"/>
          <w:color w:val="auto"/>
          <w:szCs w:val="21"/>
          <w:highlight w:val="none"/>
        </w:rPr>
        <w:t>（一）依法依规参加本招标项目的评标工作</w:t>
      </w:r>
      <w:r>
        <w:rPr>
          <w:rFonts w:ascii="宋体" w:hAnsi="宋体" w:cs="宋体"/>
          <w:color w:val="auto"/>
          <w:spacing w:val="-1"/>
          <w:szCs w:val="21"/>
          <w:highlight w:val="none"/>
        </w:rPr>
        <w:t>，不参与串通投标。</w:t>
      </w:r>
    </w:p>
    <w:p w14:paraId="41250337">
      <w:pPr>
        <w:spacing w:before="155" w:line="332" w:lineRule="auto"/>
        <w:ind w:left="20" w:right="178" w:firstLine="426"/>
        <w:rPr>
          <w:rFonts w:ascii="宋体" w:hAnsi="宋体" w:cs="宋体"/>
          <w:color w:val="auto"/>
          <w:szCs w:val="21"/>
          <w:highlight w:val="none"/>
        </w:rPr>
      </w:pPr>
      <w:r>
        <w:rPr>
          <w:rFonts w:ascii="宋体" w:hAnsi="宋体" w:cs="宋体"/>
          <w:color w:val="auto"/>
          <w:spacing w:val="3"/>
          <w:szCs w:val="21"/>
          <w:highlight w:val="none"/>
        </w:rPr>
        <w:t>（二）清楚并知晓《中华人民共和国刑法》第一百六十三条“公司、企业或者</w:t>
      </w:r>
      <w:r>
        <w:rPr>
          <w:rFonts w:ascii="宋体" w:hAnsi="宋体" w:cs="宋体"/>
          <w:color w:val="auto"/>
          <w:spacing w:val="2"/>
          <w:szCs w:val="21"/>
          <w:highlight w:val="none"/>
        </w:rPr>
        <w:t>其他单</w:t>
      </w:r>
      <w:r>
        <w:rPr>
          <w:rFonts w:ascii="宋体" w:hAnsi="宋体" w:cs="宋体"/>
          <w:color w:val="auto"/>
          <w:spacing w:val="3"/>
          <w:szCs w:val="21"/>
          <w:highlight w:val="none"/>
        </w:rPr>
        <w:t>位的工作人员，利用职务上的便利，索取他人财物或者非法收受他人财物，为他人谋</w:t>
      </w:r>
      <w:r>
        <w:rPr>
          <w:rFonts w:ascii="宋体" w:hAnsi="宋体" w:cs="宋体"/>
          <w:color w:val="auto"/>
          <w:spacing w:val="2"/>
          <w:szCs w:val="21"/>
          <w:highlight w:val="none"/>
        </w:rPr>
        <w:t>取利</w:t>
      </w:r>
      <w:r>
        <w:rPr>
          <w:rFonts w:ascii="宋体" w:hAnsi="宋体" w:cs="宋体"/>
          <w:color w:val="auto"/>
          <w:spacing w:val="3"/>
          <w:szCs w:val="21"/>
          <w:highlight w:val="none"/>
        </w:rPr>
        <w:t>益，数额较大的，处三年以下有期徒刑或者拘役，并处罚金；数额</w:t>
      </w:r>
      <w:r>
        <w:rPr>
          <w:rFonts w:ascii="宋体" w:hAnsi="宋体" w:cs="宋体"/>
          <w:color w:val="auto"/>
          <w:spacing w:val="2"/>
          <w:szCs w:val="21"/>
          <w:highlight w:val="none"/>
        </w:rPr>
        <w:t>巨大或者有其他严重情</w:t>
      </w:r>
      <w:r>
        <w:rPr>
          <w:rFonts w:ascii="宋体" w:hAnsi="宋体" w:cs="宋体"/>
          <w:color w:val="auto"/>
          <w:spacing w:val="3"/>
          <w:szCs w:val="21"/>
          <w:highlight w:val="none"/>
        </w:rPr>
        <w:t>节的，处三年以上十年以下有期徒刑，并处罚金；数额特别巨大或者有其他特别严</w:t>
      </w:r>
      <w:r>
        <w:rPr>
          <w:rFonts w:ascii="宋体" w:hAnsi="宋体" w:cs="宋体"/>
          <w:color w:val="auto"/>
          <w:spacing w:val="2"/>
          <w:szCs w:val="21"/>
          <w:highlight w:val="none"/>
        </w:rPr>
        <w:t>重情节</w:t>
      </w:r>
      <w:r>
        <w:rPr>
          <w:rFonts w:ascii="宋体" w:hAnsi="宋体" w:cs="宋体"/>
          <w:color w:val="auto"/>
          <w:spacing w:val="-1"/>
          <w:szCs w:val="21"/>
          <w:highlight w:val="none"/>
        </w:rPr>
        <w:t>的，处十年以上有期徒刑或者无期徒刑，并处罚金”的规定。</w:t>
      </w:r>
    </w:p>
    <w:p w14:paraId="1BF47C62">
      <w:pPr>
        <w:spacing w:before="157" w:line="290" w:lineRule="auto"/>
        <w:ind w:left="19" w:right="193" w:firstLine="427"/>
        <w:rPr>
          <w:rFonts w:ascii="宋体" w:hAnsi="宋体" w:cs="宋体"/>
          <w:color w:val="auto"/>
          <w:szCs w:val="21"/>
          <w:highlight w:val="none"/>
        </w:rPr>
      </w:pPr>
      <w:r>
        <w:rPr>
          <w:rFonts w:ascii="宋体" w:hAnsi="宋体" w:cs="宋体"/>
          <w:color w:val="auto"/>
          <w:spacing w:val="3"/>
          <w:szCs w:val="21"/>
          <w:highlight w:val="none"/>
        </w:rPr>
        <w:t>（三）本人如被查实在本招标项目评标工作中</w:t>
      </w:r>
      <w:r>
        <w:rPr>
          <w:rFonts w:ascii="宋体" w:hAnsi="宋体" w:cs="宋体"/>
          <w:color w:val="auto"/>
          <w:spacing w:val="2"/>
          <w:szCs w:val="21"/>
          <w:highlight w:val="none"/>
        </w:rPr>
        <w:t>参与串通投标的，自愿承担相应法律责</w:t>
      </w:r>
      <w:r>
        <w:rPr>
          <w:rFonts w:ascii="宋体" w:hAnsi="宋体" w:cs="宋体"/>
          <w:color w:val="auto"/>
          <w:szCs w:val="21"/>
          <w:highlight w:val="none"/>
        </w:rPr>
        <w:t xml:space="preserve"> 任，接受相应刑事和纪律、行政处罚以及失信</w:t>
      </w:r>
      <w:r>
        <w:rPr>
          <w:rFonts w:ascii="宋体" w:hAnsi="宋体" w:cs="宋体"/>
          <w:color w:val="auto"/>
          <w:spacing w:val="-1"/>
          <w:szCs w:val="21"/>
          <w:highlight w:val="none"/>
        </w:rPr>
        <w:t>惩戒。</w:t>
      </w:r>
    </w:p>
    <w:p w14:paraId="010B8520">
      <w:pPr>
        <w:spacing w:before="159" w:line="220" w:lineRule="auto"/>
        <w:ind w:left="441"/>
        <w:rPr>
          <w:rFonts w:ascii="宋体" w:hAnsi="宋体" w:cs="宋体"/>
          <w:color w:val="auto"/>
          <w:szCs w:val="21"/>
          <w:highlight w:val="none"/>
        </w:rPr>
      </w:pPr>
      <w:r>
        <w:rPr>
          <w:rFonts w:ascii="宋体" w:hAnsi="宋体" w:cs="宋体"/>
          <w:color w:val="auto"/>
          <w:spacing w:val="-1"/>
          <w:szCs w:val="21"/>
          <w:highlight w:val="none"/>
        </w:rPr>
        <w:t>六、本承诺函由我本人签字确认。</w:t>
      </w:r>
    </w:p>
    <w:p w14:paraId="5F8C4CBF">
      <w:pPr>
        <w:pStyle w:val="17"/>
        <w:spacing w:line="299" w:lineRule="auto"/>
        <w:rPr>
          <w:color w:val="auto"/>
          <w:highlight w:val="none"/>
        </w:rPr>
      </w:pPr>
    </w:p>
    <w:p w14:paraId="67D1C7EB">
      <w:pPr>
        <w:pStyle w:val="17"/>
        <w:spacing w:line="300" w:lineRule="auto"/>
        <w:rPr>
          <w:color w:val="auto"/>
          <w:highlight w:val="none"/>
        </w:rPr>
      </w:pPr>
    </w:p>
    <w:p w14:paraId="5AEAFD19">
      <w:pPr>
        <w:pStyle w:val="17"/>
        <w:spacing w:line="300" w:lineRule="auto"/>
        <w:rPr>
          <w:color w:val="auto"/>
          <w:highlight w:val="none"/>
        </w:rPr>
      </w:pPr>
    </w:p>
    <w:p w14:paraId="44EDAF90">
      <w:pPr>
        <w:spacing w:before="69" w:line="220" w:lineRule="auto"/>
        <w:ind w:left="441"/>
        <w:rPr>
          <w:rFonts w:ascii="宋体" w:hAnsi="宋体" w:cs="宋体"/>
          <w:color w:val="auto"/>
          <w:szCs w:val="21"/>
          <w:highlight w:val="none"/>
        </w:rPr>
      </w:pPr>
      <w:r>
        <w:rPr>
          <w:rFonts w:ascii="宋体" w:hAnsi="宋体" w:cs="宋体"/>
          <w:color w:val="auto"/>
          <w:spacing w:val="-2"/>
          <w:szCs w:val="21"/>
          <w:highlight w:val="none"/>
        </w:rPr>
        <w:t>本人是□ 否□为中共党员</w:t>
      </w:r>
    </w:p>
    <w:p w14:paraId="266B0817">
      <w:pPr>
        <w:spacing w:before="158" w:line="221" w:lineRule="auto"/>
        <w:ind w:left="1706"/>
        <w:rPr>
          <w:rFonts w:ascii="宋体" w:hAnsi="宋体" w:cs="宋体"/>
          <w:color w:val="auto"/>
          <w:szCs w:val="21"/>
          <w:highlight w:val="none"/>
        </w:rPr>
      </w:pPr>
      <w:r>
        <w:rPr>
          <w:rFonts w:ascii="宋体" w:hAnsi="宋体" w:cs="宋体"/>
          <w:color w:val="auto"/>
          <w:spacing w:val="-8"/>
          <w:szCs w:val="21"/>
          <w:highlight w:val="none"/>
        </w:rPr>
        <w:t>（应单选，</w:t>
      </w:r>
      <w:r>
        <w:rPr>
          <w:rFonts w:ascii="宋体" w:hAnsi="宋体" w:cs="宋体"/>
          <w:b/>
          <w:bCs/>
          <w:color w:val="auto"/>
          <w:spacing w:val="-8"/>
          <w:szCs w:val="21"/>
          <w:highlight w:val="none"/>
        </w:rPr>
        <w:t>并在方框内打“√”</w:t>
      </w:r>
      <w:r>
        <w:rPr>
          <w:rFonts w:ascii="宋体" w:hAnsi="宋体" w:cs="宋体"/>
          <w:color w:val="auto"/>
          <w:spacing w:val="-8"/>
          <w:szCs w:val="21"/>
          <w:highlight w:val="none"/>
        </w:rPr>
        <w:t>)</w:t>
      </w:r>
    </w:p>
    <w:p w14:paraId="02B496D7">
      <w:pPr>
        <w:pStyle w:val="17"/>
        <w:spacing w:line="261" w:lineRule="auto"/>
        <w:rPr>
          <w:color w:val="auto"/>
          <w:highlight w:val="none"/>
        </w:rPr>
      </w:pPr>
    </w:p>
    <w:p w14:paraId="5DBAEB04">
      <w:pPr>
        <w:pStyle w:val="17"/>
        <w:spacing w:line="261" w:lineRule="auto"/>
        <w:rPr>
          <w:color w:val="auto"/>
          <w:highlight w:val="none"/>
        </w:rPr>
      </w:pPr>
    </w:p>
    <w:p w14:paraId="64E8A9F4">
      <w:pPr>
        <w:pStyle w:val="17"/>
        <w:spacing w:line="261" w:lineRule="auto"/>
        <w:rPr>
          <w:color w:val="auto"/>
          <w:highlight w:val="none"/>
        </w:rPr>
      </w:pPr>
    </w:p>
    <w:p w14:paraId="0783C8C5">
      <w:pPr>
        <w:pStyle w:val="17"/>
        <w:spacing w:line="261" w:lineRule="auto"/>
        <w:rPr>
          <w:color w:val="auto"/>
          <w:highlight w:val="none"/>
        </w:rPr>
      </w:pPr>
    </w:p>
    <w:p w14:paraId="3D81CABA">
      <w:pPr>
        <w:pStyle w:val="17"/>
        <w:spacing w:line="262" w:lineRule="auto"/>
        <w:rPr>
          <w:color w:val="auto"/>
          <w:highlight w:val="none"/>
        </w:rPr>
      </w:pPr>
    </w:p>
    <w:p w14:paraId="557F43BD">
      <w:pPr>
        <w:spacing w:before="69" w:line="221" w:lineRule="auto"/>
        <w:ind w:left="4806"/>
        <w:rPr>
          <w:rFonts w:ascii="宋体" w:hAnsi="宋体" w:cs="宋体"/>
          <w:color w:val="auto"/>
          <w:szCs w:val="21"/>
          <w:highlight w:val="none"/>
        </w:rPr>
      </w:pPr>
      <w:r>
        <w:rPr>
          <w:rFonts w:ascii="宋体" w:hAnsi="宋体" w:cs="宋体"/>
          <w:color w:val="auto"/>
          <w:spacing w:val="-2"/>
          <w:szCs w:val="21"/>
          <w:highlight w:val="none"/>
        </w:rPr>
        <w:t>承 诺人：（签字）</w:t>
      </w:r>
    </w:p>
    <w:p w14:paraId="4488B891">
      <w:pPr>
        <w:pStyle w:val="17"/>
        <w:spacing w:line="247" w:lineRule="auto"/>
        <w:rPr>
          <w:color w:val="auto"/>
          <w:highlight w:val="none"/>
        </w:rPr>
      </w:pPr>
    </w:p>
    <w:p w14:paraId="7B9F2797">
      <w:pPr>
        <w:pStyle w:val="17"/>
        <w:spacing w:line="248" w:lineRule="auto"/>
        <w:rPr>
          <w:color w:val="auto"/>
          <w:highlight w:val="none"/>
        </w:rPr>
      </w:pPr>
    </w:p>
    <w:p w14:paraId="7983C32C">
      <w:pPr>
        <w:spacing w:before="69" w:line="221" w:lineRule="auto"/>
        <w:ind w:left="4806"/>
        <w:rPr>
          <w:rFonts w:ascii="宋体" w:hAnsi="宋体" w:cs="宋体"/>
          <w:color w:val="auto"/>
          <w:szCs w:val="21"/>
          <w:highlight w:val="none"/>
        </w:rPr>
      </w:pPr>
      <w:r>
        <w:rPr>
          <w:rFonts w:ascii="宋体" w:hAnsi="宋体" w:cs="宋体"/>
          <w:color w:val="auto"/>
          <w:spacing w:val="-2"/>
          <w:szCs w:val="21"/>
          <w:highlight w:val="none"/>
        </w:rPr>
        <w:t>承诺时间：    年    月    日</w:t>
      </w:r>
    </w:p>
    <w:p w14:paraId="45A7C33F">
      <w:pPr>
        <w:spacing w:line="221" w:lineRule="auto"/>
        <w:rPr>
          <w:rFonts w:ascii="宋体" w:hAnsi="宋体" w:cs="宋体"/>
          <w:color w:val="auto"/>
          <w:szCs w:val="21"/>
          <w:highlight w:val="none"/>
        </w:rPr>
        <w:sectPr>
          <w:footerReference r:id="rId23" w:type="default"/>
          <w:pgSz w:w="11907" w:h="16839"/>
          <w:pgMar w:top="1427" w:right="1614" w:bottom="1030" w:left="1785" w:header="0" w:footer="799" w:gutter="0"/>
          <w:pgNumType w:fmt="decimal"/>
          <w:cols w:space="720" w:num="1"/>
        </w:sectPr>
      </w:pPr>
    </w:p>
    <w:p w14:paraId="1EB3545A">
      <w:pPr>
        <w:pStyle w:val="17"/>
        <w:spacing w:line="451" w:lineRule="auto"/>
        <w:rPr>
          <w:color w:val="auto"/>
          <w:highlight w:val="none"/>
        </w:rPr>
      </w:pPr>
    </w:p>
    <w:p w14:paraId="7B7914B2">
      <w:pPr>
        <w:spacing w:before="78" w:line="218" w:lineRule="auto"/>
        <w:ind w:left="718"/>
        <w:outlineLvl w:val="2"/>
        <w:rPr>
          <w:rFonts w:ascii="黑体" w:hAnsi="黑体" w:eastAsia="黑体" w:cs="黑体"/>
          <w:color w:val="auto"/>
          <w:sz w:val="24"/>
          <w:highlight w:val="none"/>
        </w:rPr>
      </w:pPr>
      <w:bookmarkStart w:id="273" w:name="bookmark410"/>
      <w:bookmarkEnd w:id="273"/>
      <w:bookmarkStart w:id="274" w:name="_Toc10492"/>
      <w:r>
        <w:rPr>
          <w:rFonts w:ascii="黑体" w:hAnsi="黑体" w:eastAsia="黑体" w:cs="黑体"/>
          <w:color w:val="auto"/>
          <w:spacing w:val="-3"/>
          <w:sz w:val="24"/>
          <w:highlight w:val="none"/>
        </w:rPr>
        <w:t>附表A-3：技术暗标编号确认表</w:t>
      </w:r>
      <w:bookmarkEnd w:id="274"/>
    </w:p>
    <w:p w14:paraId="05AD6CC1">
      <w:pPr>
        <w:pStyle w:val="17"/>
        <w:spacing w:line="406" w:lineRule="auto"/>
        <w:rPr>
          <w:color w:val="auto"/>
          <w:highlight w:val="none"/>
        </w:rPr>
      </w:pPr>
    </w:p>
    <w:p w14:paraId="58E8E350">
      <w:pPr>
        <w:spacing w:before="117" w:line="218" w:lineRule="auto"/>
        <w:ind w:left="3127"/>
        <w:rPr>
          <w:rFonts w:ascii="黑体" w:hAnsi="黑体" w:eastAsia="黑体" w:cs="黑体"/>
          <w:color w:val="auto"/>
          <w:sz w:val="36"/>
          <w:szCs w:val="36"/>
          <w:highlight w:val="none"/>
        </w:rPr>
      </w:pPr>
      <w:bookmarkStart w:id="275" w:name="bookmark132"/>
      <w:bookmarkEnd w:id="275"/>
      <w:r>
        <w:rPr>
          <w:rFonts w:ascii="黑体" w:hAnsi="黑体" w:eastAsia="黑体" w:cs="黑体"/>
          <w:color w:val="auto"/>
          <w:spacing w:val="-2"/>
          <w:sz w:val="36"/>
          <w:szCs w:val="36"/>
          <w:highlight w:val="none"/>
        </w:rPr>
        <w:t>技术暗标编号确认表</w:t>
      </w:r>
    </w:p>
    <w:p w14:paraId="3A9D305B">
      <w:pPr>
        <w:spacing w:before="242" w:line="221" w:lineRule="auto"/>
        <w:ind w:left="587"/>
        <w:rPr>
          <w:rFonts w:ascii="宋体" w:hAnsi="宋体" w:cs="宋体"/>
          <w:color w:val="auto"/>
          <w:szCs w:val="21"/>
          <w:highlight w:val="none"/>
        </w:rPr>
      </w:pPr>
      <w:r>
        <w:rPr>
          <w:rFonts w:ascii="宋体" w:hAnsi="宋体" w:cs="宋体"/>
          <w:color w:val="auto"/>
          <w:spacing w:val="-7"/>
          <w:szCs w:val="21"/>
          <w:highlight w:val="none"/>
        </w:rPr>
        <w:t>标段名称：</w:t>
      </w:r>
    </w:p>
    <w:p w14:paraId="27F6095A">
      <w:pPr>
        <w:spacing w:before="19" w:line="214" w:lineRule="auto"/>
        <w:ind w:left="587"/>
        <w:rPr>
          <w:rFonts w:ascii="宋体" w:hAnsi="宋体" w:cs="宋体"/>
          <w:color w:val="auto"/>
          <w:szCs w:val="21"/>
          <w:highlight w:val="none"/>
        </w:rPr>
      </w:pPr>
      <w:r>
        <w:rPr>
          <w:rFonts w:ascii="宋体" w:hAnsi="宋体" w:cs="宋体"/>
          <w:color w:val="auto"/>
          <w:spacing w:val="-1"/>
          <w:szCs w:val="21"/>
          <w:highlight w:val="none"/>
        </w:rPr>
        <w:t>标段唯一标识码：</w:t>
      </w:r>
    </w:p>
    <w:tbl>
      <w:tblPr>
        <w:tblStyle w:val="42"/>
        <w:tblW w:w="94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5"/>
        <w:gridCol w:w="1994"/>
        <w:gridCol w:w="770"/>
        <w:gridCol w:w="772"/>
        <w:gridCol w:w="770"/>
        <w:gridCol w:w="773"/>
        <w:gridCol w:w="770"/>
        <w:gridCol w:w="772"/>
        <w:gridCol w:w="771"/>
        <w:gridCol w:w="772"/>
        <w:gridCol w:w="777"/>
      </w:tblGrid>
      <w:tr w14:paraId="0FA7FE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525" w:type="dxa"/>
            <w:vMerge w:val="restart"/>
            <w:tcBorders>
              <w:bottom w:val="nil"/>
            </w:tcBorders>
            <w:textDirection w:val="tbRlV"/>
          </w:tcPr>
          <w:p w14:paraId="3EF9423A">
            <w:pPr>
              <w:pStyle w:val="185"/>
              <w:spacing w:before="155" w:line="211" w:lineRule="auto"/>
              <w:ind w:left="89"/>
              <w:rPr>
                <w:color w:val="auto"/>
                <w:highlight w:val="none"/>
              </w:rPr>
            </w:pPr>
            <w:r>
              <w:rPr>
                <w:b/>
                <w:bCs/>
                <w:color w:val="auto"/>
                <w:spacing w:val="28"/>
                <w:highlight w:val="none"/>
              </w:rPr>
              <w:t>序号</w:t>
            </w:r>
          </w:p>
        </w:tc>
        <w:tc>
          <w:tcPr>
            <w:tcW w:w="1994" w:type="dxa"/>
            <w:vMerge w:val="restart"/>
            <w:tcBorders>
              <w:bottom w:val="nil"/>
            </w:tcBorders>
          </w:tcPr>
          <w:p w14:paraId="68836D01">
            <w:pPr>
              <w:pStyle w:val="185"/>
              <w:spacing w:before="226" w:line="221" w:lineRule="auto"/>
              <w:ind w:left="474"/>
              <w:rPr>
                <w:color w:val="auto"/>
                <w:highlight w:val="none"/>
              </w:rPr>
            </w:pPr>
            <w:r>
              <w:rPr>
                <w:b/>
                <w:bCs/>
                <w:color w:val="auto"/>
                <w:spacing w:val="-3"/>
                <w:highlight w:val="none"/>
              </w:rPr>
              <w:t>投标人名称</w:t>
            </w:r>
          </w:p>
        </w:tc>
        <w:tc>
          <w:tcPr>
            <w:tcW w:w="6947" w:type="dxa"/>
            <w:gridSpan w:val="9"/>
          </w:tcPr>
          <w:p w14:paraId="596EAA9D">
            <w:pPr>
              <w:pStyle w:val="185"/>
              <w:spacing w:before="33" w:line="221" w:lineRule="auto"/>
              <w:ind w:left="2524"/>
              <w:rPr>
                <w:color w:val="auto"/>
                <w:highlight w:val="none"/>
              </w:rPr>
            </w:pPr>
            <w:r>
              <w:rPr>
                <w:b/>
                <w:bCs/>
                <w:color w:val="auto"/>
                <w:spacing w:val="-2"/>
                <w:highlight w:val="none"/>
              </w:rPr>
              <w:t>评审因素及暗标编号</w:t>
            </w:r>
          </w:p>
        </w:tc>
      </w:tr>
      <w:tr w14:paraId="093610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525" w:type="dxa"/>
            <w:vMerge w:val="continue"/>
            <w:tcBorders>
              <w:top w:val="nil"/>
            </w:tcBorders>
            <w:textDirection w:val="tbRlV"/>
          </w:tcPr>
          <w:p w14:paraId="249D78C6">
            <w:pPr>
              <w:rPr>
                <w:rFonts w:ascii="Arial"/>
                <w:color w:val="auto"/>
                <w:highlight w:val="none"/>
              </w:rPr>
            </w:pPr>
          </w:p>
        </w:tc>
        <w:tc>
          <w:tcPr>
            <w:tcW w:w="1994" w:type="dxa"/>
            <w:vMerge w:val="continue"/>
            <w:tcBorders>
              <w:top w:val="nil"/>
            </w:tcBorders>
          </w:tcPr>
          <w:p w14:paraId="675FCB6E">
            <w:pPr>
              <w:rPr>
                <w:rFonts w:ascii="Arial"/>
                <w:color w:val="auto"/>
                <w:highlight w:val="none"/>
              </w:rPr>
            </w:pPr>
          </w:p>
        </w:tc>
        <w:tc>
          <w:tcPr>
            <w:tcW w:w="770" w:type="dxa"/>
          </w:tcPr>
          <w:p w14:paraId="4D3EB102">
            <w:pPr>
              <w:rPr>
                <w:rFonts w:ascii="Arial"/>
                <w:color w:val="auto"/>
                <w:highlight w:val="none"/>
              </w:rPr>
            </w:pPr>
          </w:p>
        </w:tc>
        <w:tc>
          <w:tcPr>
            <w:tcW w:w="772" w:type="dxa"/>
          </w:tcPr>
          <w:p w14:paraId="2B683EF2">
            <w:pPr>
              <w:rPr>
                <w:rFonts w:ascii="Arial"/>
                <w:color w:val="auto"/>
                <w:highlight w:val="none"/>
              </w:rPr>
            </w:pPr>
          </w:p>
        </w:tc>
        <w:tc>
          <w:tcPr>
            <w:tcW w:w="770" w:type="dxa"/>
          </w:tcPr>
          <w:p w14:paraId="0B46484B">
            <w:pPr>
              <w:rPr>
                <w:rFonts w:ascii="Arial"/>
                <w:color w:val="auto"/>
                <w:highlight w:val="none"/>
              </w:rPr>
            </w:pPr>
          </w:p>
        </w:tc>
        <w:tc>
          <w:tcPr>
            <w:tcW w:w="773" w:type="dxa"/>
          </w:tcPr>
          <w:p w14:paraId="1E0CECCE">
            <w:pPr>
              <w:rPr>
                <w:rFonts w:ascii="Arial"/>
                <w:color w:val="auto"/>
                <w:highlight w:val="none"/>
              </w:rPr>
            </w:pPr>
          </w:p>
        </w:tc>
        <w:tc>
          <w:tcPr>
            <w:tcW w:w="770" w:type="dxa"/>
          </w:tcPr>
          <w:p w14:paraId="37EA44CD">
            <w:pPr>
              <w:rPr>
                <w:rFonts w:ascii="Arial"/>
                <w:color w:val="auto"/>
                <w:highlight w:val="none"/>
              </w:rPr>
            </w:pPr>
          </w:p>
        </w:tc>
        <w:tc>
          <w:tcPr>
            <w:tcW w:w="772" w:type="dxa"/>
          </w:tcPr>
          <w:p w14:paraId="5A5C3A3E">
            <w:pPr>
              <w:rPr>
                <w:rFonts w:ascii="Arial"/>
                <w:color w:val="auto"/>
                <w:highlight w:val="none"/>
              </w:rPr>
            </w:pPr>
          </w:p>
        </w:tc>
        <w:tc>
          <w:tcPr>
            <w:tcW w:w="771" w:type="dxa"/>
          </w:tcPr>
          <w:p w14:paraId="5B863974">
            <w:pPr>
              <w:rPr>
                <w:rFonts w:ascii="Arial"/>
                <w:color w:val="auto"/>
                <w:highlight w:val="none"/>
              </w:rPr>
            </w:pPr>
          </w:p>
        </w:tc>
        <w:tc>
          <w:tcPr>
            <w:tcW w:w="772" w:type="dxa"/>
          </w:tcPr>
          <w:p w14:paraId="761C7988">
            <w:pPr>
              <w:rPr>
                <w:rFonts w:ascii="Arial"/>
                <w:color w:val="auto"/>
                <w:highlight w:val="none"/>
              </w:rPr>
            </w:pPr>
          </w:p>
        </w:tc>
        <w:tc>
          <w:tcPr>
            <w:tcW w:w="777" w:type="dxa"/>
          </w:tcPr>
          <w:p w14:paraId="106726F9">
            <w:pPr>
              <w:rPr>
                <w:rFonts w:ascii="Arial"/>
                <w:color w:val="auto"/>
                <w:highlight w:val="none"/>
              </w:rPr>
            </w:pPr>
          </w:p>
        </w:tc>
      </w:tr>
      <w:tr w14:paraId="1399A7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525" w:type="dxa"/>
          </w:tcPr>
          <w:p w14:paraId="13A80F23">
            <w:pPr>
              <w:pStyle w:val="185"/>
              <w:spacing w:before="146" w:line="242" w:lineRule="auto"/>
              <w:ind w:left="230"/>
              <w:rPr>
                <w:color w:val="auto"/>
                <w:highlight w:val="none"/>
              </w:rPr>
            </w:pPr>
            <w:r>
              <w:rPr>
                <w:color w:val="auto"/>
                <w:highlight w:val="none"/>
              </w:rPr>
              <w:t>1</w:t>
            </w:r>
          </w:p>
        </w:tc>
        <w:tc>
          <w:tcPr>
            <w:tcW w:w="1994" w:type="dxa"/>
          </w:tcPr>
          <w:p w14:paraId="2DF5E7B9">
            <w:pPr>
              <w:rPr>
                <w:rFonts w:ascii="Arial"/>
                <w:color w:val="auto"/>
                <w:highlight w:val="none"/>
              </w:rPr>
            </w:pPr>
          </w:p>
        </w:tc>
        <w:tc>
          <w:tcPr>
            <w:tcW w:w="770" w:type="dxa"/>
          </w:tcPr>
          <w:p w14:paraId="10063ADF">
            <w:pPr>
              <w:rPr>
                <w:rFonts w:ascii="Arial"/>
                <w:color w:val="auto"/>
                <w:highlight w:val="none"/>
              </w:rPr>
            </w:pPr>
          </w:p>
        </w:tc>
        <w:tc>
          <w:tcPr>
            <w:tcW w:w="772" w:type="dxa"/>
          </w:tcPr>
          <w:p w14:paraId="621F522A">
            <w:pPr>
              <w:rPr>
                <w:rFonts w:ascii="Arial"/>
                <w:color w:val="auto"/>
                <w:highlight w:val="none"/>
              </w:rPr>
            </w:pPr>
          </w:p>
        </w:tc>
        <w:tc>
          <w:tcPr>
            <w:tcW w:w="770" w:type="dxa"/>
          </w:tcPr>
          <w:p w14:paraId="2217BB65">
            <w:pPr>
              <w:rPr>
                <w:rFonts w:ascii="Arial"/>
                <w:color w:val="auto"/>
                <w:highlight w:val="none"/>
              </w:rPr>
            </w:pPr>
          </w:p>
        </w:tc>
        <w:tc>
          <w:tcPr>
            <w:tcW w:w="773" w:type="dxa"/>
          </w:tcPr>
          <w:p w14:paraId="58A39BAB">
            <w:pPr>
              <w:rPr>
                <w:rFonts w:ascii="Arial"/>
                <w:color w:val="auto"/>
                <w:highlight w:val="none"/>
              </w:rPr>
            </w:pPr>
          </w:p>
        </w:tc>
        <w:tc>
          <w:tcPr>
            <w:tcW w:w="770" w:type="dxa"/>
          </w:tcPr>
          <w:p w14:paraId="7BA8F938">
            <w:pPr>
              <w:rPr>
                <w:rFonts w:ascii="Arial"/>
                <w:color w:val="auto"/>
                <w:highlight w:val="none"/>
              </w:rPr>
            </w:pPr>
          </w:p>
        </w:tc>
        <w:tc>
          <w:tcPr>
            <w:tcW w:w="772" w:type="dxa"/>
          </w:tcPr>
          <w:p w14:paraId="419D0DA8">
            <w:pPr>
              <w:rPr>
                <w:rFonts w:ascii="Arial"/>
                <w:color w:val="auto"/>
                <w:highlight w:val="none"/>
              </w:rPr>
            </w:pPr>
          </w:p>
        </w:tc>
        <w:tc>
          <w:tcPr>
            <w:tcW w:w="771" w:type="dxa"/>
          </w:tcPr>
          <w:p w14:paraId="11631EF2">
            <w:pPr>
              <w:rPr>
                <w:rFonts w:ascii="Arial"/>
                <w:color w:val="auto"/>
                <w:highlight w:val="none"/>
              </w:rPr>
            </w:pPr>
          </w:p>
        </w:tc>
        <w:tc>
          <w:tcPr>
            <w:tcW w:w="772" w:type="dxa"/>
          </w:tcPr>
          <w:p w14:paraId="32444726">
            <w:pPr>
              <w:rPr>
                <w:rFonts w:ascii="Arial"/>
                <w:color w:val="auto"/>
                <w:highlight w:val="none"/>
              </w:rPr>
            </w:pPr>
          </w:p>
        </w:tc>
        <w:tc>
          <w:tcPr>
            <w:tcW w:w="777" w:type="dxa"/>
          </w:tcPr>
          <w:p w14:paraId="15C49A1E">
            <w:pPr>
              <w:rPr>
                <w:rFonts w:ascii="Arial"/>
                <w:color w:val="auto"/>
                <w:highlight w:val="none"/>
              </w:rPr>
            </w:pPr>
          </w:p>
        </w:tc>
      </w:tr>
      <w:tr w14:paraId="17B5E0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525" w:type="dxa"/>
          </w:tcPr>
          <w:p w14:paraId="0A234860">
            <w:pPr>
              <w:pStyle w:val="185"/>
              <w:spacing w:before="149" w:line="242" w:lineRule="auto"/>
              <w:ind w:left="216"/>
              <w:rPr>
                <w:color w:val="auto"/>
                <w:highlight w:val="none"/>
              </w:rPr>
            </w:pPr>
            <w:r>
              <w:rPr>
                <w:color w:val="auto"/>
                <w:highlight w:val="none"/>
              </w:rPr>
              <w:t>2</w:t>
            </w:r>
          </w:p>
        </w:tc>
        <w:tc>
          <w:tcPr>
            <w:tcW w:w="1994" w:type="dxa"/>
          </w:tcPr>
          <w:p w14:paraId="10EF9191">
            <w:pPr>
              <w:rPr>
                <w:rFonts w:ascii="Arial"/>
                <w:color w:val="auto"/>
                <w:highlight w:val="none"/>
              </w:rPr>
            </w:pPr>
          </w:p>
        </w:tc>
        <w:tc>
          <w:tcPr>
            <w:tcW w:w="770" w:type="dxa"/>
          </w:tcPr>
          <w:p w14:paraId="6B0E32CA">
            <w:pPr>
              <w:rPr>
                <w:rFonts w:ascii="Arial"/>
                <w:color w:val="auto"/>
                <w:highlight w:val="none"/>
              </w:rPr>
            </w:pPr>
          </w:p>
        </w:tc>
        <w:tc>
          <w:tcPr>
            <w:tcW w:w="772" w:type="dxa"/>
          </w:tcPr>
          <w:p w14:paraId="4D2446D8">
            <w:pPr>
              <w:rPr>
                <w:rFonts w:ascii="Arial"/>
                <w:color w:val="auto"/>
                <w:highlight w:val="none"/>
              </w:rPr>
            </w:pPr>
          </w:p>
        </w:tc>
        <w:tc>
          <w:tcPr>
            <w:tcW w:w="770" w:type="dxa"/>
          </w:tcPr>
          <w:p w14:paraId="6427DFC5">
            <w:pPr>
              <w:rPr>
                <w:rFonts w:ascii="Arial"/>
                <w:color w:val="auto"/>
                <w:highlight w:val="none"/>
              </w:rPr>
            </w:pPr>
          </w:p>
        </w:tc>
        <w:tc>
          <w:tcPr>
            <w:tcW w:w="773" w:type="dxa"/>
          </w:tcPr>
          <w:p w14:paraId="23A2CE33">
            <w:pPr>
              <w:rPr>
                <w:rFonts w:ascii="Arial"/>
                <w:color w:val="auto"/>
                <w:highlight w:val="none"/>
              </w:rPr>
            </w:pPr>
          </w:p>
        </w:tc>
        <w:tc>
          <w:tcPr>
            <w:tcW w:w="770" w:type="dxa"/>
          </w:tcPr>
          <w:p w14:paraId="6BC44CDD">
            <w:pPr>
              <w:rPr>
                <w:rFonts w:ascii="Arial"/>
                <w:color w:val="auto"/>
                <w:highlight w:val="none"/>
              </w:rPr>
            </w:pPr>
          </w:p>
        </w:tc>
        <w:tc>
          <w:tcPr>
            <w:tcW w:w="772" w:type="dxa"/>
          </w:tcPr>
          <w:p w14:paraId="4B61768D">
            <w:pPr>
              <w:rPr>
                <w:rFonts w:ascii="Arial"/>
                <w:color w:val="auto"/>
                <w:highlight w:val="none"/>
              </w:rPr>
            </w:pPr>
          </w:p>
        </w:tc>
        <w:tc>
          <w:tcPr>
            <w:tcW w:w="771" w:type="dxa"/>
          </w:tcPr>
          <w:p w14:paraId="19B7518E">
            <w:pPr>
              <w:rPr>
                <w:rFonts w:ascii="Arial"/>
                <w:color w:val="auto"/>
                <w:highlight w:val="none"/>
              </w:rPr>
            </w:pPr>
          </w:p>
        </w:tc>
        <w:tc>
          <w:tcPr>
            <w:tcW w:w="772" w:type="dxa"/>
          </w:tcPr>
          <w:p w14:paraId="6BCEFE32">
            <w:pPr>
              <w:rPr>
                <w:rFonts w:ascii="Arial"/>
                <w:color w:val="auto"/>
                <w:highlight w:val="none"/>
              </w:rPr>
            </w:pPr>
          </w:p>
        </w:tc>
        <w:tc>
          <w:tcPr>
            <w:tcW w:w="777" w:type="dxa"/>
          </w:tcPr>
          <w:p w14:paraId="38D4F852">
            <w:pPr>
              <w:rPr>
                <w:rFonts w:ascii="Arial"/>
                <w:color w:val="auto"/>
                <w:highlight w:val="none"/>
              </w:rPr>
            </w:pPr>
          </w:p>
        </w:tc>
      </w:tr>
      <w:tr w14:paraId="5F48A8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525" w:type="dxa"/>
          </w:tcPr>
          <w:p w14:paraId="089F579F">
            <w:pPr>
              <w:pStyle w:val="185"/>
              <w:spacing w:before="149" w:line="241" w:lineRule="auto"/>
              <w:ind w:left="218"/>
              <w:rPr>
                <w:color w:val="auto"/>
                <w:highlight w:val="none"/>
              </w:rPr>
            </w:pPr>
            <w:r>
              <w:rPr>
                <w:color w:val="auto"/>
                <w:highlight w:val="none"/>
              </w:rPr>
              <w:t>3</w:t>
            </w:r>
          </w:p>
        </w:tc>
        <w:tc>
          <w:tcPr>
            <w:tcW w:w="1994" w:type="dxa"/>
          </w:tcPr>
          <w:p w14:paraId="0FAC1771">
            <w:pPr>
              <w:rPr>
                <w:rFonts w:ascii="Arial"/>
                <w:color w:val="auto"/>
                <w:highlight w:val="none"/>
              </w:rPr>
            </w:pPr>
          </w:p>
        </w:tc>
        <w:tc>
          <w:tcPr>
            <w:tcW w:w="770" w:type="dxa"/>
          </w:tcPr>
          <w:p w14:paraId="2DB910CD">
            <w:pPr>
              <w:rPr>
                <w:rFonts w:ascii="Arial"/>
                <w:color w:val="auto"/>
                <w:highlight w:val="none"/>
              </w:rPr>
            </w:pPr>
          </w:p>
        </w:tc>
        <w:tc>
          <w:tcPr>
            <w:tcW w:w="772" w:type="dxa"/>
          </w:tcPr>
          <w:p w14:paraId="2BC65BF5">
            <w:pPr>
              <w:rPr>
                <w:rFonts w:ascii="Arial"/>
                <w:color w:val="auto"/>
                <w:highlight w:val="none"/>
              </w:rPr>
            </w:pPr>
          </w:p>
        </w:tc>
        <w:tc>
          <w:tcPr>
            <w:tcW w:w="770" w:type="dxa"/>
          </w:tcPr>
          <w:p w14:paraId="7B27636A">
            <w:pPr>
              <w:rPr>
                <w:rFonts w:ascii="Arial"/>
                <w:color w:val="auto"/>
                <w:highlight w:val="none"/>
              </w:rPr>
            </w:pPr>
          </w:p>
        </w:tc>
        <w:tc>
          <w:tcPr>
            <w:tcW w:w="773" w:type="dxa"/>
          </w:tcPr>
          <w:p w14:paraId="7D0BF322">
            <w:pPr>
              <w:rPr>
                <w:rFonts w:ascii="Arial"/>
                <w:color w:val="auto"/>
                <w:highlight w:val="none"/>
              </w:rPr>
            </w:pPr>
          </w:p>
        </w:tc>
        <w:tc>
          <w:tcPr>
            <w:tcW w:w="770" w:type="dxa"/>
          </w:tcPr>
          <w:p w14:paraId="7ED2E12C">
            <w:pPr>
              <w:rPr>
                <w:rFonts w:ascii="Arial"/>
                <w:color w:val="auto"/>
                <w:highlight w:val="none"/>
              </w:rPr>
            </w:pPr>
          </w:p>
        </w:tc>
        <w:tc>
          <w:tcPr>
            <w:tcW w:w="772" w:type="dxa"/>
          </w:tcPr>
          <w:p w14:paraId="596DF5DE">
            <w:pPr>
              <w:rPr>
                <w:rFonts w:ascii="Arial"/>
                <w:color w:val="auto"/>
                <w:highlight w:val="none"/>
              </w:rPr>
            </w:pPr>
          </w:p>
        </w:tc>
        <w:tc>
          <w:tcPr>
            <w:tcW w:w="771" w:type="dxa"/>
          </w:tcPr>
          <w:p w14:paraId="56E5AEA8">
            <w:pPr>
              <w:rPr>
                <w:rFonts w:ascii="Arial"/>
                <w:color w:val="auto"/>
                <w:highlight w:val="none"/>
              </w:rPr>
            </w:pPr>
          </w:p>
        </w:tc>
        <w:tc>
          <w:tcPr>
            <w:tcW w:w="772" w:type="dxa"/>
          </w:tcPr>
          <w:p w14:paraId="4EDC3814">
            <w:pPr>
              <w:rPr>
                <w:rFonts w:ascii="Arial"/>
                <w:color w:val="auto"/>
                <w:highlight w:val="none"/>
              </w:rPr>
            </w:pPr>
          </w:p>
        </w:tc>
        <w:tc>
          <w:tcPr>
            <w:tcW w:w="777" w:type="dxa"/>
          </w:tcPr>
          <w:p w14:paraId="64EE6B0C">
            <w:pPr>
              <w:rPr>
                <w:rFonts w:ascii="Arial"/>
                <w:color w:val="auto"/>
                <w:highlight w:val="none"/>
              </w:rPr>
            </w:pPr>
          </w:p>
        </w:tc>
      </w:tr>
      <w:tr w14:paraId="4E5865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8" w:hRule="atLeast"/>
        </w:trPr>
        <w:tc>
          <w:tcPr>
            <w:tcW w:w="525" w:type="dxa"/>
          </w:tcPr>
          <w:p w14:paraId="6C09A4F4">
            <w:pPr>
              <w:pStyle w:val="185"/>
              <w:spacing w:before="148" w:line="242" w:lineRule="auto"/>
              <w:ind w:left="213"/>
              <w:rPr>
                <w:color w:val="auto"/>
                <w:highlight w:val="none"/>
              </w:rPr>
            </w:pPr>
            <w:r>
              <w:rPr>
                <w:color w:val="auto"/>
                <w:highlight w:val="none"/>
              </w:rPr>
              <w:t>4</w:t>
            </w:r>
          </w:p>
        </w:tc>
        <w:tc>
          <w:tcPr>
            <w:tcW w:w="1994" w:type="dxa"/>
          </w:tcPr>
          <w:p w14:paraId="6A4829C3">
            <w:pPr>
              <w:rPr>
                <w:rFonts w:ascii="Arial"/>
                <w:color w:val="auto"/>
                <w:highlight w:val="none"/>
              </w:rPr>
            </w:pPr>
          </w:p>
        </w:tc>
        <w:tc>
          <w:tcPr>
            <w:tcW w:w="770" w:type="dxa"/>
          </w:tcPr>
          <w:p w14:paraId="14311360">
            <w:pPr>
              <w:rPr>
                <w:rFonts w:ascii="Arial"/>
                <w:color w:val="auto"/>
                <w:highlight w:val="none"/>
              </w:rPr>
            </w:pPr>
          </w:p>
        </w:tc>
        <w:tc>
          <w:tcPr>
            <w:tcW w:w="772" w:type="dxa"/>
          </w:tcPr>
          <w:p w14:paraId="6BC0D452">
            <w:pPr>
              <w:rPr>
                <w:rFonts w:ascii="Arial"/>
                <w:color w:val="auto"/>
                <w:highlight w:val="none"/>
              </w:rPr>
            </w:pPr>
          </w:p>
        </w:tc>
        <w:tc>
          <w:tcPr>
            <w:tcW w:w="770" w:type="dxa"/>
          </w:tcPr>
          <w:p w14:paraId="545C475F">
            <w:pPr>
              <w:rPr>
                <w:rFonts w:ascii="Arial"/>
                <w:color w:val="auto"/>
                <w:highlight w:val="none"/>
              </w:rPr>
            </w:pPr>
          </w:p>
        </w:tc>
        <w:tc>
          <w:tcPr>
            <w:tcW w:w="773" w:type="dxa"/>
          </w:tcPr>
          <w:p w14:paraId="11A21847">
            <w:pPr>
              <w:rPr>
                <w:rFonts w:ascii="Arial"/>
                <w:color w:val="auto"/>
                <w:highlight w:val="none"/>
              </w:rPr>
            </w:pPr>
          </w:p>
        </w:tc>
        <w:tc>
          <w:tcPr>
            <w:tcW w:w="770" w:type="dxa"/>
          </w:tcPr>
          <w:p w14:paraId="44801FC7">
            <w:pPr>
              <w:rPr>
                <w:rFonts w:ascii="Arial"/>
                <w:color w:val="auto"/>
                <w:highlight w:val="none"/>
              </w:rPr>
            </w:pPr>
          </w:p>
        </w:tc>
        <w:tc>
          <w:tcPr>
            <w:tcW w:w="772" w:type="dxa"/>
          </w:tcPr>
          <w:p w14:paraId="58D7F4E1">
            <w:pPr>
              <w:rPr>
                <w:rFonts w:ascii="Arial"/>
                <w:color w:val="auto"/>
                <w:highlight w:val="none"/>
              </w:rPr>
            </w:pPr>
          </w:p>
        </w:tc>
        <w:tc>
          <w:tcPr>
            <w:tcW w:w="771" w:type="dxa"/>
          </w:tcPr>
          <w:p w14:paraId="0B00A2DB">
            <w:pPr>
              <w:rPr>
                <w:rFonts w:ascii="Arial"/>
                <w:color w:val="auto"/>
                <w:highlight w:val="none"/>
              </w:rPr>
            </w:pPr>
          </w:p>
        </w:tc>
        <w:tc>
          <w:tcPr>
            <w:tcW w:w="772" w:type="dxa"/>
          </w:tcPr>
          <w:p w14:paraId="4671F99C">
            <w:pPr>
              <w:rPr>
                <w:rFonts w:ascii="Arial"/>
                <w:color w:val="auto"/>
                <w:highlight w:val="none"/>
              </w:rPr>
            </w:pPr>
          </w:p>
        </w:tc>
        <w:tc>
          <w:tcPr>
            <w:tcW w:w="777" w:type="dxa"/>
          </w:tcPr>
          <w:p w14:paraId="215504DC">
            <w:pPr>
              <w:rPr>
                <w:rFonts w:ascii="Arial"/>
                <w:color w:val="auto"/>
                <w:highlight w:val="none"/>
              </w:rPr>
            </w:pPr>
          </w:p>
        </w:tc>
      </w:tr>
      <w:tr w14:paraId="43E2A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525" w:type="dxa"/>
          </w:tcPr>
          <w:p w14:paraId="78910683">
            <w:pPr>
              <w:pStyle w:val="185"/>
              <w:spacing w:before="148" w:line="241" w:lineRule="auto"/>
              <w:ind w:left="218"/>
              <w:rPr>
                <w:color w:val="auto"/>
                <w:highlight w:val="none"/>
              </w:rPr>
            </w:pPr>
            <w:r>
              <w:rPr>
                <w:color w:val="auto"/>
                <w:highlight w:val="none"/>
              </w:rPr>
              <w:t>5</w:t>
            </w:r>
          </w:p>
        </w:tc>
        <w:tc>
          <w:tcPr>
            <w:tcW w:w="1994" w:type="dxa"/>
          </w:tcPr>
          <w:p w14:paraId="72CC8DED">
            <w:pPr>
              <w:rPr>
                <w:rFonts w:ascii="Arial"/>
                <w:color w:val="auto"/>
                <w:highlight w:val="none"/>
              </w:rPr>
            </w:pPr>
          </w:p>
        </w:tc>
        <w:tc>
          <w:tcPr>
            <w:tcW w:w="770" w:type="dxa"/>
          </w:tcPr>
          <w:p w14:paraId="33A221F4">
            <w:pPr>
              <w:rPr>
                <w:rFonts w:ascii="Arial"/>
                <w:color w:val="auto"/>
                <w:highlight w:val="none"/>
              </w:rPr>
            </w:pPr>
          </w:p>
        </w:tc>
        <w:tc>
          <w:tcPr>
            <w:tcW w:w="772" w:type="dxa"/>
          </w:tcPr>
          <w:p w14:paraId="3A970B00">
            <w:pPr>
              <w:rPr>
                <w:rFonts w:ascii="Arial"/>
                <w:color w:val="auto"/>
                <w:highlight w:val="none"/>
              </w:rPr>
            </w:pPr>
          </w:p>
        </w:tc>
        <w:tc>
          <w:tcPr>
            <w:tcW w:w="770" w:type="dxa"/>
          </w:tcPr>
          <w:p w14:paraId="346CB844">
            <w:pPr>
              <w:rPr>
                <w:rFonts w:ascii="Arial"/>
                <w:color w:val="auto"/>
                <w:highlight w:val="none"/>
              </w:rPr>
            </w:pPr>
          </w:p>
        </w:tc>
        <w:tc>
          <w:tcPr>
            <w:tcW w:w="773" w:type="dxa"/>
          </w:tcPr>
          <w:p w14:paraId="0C813C62">
            <w:pPr>
              <w:rPr>
                <w:rFonts w:ascii="Arial"/>
                <w:color w:val="auto"/>
                <w:highlight w:val="none"/>
              </w:rPr>
            </w:pPr>
          </w:p>
        </w:tc>
        <w:tc>
          <w:tcPr>
            <w:tcW w:w="770" w:type="dxa"/>
          </w:tcPr>
          <w:p w14:paraId="72DD23D0">
            <w:pPr>
              <w:rPr>
                <w:rFonts w:ascii="Arial"/>
                <w:color w:val="auto"/>
                <w:highlight w:val="none"/>
              </w:rPr>
            </w:pPr>
          </w:p>
        </w:tc>
        <w:tc>
          <w:tcPr>
            <w:tcW w:w="772" w:type="dxa"/>
          </w:tcPr>
          <w:p w14:paraId="664A4561">
            <w:pPr>
              <w:rPr>
                <w:rFonts w:ascii="Arial"/>
                <w:color w:val="auto"/>
                <w:highlight w:val="none"/>
              </w:rPr>
            </w:pPr>
          </w:p>
        </w:tc>
        <w:tc>
          <w:tcPr>
            <w:tcW w:w="771" w:type="dxa"/>
          </w:tcPr>
          <w:p w14:paraId="632A46EC">
            <w:pPr>
              <w:rPr>
                <w:rFonts w:ascii="Arial"/>
                <w:color w:val="auto"/>
                <w:highlight w:val="none"/>
              </w:rPr>
            </w:pPr>
          </w:p>
        </w:tc>
        <w:tc>
          <w:tcPr>
            <w:tcW w:w="772" w:type="dxa"/>
          </w:tcPr>
          <w:p w14:paraId="405F4213">
            <w:pPr>
              <w:rPr>
                <w:rFonts w:ascii="Arial"/>
                <w:color w:val="auto"/>
                <w:highlight w:val="none"/>
              </w:rPr>
            </w:pPr>
          </w:p>
        </w:tc>
        <w:tc>
          <w:tcPr>
            <w:tcW w:w="777" w:type="dxa"/>
          </w:tcPr>
          <w:p w14:paraId="0CB4C440">
            <w:pPr>
              <w:rPr>
                <w:rFonts w:ascii="Arial"/>
                <w:color w:val="auto"/>
                <w:highlight w:val="none"/>
              </w:rPr>
            </w:pPr>
          </w:p>
        </w:tc>
      </w:tr>
      <w:tr w14:paraId="08E82D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2" w:hRule="atLeast"/>
        </w:trPr>
        <w:tc>
          <w:tcPr>
            <w:tcW w:w="525" w:type="dxa"/>
          </w:tcPr>
          <w:p w14:paraId="71E9B08E">
            <w:pPr>
              <w:spacing w:before="149" w:line="332" w:lineRule="exact"/>
              <w:ind w:left="173"/>
              <w:rPr>
                <w:rFonts w:ascii="黑体" w:hAnsi="黑体" w:eastAsia="黑体" w:cs="黑体"/>
                <w:color w:val="auto"/>
                <w:szCs w:val="21"/>
                <w:highlight w:val="none"/>
              </w:rPr>
            </w:pPr>
            <w:r>
              <w:rPr>
                <w:rFonts w:ascii="黑体" w:hAnsi="黑体" w:eastAsia="黑体" w:cs="黑体"/>
                <w:color w:val="auto"/>
                <w:position w:val="2"/>
                <w:szCs w:val="21"/>
                <w:highlight w:val="none"/>
              </w:rPr>
              <w:t>…</w:t>
            </w:r>
          </w:p>
        </w:tc>
        <w:tc>
          <w:tcPr>
            <w:tcW w:w="1994" w:type="dxa"/>
          </w:tcPr>
          <w:p w14:paraId="028E98C0">
            <w:pPr>
              <w:rPr>
                <w:rFonts w:ascii="Arial"/>
                <w:color w:val="auto"/>
                <w:highlight w:val="none"/>
              </w:rPr>
            </w:pPr>
          </w:p>
        </w:tc>
        <w:tc>
          <w:tcPr>
            <w:tcW w:w="770" w:type="dxa"/>
          </w:tcPr>
          <w:p w14:paraId="3863CDD9">
            <w:pPr>
              <w:rPr>
                <w:rFonts w:ascii="Arial"/>
                <w:color w:val="auto"/>
                <w:highlight w:val="none"/>
              </w:rPr>
            </w:pPr>
          </w:p>
        </w:tc>
        <w:tc>
          <w:tcPr>
            <w:tcW w:w="772" w:type="dxa"/>
          </w:tcPr>
          <w:p w14:paraId="5CBE80D8">
            <w:pPr>
              <w:rPr>
                <w:rFonts w:ascii="Arial"/>
                <w:color w:val="auto"/>
                <w:highlight w:val="none"/>
              </w:rPr>
            </w:pPr>
          </w:p>
        </w:tc>
        <w:tc>
          <w:tcPr>
            <w:tcW w:w="770" w:type="dxa"/>
          </w:tcPr>
          <w:p w14:paraId="5AF1E66D">
            <w:pPr>
              <w:rPr>
                <w:rFonts w:ascii="Arial"/>
                <w:color w:val="auto"/>
                <w:highlight w:val="none"/>
              </w:rPr>
            </w:pPr>
          </w:p>
        </w:tc>
        <w:tc>
          <w:tcPr>
            <w:tcW w:w="773" w:type="dxa"/>
          </w:tcPr>
          <w:p w14:paraId="61AC3F13">
            <w:pPr>
              <w:rPr>
                <w:rFonts w:ascii="Arial"/>
                <w:color w:val="auto"/>
                <w:highlight w:val="none"/>
              </w:rPr>
            </w:pPr>
          </w:p>
        </w:tc>
        <w:tc>
          <w:tcPr>
            <w:tcW w:w="770" w:type="dxa"/>
          </w:tcPr>
          <w:p w14:paraId="21899459">
            <w:pPr>
              <w:rPr>
                <w:rFonts w:ascii="Arial"/>
                <w:color w:val="auto"/>
                <w:highlight w:val="none"/>
              </w:rPr>
            </w:pPr>
          </w:p>
        </w:tc>
        <w:tc>
          <w:tcPr>
            <w:tcW w:w="772" w:type="dxa"/>
          </w:tcPr>
          <w:p w14:paraId="658FEE60">
            <w:pPr>
              <w:rPr>
                <w:rFonts w:ascii="Arial"/>
                <w:color w:val="auto"/>
                <w:highlight w:val="none"/>
              </w:rPr>
            </w:pPr>
          </w:p>
        </w:tc>
        <w:tc>
          <w:tcPr>
            <w:tcW w:w="771" w:type="dxa"/>
          </w:tcPr>
          <w:p w14:paraId="35D71805">
            <w:pPr>
              <w:rPr>
                <w:rFonts w:ascii="Arial"/>
                <w:color w:val="auto"/>
                <w:highlight w:val="none"/>
              </w:rPr>
            </w:pPr>
          </w:p>
        </w:tc>
        <w:tc>
          <w:tcPr>
            <w:tcW w:w="772" w:type="dxa"/>
          </w:tcPr>
          <w:p w14:paraId="18D5CF9A">
            <w:pPr>
              <w:rPr>
                <w:rFonts w:ascii="Arial"/>
                <w:color w:val="auto"/>
                <w:highlight w:val="none"/>
              </w:rPr>
            </w:pPr>
          </w:p>
        </w:tc>
        <w:tc>
          <w:tcPr>
            <w:tcW w:w="777" w:type="dxa"/>
          </w:tcPr>
          <w:p w14:paraId="12317379">
            <w:pPr>
              <w:rPr>
                <w:rFonts w:ascii="Arial"/>
                <w:color w:val="auto"/>
                <w:highlight w:val="none"/>
              </w:rPr>
            </w:pPr>
          </w:p>
        </w:tc>
      </w:tr>
    </w:tbl>
    <w:p w14:paraId="74E2E131">
      <w:pPr>
        <w:spacing w:line="221" w:lineRule="auto"/>
        <w:rPr>
          <w:rFonts w:ascii="宋体" w:hAnsi="宋体" w:cs="宋体"/>
          <w:color w:val="auto"/>
          <w:spacing w:val="-11"/>
          <w:szCs w:val="21"/>
          <w:highlight w:val="none"/>
        </w:rPr>
      </w:pPr>
    </w:p>
    <w:p w14:paraId="6C6A559D">
      <w:pPr>
        <w:spacing w:line="221" w:lineRule="auto"/>
        <w:ind w:firstLine="6768" w:firstLineChars="3600"/>
        <w:rPr>
          <w:rFonts w:ascii="宋体" w:hAnsi="宋体" w:cs="宋体"/>
          <w:color w:val="auto"/>
          <w:spacing w:val="-11"/>
          <w:szCs w:val="21"/>
          <w:highlight w:val="none"/>
        </w:rPr>
      </w:pPr>
      <w:r>
        <w:rPr>
          <w:rFonts w:ascii="宋体" w:hAnsi="宋体" w:cs="宋体"/>
          <w:color w:val="auto"/>
          <w:spacing w:val="-11"/>
          <w:szCs w:val="21"/>
          <w:highlight w:val="none"/>
        </w:rPr>
        <w:t>日期：   年    月    日</w:t>
      </w:r>
    </w:p>
    <w:p w14:paraId="6C2E8C39">
      <w:pPr>
        <w:spacing w:line="221" w:lineRule="auto"/>
        <w:rPr>
          <w:rFonts w:ascii="宋体" w:hAnsi="宋体" w:cs="宋体"/>
          <w:color w:val="auto"/>
          <w:szCs w:val="21"/>
          <w:highlight w:val="none"/>
        </w:rPr>
        <w:sectPr>
          <w:footerReference r:id="rId24" w:type="default"/>
          <w:pgSz w:w="11907" w:h="16839"/>
          <w:pgMar w:top="1431" w:right="1214" w:bottom="1030" w:left="1219" w:header="0" w:footer="799" w:gutter="0"/>
          <w:pgNumType w:fmt="decimal"/>
          <w:cols w:space="720" w:num="1"/>
        </w:sectPr>
      </w:pPr>
    </w:p>
    <w:p w14:paraId="2DD21014">
      <w:pPr>
        <w:pStyle w:val="17"/>
        <w:spacing w:line="284" w:lineRule="auto"/>
        <w:rPr>
          <w:color w:val="auto"/>
          <w:highlight w:val="none"/>
        </w:rPr>
      </w:pPr>
    </w:p>
    <w:p w14:paraId="706A503F">
      <w:pPr>
        <w:spacing w:before="78" w:line="219" w:lineRule="auto"/>
        <w:ind w:left="152"/>
        <w:outlineLvl w:val="2"/>
        <w:rPr>
          <w:rFonts w:ascii="黑体" w:hAnsi="黑体" w:eastAsia="黑体" w:cs="黑体"/>
          <w:color w:val="auto"/>
          <w:sz w:val="24"/>
          <w:highlight w:val="none"/>
        </w:rPr>
      </w:pPr>
      <w:bookmarkStart w:id="276" w:name="bookmark411"/>
      <w:bookmarkEnd w:id="276"/>
      <w:bookmarkStart w:id="277" w:name="_Toc8453"/>
      <w:r>
        <w:rPr>
          <w:rFonts w:ascii="黑体" w:hAnsi="黑体" w:eastAsia="黑体" w:cs="黑体"/>
          <w:color w:val="auto"/>
          <w:spacing w:val="-3"/>
          <w:sz w:val="24"/>
          <w:highlight w:val="none"/>
        </w:rPr>
        <w:t>附表A-4：形式评审记录表</w:t>
      </w:r>
      <w:bookmarkEnd w:id="277"/>
    </w:p>
    <w:p w14:paraId="1637B524">
      <w:pPr>
        <w:pStyle w:val="17"/>
        <w:spacing w:line="406" w:lineRule="auto"/>
        <w:rPr>
          <w:color w:val="auto"/>
          <w:highlight w:val="none"/>
        </w:rPr>
      </w:pPr>
    </w:p>
    <w:p w14:paraId="0AEB7AE2">
      <w:pPr>
        <w:spacing w:before="117" w:line="219" w:lineRule="auto"/>
        <w:ind w:left="2923"/>
        <w:rPr>
          <w:rFonts w:ascii="黑体" w:hAnsi="黑体" w:eastAsia="黑体" w:cs="黑体"/>
          <w:color w:val="auto"/>
          <w:sz w:val="36"/>
          <w:szCs w:val="36"/>
          <w:highlight w:val="none"/>
        </w:rPr>
      </w:pPr>
      <w:bookmarkStart w:id="278" w:name="bookmark133"/>
      <w:bookmarkEnd w:id="278"/>
      <w:r>
        <w:rPr>
          <w:rFonts w:ascii="黑体" w:hAnsi="黑体" w:eastAsia="黑体" w:cs="黑体"/>
          <w:color w:val="auto"/>
          <w:spacing w:val="-3"/>
          <w:sz w:val="36"/>
          <w:szCs w:val="36"/>
          <w:highlight w:val="none"/>
        </w:rPr>
        <w:t>形式评审记录表</w:t>
      </w:r>
    </w:p>
    <w:p w14:paraId="333A4817">
      <w:pPr>
        <w:spacing w:before="239" w:line="221" w:lineRule="auto"/>
        <w:ind w:left="21"/>
        <w:rPr>
          <w:rFonts w:ascii="宋体" w:hAnsi="宋体" w:cs="宋体"/>
          <w:color w:val="auto"/>
          <w:szCs w:val="21"/>
          <w:highlight w:val="none"/>
        </w:rPr>
      </w:pPr>
      <w:r>
        <w:rPr>
          <w:rFonts w:ascii="宋体" w:hAnsi="宋体" w:cs="宋体"/>
          <w:color w:val="auto"/>
          <w:spacing w:val="-7"/>
          <w:szCs w:val="21"/>
          <w:highlight w:val="none"/>
        </w:rPr>
        <w:t>标段名称：</w:t>
      </w:r>
    </w:p>
    <w:p w14:paraId="1A1B94D8">
      <w:pPr>
        <w:spacing w:before="22" w:line="212" w:lineRule="auto"/>
        <w:ind w:left="21"/>
        <w:rPr>
          <w:rFonts w:ascii="宋体" w:hAnsi="宋体" w:cs="宋体"/>
          <w:color w:val="auto"/>
          <w:szCs w:val="21"/>
          <w:highlight w:val="none"/>
        </w:rPr>
      </w:pPr>
      <w:r>
        <w:rPr>
          <w:rFonts w:ascii="宋体" w:hAnsi="宋体" w:cs="宋体"/>
          <w:color w:val="auto"/>
          <w:spacing w:val="-1"/>
          <w:szCs w:val="21"/>
          <w:highlight w:val="none"/>
        </w:rPr>
        <w:t>标段唯一标识码：</w:t>
      </w:r>
    </w:p>
    <w:tbl>
      <w:tblPr>
        <w:tblStyle w:val="42"/>
        <w:tblW w:w="8307" w:type="dxa"/>
        <w:tblInd w:w="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1"/>
        <w:gridCol w:w="1363"/>
        <w:gridCol w:w="597"/>
        <w:gridCol w:w="595"/>
        <w:gridCol w:w="595"/>
        <w:gridCol w:w="593"/>
        <w:gridCol w:w="595"/>
        <w:gridCol w:w="595"/>
        <w:gridCol w:w="595"/>
        <w:gridCol w:w="595"/>
        <w:gridCol w:w="595"/>
        <w:gridCol w:w="738"/>
      </w:tblGrid>
      <w:tr w14:paraId="661AA3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851" w:type="dxa"/>
            <w:vMerge w:val="restart"/>
            <w:tcBorders>
              <w:bottom w:val="nil"/>
            </w:tcBorders>
          </w:tcPr>
          <w:p w14:paraId="631BCD73">
            <w:pPr>
              <w:spacing w:line="254" w:lineRule="auto"/>
              <w:rPr>
                <w:rFonts w:ascii="Arial"/>
                <w:color w:val="auto"/>
                <w:highlight w:val="none"/>
              </w:rPr>
            </w:pPr>
          </w:p>
          <w:p w14:paraId="0C3EAEA4">
            <w:pPr>
              <w:pStyle w:val="185"/>
              <w:spacing w:before="69" w:line="222" w:lineRule="auto"/>
              <w:ind w:left="218"/>
              <w:rPr>
                <w:color w:val="auto"/>
                <w:highlight w:val="none"/>
              </w:rPr>
            </w:pPr>
            <w:r>
              <w:rPr>
                <w:b/>
                <w:bCs/>
                <w:color w:val="auto"/>
                <w:spacing w:val="-4"/>
                <w:highlight w:val="none"/>
              </w:rPr>
              <w:t>序号</w:t>
            </w:r>
          </w:p>
        </w:tc>
        <w:tc>
          <w:tcPr>
            <w:tcW w:w="1363" w:type="dxa"/>
            <w:vMerge w:val="restart"/>
            <w:tcBorders>
              <w:bottom w:val="nil"/>
            </w:tcBorders>
          </w:tcPr>
          <w:p w14:paraId="36EEB2FD">
            <w:pPr>
              <w:spacing w:line="255" w:lineRule="auto"/>
              <w:rPr>
                <w:rFonts w:ascii="Arial"/>
                <w:color w:val="auto"/>
                <w:highlight w:val="none"/>
              </w:rPr>
            </w:pPr>
          </w:p>
          <w:p w14:paraId="3301DA21">
            <w:pPr>
              <w:pStyle w:val="185"/>
              <w:spacing w:before="68" w:line="221" w:lineRule="auto"/>
              <w:ind w:left="160"/>
              <w:rPr>
                <w:color w:val="auto"/>
                <w:highlight w:val="none"/>
              </w:rPr>
            </w:pPr>
            <w:r>
              <w:rPr>
                <w:b/>
                <w:bCs/>
                <w:color w:val="auto"/>
                <w:spacing w:val="-3"/>
                <w:highlight w:val="none"/>
              </w:rPr>
              <w:t>投标人名称</w:t>
            </w:r>
          </w:p>
        </w:tc>
        <w:tc>
          <w:tcPr>
            <w:tcW w:w="5355" w:type="dxa"/>
            <w:gridSpan w:val="9"/>
          </w:tcPr>
          <w:p w14:paraId="648FF798">
            <w:pPr>
              <w:pStyle w:val="185"/>
              <w:spacing w:before="108" w:line="221" w:lineRule="auto"/>
              <w:ind w:left="1732"/>
              <w:rPr>
                <w:color w:val="auto"/>
                <w:highlight w:val="none"/>
              </w:rPr>
            </w:pPr>
            <w:r>
              <w:rPr>
                <w:b/>
                <w:bCs/>
                <w:color w:val="auto"/>
                <w:spacing w:val="-2"/>
                <w:highlight w:val="none"/>
              </w:rPr>
              <w:t>评审标准及评审意见</w:t>
            </w:r>
          </w:p>
        </w:tc>
        <w:tc>
          <w:tcPr>
            <w:tcW w:w="738" w:type="dxa"/>
            <w:vMerge w:val="restart"/>
            <w:tcBorders>
              <w:bottom w:val="nil"/>
            </w:tcBorders>
          </w:tcPr>
          <w:p w14:paraId="49BF5EB2">
            <w:pPr>
              <w:pStyle w:val="185"/>
              <w:spacing w:before="188" w:line="221" w:lineRule="auto"/>
              <w:ind w:left="162"/>
              <w:rPr>
                <w:color w:val="auto"/>
                <w:highlight w:val="none"/>
              </w:rPr>
            </w:pPr>
            <w:r>
              <w:rPr>
                <w:b/>
                <w:bCs/>
                <w:color w:val="auto"/>
                <w:spacing w:val="-4"/>
                <w:highlight w:val="none"/>
              </w:rPr>
              <w:t>评审</w:t>
            </w:r>
          </w:p>
          <w:p w14:paraId="24289E21">
            <w:pPr>
              <w:pStyle w:val="185"/>
              <w:spacing w:before="19" w:line="222" w:lineRule="auto"/>
              <w:ind w:left="168"/>
              <w:rPr>
                <w:color w:val="auto"/>
                <w:highlight w:val="none"/>
              </w:rPr>
            </w:pPr>
            <w:r>
              <w:rPr>
                <w:b/>
                <w:bCs/>
                <w:color w:val="auto"/>
                <w:spacing w:val="-5"/>
                <w:highlight w:val="none"/>
              </w:rPr>
              <w:t>结论</w:t>
            </w:r>
          </w:p>
        </w:tc>
      </w:tr>
      <w:tr w14:paraId="214FBC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851" w:type="dxa"/>
            <w:vMerge w:val="continue"/>
            <w:tcBorders>
              <w:top w:val="nil"/>
            </w:tcBorders>
          </w:tcPr>
          <w:p w14:paraId="137B4D98">
            <w:pPr>
              <w:rPr>
                <w:rFonts w:ascii="Arial"/>
                <w:color w:val="auto"/>
                <w:highlight w:val="none"/>
              </w:rPr>
            </w:pPr>
          </w:p>
        </w:tc>
        <w:tc>
          <w:tcPr>
            <w:tcW w:w="1363" w:type="dxa"/>
            <w:vMerge w:val="continue"/>
            <w:tcBorders>
              <w:top w:val="nil"/>
            </w:tcBorders>
          </w:tcPr>
          <w:p w14:paraId="37508DA1">
            <w:pPr>
              <w:rPr>
                <w:rFonts w:ascii="Arial"/>
                <w:color w:val="auto"/>
                <w:highlight w:val="none"/>
              </w:rPr>
            </w:pPr>
          </w:p>
        </w:tc>
        <w:tc>
          <w:tcPr>
            <w:tcW w:w="597" w:type="dxa"/>
          </w:tcPr>
          <w:p w14:paraId="1CA71993">
            <w:pPr>
              <w:rPr>
                <w:rFonts w:ascii="Arial"/>
                <w:color w:val="auto"/>
                <w:highlight w:val="none"/>
              </w:rPr>
            </w:pPr>
          </w:p>
        </w:tc>
        <w:tc>
          <w:tcPr>
            <w:tcW w:w="595" w:type="dxa"/>
          </w:tcPr>
          <w:p w14:paraId="7B934BAF">
            <w:pPr>
              <w:rPr>
                <w:rFonts w:ascii="Arial"/>
                <w:color w:val="auto"/>
                <w:highlight w:val="none"/>
              </w:rPr>
            </w:pPr>
          </w:p>
        </w:tc>
        <w:tc>
          <w:tcPr>
            <w:tcW w:w="595" w:type="dxa"/>
          </w:tcPr>
          <w:p w14:paraId="47E51FCD">
            <w:pPr>
              <w:rPr>
                <w:rFonts w:ascii="Arial"/>
                <w:color w:val="auto"/>
                <w:highlight w:val="none"/>
              </w:rPr>
            </w:pPr>
          </w:p>
        </w:tc>
        <w:tc>
          <w:tcPr>
            <w:tcW w:w="593" w:type="dxa"/>
          </w:tcPr>
          <w:p w14:paraId="2130EB93">
            <w:pPr>
              <w:rPr>
                <w:rFonts w:ascii="Arial"/>
                <w:color w:val="auto"/>
                <w:highlight w:val="none"/>
              </w:rPr>
            </w:pPr>
          </w:p>
        </w:tc>
        <w:tc>
          <w:tcPr>
            <w:tcW w:w="595" w:type="dxa"/>
          </w:tcPr>
          <w:p w14:paraId="022E5292">
            <w:pPr>
              <w:rPr>
                <w:rFonts w:ascii="Arial"/>
                <w:color w:val="auto"/>
                <w:highlight w:val="none"/>
              </w:rPr>
            </w:pPr>
          </w:p>
        </w:tc>
        <w:tc>
          <w:tcPr>
            <w:tcW w:w="595" w:type="dxa"/>
          </w:tcPr>
          <w:p w14:paraId="1ED0004E">
            <w:pPr>
              <w:rPr>
                <w:rFonts w:ascii="Arial"/>
                <w:color w:val="auto"/>
                <w:highlight w:val="none"/>
              </w:rPr>
            </w:pPr>
          </w:p>
        </w:tc>
        <w:tc>
          <w:tcPr>
            <w:tcW w:w="595" w:type="dxa"/>
          </w:tcPr>
          <w:p w14:paraId="0532E5F0">
            <w:pPr>
              <w:rPr>
                <w:rFonts w:ascii="Arial"/>
                <w:color w:val="auto"/>
                <w:highlight w:val="none"/>
              </w:rPr>
            </w:pPr>
          </w:p>
        </w:tc>
        <w:tc>
          <w:tcPr>
            <w:tcW w:w="595" w:type="dxa"/>
          </w:tcPr>
          <w:p w14:paraId="30AC8C97">
            <w:pPr>
              <w:rPr>
                <w:rFonts w:ascii="Arial"/>
                <w:color w:val="auto"/>
                <w:highlight w:val="none"/>
              </w:rPr>
            </w:pPr>
          </w:p>
        </w:tc>
        <w:tc>
          <w:tcPr>
            <w:tcW w:w="595" w:type="dxa"/>
          </w:tcPr>
          <w:p w14:paraId="608DE38E">
            <w:pPr>
              <w:rPr>
                <w:rFonts w:ascii="Arial"/>
                <w:color w:val="auto"/>
                <w:highlight w:val="none"/>
              </w:rPr>
            </w:pPr>
          </w:p>
        </w:tc>
        <w:tc>
          <w:tcPr>
            <w:tcW w:w="738" w:type="dxa"/>
            <w:vMerge w:val="continue"/>
            <w:tcBorders>
              <w:top w:val="nil"/>
            </w:tcBorders>
          </w:tcPr>
          <w:p w14:paraId="25492448">
            <w:pPr>
              <w:rPr>
                <w:rFonts w:ascii="Arial"/>
                <w:color w:val="auto"/>
                <w:highlight w:val="none"/>
              </w:rPr>
            </w:pPr>
          </w:p>
        </w:tc>
      </w:tr>
      <w:tr w14:paraId="2B28DE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851" w:type="dxa"/>
          </w:tcPr>
          <w:p w14:paraId="52DE3274">
            <w:pPr>
              <w:pStyle w:val="185"/>
              <w:spacing w:before="177" w:line="242" w:lineRule="auto"/>
              <w:ind w:left="393"/>
              <w:rPr>
                <w:color w:val="auto"/>
                <w:highlight w:val="none"/>
              </w:rPr>
            </w:pPr>
            <w:r>
              <w:rPr>
                <w:color w:val="auto"/>
                <w:highlight w:val="none"/>
              </w:rPr>
              <w:t>1</w:t>
            </w:r>
          </w:p>
        </w:tc>
        <w:tc>
          <w:tcPr>
            <w:tcW w:w="1363" w:type="dxa"/>
          </w:tcPr>
          <w:p w14:paraId="1176F4D6">
            <w:pPr>
              <w:rPr>
                <w:rFonts w:ascii="Arial"/>
                <w:color w:val="auto"/>
                <w:highlight w:val="none"/>
              </w:rPr>
            </w:pPr>
          </w:p>
        </w:tc>
        <w:tc>
          <w:tcPr>
            <w:tcW w:w="597" w:type="dxa"/>
          </w:tcPr>
          <w:p w14:paraId="0C82E780">
            <w:pPr>
              <w:rPr>
                <w:rFonts w:ascii="Arial"/>
                <w:color w:val="auto"/>
                <w:highlight w:val="none"/>
              </w:rPr>
            </w:pPr>
          </w:p>
        </w:tc>
        <w:tc>
          <w:tcPr>
            <w:tcW w:w="595" w:type="dxa"/>
          </w:tcPr>
          <w:p w14:paraId="5D4CB566">
            <w:pPr>
              <w:rPr>
                <w:rFonts w:ascii="Arial"/>
                <w:color w:val="auto"/>
                <w:highlight w:val="none"/>
              </w:rPr>
            </w:pPr>
          </w:p>
        </w:tc>
        <w:tc>
          <w:tcPr>
            <w:tcW w:w="595" w:type="dxa"/>
          </w:tcPr>
          <w:p w14:paraId="437975F5">
            <w:pPr>
              <w:rPr>
                <w:rFonts w:ascii="Arial"/>
                <w:color w:val="auto"/>
                <w:highlight w:val="none"/>
              </w:rPr>
            </w:pPr>
          </w:p>
        </w:tc>
        <w:tc>
          <w:tcPr>
            <w:tcW w:w="593" w:type="dxa"/>
          </w:tcPr>
          <w:p w14:paraId="323D601B">
            <w:pPr>
              <w:rPr>
                <w:rFonts w:ascii="Arial"/>
                <w:color w:val="auto"/>
                <w:highlight w:val="none"/>
              </w:rPr>
            </w:pPr>
          </w:p>
        </w:tc>
        <w:tc>
          <w:tcPr>
            <w:tcW w:w="595" w:type="dxa"/>
          </w:tcPr>
          <w:p w14:paraId="3D90024D">
            <w:pPr>
              <w:rPr>
                <w:rFonts w:ascii="Arial"/>
                <w:color w:val="auto"/>
                <w:highlight w:val="none"/>
              </w:rPr>
            </w:pPr>
          </w:p>
        </w:tc>
        <w:tc>
          <w:tcPr>
            <w:tcW w:w="595" w:type="dxa"/>
          </w:tcPr>
          <w:p w14:paraId="0344AA10">
            <w:pPr>
              <w:rPr>
                <w:rFonts w:ascii="Arial"/>
                <w:color w:val="auto"/>
                <w:highlight w:val="none"/>
              </w:rPr>
            </w:pPr>
          </w:p>
        </w:tc>
        <w:tc>
          <w:tcPr>
            <w:tcW w:w="595" w:type="dxa"/>
          </w:tcPr>
          <w:p w14:paraId="716DA572">
            <w:pPr>
              <w:rPr>
                <w:rFonts w:ascii="Arial"/>
                <w:color w:val="auto"/>
                <w:highlight w:val="none"/>
              </w:rPr>
            </w:pPr>
          </w:p>
        </w:tc>
        <w:tc>
          <w:tcPr>
            <w:tcW w:w="595" w:type="dxa"/>
          </w:tcPr>
          <w:p w14:paraId="36E3569A">
            <w:pPr>
              <w:rPr>
                <w:rFonts w:ascii="Arial"/>
                <w:color w:val="auto"/>
                <w:highlight w:val="none"/>
              </w:rPr>
            </w:pPr>
          </w:p>
        </w:tc>
        <w:tc>
          <w:tcPr>
            <w:tcW w:w="595" w:type="dxa"/>
          </w:tcPr>
          <w:p w14:paraId="27F7A9E2">
            <w:pPr>
              <w:rPr>
                <w:rFonts w:ascii="Arial"/>
                <w:color w:val="auto"/>
                <w:highlight w:val="none"/>
              </w:rPr>
            </w:pPr>
          </w:p>
        </w:tc>
        <w:tc>
          <w:tcPr>
            <w:tcW w:w="738" w:type="dxa"/>
          </w:tcPr>
          <w:p w14:paraId="78A92ED1">
            <w:pPr>
              <w:rPr>
                <w:rFonts w:ascii="Arial"/>
                <w:color w:val="auto"/>
                <w:highlight w:val="none"/>
              </w:rPr>
            </w:pPr>
          </w:p>
        </w:tc>
      </w:tr>
      <w:tr w14:paraId="29F642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851" w:type="dxa"/>
          </w:tcPr>
          <w:p w14:paraId="2177C862">
            <w:pPr>
              <w:pStyle w:val="185"/>
              <w:spacing w:before="177" w:line="242" w:lineRule="auto"/>
              <w:ind w:left="380"/>
              <w:rPr>
                <w:color w:val="auto"/>
                <w:highlight w:val="none"/>
              </w:rPr>
            </w:pPr>
            <w:r>
              <w:rPr>
                <w:color w:val="auto"/>
                <w:highlight w:val="none"/>
              </w:rPr>
              <w:t>2</w:t>
            </w:r>
          </w:p>
        </w:tc>
        <w:tc>
          <w:tcPr>
            <w:tcW w:w="1363" w:type="dxa"/>
          </w:tcPr>
          <w:p w14:paraId="52B1BEC6">
            <w:pPr>
              <w:rPr>
                <w:rFonts w:ascii="Arial"/>
                <w:color w:val="auto"/>
                <w:highlight w:val="none"/>
              </w:rPr>
            </w:pPr>
          </w:p>
        </w:tc>
        <w:tc>
          <w:tcPr>
            <w:tcW w:w="597" w:type="dxa"/>
          </w:tcPr>
          <w:p w14:paraId="0B9629A5">
            <w:pPr>
              <w:rPr>
                <w:rFonts w:ascii="Arial"/>
                <w:color w:val="auto"/>
                <w:highlight w:val="none"/>
              </w:rPr>
            </w:pPr>
          </w:p>
        </w:tc>
        <w:tc>
          <w:tcPr>
            <w:tcW w:w="595" w:type="dxa"/>
          </w:tcPr>
          <w:p w14:paraId="0E3EC8C4">
            <w:pPr>
              <w:rPr>
                <w:rFonts w:ascii="Arial"/>
                <w:color w:val="auto"/>
                <w:highlight w:val="none"/>
              </w:rPr>
            </w:pPr>
          </w:p>
        </w:tc>
        <w:tc>
          <w:tcPr>
            <w:tcW w:w="595" w:type="dxa"/>
          </w:tcPr>
          <w:p w14:paraId="5E3AFF87">
            <w:pPr>
              <w:rPr>
                <w:rFonts w:ascii="Arial"/>
                <w:color w:val="auto"/>
                <w:highlight w:val="none"/>
              </w:rPr>
            </w:pPr>
          </w:p>
        </w:tc>
        <w:tc>
          <w:tcPr>
            <w:tcW w:w="593" w:type="dxa"/>
          </w:tcPr>
          <w:p w14:paraId="6F355F0A">
            <w:pPr>
              <w:rPr>
                <w:rFonts w:ascii="Arial"/>
                <w:color w:val="auto"/>
                <w:highlight w:val="none"/>
              </w:rPr>
            </w:pPr>
          </w:p>
        </w:tc>
        <w:tc>
          <w:tcPr>
            <w:tcW w:w="595" w:type="dxa"/>
          </w:tcPr>
          <w:p w14:paraId="290E4A19">
            <w:pPr>
              <w:rPr>
                <w:rFonts w:ascii="Arial"/>
                <w:color w:val="auto"/>
                <w:highlight w:val="none"/>
              </w:rPr>
            </w:pPr>
          </w:p>
        </w:tc>
        <w:tc>
          <w:tcPr>
            <w:tcW w:w="595" w:type="dxa"/>
          </w:tcPr>
          <w:p w14:paraId="6C5D7149">
            <w:pPr>
              <w:rPr>
                <w:rFonts w:ascii="Arial"/>
                <w:color w:val="auto"/>
                <w:highlight w:val="none"/>
              </w:rPr>
            </w:pPr>
          </w:p>
        </w:tc>
        <w:tc>
          <w:tcPr>
            <w:tcW w:w="595" w:type="dxa"/>
          </w:tcPr>
          <w:p w14:paraId="1357691A">
            <w:pPr>
              <w:rPr>
                <w:rFonts w:ascii="Arial"/>
                <w:color w:val="auto"/>
                <w:highlight w:val="none"/>
              </w:rPr>
            </w:pPr>
          </w:p>
        </w:tc>
        <w:tc>
          <w:tcPr>
            <w:tcW w:w="595" w:type="dxa"/>
          </w:tcPr>
          <w:p w14:paraId="14D4463C">
            <w:pPr>
              <w:rPr>
                <w:rFonts w:ascii="Arial"/>
                <w:color w:val="auto"/>
                <w:highlight w:val="none"/>
              </w:rPr>
            </w:pPr>
          </w:p>
        </w:tc>
        <w:tc>
          <w:tcPr>
            <w:tcW w:w="595" w:type="dxa"/>
          </w:tcPr>
          <w:p w14:paraId="4FA913B6">
            <w:pPr>
              <w:rPr>
                <w:rFonts w:ascii="Arial"/>
                <w:color w:val="auto"/>
                <w:highlight w:val="none"/>
              </w:rPr>
            </w:pPr>
          </w:p>
        </w:tc>
        <w:tc>
          <w:tcPr>
            <w:tcW w:w="738" w:type="dxa"/>
          </w:tcPr>
          <w:p w14:paraId="2BA6DE0B">
            <w:pPr>
              <w:rPr>
                <w:rFonts w:ascii="Arial"/>
                <w:color w:val="auto"/>
                <w:highlight w:val="none"/>
              </w:rPr>
            </w:pPr>
          </w:p>
        </w:tc>
      </w:tr>
      <w:tr w14:paraId="569E2E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851" w:type="dxa"/>
          </w:tcPr>
          <w:p w14:paraId="1934136E">
            <w:pPr>
              <w:pStyle w:val="185"/>
              <w:spacing w:before="180" w:line="241" w:lineRule="auto"/>
              <w:ind w:left="381"/>
              <w:rPr>
                <w:color w:val="auto"/>
                <w:highlight w:val="none"/>
              </w:rPr>
            </w:pPr>
            <w:r>
              <w:rPr>
                <w:color w:val="auto"/>
                <w:highlight w:val="none"/>
              </w:rPr>
              <w:t>3</w:t>
            </w:r>
          </w:p>
        </w:tc>
        <w:tc>
          <w:tcPr>
            <w:tcW w:w="1363" w:type="dxa"/>
          </w:tcPr>
          <w:p w14:paraId="79186274">
            <w:pPr>
              <w:rPr>
                <w:rFonts w:ascii="Arial"/>
                <w:color w:val="auto"/>
                <w:highlight w:val="none"/>
              </w:rPr>
            </w:pPr>
          </w:p>
        </w:tc>
        <w:tc>
          <w:tcPr>
            <w:tcW w:w="597" w:type="dxa"/>
          </w:tcPr>
          <w:p w14:paraId="46873736">
            <w:pPr>
              <w:rPr>
                <w:rFonts w:ascii="Arial"/>
                <w:color w:val="auto"/>
                <w:highlight w:val="none"/>
              </w:rPr>
            </w:pPr>
          </w:p>
        </w:tc>
        <w:tc>
          <w:tcPr>
            <w:tcW w:w="595" w:type="dxa"/>
          </w:tcPr>
          <w:p w14:paraId="1E0B8473">
            <w:pPr>
              <w:rPr>
                <w:rFonts w:ascii="Arial"/>
                <w:color w:val="auto"/>
                <w:highlight w:val="none"/>
              </w:rPr>
            </w:pPr>
          </w:p>
        </w:tc>
        <w:tc>
          <w:tcPr>
            <w:tcW w:w="595" w:type="dxa"/>
          </w:tcPr>
          <w:p w14:paraId="33776870">
            <w:pPr>
              <w:rPr>
                <w:rFonts w:ascii="Arial"/>
                <w:color w:val="auto"/>
                <w:highlight w:val="none"/>
              </w:rPr>
            </w:pPr>
          </w:p>
        </w:tc>
        <w:tc>
          <w:tcPr>
            <w:tcW w:w="593" w:type="dxa"/>
          </w:tcPr>
          <w:p w14:paraId="52B10E94">
            <w:pPr>
              <w:rPr>
                <w:rFonts w:ascii="Arial"/>
                <w:color w:val="auto"/>
                <w:highlight w:val="none"/>
              </w:rPr>
            </w:pPr>
          </w:p>
        </w:tc>
        <w:tc>
          <w:tcPr>
            <w:tcW w:w="595" w:type="dxa"/>
          </w:tcPr>
          <w:p w14:paraId="6D623CC3">
            <w:pPr>
              <w:rPr>
                <w:rFonts w:ascii="Arial"/>
                <w:color w:val="auto"/>
                <w:highlight w:val="none"/>
              </w:rPr>
            </w:pPr>
          </w:p>
        </w:tc>
        <w:tc>
          <w:tcPr>
            <w:tcW w:w="595" w:type="dxa"/>
          </w:tcPr>
          <w:p w14:paraId="2E458221">
            <w:pPr>
              <w:rPr>
                <w:rFonts w:ascii="Arial"/>
                <w:color w:val="auto"/>
                <w:highlight w:val="none"/>
              </w:rPr>
            </w:pPr>
          </w:p>
        </w:tc>
        <w:tc>
          <w:tcPr>
            <w:tcW w:w="595" w:type="dxa"/>
          </w:tcPr>
          <w:p w14:paraId="4F884CF3">
            <w:pPr>
              <w:rPr>
                <w:rFonts w:ascii="Arial"/>
                <w:color w:val="auto"/>
                <w:highlight w:val="none"/>
              </w:rPr>
            </w:pPr>
          </w:p>
        </w:tc>
        <w:tc>
          <w:tcPr>
            <w:tcW w:w="595" w:type="dxa"/>
          </w:tcPr>
          <w:p w14:paraId="5E78C49D">
            <w:pPr>
              <w:rPr>
                <w:rFonts w:ascii="Arial"/>
                <w:color w:val="auto"/>
                <w:highlight w:val="none"/>
              </w:rPr>
            </w:pPr>
          </w:p>
        </w:tc>
        <w:tc>
          <w:tcPr>
            <w:tcW w:w="595" w:type="dxa"/>
          </w:tcPr>
          <w:p w14:paraId="3DD89CDE">
            <w:pPr>
              <w:rPr>
                <w:rFonts w:ascii="Arial"/>
                <w:color w:val="auto"/>
                <w:highlight w:val="none"/>
              </w:rPr>
            </w:pPr>
          </w:p>
        </w:tc>
        <w:tc>
          <w:tcPr>
            <w:tcW w:w="738" w:type="dxa"/>
          </w:tcPr>
          <w:p w14:paraId="0A55FFEA">
            <w:pPr>
              <w:rPr>
                <w:rFonts w:ascii="Arial"/>
                <w:color w:val="auto"/>
                <w:highlight w:val="none"/>
              </w:rPr>
            </w:pPr>
          </w:p>
        </w:tc>
      </w:tr>
      <w:tr w14:paraId="6B0EC1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851" w:type="dxa"/>
          </w:tcPr>
          <w:p w14:paraId="50EC8603">
            <w:pPr>
              <w:pStyle w:val="185"/>
              <w:spacing w:before="178" w:line="242" w:lineRule="auto"/>
              <w:ind w:left="376"/>
              <w:rPr>
                <w:color w:val="auto"/>
                <w:highlight w:val="none"/>
              </w:rPr>
            </w:pPr>
            <w:r>
              <w:rPr>
                <w:color w:val="auto"/>
                <w:highlight w:val="none"/>
              </w:rPr>
              <w:t>4</w:t>
            </w:r>
          </w:p>
        </w:tc>
        <w:tc>
          <w:tcPr>
            <w:tcW w:w="1363" w:type="dxa"/>
          </w:tcPr>
          <w:p w14:paraId="7CBEFFB7">
            <w:pPr>
              <w:rPr>
                <w:rFonts w:ascii="Arial"/>
                <w:color w:val="auto"/>
                <w:highlight w:val="none"/>
              </w:rPr>
            </w:pPr>
          </w:p>
        </w:tc>
        <w:tc>
          <w:tcPr>
            <w:tcW w:w="597" w:type="dxa"/>
          </w:tcPr>
          <w:p w14:paraId="0FDD8808">
            <w:pPr>
              <w:rPr>
                <w:rFonts w:ascii="Arial"/>
                <w:color w:val="auto"/>
                <w:highlight w:val="none"/>
              </w:rPr>
            </w:pPr>
          </w:p>
        </w:tc>
        <w:tc>
          <w:tcPr>
            <w:tcW w:w="595" w:type="dxa"/>
          </w:tcPr>
          <w:p w14:paraId="6C120F6C">
            <w:pPr>
              <w:rPr>
                <w:rFonts w:ascii="Arial"/>
                <w:color w:val="auto"/>
                <w:highlight w:val="none"/>
              </w:rPr>
            </w:pPr>
          </w:p>
        </w:tc>
        <w:tc>
          <w:tcPr>
            <w:tcW w:w="595" w:type="dxa"/>
          </w:tcPr>
          <w:p w14:paraId="087592BE">
            <w:pPr>
              <w:rPr>
                <w:rFonts w:ascii="Arial"/>
                <w:color w:val="auto"/>
                <w:highlight w:val="none"/>
              </w:rPr>
            </w:pPr>
          </w:p>
        </w:tc>
        <w:tc>
          <w:tcPr>
            <w:tcW w:w="593" w:type="dxa"/>
          </w:tcPr>
          <w:p w14:paraId="0F4A99B5">
            <w:pPr>
              <w:rPr>
                <w:rFonts w:ascii="Arial"/>
                <w:color w:val="auto"/>
                <w:highlight w:val="none"/>
              </w:rPr>
            </w:pPr>
          </w:p>
        </w:tc>
        <w:tc>
          <w:tcPr>
            <w:tcW w:w="595" w:type="dxa"/>
          </w:tcPr>
          <w:p w14:paraId="21923ACB">
            <w:pPr>
              <w:rPr>
                <w:rFonts w:ascii="Arial"/>
                <w:color w:val="auto"/>
                <w:highlight w:val="none"/>
              </w:rPr>
            </w:pPr>
          </w:p>
        </w:tc>
        <w:tc>
          <w:tcPr>
            <w:tcW w:w="595" w:type="dxa"/>
          </w:tcPr>
          <w:p w14:paraId="542F54EC">
            <w:pPr>
              <w:rPr>
                <w:rFonts w:ascii="Arial"/>
                <w:color w:val="auto"/>
                <w:highlight w:val="none"/>
              </w:rPr>
            </w:pPr>
          </w:p>
        </w:tc>
        <w:tc>
          <w:tcPr>
            <w:tcW w:w="595" w:type="dxa"/>
          </w:tcPr>
          <w:p w14:paraId="22C6B8E6">
            <w:pPr>
              <w:rPr>
                <w:rFonts w:ascii="Arial"/>
                <w:color w:val="auto"/>
                <w:highlight w:val="none"/>
              </w:rPr>
            </w:pPr>
          </w:p>
        </w:tc>
        <w:tc>
          <w:tcPr>
            <w:tcW w:w="595" w:type="dxa"/>
          </w:tcPr>
          <w:p w14:paraId="65E9AD7D">
            <w:pPr>
              <w:rPr>
                <w:rFonts w:ascii="Arial"/>
                <w:color w:val="auto"/>
                <w:highlight w:val="none"/>
              </w:rPr>
            </w:pPr>
          </w:p>
        </w:tc>
        <w:tc>
          <w:tcPr>
            <w:tcW w:w="595" w:type="dxa"/>
          </w:tcPr>
          <w:p w14:paraId="0CA67164">
            <w:pPr>
              <w:rPr>
                <w:rFonts w:ascii="Arial"/>
                <w:color w:val="auto"/>
                <w:highlight w:val="none"/>
              </w:rPr>
            </w:pPr>
          </w:p>
        </w:tc>
        <w:tc>
          <w:tcPr>
            <w:tcW w:w="738" w:type="dxa"/>
          </w:tcPr>
          <w:p w14:paraId="3D0D8698">
            <w:pPr>
              <w:rPr>
                <w:rFonts w:ascii="Arial"/>
                <w:color w:val="auto"/>
                <w:highlight w:val="none"/>
              </w:rPr>
            </w:pPr>
          </w:p>
        </w:tc>
      </w:tr>
      <w:tr w14:paraId="550752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851" w:type="dxa"/>
          </w:tcPr>
          <w:p w14:paraId="5FA804E3">
            <w:pPr>
              <w:pStyle w:val="185"/>
              <w:spacing w:before="180" w:line="241" w:lineRule="auto"/>
              <w:ind w:left="381"/>
              <w:rPr>
                <w:color w:val="auto"/>
                <w:highlight w:val="none"/>
              </w:rPr>
            </w:pPr>
            <w:r>
              <w:rPr>
                <w:color w:val="auto"/>
                <w:highlight w:val="none"/>
              </w:rPr>
              <w:t>5</w:t>
            </w:r>
          </w:p>
        </w:tc>
        <w:tc>
          <w:tcPr>
            <w:tcW w:w="1363" w:type="dxa"/>
          </w:tcPr>
          <w:p w14:paraId="10564CC7">
            <w:pPr>
              <w:rPr>
                <w:rFonts w:ascii="Arial"/>
                <w:color w:val="auto"/>
                <w:highlight w:val="none"/>
              </w:rPr>
            </w:pPr>
          </w:p>
        </w:tc>
        <w:tc>
          <w:tcPr>
            <w:tcW w:w="597" w:type="dxa"/>
          </w:tcPr>
          <w:p w14:paraId="5C66A980">
            <w:pPr>
              <w:rPr>
                <w:rFonts w:ascii="Arial"/>
                <w:color w:val="auto"/>
                <w:highlight w:val="none"/>
              </w:rPr>
            </w:pPr>
          </w:p>
        </w:tc>
        <w:tc>
          <w:tcPr>
            <w:tcW w:w="595" w:type="dxa"/>
          </w:tcPr>
          <w:p w14:paraId="1142D898">
            <w:pPr>
              <w:rPr>
                <w:rFonts w:ascii="Arial"/>
                <w:color w:val="auto"/>
                <w:highlight w:val="none"/>
              </w:rPr>
            </w:pPr>
          </w:p>
        </w:tc>
        <w:tc>
          <w:tcPr>
            <w:tcW w:w="595" w:type="dxa"/>
          </w:tcPr>
          <w:p w14:paraId="16DC6A85">
            <w:pPr>
              <w:rPr>
                <w:rFonts w:ascii="Arial"/>
                <w:color w:val="auto"/>
                <w:highlight w:val="none"/>
              </w:rPr>
            </w:pPr>
          </w:p>
        </w:tc>
        <w:tc>
          <w:tcPr>
            <w:tcW w:w="593" w:type="dxa"/>
          </w:tcPr>
          <w:p w14:paraId="6DDA176D">
            <w:pPr>
              <w:rPr>
                <w:rFonts w:ascii="Arial"/>
                <w:color w:val="auto"/>
                <w:highlight w:val="none"/>
              </w:rPr>
            </w:pPr>
          </w:p>
        </w:tc>
        <w:tc>
          <w:tcPr>
            <w:tcW w:w="595" w:type="dxa"/>
          </w:tcPr>
          <w:p w14:paraId="254570D3">
            <w:pPr>
              <w:rPr>
                <w:rFonts w:ascii="Arial"/>
                <w:color w:val="auto"/>
                <w:highlight w:val="none"/>
              </w:rPr>
            </w:pPr>
          </w:p>
        </w:tc>
        <w:tc>
          <w:tcPr>
            <w:tcW w:w="595" w:type="dxa"/>
          </w:tcPr>
          <w:p w14:paraId="0A629C28">
            <w:pPr>
              <w:rPr>
                <w:rFonts w:ascii="Arial"/>
                <w:color w:val="auto"/>
                <w:highlight w:val="none"/>
              </w:rPr>
            </w:pPr>
          </w:p>
        </w:tc>
        <w:tc>
          <w:tcPr>
            <w:tcW w:w="595" w:type="dxa"/>
          </w:tcPr>
          <w:p w14:paraId="23D159DF">
            <w:pPr>
              <w:rPr>
                <w:rFonts w:ascii="Arial"/>
                <w:color w:val="auto"/>
                <w:highlight w:val="none"/>
              </w:rPr>
            </w:pPr>
          </w:p>
        </w:tc>
        <w:tc>
          <w:tcPr>
            <w:tcW w:w="595" w:type="dxa"/>
          </w:tcPr>
          <w:p w14:paraId="50EE3AAB">
            <w:pPr>
              <w:rPr>
                <w:rFonts w:ascii="Arial"/>
                <w:color w:val="auto"/>
                <w:highlight w:val="none"/>
              </w:rPr>
            </w:pPr>
          </w:p>
        </w:tc>
        <w:tc>
          <w:tcPr>
            <w:tcW w:w="595" w:type="dxa"/>
          </w:tcPr>
          <w:p w14:paraId="7A3694E3">
            <w:pPr>
              <w:rPr>
                <w:rFonts w:ascii="Arial"/>
                <w:color w:val="auto"/>
                <w:highlight w:val="none"/>
              </w:rPr>
            </w:pPr>
          </w:p>
        </w:tc>
        <w:tc>
          <w:tcPr>
            <w:tcW w:w="738" w:type="dxa"/>
          </w:tcPr>
          <w:p w14:paraId="39B55C11">
            <w:pPr>
              <w:rPr>
                <w:rFonts w:ascii="Arial"/>
                <w:color w:val="auto"/>
                <w:highlight w:val="none"/>
              </w:rPr>
            </w:pPr>
          </w:p>
        </w:tc>
      </w:tr>
      <w:tr w14:paraId="31D0F3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851" w:type="dxa"/>
          </w:tcPr>
          <w:p w14:paraId="0BF48ADC">
            <w:pPr>
              <w:pStyle w:val="185"/>
              <w:spacing w:before="178" w:line="241" w:lineRule="auto"/>
              <w:ind w:left="379"/>
              <w:rPr>
                <w:color w:val="auto"/>
                <w:highlight w:val="none"/>
              </w:rPr>
            </w:pPr>
            <w:r>
              <w:rPr>
                <w:color w:val="auto"/>
                <w:highlight w:val="none"/>
              </w:rPr>
              <w:t>6</w:t>
            </w:r>
          </w:p>
        </w:tc>
        <w:tc>
          <w:tcPr>
            <w:tcW w:w="1363" w:type="dxa"/>
          </w:tcPr>
          <w:p w14:paraId="6010A59B">
            <w:pPr>
              <w:rPr>
                <w:rFonts w:ascii="Arial"/>
                <w:color w:val="auto"/>
                <w:highlight w:val="none"/>
              </w:rPr>
            </w:pPr>
          </w:p>
        </w:tc>
        <w:tc>
          <w:tcPr>
            <w:tcW w:w="597" w:type="dxa"/>
          </w:tcPr>
          <w:p w14:paraId="0FE4B142">
            <w:pPr>
              <w:rPr>
                <w:rFonts w:ascii="Arial"/>
                <w:color w:val="auto"/>
                <w:highlight w:val="none"/>
              </w:rPr>
            </w:pPr>
          </w:p>
        </w:tc>
        <w:tc>
          <w:tcPr>
            <w:tcW w:w="595" w:type="dxa"/>
          </w:tcPr>
          <w:p w14:paraId="4494F8DA">
            <w:pPr>
              <w:rPr>
                <w:rFonts w:ascii="Arial"/>
                <w:color w:val="auto"/>
                <w:highlight w:val="none"/>
              </w:rPr>
            </w:pPr>
          </w:p>
        </w:tc>
        <w:tc>
          <w:tcPr>
            <w:tcW w:w="595" w:type="dxa"/>
          </w:tcPr>
          <w:p w14:paraId="1C23BE17">
            <w:pPr>
              <w:rPr>
                <w:rFonts w:ascii="Arial"/>
                <w:color w:val="auto"/>
                <w:highlight w:val="none"/>
              </w:rPr>
            </w:pPr>
          </w:p>
        </w:tc>
        <w:tc>
          <w:tcPr>
            <w:tcW w:w="593" w:type="dxa"/>
          </w:tcPr>
          <w:p w14:paraId="18A20CF0">
            <w:pPr>
              <w:rPr>
                <w:rFonts w:ascii="Arial"/>
                <w:color w:val="auto"/>
                <w:highlight w:val="none"/>
              </w:rPr>
            </w:pPr>
          </w:p>
        </w:tc>
        <w:tc>
          <w:tcPr>
            <w:tcW w:w="595" w:type="dxa"/>
          </w:tcPr>
          <w:p w14:paraId="56D1344C">
            <w:pPr>
              <w:rPr>
                <w:rFonts w:ascii="Arial"/>
                <w:color w:val="auto"/>
                <w:highlight w:val="none"/>
              </w:rPr>
            </w:pPr>
          </w:p>
        </w:tc>
        <w:tc>
          <w:tcPr>
            <w:tcW w:w="595" w:type="dxa"/>
          </w:tcPr>
          <w:p w14:paraId="60000148">
            <w:pPr>
              <w:rPr>
                <w:rFonts w:ascii="Arial"/>
                <w:color w:val="auto"/>
                <w:highlight w:val="none"/>
              </w:rPr>
            </w:pPr>
          </w:p>
        </w:tc>
        <w:tc>
          <w:tcPr>
            <w:tcW w:w="595" w:type="dxa"/>
          </w:tcPr>
          <w:p w14:paraId="0643F45F">
            <w:pPr>
              <w:rPr>
                <w:rFonts w:ascii="Arial"/>
                <w:color w:val="auto"/>
                <w:highlight w:val="none"/>
              </w:rPr>
            </w:pPr>
          </w:p>
        </w:tc>
        <w:tc>
          <w:tcPr>
            <w:tcW w:w="595" w:type="dxa"/>
          </w:tcPr>
          <w:p w14:paraId="1083208B">
            <w:pPr>
              <w:rPr>
                <w:rFonts w:ascii="Arial"/>
                <w:color w:val="auto"/>
                <w:highlight w:val="none"/>
              </w:rPr>
            </w:pPr>
          </w:p>
        </w:tc>
        <w:tc>
          <w:tcPr>
            <w:tcW w:w="595" w:type="dxa"/>
          </w:tcPr>
          <w:p w14:paraId="4C64FDE5">
            <w:pPr>
              <w:rPr>
                <w:rFonts w:ascii="Arial"/>
                <w:color w:val="auto"/>
                <w:highlight w:val="none"/>
              </w:rPr>
            </w:pPr>
          </w:p>
        </w:tc>
        <w:tc>
          <w:tcPr>
            <w:tcW w:w="738" w:type="dxa"/>
          </w:tcPr>
          <w:p w14:paraId="0DB4E4DE">
            <w:pPr>
              <w:rPr>
                <w:rFonts w:ascii="Arial"/>
                <w:color w:val="auto"/>
                <w:highlight w:val="none"/>
              </w:rPr>
            </w:pPr>
          </w:p>
        </w:tc>
      </w:tr>
      <w:tr w14:paraId="28BEF5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851" w:type="dxa"/>
          </w:tcPr>
          <w:p w14:paraId="06723C1A">
            <w:pPr>
              <w:pStyle w:val="185"/>
              <w:spacing w:before="181" w:line="332" w:lineRule="exact"/>
              <w:ind w:left="338"/>
              <w:rPr>
                <w:color w:val="auto"/>
                <w:highlight w:val="none"/>
              </w:rPr>
            </w:pPr>
            <w:r>
              <w:rPr>
                <w:color w:val="auto"/>
                <w:position w:val="2"/>
                <w:highlight w:val="none"/>
              </w:rPr>
              <w:t>…</w:t>
            </w:r>
          </w:p>
        </w:tc>
        <w:tc>
          <w:tcPr>
            <w:tcW w:w="1363" w:type="dxa"/>
          </w:tcPr>
          <w:p w14:paraId="22624A69">
            <w:pPr>
              <w:rPr>
                <w:rFonts w:ascii="Arial"/>
                <w:color w:val="auto"/>
                <w:highlight w:val="none"/>
              </w:rPr>
            </w:pPr>
          </w:p>
        </w:tc>
        <w:tc>
          <w:tcPr>
            <w:tcW w:w="597" w:type="dxa"/>
          </w:tcPr>
          <w:p w14:paraId="3EED0621">
            <w:pPr>
              <w:rPr>
                <w:rFonts w:ascii="Arial"/>
                <w:color w:val="auto"/>
                <w:highlight w:val="none"/>
              </w:rPr>
            </w:pPr>
          </w:p>
        </w:tc>
        <w:tc>
          <w:tcPr>
            <w:tcW w:w="595" w:type="dxa"/>
          </w:tcPr>
          <w:p w14:paraId="7350A7F2">
            <w:pPr>
              <w:rPr>
                <w:rFonts w:ascii="Arial"/>
                <w:color w:val="auto"/>
                <w:highlight w:val="none"/>
              </w:rPr>
            </w:pPr>
          </w:p>
        </w:tc>
        <w:tc>
          <w:tcPr>
            <w:tcW w:w="595" w:type="dxa"/>
          </w:tcPr>
          <w:p w14:paraId="607E4BBE">
            <w:pPr>
              <w:rPr>
                <w:rFonts w:ascii="Arial"/>
                <w:color w:val="auto"/>
                <w:highlight w:val="none"/>
              </w:rPr>
            </w:pPr>
          </w:p>
        </w:tc>
        <w:tc>
          <w:tcPr>
            <w:tcW w:w="593" w:type="dxa"/>
          </w:tcPr>
          <w:p w14:paraId="1565BBC4">
            <w:pPr>
              <w:rPr>
                <w:rFonts w:ascii="Arial"/>
                <w:color w:val="auto"/>
                <w:highlight w:val="none"/>
              </w:rPr>
            </w:pPr>
          </w:p>
        </w:tc>
        <w:tc>
          <w:tcPr>
            <w:tcW w:w="595" w:type="dxa"/>
          </w:tcPr>
          <w:p w14:paraId="317C45DD">
            <w:pPr>
              <w:rPr>
                <w:rFonts w:ascii="Arial"/>
                <w:color w:val="auto"/>
                <w:highlight w:val="none"/>
              </w:rPr>
            </w:pPr>
          </w:p>
        </w:tc>
        <w:tc>
          <w:tcPr>
            <w:tcW w:w="595" w:type="dxa"/>
          </w:tcPr>
          <w:p w14:paraId="4652C4E9">
            <w:pPr>
              <w:rPr>
                <w:rFonts w:ascii="Arial"/>
                <w:color w:val="auto"/>
                <w:highlight w:val="none"/>
              </w:rPr>
            </w:pPr>
          </w:p>
        </w:tc>
        <w:tc>
          <w:tcPr>
            <w:tcW w:w="595" w:type="dxa"/>
          </w:tcPr>
          <w:p w14:paraId="6F3E2DA2">
            <w:pPr>
              <w:rPr>
                <w:rFonts w:ascii="Arial"/>
                <w:color w:val="auto"/>
                <w:highlight w:val="none"/>
              </w:rPr>
            </w:pPr>
          </w:p>
        </w:tc>
        <w:tc>
          <w:tcPr>
            <w:tcW w:w="595" w:type="dxa"/>
          </w:tcPr>
          <w:p w14:paraId="36CB837B">
            <w:pPr>
              <w:rPr>
                <w:rFonts w:ascii="Arial"/>
                <w:color w:val="auto"/>
                <w:highlight w:val="none"/>
              </w:rPr>
            </w:pPr>
          </w:p>
        </w:tc>
        <w:tc>
          <w:tcPr>
            <w:tcW w:w="595" w:type="dxa"/>
          </w:tcPr>
          <w:p w14:paraId="47AC26D8">
            <w:pPr>
              <w:rPr>
                <w:rFonts w:ascii="Arial"/>
                <w:color w:val="auto"/>
                <w:highlight w:val="none"/>
              </w:rPr>
            </w:pPr>
          </w:p>
        </w:tc>
        <w:tc>
          <w:tcPr>
            <w:tcW w:w="738" w:type="dxa"/>
          </w:tcPr>
          <w:p w14:paraId="1D29FDA3">
            <w:pPr>
              <w:rPr>
                <w:rFonts w:ascii="Arial"/>
                <w:color w:val="auto"/>
                <w:highlight w:val="none"/>
              </w:rPr>
            </w:pPr>
          </w:p>
        </w:tc>
      </w:tr>
      <w:tr w14:paraId="660643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3" w:hRule="atLeast"/>
        </w:trPr>
        <w:tc>
          <w:tcPr>
            <w:tcW w:w="8307" w:type="dxa"/>
            <w:gridSpan w:val="12"/>
          </w:tcPr>
          <w:p w14:paraId="19A705BD">
            <w:pPr>
              <w:pStyle w:val="185"/>
              <w:spacing w:before="152" w:line="220" w:lineRule="auto"/>
              <w:ind w:left="115"/>
              <w:rPr>
                <w:color w:val="auto"/>
                <w:highlight w:val="none"/>
                <w:lang w:eastAsia="zh-CN"/>
              </w:rPr>
            </w:pPr>
            <w:r>
              <w:rPr>
                <w:color w:val="auto"/>
                <w:spacing w:val="-1"/>
                <w:highlight w:val="none"/>
                <w:lang w:eastAsia="zh-CN"/>
              </w:rPr>
              <w:t>评标委员会全体成员签名：</w:t>
            </w:r>
          </w:p>
        </w:tc>
      </w:tr>
    </w:tbl>
    <w:p w14:paraId="433C1EEC">
      <w:pPr>
        <w:spacing w:before="139" w:line="221" w:lineRule="auto"/>
        <w:ind w:left="5728" w:firstLine="564" w:firstLineChars="300"/>
        <w:rPr>
          <w:rFonts w:ascii="宋体" w:hAnsi="宋体" w:cs="宋体"/>
          <w:color w:val="auto"/>
          <w:spacing w:val="-11"/>
          <w:szCs w:val="21"/>
          <w:highlight w:val="none"/>
        </w:rPr>
      </w:pPr>
      <w:r>
        <w:rPr>
          <w:rFonts w:ascii="宋体" w:hAnsi="宋体" w:cs="宋体"/>
          <w:color w:val="auto"/>
          <w:spacing w:val="-11"/>
          <w:szCs w:val="21"/>
          <w:highlight w:val="none"/>
        </w:rPr>
        <w:t>日期：   年    月    日</w:t>
      </w:r>
    </w:p>
    <w:p w14:paraId="07D63227">
      <w:pPr>
        <w:spacing w:before="139" w:line="221" w:lineRule="auto"/>
        <w:ind w:left="5728"/>
        <w:rPr>
          <w:rFonts w:ascii="宋体" w:hAnsi="宋体" w:cs="宋体"/>
          <w:color w:val="auto"/>
          <w:szCs w:val="21"/>
          <w:highlight w:val="none"/>
        </w:rPr>
      </w:pPr>
    </w:p>
    <w:p w14:paraId="44E5486B">
      <w:pPr>
        <w:spacing w:line="221" w:lineRule="auto"/>
        <w:rPr>
          <w:rFonts w:ascii="宋体" w:hAnsi="宋体" w:cs="宋体"/>
          <w:color w:val="auto"/>
          <w:szCs w:val="21"/>
          <w:highlight w:val="none"/>
        </w:rPr>
        <w:sectPr>
          <w:footerReference r:id="rId25" w:type="default"/>
          <w:pgSz w:w="11907" w:h="16839"/>
          <w:pgMar w:top="1431" w:right="1785" w:bottom="1030" w:left="1785" w:header="0" w:footer="799" w:gutter="0"/>
          <w:pgNumType w:fmt="decimal"/>
          <w:cols w:space="720" w:num="1"/>
        </w:sectPr>
      </w:pPr>
    </w:p>
    <w:p w14:paraId="427D10EA">
      <w:pPr>
        <w:spacing w:before="124" w:line="219" w:lineRule="auto"/>
        <w:ind w:left="152"/>
        <w:outlineLvl w:val="2"/>
        <w:rPr>
          <w:rFonts w:ascii="黑体" w:hAnsi="黑体" w:eastAsia="黑体" w:cs="黑体"/>
          <w:color w:val="auto"/>
          <w:sz w:val="24"/>
          <w:highlight w:val="none"/>
        </w:rPr>
      </w:pPr>
      <w:bookmarkStart w:id="279" w:name="bookmark412"/>
      <w:bookmarkEnd w:id="279"/>
      <w:bookmarkStart w:id="280" w:name="_Toc15707"/>
      <w:r>
        <w:rPr>
          <w:rFonts w:ascii="黑体" w:hAnsi="黑体" w:eastAsia="黑体" w:cs="黑体"/>
          <w:color w:val="auto"/>
          <w:spacing w:val="-3"/>
          <w:sz w:val="24"/>
          <w:highlight w:val="none"/>
        </w:rPr>
        <w:t>附表A-5：资格评审记录表</w:t>
      </w:r>
      <w:bookmarkEnd w:id="280"/>
    </w:p>
    <w:p w14:paraId="490870E3">
      <w:pPr>
        <w:pStyle w:val="17"/>
        <w:spacing w:line="404" w:lineRule="auto"/>
        <w:rPr>
          <w:color w:val="auto"/>
          <w:highlight w:val="none"/>
        </w:rPr>
      </w:pPr>
    </w:p>
    <w:p w14:paraId="2D0F6DDF">
      <w:pPr>
        <w:spacing w:before="117" w:line="219" w:lineRule="auto"/>
        <w:ind w:left="2933"/>
        <w:rPr>
          <w:rFonts w:ascii="黑体" w:hAnsi="黑体" w:eastAsia="黑体" w:cs="黑体"/>
          <w:color w:val="auto"/>
          <w:sz w:val="36"/>
          <w:szCs w:val="36"/>
          <w:highlight w:val="none"/>
        </w:rPr>
      </w:pPr>
      <w:bookmarkStart w:id="281" w:name="bookmark134"/>
      <w:bookmarkEnd w:id="281"/>
      <w:r>
        <w:rPr>
          <w:rFonts w:ascii="黑体" w:hAnsi="黑体" w:eastAsia="黑体" w:cs="黑体"/>
          <w:color w:val="auto"/>
          <w:spacing w:val="-4"/>
          <w:sz w:val="36"/>
          <w:szCs w:val="36"/>
          <w:highlight w:val="none"/>
        </w:rPr>
        <w:t>资格评审记录表</w:t>
      </w:r>
    </w:p>
    <w:p w14:paraId="623901CB">
      <w:pPr>
        <w:spacing w:before="241" w:line="221" w:lineRule="auto"/>
        <w:ind w:left="21"/>
        <w:rPr>
          <w:rFonts w:ascii="宋体" w:hAnsi="宋体" w:cs="宋体"/>
          <w:color w:val="auto"/>
          <w:szCs w:val="21"/>
          <w:highlight w:val="none"/>
        </w:rPr>
      </w:pPr>
      <w:r>
        <w:rPr>
          <w:rFonts w:ascii="宋体" w:hAnsi="宋体" w:cs="宋体"/>
          <w:color w:val="auto"/>
          <w:spacing w:val="-7"/>
          <w:szCs w:val="21"/>
          <w:highlight w:val="none"/>
        </w:rPr>
        <w:t>标段名称：</w:t>
      </w:r>
    </w:p>
    <w:p w14:paraId="3B39E3DE">
      <w:pPr>
        <w:spacing w:before="19" w:line="214" w:lineRule="auto"/>
        <w:ind w:left="21"/>
        <w:rPr>
          <w:rFonts w:ascii="宋体" w:hAnsi="宋体" w:cs="宋体"/>
          <w:color w:val="auto"/>
          <w:szCs w:val="21"/>
          <w:highlight w:val="none"/>
        </w:rPr>
      </w:pPr>
      <w:r>
        <w:rPr>
          <w:rFonts w:ascii="宋体" w:hAnsi="宋体" w:cs="宋体"/>
          <w:color w:val="auto"/>
          <w:spacing w:val="-1"/>
          <w:szCs w:val="21"/>
          <w:highlight w:val="none"/>
        </w:rPr>
        <w:t>标段唯一标识码：</w:t>
      </w:r>
    </w:p>
    <w:tbl>
      <w:tblPr>
        <w:tblStyle w:val="42"/>
        <w:tblW w:w="8307" w:type="dxa"/>
        <w:tblInd w:w="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5"/>
        <w:gridCol w:w="1315"/>
        <w:gridCol w:w="614"/>
        <w:gridCol w:w="616"/>
        <w:gridCol w:w="614"/>
        <w:gridCol w:w="614"/>
        <w:gridCol w:w="614"/>
        <w:gridCol w:w="616"/>
        <w:gridCol w:w="614"/>
        <w:gridCol w:w="614"/>
        <w:gridCol w:w="615"/>
        <w:gridCol w:w="756"/>
      </w:tblGrid>
      <w:tr w14:paraId="2B349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705" w:type="dxa"/>
            <w:vMerge w:val="restart"/>
            <w:tcBorders>
              <w:bottom w:val="nil"/>
            </w:tcBorders>
          </w:tcPr>
          <w:p w14:paraId="031FE9A1">
            <w:pPr>
              <w:spacing w:line="252" w:lineRule="auto"/>
              <w:rPr>
                <w:rFonts w:ascii="Arial"/>
                <w:color w:val="auto"/>
                <w:highlight w:val="none"/>
              </w:rPr>
            </w:pPr>
          </w:p>
          <w:p w14:paraId="7A84374B">
            <w:pPr>
              <w:pStyle w:val="185"/>
              <w:spacing w:before="68" w:line="222" w:lineRule="auto"/>
              <w:ind w:left="146"/>
              <w:rPr>
                <w:color w:val="auto"/>
                <w:highlight w:val="none"/>
              </w:rPr>
            </w:pPr>
            <w:r>
              <w:rPr>
                <w:b/>
                <w:bCs/>
                <w:color w:val="auto"/>
                <w:spacing w:val="-4"/>
                <w:highlight w:val="none"/>
              </w:rPr>
              <w:t>序号</w:t>
            </w:r>
          </w:p>
        </w:tc>
        <w:tc>
          <w:tcPr>
            <w:tcW w:w="1315" w:type="dxa"/>
            <w:vMerge w:val="restart"/>
            <w:tcBorders>
              <w:bottom w:val="nil"/>
            </w:tcBorders>
          </w:tcPr>
          <w:p w14:paraId="10977659">
            <w:pPr>
              <w:spacing w:line="252" w:lineRule="auto"/>
              <w:rPr>
                <w:rFonts w:ascii="Arial"/>
                <w:color w:val="auto"/>
                <w:highlight w:val="none"/>
              </w:rPr>
            </w:pPr>
          </w:p>
          <w:p w14:paraId="22C2FA68">
            <w:pPr>
              <w:pStyle w:val="185"/>
              <w:spacing w:before="69" w:line="221" w:lineRule="auto"/>
              <w:ind w:left="135"/>
              <w:rPr>
                <w:color w:val="auto"/>
                <w:highlight w:val="none"/>
              </w:rPr>
            </w:pPr>
            <w:r>
              <w:rPr>
                <w:b/>
                <w:bCs/>
                <w:color w:val="auto"/>
                <w:spacing w:val="-3"/>
                <w:highlight w:val="none"/>
              </w:rPr>
              <w:t>投标人名称</w:t>
            </w:r>
          </w:p>
        </w:tc>
        <w:tc>
          <w:tcPr>
            <w:tcW w:w="5531" w:type="dxa"/>
            <w:gridSpan w:val="9"/>
          </w:tcPr>
          <w:p w14:paraId="34D04CF8">
            <w:pPr>
              <w:pStyle w:val="185"/>
              <w:spacing w:before="105" w:line="221" w:lineRule="auto"/>
              <w:ind w:left="1820"/>
              <w:rPr>
                <w:color w:val="auto"/>
                <w:highlight w:val="none"/>
              </w:rPr>
            </w:pPr>
            <w:r>
              <w:rPr>
                <w:b/>
                <w:bCs/>
                <w:color w:val="auto"/>
                <w:spacing w:val="-2"/>
                <w:highlight w:val="none"/>
              </w:rPr>
              <w:t>评审标准及评审意见</w:t>
            </w:r>
          </w:p>
        </w:tc>
        <w:tc>
          <w:tcPr>
            <w:tcW w:w="756" w:type="dxa"/>
            <w:vMerge w:val="restart"/>
            <w:tcBorders>
              <w:bottom w:val="nil"/>
            </w:tcBorders>
          </w:tcPr>
          <w:p w14:paraId="30F5F793">
            <w:pPr>
              <w:pStyle w:val="185"/>
              <w:spacing w:before="185" w:line="221" w:lineRule="auto"/>
              <w:ind w:left="171"/>
              <w:rPr>
                <w:color w:val="auto"/>
                <w:highlight w:val="none"/>
              </w:rPr>
            </w:pPr>
            <w:r>
              <w:rPr>
                <w:b/>
                <w:bCs/>
                <w:color w:val="auto"/>
                <w:spacing w:val="-4"/>
                <w:highlight w:val="none"/>
              </w:rPr>
              <w:t>评审</w:t>
            </w:r>
          </w:p>
          <w:p w14:paraId="5C553CD5">
            <w:pPr>
              <w:pStyle w:val="185"/>
              <w:spacing w:before="21" w:line="222" w:lineRule="auto"/>
              <w:ind w:left="177"/>
              <w:rPr>
                <w:color w:val="auto"/>
                <w:highlight w:val="none"/>
              </w:rPr>
            </w:pPr>
            <w:r>
              <w:rPr>
                <w:b/>
                <w:bCs/>
                <w:color w:val="auto"/>
                <w:spacing w:val="-5"/>
                <w:highlight w:val="none"/>
              </w:rPr>
              <w:t>结论</w:t>
            </w:r>
          </w:p>
        </w:tc>
      </w:tr>
      <w:tr w14:paraId="431ACF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705" w:type="dxa"/>
            <w:vMerge w:val="continue"/>
            <w:tcBorders>
              <w:top w:val="nil"/>
            </w:tcBorders>
          </w:tcPr>
          <w:p w14:paraId="5459DB44">
            <w:pPr>
              <w:rPr>
                <w:rFonts w:ascii="Arial"/>
                <w:color w:val="auto"/>
                <w:highlight w:val="none"/>
              </w:rPr>
            </w:pPr>
          </w:p>
        </w:tc>
        <w:tc>
          <w:tcPr>
            <w:tcW w:w="1315" w:type="dxa"/>
            <w:vMerge w:val="continue"/>
            <w:tcBorders>
              <w:top w:val="nil"/>
            </w:tcBorders>
          </w:tcPr>
          <w:p w14:paraId="7A4F7FF5">
            <w:pPr>
              <w:rPr>
                <w:rFonts w:ascii="Arial"/>
                <w:color w:val="auto"/>
                <w:highlight w:val="none"/>
              </w:rPr>
            </w:pPr>
          </w:p>
        </w:tc>
        <w:tc>
          <w:tcPr>
            <w:tcW w:w="614" w:type="dxa"/>
          </w:tcPr>
          <w:p w14:paraId="21463479">
            <w:pPr>
              <w:rPr>
                <w:rFonts w:ascii="Arial"/>
                <w:color w:val="auto"/>
                <w:highlight w:val="none"/>
              </w:rPr>
            </w:pPr>
          </w:p>
        </w:tc>
        <w:tc>
          <w:tcPr>
            <w:tcW w:w="616" w:type="dxa"/>
          </w:tcPr>
          <w:p w14:paraId="48287565">
            <w:pPr>
              <w:rPr>
                <w:rFonts w:ascii="Arial"/>
                <w:color w:val="auto"/>
                <w:highlight w:val="none"/>
              </w:rPr>
            </w:pPr>
          </w:p>
        </w:tc>
        <w:tc>
          <w:tcPr>
            <w:tcW w:w="614" w:type="dxa"/>
          </w:tcPr>
          <w:p w14:paraId="2FB34E18">
            <w:pPr>
              <w:rPr>
                <w:rFonts w:ascii="Arial"/>
                <w:color w:val="auto"/>
                <w:highlight w:val="none"/>
              </w:rPr>
            </w:pPr>
          </w:p>
        </w:tc>
        <w:tc>
          <w:tcPr>
            <w:tcW w:w="614" w:type="dxa"/>
          </w:tcPr>
          <w:p w14:paraId="4CD06039">
            <w:pPr>
              <w:rPr>
                <w:rFonts w:ascii="Arial"/>
                <w:color w:val="auto"/>
                <w:highlight w:val="none"/>
              </w:rPr>
            </w:pPr>
          </w:p>
        </w:tc>
        <w:tc>
          <w:tcPr>
            <w:tcW w:w="614" w:type="dxa"/>
          </w:tcPr>
          <w:p w14:paraId="399A7901">
            <w:pPr>
              <w:rPr>
                <w:rFonts w:ascii="Arial"/>
                <w:color w:val="auto"/>
                <w:highlight w:val="none"/>
              </w:rPr>
            </w:pPr>
          </w:p>
        </w:tc>
        <w:tc>
          <w:tcPr>
            <w:tcW w:w="616" w:type="dxa"/>
          </w:tcPr>
          <w:p w14:paraId="479036A1">
            <w:pPr>
              <w:rPr>
                <w:rFonts w:ascii="Arial"/>
                <w:color w:val="auto"/>
                <w:highlight w:val="none"/>
              </w:rPr>
            </w:pPr>
          </w:p>
        </w:tc>
        <w:tc>
          <w:tcPr>
            <w:tcW w:w="614" w:type="dxa"/>
          </w:tcPr>
          <w:p w14:paraId="582097D5">
            <w:pPr>
              <w:rPr>
                <w:rFonts w:ascii="Arial"/>
                <w:color w:val="auto"/>
                <w:highlight w:val="none"/>
              </w:rPr>
            </w:pPr>
          </w:p>
        </w:tc>
        <w:tc>
          <w:tcPr>
            <w:tcW w:w="614" w:type="dxa"/>
          </w:tcPr>
          <w:p w14:paraId="09A8F2A8">
            <w:pPr>
              <w:rPr>
                <w:rFonts w:ascii="Arial"/>
                <w:color w:val="auto"/>
                <w:highlight w:val="none"/>
              </w:rPr>
            </w:pPr>
          </w:p>
        </w:tc>
        <w:tc>
          <w:tcPr>
            <w:tcW w:w="615" w:type="dxa"/>
          </w:tcPr>
          <w:p w14:paraId="3F76ECC1">
            <w:pPr>
              <w:rPr>
                <w:rFonts w:ascii="Arial"/>
                <w:color w:val="auto"/>
                <w:highlight w:val="none"/>
              </w:rPr>
            </w:pPr>
          </w:p>
        </w:tc>
        <w:tc>
          <w:tcPr>
            <w:tcW w:w="756" w:type="dxa"/>
            <w:vMerge w:val="continue"/>
            <w:tcBorders>
              <w:top w:val="nil"/>
            </w:tcBorders>
          </w:tcPr>
          <w:p w14:paraId="06BDE915">
            <w:pPr>
              <w:rPr>
                <w:rFonts w:ascii="Arial"/>
                <w:color w:val="auto"/>
                <w:highlight w:val="none"/>
              </w:rPr>
            </w:pPr>
          </w:p>
        </w:tc>
      </w:tr>
      <w:tr w14:paraId="5CBA88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05" w:type="dxa"/>
          </w:tcPr>
          <w:p w14:paraId="6D7ACDA5">
            <w:pPr>
              <w:pStyle w:val="185"/>
              <w:spacing w:before="177" w:line="242" w:lineRule="auto"/>
              <w:ind w:left="321"/>
              <w:rPr>
                <w:color w:val="auto"/>
                <w:highlight w:val="none"/>
              </w:rPr>
            </w:pPr>
            <w:r>
              <w:rPr>
                <w:color w:val="auto"/>
                <w:highlight w:val="none"/>
              </w:rPr>
              <w:t>1</w:t>
            </w:r>
          </w:p>
        </w:tc>
        <w:tc>
          <w:tcPr>
            <w:tcW w:w="1315" w:type="dxa"/>
          </w:tcPr>
          <w:p w14:paraId="58DB23AA">
            <w:pPr>
              <w:rPr>
                <w:rFonts w:ascii="Arial"/>
                <w:color w:val="auto"/>
                <w:highlight w:val="none"/>
              </w:rPr>
            </w:pPr>
          </w:p>
        </w:tc>
        <w:tc>
          <w:tcPr>
            <w:tcW w:w="614" w:type="dxa"/>
          </w:tcPr>
          <w:p w14:paraId="18032315">
            <w:pPr>
              <w:rPr>
                <w:rFonts w:ascii="Arial"/>
                <w:color w:val="auto"/>
                <w:highlight w:val="none"/>
              </w:rPr>
            </w:pPr>
          </w:p>
        </w:tc>
        <w:tc>
          <w:tcPr>
            <w:tcW w:w="616" w:type="dxa"/>
          </w:tcPr>
          <w:p w14:paraId="74F786CB">
            <w:pPr>
              <w:rPr>
                <w:rFonts w:ascii="Arial"/>
                <w:color w:val="auto"/>
                <w:highlight w:val="none"/>
              </w:rPr>
            </w:pPr>
          </w:p>
        </w:tc>
        <w:tc>
          <w:tcPr>
            <w:tcW w:w="614" w:type="dxa"/>
          </w:tcPr>
          <w:p w14:paraId="51CFBA47">
            <w:pPr>
              <w:rPr>
                <w:rFonts w:ascii="Arial"/>
                <w:color w:val="auto"/>
                <w:highlight w:val="none"/>
              </w:rPr>
            </w:pPr>
          </w:p>
        </w:tc>
        <w:tc>
          <w:tcPr>
            <w:tcW w:w="614" w:type="dxa"/>
          </w:tcPr>
          <w:p w14:paraId="7FB7D5A4">
            <w:pPr>
              <w:rPr>
                <w:rFonts w:ascii="Arial"/>
                <w:color w:val="auto"/>
                <w:highlight w:val="none"/>
              </w:rPr>
            </w:pPr>
          </w:p>
        </w:tc>
        <w:tc>
          <w:tcPr>
            <w:tcW w:w="614" w:type="dxa"/>
          </w:tcPr>
          <w:p w14:paraId="7C82288E">
            <w:pPr>
              <w:rPr>
                <w:rFonts w:ascii="Arial"/>
                <w:color w:val="auto"/>
                <w:highlight w:val="none"/>
              </w:rPr>
            </w:pPr>
          </w:p>
        </w:tc>
        <w:tc>
          <w:tcPr>
            <w:tcW w:w="616" w:type="dxa"/>
          </w:tcPr>
          <w:p w14:paraId="413AEC85">
            <w:pPr>
              <w:rPr>
                <w:rFonts w:ascii="Arial"/>
                <w:color w:val="auto"/>
                <w:highlight w:val="none"/>
              </w:rPr>
            </w:pPr>
          </w:p>
        </w:tc>
        <w:tc>
          <w:tcPr>
            <w:tcW w:w="614" w:type="dxa"/>
          </w:tcPr>
          <w:p w14:paraId="3CDD5D5A">
            <w:pPr>
              <w:rPr>
                <w:rFonts w:ascii="Arial"/>
                <w:color w:val="auto"/>
                <w:highlight w:val="none"/>
              </w:rPr>
            </w:pPr>
          </w:p>
        </w:tc>
        <w:tc>
          <w:tcPr>
            <w:tcW w:w="614" w:type="dxa"/>
          </w:tcPr>
          <w:p w14:paraId="394023D7">
            <w:pPr>
              <w:rPr>
                <w:rFonts w:ascii="Arial"/>
                <w:color w:val="auto"/>
                <w:highlight w:val="none"/>
              </w:rPr>
            </w:pPr>
          </w:p>
        </w:tc>
        <w:tc>
          <w:tcPr>
            <w:tcW w:w="615" w:type="dxa"/>
          </w:tcPr>
          <w:p w14:paraId="5BD783F0">
            <w:pPr>
              <w:rPr>
                <w:rFonts w:ascii="Arial"/>
                <w:color w:val="auto"/>
                <w:highlight w:val="none"/>
              </w:rPr>
            </w:pPr>
          </w:p>
        </w:tc>
        <w:tc>
          <w:tcPr>
            <w:tcW w:w="756" w:type="dxa"/>
          </w:tcPr>
          <w:p w14:paraId="56792277">
            <w:pPr>
              <w:rPr>
                <w:rFonts w:ascii="Arial"/>
                <w:color w:val="auto"/>
                <w:highlight w:val="none"/>
              </w:rPr>
            </w:pPr>
          </w:p>
        </w:tc>
      </w:tr>
      <w:tr w14:paraId="34CF10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705" w:type="dxa"/>
          </w:tcPr>
          <w:p w14:paraId="6D349F41">
            <w:pPr>
              <w:pStyle w:val="185"/>
              <w:spacing w:before="180" w:line="242" w:lineRule="auto"/>
              <w:ind w:left="308"/>
              <w:rPr>
                <w:color w:val="auto"/>
                <w:highlight w:val="none"/>
              </w:rPr>
            </w:pPr>
            <w:r>
              <w:rPr>
                <w:color w:val="auto"/>
                <w:highlight w:val="none"/>
              </w:rPr>
              <w:t>2</w:t>
            </w:r>
          </w:p>
        </w:tc>
        <w:tc>
          <w:tcPr>
            <w:tcW w:w="1315" w:type="dxa"/>
          </w:tcPr>
          <w:p w14:paraId="2EC9D142">
            <w:pPr>
              <w:rPr>
                <w:rFonts w:ascii="Arial"/>
                <w:color w:val="auto"/>
                <w:highlight w:val="none"/>
              </w:rPr>
            </w:pPr>
          </w:p>
        </w:tc>
        <w:tc>
          <w:tcPr>
            <w:tcW w:w="614" w:type="dxa"/>
          </w:tcPr>
          <w:p w14:paraId="3640AEAA">
            <w:pPr>
              <w:rPr>
                <w:rFonts w:ascii="Arial"/>
                <w:color w:val="auto"/>
                <w:highlight w:val="none"/>
              </w:rPr>
            </w:pPr>
          </w:p>
        </w:tc>
        <w:tc>
          <w:tcPr>
            <w:tcW w:w="616" w:type="dxa"/>
          </w:tcPr>
          <w:p w14:paraId="19F695BC">
            <w:pPr>
              <w:rPr>
                <w:rFonts w:ascii="Arial"/>
                <w:color w:val="auto"/>
                <w:highlight w:val="none"/>
              </w:rPr>
            </w:pPr>
          </w:p>
        </w:tc>
        <w:tc>
          <w:tcPr>
            <w:tcW w:w="614" w:type="dxa"/>
          </w:tcPr>
          <w:p w14:paraId="7498B694">
            <w:pPr>
              <w:rPr>
                <w:rFonts w:ascii="Arial"/>
                <w:color w:val="auto"/>
                <w:highlight w:val="none"/>
              </w:rPr>
            </w:pPr>
          </w:p>
        </w:tc>
        <w:tc>
          <w:tcPr>
            <w:tcW w:w="614" w:type="dxa"/>
          </w:tcPr>
          <w:p w14:paraId="5F935AB7">
            <w:pPr>
              <w:rPr>
                <w:rFonts w:ascii="Arial"/>
                <w:color w:val="auto"/>
                <w:highlight w:val="none"/>
              </w:rPr>
            </w:pPr>
          </w:p>
        </w:tc>
        <w:tc>
          <w:tcPr>
            <w:tcW w:w="614" w:type="dxa"/>
          </w:tcPr>
          <w:p w14:paraId="7F47B269">
            <w:pPr>
              <w:rPr>
                <w:rFonts w:ascii="Arial"/>
                <w:color w:val="auto"/>
                <w:highlight w:val="none"/>
              </w:rPr>
            </w:pPr>
          </w:p>
        </w:tc>
        <w:tc>
          <w:tcPr>
            <w:tcW w:w="616" w:type="dxa"/>
          </w:tcPr>
          <w:p w14:paraId="144623AA">
            <w:pPr>
              <w:rPr>
                <w:rFonts w:ascii="Arial"/>
                <w:color w:val="auto"/>
                <w:highlight w:val="none"/>
              </w:rPr>
            </w:pPr>
          </w:p>
        </w:tc>
        <w:tc>
          <w:tcPr>
            <w:tcW w:w="614" w:type="dxa"/>
          </w:tcPr>
          <w:p w14:paraId="6CF22C50">
            <w:pPr>
              <w:rPr>
                <w:rFonts w:ascii="Arial"/>
                <w:color w:val="auto"/>
                <w:highlight w:val="none"/>
              </w:rPr>
            </w:pPr>
          </w:p>
        </w:tc>
        <w:tc>
          <w:tcPr>
            <w:tcW w:w="614" w:type="dxa"/>
          </w:tcPr>
          <w:p w14:paraId="7D705517">
            <w:pPr>
              <w:rPr>
                <w:rFonts w:ascii="Arial"/>
                <w:color w:val="auto"/>
                <w:highlight w:val="none"/>
              </w:rPr>
            </w:pPr>
          </w:p>
        </w:tc>
        <w:tc>
          <w:tcPr>
            <w:tcW w:w="615" w:type="dxa"/>
          </w:tcPr>
          <w:p w14:paraId="12A391BB">
            <w:pPr>
              <w:rPr>
                <w:rFonts w:ascii="Arial"/>
                <w:color w:val="auto"/>
                <w:highlight w:val="none"/>
              </w:rPr>
            </w:pPr>
          </w:p>
        </w:tc>
        <w:tc>
          <w:tcPr>
            <w:tcW w:w="756" w:type="dxa"/>
          </w:tcPr>
          <w:p w14:paraId="51F319E9">
            <w:pPr>
              <w:rPr>
                <w:rFonts w:ascii="Arial"/>
                <w:color w:val="auto"/>
                <w:highlight w:val="none"/>
              </w:rPr>
            </w:pPr>
          </w:p>
        </w:tc>
      </w:tr>
      <w:tr w14:paraId="7E6A45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05" w:type="dxa"/>
          </w:tcPr>
          <w:p w14:paraId="39C58CB0">
            <w:pPr>
              <w:pStyle w:val="185"/>
              <w:spacing w:before="177" w:line="241" w:lineRule="auto"/>
              <w:ind w:left="309"/>
              <w:rPr>
                <w:color w:val="auto"/>
                <w:highlight w:val="none"/>
              </w:rPr>
            </w:pPr>
            <w:r>
              <w:rPr>
                <w:color w:val="auto"/>
                <w:highlight w:val="none"/>
              </w:rPr>
              <w:t>3</w:t>
            </w:r>
          </w:p>
        </w:tc>
        <w:tc>
          <w:tcPr>
            <w:tcW w:w="1315" w:type="dxa"/>
          </w:tcPr>
          <w:p w14:paraId="34293DF2">
            <w:pPr>
              <w:rPr>
                <w:rFonts w:ascii="Arial"/>
                <w:color w:val="auto"/>
                <w:highlight w:val="none"/>
              </w:rPr>
            </w:pPr>
          </w:p>
        </w:tc>
        <w:tc>
          <w:tcPr>
            <w:tcW w:w="614" w:type="dxa"/>
          </w:tcPr>
          <w:p w14:paraId="641F065A">
            <w:pPr>
              <w:rPr>
                <w:rFonts w:ascii="Arial"/>
                <w:color w:val="auto"/>
                <w:highlight w:val="none"/>
              </w:rPr>
            </w:pPr>
          </w:p>
        </w:tc>
        <w:tc>
          <w:tcPr>
            <w:tcW w:w="616" w:type="dxa"/>
          </w:tcPr>
          <w:p w14:paraId="4EE609AA">
            <w:pPr>
              <w:rPr>
                <w:rFonts w:ascii="Arial"/>
                <w:color w:val="auto"/>
                <w:highlight w:val="none"/>
              </w:rPr>
            </w:pPr>
          </w:p>
        </w:tc>
        <w:tc>
          <w:tcPr>
            <w:tcW w:w="614" w:type="dxa"/>
          </w:tcPr>
          <w:p w14:paraId="45958DAF">
            <w:pPr>
              <w:rPr>
                <w:rFonts w:ascii="Arial"/>
                <w:color w:val="auto"/>
                <w:highlight w:val="none"/>
              </w:rPr>
            </w:pPr>
          </w:p>
        </w:tc>
        <w:tc>
          <w:tcPr>
            <w:tcW w:w="614" w:type="dxa"/>
          </w:tcPr>
          <w:p w14:paraId="37CA4B41">
            <w:pPr>
              <w:rPr>
                <w:rFonts w:ascii="Arial"/>
                <w:color w:val="auto"/>
                <w:highlight w:val="none"/>
              </w:rPr>
            </w:pPr>
          </w:p>
        </w:tc>
        <w:tc>
          <w:tcPr>
            <w:tcW w:w="614" w:type="dxa"/>
          </w:tcPr>
          <w:p w14:paraId="7DE65A4B">
            <w:pPr>
              <w:rPr>
                <w:rFonts w:ascii="Arial"/>
                <w:color w:val="auto"/>
                <w:highlight w:val="none"/>
              </w:rPr>
            </w:pPr>
          </w:p>
        </w:tc>
        <w:tc>
          <w:tcPr>
            <w:tcW w:w="616" w:type="dxa"/>
          </w:tcPr>
          <w:p w14:paraId="26D40639">
            <w:pPr>
              <w:rPr>
                <w:rFonts w:ascii="Arial"/>
                <w:color w:val="auto"/>
                <w:highlight w:val="none"/>
              </w:rPr>
            </w:pPr>
          </w:p>
        </w:tc>
        <w:tc>
          <w:tcPr>
            <w:tcW w:w="614" w:type="dxa"/>
          </w:tcPr>
          <w:p w14:paraId="28929704">
            <w:pPr>
              <w:rPr>
                <w:rFonts w:ascii="Arial"/>
                <w:color w:val="auto"/>
                <w:highlight w:val="none"/>
              </w:rPr>
            </w:pPr>
          </w:p>
        </w:tc>
        <w:tc>
          <w:tcPr>
            <w:tcW w:w="614" w:type="dxa"/>
          </w:tcPr>
          <w:p w14:paraId="3BC75ADE">
            <w:pPr>
              <w:rPr>
                <w:rFonts w:ascii="Arial"/>
                <w:color w:val="auto"/>
                <w:highlight w:val="none"/>
              </w:rPr>
            </w:pPr>
          </w:p>
        </w:tc>
        <w:tc>
          <w:tcPr>
            <w:tcW w:w="615" w:type="dxa"/>
          </w:tcPr>
          <w:p w14:paraId="2C479446">
            <w:pPr>
              <w:rPr>
                <w:rFonts w:ascii="Arial"/>
                <w:color w:val="auto"/>
                <w:highlight w:val="none"/>
              </w:rPr>
            </w:pPr>
          </w:p>
        </w:tc>
        <w:tc>
          <w:tcPr>
            <w:tcW w:w="756" w:type="dxa"/>
          </w:tcPr>
          <w:p w14:paraId="641A88C1">
            <w:pPr>
              <w:rPr>
                <w:rFonts w:ascii="Arial"/>
                <w:color w:val="auto"/>
                <w:highlight w:val="none"/>
              </w:rPr>
            </w:pPr>
          </w:p>
        </w:tc>
      </w:tr>
      <w:tr w14:paraId="62606C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705" w:type="dxa"/>
          </w:tcPr>
          <w:p w14:paraId="78E147B2">
            <w:pPr>
              <w:pStyle w:val="185"/>
              <w:spacing w:before="180" w:line="242" w:lineRule="auto"/>
              <w:ind w:left="304"/>
              <w:rPr>
                <w:color w:val="auto"/>
                <w:highlight w:val="none"/>
              </w:rPr>
            </w:pPr>
            <w:r>
              <w:rPr>
                <w:color w:val="auto"/>
                <w:highlight w:val="none"/>
              </w:rPr>
              <w:t>4</w:t>
            </w:r>
          </w:p>
        </w:tc>
        <w:tc>
          <w:tcPr>
            <w:tcW w:w="1315" w:type="dxa"/>
          </w:tcPr>
          <w:p w14:paraId="28D19B21">
            <w:pPr>
              <w:rPr>
                <w:rFonts w:ascii="Arial"/>
                <w:color w:val="auto"/>
                <w:highlight w:val="none"/>
              </w:rPr>
            </w:pPr>
          </w:p>
        </w:tc>
        <w:tc>
          <w:tcPr>
            <w:tcW w:w="614" w:type="dxa"/>
          </w:tcPr>
          <w:p w14:paraId="102EDFAC">
            <w:pPr>
              <w:rPr>
                <w:rFonts w:ascii="Arial"/>
                <w:color w:val="auto"/>
                <w:highlight w:val="none"/>
              </w:rPr>
            </w:pPr>
          </w:p>
        </w:tc>
        <w:tc>
          <w:tcPr>
            <w:tcW w:w="616" w:type="dxa"/>
          </w:tcPr>
          <w:p w14:paraId="7D9D616E">
            <w:pPr>
              <w:rPr>
                <w:rFonts w:ascii="Arial"/>
                <w:color w:val="auto"/>
                <w:highlight w:val="none"/>
              </w:rPr>
            </w:pPr>
          </w:p>
        </w:tc>
        <w:tc>
          <w:tcPr>
            <w:tcW w:w="614" w:type="dxa"/>
          </w:tcPr>
          <w:p w14:paraId="45953C20">
            <w:pPr>
              <w:rPr>
                <w:rFonts w:ascii="Arial"/>
                <w:color w:val="auto"/>
                <w:highlight w:val="none"/>
              </w:rPr>
            </w:pPr>
          </w:p>
        </w:tc>
        <w:tc>
          <w:tcPr>
            <w:tcW w:w="614" w:type="dxa"/>
          </w:tcPr>
          <w:p w14:paraId="02A6CFBA">
            <w:pPr>
              <w:rPr>
                <w:rFonts w:ascii="Arial"/>
                <w:color w:val="auto"/>
                <w:highlight w:val="none"/>
              </w:rPr>
            </w:pPr>
          </w:p>
        </w:tc>
        <w:tc>
          <w:tcPr>
            <w:tcW w:w="614" w:type="dxa"/>
          </w:tcPr>
          <w:p w14:paraId="65167027">
            <w:pPr>
              <w:rPr>
                <w:rFonts w:ascii="Arial"/>
                <w:color w:val="auto"/>
                <w:highlight w:val="none"/>
              </w:rPr>
            </w:pPr>
          </w:p>
        </w:tc>
        <w:tc>
          <w:tcPr>
            <w:tcW w:w="616" w:type="dxa"/>
          </w:tcPr>
          <w:p w14:paraId="7C869A7B">
            <w:pPr>
              <w:rPr>
                <w:rFonts w:ascii="Arial"/>
                <w:color w:val="auto"/>
                <w:highlight w:val="none"/>
              </w:rPr>
            </w:pPr>
          </w:p>
        </w:tc>
        <w:tc>
          <w:tcPr>
            <w:tcW w:w="614" w:type="dxa"/>
          </w:tcPr>
          <w:p w14:paraId="6D32C425">
            <w:pPr>
              <w:rPr>
                <w:rFonts w:ascii="Arial"/>
                <w:color w:val="auto"/>
                <w:highlight w:val="none"/>
              </w:rPr>
            </w:pPr>
          </w:p>
        </w:tc>
        <w:tc>
          <w:tcPr>
            <w:tcW w:w="614" w:type="dxa"/>
          </w:tcPr>
          <w:p w14:paraId="113BD295">
            <w:pPr>
              <w:rPr>
                <w:rFonts w:ascii="Arial"/>
                <w:color w:val="auto"/>
                <w:highlight w:val="none"/>
              </w:rPr>
            </w:pPr>
          </w:p>
        </w:tc>
        <w:tc>
          <w:tcPr>
            <w:tcW w:w="615" w:type="dxa"/>
          </w:tcPr>
          <w:p w14:paraId="3449092C">
            <w:pPr>
              <w:rPr>
                <w:rFonts w:ascii="Arial"/>
                <w:color w:val="auto"/>
                <w:highlight w:val="none"/>
              </w:rPr>
            </w:pPr>
          </w:p>
        </w:tc>
        <w:tc>
          <w:tcPr>
            <w:tcW w:w="756" w:type="dxa"/>
          </w:tcPr>
          <w:p w14:paraId="0E91F5EB">
            <w:pPr>
              <w:rPr>
                <w:rFonts w:ascii="Arial"/>
                <w:color w:val="auto"/>
                <w:highlight w:val="none"/>
              </w:rPr>
            </w:pPr>
          </w:p>
        </w:tc>
      </w:tr>
      <w:tr w14:paraId="328401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05" w:type="dxa"/>
          </w:tcPr>
          <w:p w14:paraId="36100572">
            <w:pPr>
              <w:pStyle w:val="185"/>
              <w:spacing w:before="178" w:line="241" w:lineRule="auto"/>
              <w:ind w:left="309"/>
              <w:rPr>
                <w:color w:val="auto"/>
                <w:highlight w:val="none"/>
              </w:rPr>
            </w:pPr>
            <w:r>
              <w:rPr>
                <w:color w:val="auto"/>
                <w:highlight w:val="none"/>
              </w:rPr>
              <w:t>5</w:t>
            </w:r>
          </w:p>
        </w:tc>
        <w:tc>
          <w:tcPr>
            <w:tcW w:w="1315" w:type="dxa"/>
          </w:tcPr>
          <w:p w14:paraId="0C92B56B">
            <w:pPr>
              <w:rPr>
                <w:rFonts w:ascii="Arial"/>
                <w:color w:val="auto"/>
                <w:highlight w:val="none"/>
              </w:rPr>
            </w:pPr>
          </w:p>
        </w:tc>
        <w:tc>
          <w:tcPr>
            <w:tcW w:w="614" w:type="dxa"/>
          </w:tcPr>
          <w:p w14:paraId="069BE9E9">
            <w:pPr>
              <w:rPr>
                <w:rFonts w:ascii="Arial"/>
                <w:color w:val="auto"/>
                <w:highlight w:val="none"/>
              </w:rPr>
            </w:pPr>
          </w:p>
        </w:tc>
        <w:tc>
          <w:tcPr>
            <w:tcW w:w="616" w:type="dxa"/>
          </w:tcPr>
          <w:p w14:paraId="5341D308">
            <w:pPr>
              <w:rPr>
                <w:rFonts w:ascii="Arial"/>
                <w:color w:val="auto"/>
                <w:highlight w:val="none"/>
              </w:rPr>
            </w:pPr>
          </w:p>
        </w:tc>
        <w:tc>
          <w:tcPr>
            <w:tcW w:w="614" w:type="dxa"/>
          </w:tcPr>
          <w:p w14:paraId="0CF8053B">
            <w:pPr>
              <w:rPr>
                <w:rFonts w:ascii="Arial"/>
                <w:color w:val="auto"/>
                <w:highlight w:val="none"/>
              </w:rPr>
            </w:pPr>
          </w:p>
        </w:tc>
        <w:tc>
          <w:tcPr>
            <w:tcW w:w="614" w:type="dxa"/>
          </w:tcPr>
          <w:p w14:paraId="7FACF831">
            <w:pPr>
              <w:rPr>
                <w:rFonts w:ascii="Arial"/>
                <w:color w:val="auto"/>
                <w:highlight w:val="none"/>
              </w:rPr>
            </w:pPr>
          </w:p>
        </w:tc>
        <w:tc>
          <w:tcPr>
            <w:tcW w:w="614" w:type="dxa"/>
          </w:tcPr>
          <w:p w14:paraId="453291B5">
            <w:pPr>
              <w:rPr>
                <w:rFonts w:ascii="Arial"/>
                <w:color w:val="auto"/>
                <w:highlight w:val="none"/>
              </w:rPr>
            </w:pPr>
          </w:p>
        </w:tc>
        <w:tc>
          <w:tcPr>
            <w:tcW w:w="616" w:type="dxa"/>
          </w:tcPr>
          <w:p w14:paraId="1FAB04D3">
            <w:pPr>
              <w:rPr>
                <w:rFonts w:ascii="Arial"/>
                <w:color w:val="auto"/>
                <w:highlight w:val="none"/>
              </w:rPr>
            </w:pPr>
          </w:p>
        </w:tc>
        <w:tc>
          <w:tcPr>
            <w:tcW w:w="614" w:type="dxa"/>
          </w:tcPr>
          <w:p w14:paraId="7E39DCD8">
            <w:pPr>
              <w:rPr>
                <w:rFonts w:ascii="Arial"/>
                <w:color w:val="auto"/>
                <w:highlight w:val="none"/>
              </w:rPr>
            </w:pPr>
          </w:p>
        </w:tc>
        <w:tc>
          <w:tcPr>
            <w:tcW w:w="614" w:type="dxa"/>
          </w:tcPr>
          <w:p w14:paraId="33DD8E1A">
            <w:pPr>
              <w:rPr>
                <w:rFonts w:ascii="Arial"/>
                <w:color w:val="auto"/>
                <w:highlight w:val="none"/>
              </w:rPr>
            </w:pPr>
          </w:p>
        </w:tc>
        <w:tc>
          <w:tcPr>
            <w:tcW w:w="615" w:type="dxa"/>
          </w:tcPr>
          <w:p w14:paraId="4278A55A">
            <w:pPr>
              <w:rPr>
                <w:rFonts w:ascii="Arial"/>
                <w:color w:val="auto"/>
                <w:highlight w:val="none"/>
              </w:rPr>
            </w:pPr>
          </w:p>
        </w:tc>
        <w:tc>
          <w:tcPr>
            <w:tcW w:w="756" w:type="dxa"/>
          </w:tcPr>
          <w:p w14:paraId="35ABA8AC">
            <w:pPr>
              <w:rPr>
                <w:rFonts w:ascii="Arial"/>
                <w:color w:val="auto"/>
                <w:highlight w:val="none"/>
              </w:rPr>
            </w:pPr>
          </w:p>
        </w:tc>
      </w:tr>
      <w:tr w14:paraId="2B5943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05" w:type="dxa"/>
          </w:tcPr>
          <w:p w14:paraId="44CB80D7">
            <w:pPr>
              <w:pStyle w:val="185"/>
              <w:spacing w:before="180" w:line="241" w:lineRule="auto"/>
              <w:ind w:left="307"/>
              <w:rPr>
                <w:color w:val="auto"/>
                <w:highlight w:val="none"/>
              </w:rPr>
            </w:pPr>
            <w:r>
              <w:rPr>
                <w:color w:val="auto"/>
                <w:highlight w:val="none"/>
              </w:rPr>
              <w:t>6</w:t>
            </w:r>
          </w:p>
        </w:tc>
        <w:tc>
          <w:tcPr>
            <w:tcW w:w="1315" w:type="dxa"/>
          </w:tcPr>
          <w:p w14:paraId="0AE6F8E4">
            <w:pPr>
              <w:rPr>
                <w:rFonts w:ascii="Arial"/>
                <w:color w:val="auto"/>
                <w:highlight w:val="none"/>
              </w:rPr>
            </w:pPr>
          </w:p>
        </w:tc>
        <w:tc>
          <w:tcPr>
            <w:tcW w:w="614" w:type="dxa"/>
          </w:tcPr>
          <w:p w14:paraId="5EDF9600">
            <w:pPr>
              <w:rPr>
                <w:rFonts w:ascii="Arial"/>
                <w:color w:val="auto"/>
                <w:highlight w:val="none"/>
              </w:rPr>
            </w:pPr>
          </w:p>
        </w:tc>
        <w:tc>
          <w:tcPr>
            <w:tcW w:w="616" w:type="dxa"/>
          </w:tcPr>
          <w:p w14:paraId="21B5E38A">
            <w:pPr>
              <w:rPr>
                <w:rFonts w:ascii="Arial"/>
                <w:color w:val="auto"/>
                <w:highlight w:val="none"/>
              </w:rPr>
            </w:pPr>
          </w:p>
        </w:tc>
        <w:tc>
          <w:tcPr>
            <w:tcW w:w="614" w:type="dxa"/>
          </w:tcPr>
          <w:p w14:paraId="718608FD">
            <w:pPr>
              <w:rPr>
                <w:rFonts w:ascii="Arial"/>
                <w:color w:val="auto"/>
                <w:highlight w:val="none"/>
              </w:rPr>
            </w:pPr>
          </w:p>
        </w:tc>
        <w:tc>
          <w:tcPr>
            <w:tcW w:w="614" w:type="dxa"/>
          </w:tcPr>
          <w:p w14:paraId="0D125195">
            <w:pPr>
              <w:rPr>
                <w:rFonts w:ascii="Arial"/>
                <w:color w:val="auto"/>
                <w:highlight w:val="none"/>
              </w:rPr>
            </w:pPr>
          </w:p>
        </w:tc>
        <w:tc>
          <w:tcPr>
            <w:tcW w:w="614" w:type="dxa"/>
          </w:tcPr>
          <w:p w14:paraId="5B887E6A">
            <w:pPr>
              <w:rPr>
                <w:rFonts w:ascii="Arial"/>
                <w:color w:val="auto"/>
                <w:highlight w:val="none"/>
              </w:rPr>
            </w:pPr>
          </w:p>
        </w:tc>
        <w:tc>
          <w:tcPr>
            <w:tcW w:w="616" w:type="dxa"/>
          </w:tcPr>
          <w:p w14:paraId="2F963974">
            <w:pPr>
              <w:rPr>
                <w:rFonts w:ascii="Arial"/>
                <w:color w:val="auto"/>
                <w:highlight w:val="none"/>
              </w:rPr>
            </w:pPr>
          </w:p>
        </w:tc>
        <w:tc>
          <w:tcPr>
            <w:tcW w:w="614" w:type="dxa"/>
          </w:tcPr>
          <w:p w14:paraId="0392C2C4">
            <w:pPr>
              <w:rPr>
                <w:rFonts w:ascii="Arial"/>
                <w:color w:val="auto"/>
                <w:highlight w:val="none"/>
              </w:rPr>
            </w:pPr>
          </w:p>
        </w:tc>
        <w:tc>
          <w:tcPr>
            <w:tcW w:w="614" w:type="dxa"/>
          </w:tcPr>
          <w:p w14:paraId="0007EA11">
            <w:pPr>
              <w:rPr>
                <w:rFonts w:ascii="Arial"/>
                <w:color w:val="auto"/>
                <w:highlight w:val="none"/>
              </w:rPr>
            </w:pPr>
          </w:p>
        </w:tc>
        <w:tc>
          <w:tcPr>
            <w:tcW w:w="615" w:type="dxa"/>
          </w:tcPr>
          <w:p w14:paraId="7AC80CAD">
            <w:pPr>
              <w:rPr>
                <w:rFonts w:ascii="Arial"/>
                <w:color w:val="auto"/>
                <w:highlight w:val="none"/>
              </w:rPr>
            </w:pPr>
          </w:p>
        </w:tc>
        <w:tc>
          <w:tcPr>
            <w:tcW w:w="756" w:type="dxa"/>
          </w:tcPr>
          <w:p w14:paraId="53E91675">
            <w:pPr>
              <w:rPr>
                <w:rFonts w:ascii="Arial"/>
                <w:color w:val="auto"/>
                <w:highlight w:val="none"/>
              </w:rPr>
            </w:pPr>
          </w:p>
        </w:tc>
      </w:tr>
      <w:tr w14:paraId="3A9C41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705" w:type="dxa"/>
          </w:tcPr>
          <w:p w14:paraId="4802238B">
            <w:pPr>
              <w:pStyle w:val="185"/>
              <w:spacing w:before="181" w:line="332" w:lineRule="exact"/>
              <w:ind w:left="266"/>
              <w:rPr>
                <w:color w:val="auto"/>
                <w:highlight w:val="none"/>
              </w:rPr>
            </w:pPr>
            <w:r>
              <w:rPr>
                <w:color w:val="auto"/>
                <w:position w:val="2"/>
                <w:highlight w:val="none"/>
              </w:rPr>
              <w:t>…</w:t>
            </w:r>
          </w:p>
        </w:tc>
        <w:tc>
          <w:tcPr>
            <w:tcW w:w="1315" w:type="dxa"/>
          </w:tcPr>
          <w:p w14:paraId="1A288AF0">
            <w:pPr>
              <w:rPr>
                <w:rFonts w:ascii="Arial"/>
                <w:color w:val="auto"/>
                <w:highlight w:val="none"/>
              </w:rPr>
            </w:pPr>
          </w:p>
        </w:tc>
        <w:tc>
          <w:tcPr>
            <w:tcW w:w="614" w:type="dxa"/>
          </w:tcPr>
          <w:p w14:paraId="789EE4AF">
            <w:pPr>
              <w:rPr>
                <w:rFonts w:ascii="Arial"/>
                <w:color w:val="auto"/>
                <w:highlight w:val="none"/>
              </w:rPr>
            </w:pPr>
          </w:p>
        </w:tc>
        <w:tc>
          <w:tcPr>
            <w:tcW w:w="616" w:type="dxa"/>
          </w:tcPr>
          <w:p w14:paraId="57783AE4">
            <w:pPr>
              <w:rPr>
                <w:rFonts w:ascii="Arial"/>
                <w:color w:val="auto"/>
                <w:highlight w:val="none"/>
              </w:rPr>
            </w:pPr>
          </w:p>
        </w:tc>
        <w:tc>
          <w:tcPr>
            <w:tcW w:w="614" w:type="dxa"/>
          </w:tcPr>
          <w:p w14:paraId="5F9B663D">
            <w:pPr>
              <w:rPr>
                <w:rFonts w:ascii="Arial"/>
                <w:color w:val="auto"/>
                <w:highlight w:val="none"/>
              </w:rPr>
            </w:pPr>
          </w:p>
        </w:tc>
        <w:tc>
          <w:tcPr>
            <w:tcW w:w="614" w:type="dxa"/>
          </w:tcPr>
          <w:p w14:paraId="2FEF3CBC">
            <w:pPr>
              <w:rPr>
                <w:rFonts w:ascii="Arial"/>
                <w:color w:val="auto"/>
                <w:highlight w:val="none"/>
              </w:rPr>
            </w:pPr>
          </w:p>
        </w:tc>
        <w:tc>
          <w:tcPr>
            <w:tcW w:w="614" w:type="dxa"/>
          </w:tcPr>
          <w:p w14:paraId="136F7924">
            <w:pPr>
              <w:rPr>
                <w:rFonts w:ascii="Arial"/>
                <w:color w:val="auto"/>
                <w:highlight w:val="none"/>
              </w:rPr>
            </w:pPr>
          </w:p>
        </w:tc>
        <w:tc>
          <w:tcPr>
            <w:tcW w:w="616" w:type="dxa"/>
          </w:tcPr>
          <w:p w14:paraId="4969FB97">
            <w:pPr>
              <w:rPr>
                <w:rFonts w:ascii="Arial"/>
                <w:color w:val="auto"/>
                <w:highlight w:val="none"/>
              </w:rPr>
            </w:pPr>
          </w:p>
        </w:tc>
        <w:tc>
          <w:tcPr>
            <w:tcW w:w="614" w:type="dxa"/>
          </w:tcPr>
          <w:p w14:paraId="088CA1AD">
            <w:pPr>
              <w:rPr>
                <w:rFonts w:ascii="Arial"/>
                <w:color w:val="auto"/>
                <w:highlight w:val="none"/>
              </w:rPr>
            </w:pPr>
          </w:p>
        </w:tc>
        <w:tc>
          <w:tcPr>
            <w:tcW w:w="614" w:type="dxa"/>
          </w:tcPr>
          <w:p w14:paraId="14255282">
            <w:pPr>
              <w:rPr>
                <w:rFonts w:ascii="Arial"/>
                <w:color w:val="auto"/>
                <w:highlight w:val="none"/>
              </w:rPr>
            </w:pPr>
          </w:p>
        </w:tc>
        <w:tc>
          <w:tcPr>
            <w:tcW w:w="615" w:type="dxa"/>
          </w:tcPr>
          <w:p w14:paraId="7C52E088">
            <w:pPr>
              <w:rPr>
                <w:rFonts w:ascii="Arial"/>
                <w:color w:val="auto"/>
                <w:highlight w:val="none"/>
              </w:rPr>
            </w:pPr>
          </w:p>
        </w:tc>
        <w:tc>
          <w:tcPr>
            <w:tcW w:w="756" w:type="dxa"/>
          </w:tcPr>
          <w:p w14:paraId="03AF2C72">
            <w:pPr>
              <w:rPr>
                <w:rFonts w:ascii="Arial"/>
                <w:color w:val="auto"/>
                <w:highlight w:val="none"/>
              </w:rPr>
            </w:pPr>
          </w:p>
        </w:tc>
      </w:tr>
      <w:tr w14:paraId="423114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9" w:hRule="atLeast"/>
        </w:trPr>
        <w:tc>
          <w:tcPr>
            <w:tcW w:w="8307" w:type="dxa"/>
            <w:gridSpan w:val="12"/>
          </w:tcPr>
          <w:p w14:paraId="33FDBCD5">
            <w:pPr>
              <w:pStyle w:val="185"/>
              <w:spacing w:before="80" w:line="220" w:lineRule="auto"/>
              <w:ind w:left="115"/>
              <w:rPr>
                <w:color w:val="auto"/>
                <w:highlight w:val="none"/>
                <w:lang w:eastAsia="zh-CN"/>
              </w:rPr>
            </w:pPr>
            <w:r>
              <w:rPr>
                <w:color w:val="auto"/>
                <w:spacing w:val="-1"/>
                <w:highlight w:val="none"/>
                <w:lang w:eastAsia="zh-CN"/>
              </w:rPr>
              <w:t>评标委员会全体成员签名：</w:t>
            </w:r>
          </w:p>
        </w:tc>
      </w:tr>
    </w:tbl>
    <w:p w14:paraId="11F23196">
      <w:pPr>
        <w:spacing w:before="139" w:line="221" w:lineRule="auto"/>
        <w:ind w:left="5731"/>
        <w:rPr>
          <w:rFonts w:ascii="宋体" w:hAnsi="宋体" w:cs="宋体"/>
          <w:color w:val="auto"/>
          <w:spacing w:val="-11"/>
          <w:szCs w:val="21"/>
          <w:highlight w:val="none"/>
        </w:rPr>
      </w:pPr>
      <w:r>
        <w:rPr>
          <w:rFonts w:ascii="宋体" w:hAnsi="宋体" w:cs="宋体"/>
          <w:color w:val="auto"/>
          <w:spacing w:val="-11"/>
          <w:szCs w:val="21"/>
          <w:highlight w:val="none"/>
        </w:rPr>
        <w:t>日期：   年    月    日</w:t>
      </w:r>
    </w:p>
    <w:p w14:paraId="26C89714">
      <w:pPr>
        <w:spacing w:before="139" w:line="221" w:lineRule="auto"/>
        <w:ind w:left="5731"/>
        <w:rPr>
          <w:rFonts w:ascii="宋体" w:hAnsi="宋体" w:cs="宋体"/>
          <w:color w:val="auto"/>
          <w:szCs w:val="21"/>
          <w:highlight w:val="none"/>
        </w:rPr>
      </w:pPr>
    </w:p>
    <w:p w14:paraId="70EEA6C2">
      <w:pPr>
        <w:spacing w:line="221" w:lineRule="auto"/>
        <w:rPr>
          <w:rFonts w:ascii="宋体" w:hAnsi="宋体" w:cs="宋体"/>
          <w:color w:val="auto"/>
          <w:szCs w:val="21"/>
          <w:highlight w:val="none"/>
        </w:rPr>
        <w:sectPr>
          <w:footerReference r:id="rId26" w:type="default"/>
          <w:pgSz w:w="11907" w:h="16839"/>
          <w:pgMar w:top="1431" w:right="1785" w:bottom="1030" w:left="1785" w:header="0" w:footer="799" w:gutter="0"/>
          <w:pgNumType w:fmt="decimal"/>
          <w:cols w:space="720" w:num="1"/>
        </w:sectPr>
      </w:pPr>
    </w:p>
    <w:p w14:paraId="5BEB427D">
      <w:pPr>
        <w:spacing w:before="124" w:line="219" w:lineRule="auto"/>
        <w:ind w:left="152"/>
        <w:outlineLvl w:val="2"/>
        <w:rPr>
          <w:rFonts w:ascii="黑体" w:hAnsi="黑体" w:eastAsia="黑体" w:cs="黑体"/>
          <w:color w:val="auto"/>
          <w:sz w:val="24"/>
          <w:highlight w:val="none"/>
        </w:rPr>
      </w:pPr>
      <w:bookmarkStart w:id="282" w:name="bookmark413"/>
      <w:bookmarkEnd w:id="282"/>
      <w:bookmarkStart w:id="283" w:name="_Toc12281"/>
      <w:r>
        <w:rPr>
          <w:rFonts w:ascii="黑体" w:hAnsi="黑体" w:eastAsia="黑体" w:cs="黑体"/>
          <w:color w:val="auto"/>
          <w:spacing w:val="-3"/>
          <w:sz w:val="24"/>
          <w:highlight w:val="none"/>
        </w:rPr>
        <w:t>附表A-6：响应性评审记录表</w:t>
      </w:r>
      <w:bookmarkEnd w:id="283"/>
    </w:p>
    <w:p w14:paraId="1376CBB8">
      <w:pPr>
        <w:pStyle w:val="17"/>
        <w:spacing w:line="404" w:lineRule="auto"/>
        <w:rPr>
          <w:color w:val="auto"/>
          <w:highlight w:val="none"/>
        </w:rPr>
      </w:pPr>
    </w:p>
    <w:p w14:paraId="0FD16860">
      <w:pPr>
        <w:spacing w:before="117" w:line="219" w:lineRule="auto"/>
        <w:ind w:left="2755"/>
        <w:rPr>
          <w:rFonts w:ascii="黑体" w:hAnsi="黑体" w:eastAsia="黑体" w:cs="黑体"/>
          <w:color w:val="auto"/>
          <w:sz w:val="36"/>
          <w:szCs w:val="36"/>
          <w:highlight w:val="none"/>
        </w:rPr>
      </w:pPr>
      <w:bookmarkStart w:id="284" w:name="bookmark135"/>
      <w:bookmarkEnd w:id="284"/>
      <w:r>
        <w:rPr>
          <w:rFonts w:ascii="黑体" w:hAnsi="黑体" w:eastAsia="黑体" w:cs="黑体"/>
          <w:color w:val="auto"/>
          <w:spacing w:val="-4"/>
          <w:sz w:val="36"/>
          <w:szCs w:val="36"/>
          <w:highlight w:val="none"/>
        </w:rPr>
        <w:t>响应性评审记录表</w:t>
      </w:r>
    </w:p>
    <w:p w14:paraId="76F8C57F">
      <w:pPr>
        <w:spacing w:before="241" w:line="221" w:lineRule="auto"/>
        <w:ind w:left="21"/>
        <w:rPr>
          <w:rFonts w:ascii="宋体" w:hAnsi="宋体" w:cs="宋体"/>
          <w:color w:val="auto"/>
          <w:szCs w:val="21"/>
          <w:highlight w:val="none"/>
        </w:rPr>
      </w:pPr>
      <w:r>
        <w:rPr>
          <w:rFonts w:ascii="宋体" w:hAnsi="宋体" w:cs="宋体"/>
          <w:color w:val="auto"/>
          <w:spacing w:val="-7"/>
          <w:szCs w:val="21"/>
          <w:highlight w:val="none"/>
        </w:rPr>
        <w:t>标段名称：</w:t>
      </w:r>
    </w:p>
    <w:p w14:paraId="2613CDEA">
      <w:pPr>
        <w:spacing w:before="19" w:line="214" w:lineRule="auto"/>
        <w:ind w:left="21"/>
        <w:rPr>
          <w:rFonts w:ascii="宋体" w:hAnsi="宋体" w:cs="宋体"/>
          <w:color w:val="auto"/>
          <w:szCs w:val="21"/>
          <w:highlight w:val="none"/>
        </w:rPr>
      </w:pPr>
      <w:r>
        <w:rPr>
          <w:rFonts w:ascii="宋体" w:hAnsi="宋体" w:cs="宋体"/>
          <w:color w:val="auto"/>
          <w:spacing w:val="-1"/>
          <w:szCs w:val="21"/>
          <w:highlight w:val="none"/>
        </w:rPr>
        <w:t>标段唯一标识码：</w:t>
      </w:r>
    </w:p>
    <w:tbl>
      <w:tblPr>
        <w:tblStyle w:val="42"/>
        <w:tblW w:w="8307" w:type="dxa"/>
        <w:tblInd w:w="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8"/>
        <w:gridCol w:w="1543"/>
        <w:gridCol w:w="592"/>
        <w:gridCol w:w="595"/>
        <w:gridCol w:w="595"/>
        <w:gridCol w:w="593"/>
        <w:gridCol w:w="592"/>
        <w:gridCol w:w="592"/>
        <w:gridCol w:w="592"/>
        <w:gridCol w:w="593"/>
        <w:gridCol w:w="595"/>
        <w:gridCol w:w="717"/>
      </w:tblGrid>
      <w:tr w14:paraId="01A216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708" w:type="dxa"/>
            <w:vMerge w:val="restart"/>
            <w:tcBorders>
              <w:bottom w:val="nil"/>
            </w:tcBorders>
          </w:tcPr>
          <w:p w14:paraId="0BC9C27E">
            <w:pPr>
              <w:spacing w:line="252" w:lineRule="auto"/>
              <w:rPr>
                <w:rFonts w:ascii="Arial"/>
                <w:color w:val="auto"/>
                <w:highlight w:val="none"/>
              </w:rPr>
            </w:pPr>
          </w:p>
          <w:p w14:paraId="5D6428A2">
            <w:pPr>
              <w:pStyle w:val="185"/>
              <w:spacing w:before="68" w:line="222" w:lineRule="auto"/>
              <w:ind w:left="146"/>
              <w:rPr>
                <w:color w:val="auto"/>
                <w:highlight w:val="none"/>
              </w:rPr>
            </w:pPr>
            <w:r>
              <w:rPr>
                <w:b/>
                <w:bCs/>
                <w:color w:val="auto"/>
                <w:spacing w:val="-4"/>
                <w:highlight w:val="none"/>
              </w:rPr>
              <w:t>序号</w:t>
            </w:r>
          </w:p>
        </w:tc>
        <w:tc>
          <w:tcPr>
            <w:tcW w:w="1543" w:type="dxa"/>
            <w:vMerge w:val="restart"/>
            <w:tcBorders>
              <w:bottom w:val="nil"/>
            </w:tcBorders>
          </w:tcPr>
          <w:p w14:paraId="54938AA0">
            <w:pPr>
              <w:spacing w:line="252" w:lineRule="auto"/>
              <w:rPr>
                <w:rFonts w:ascii="Arial"/>
                <w:color w:val="auto"/>
                <w:highlight w:val="none"/>
              </w:rPr>
            </w:pPr>
          </w:p>
          <w:p w14:paraId="59852839">
            <w:pPr>
              <w:pStyle w:val="185"/>
              <w:spacing w:before="69" w:line="221" w:lineRule="auto"/>
              <w:ind w:left="248"/>
              <w:rPr>
                <w:color w:val="auto"/>
                <w:highlight w:val="none"/>
              </w:rPr>
            </w:pPr>
            <w:r>
              <w:rPr>
                <w:b/>
                <w:bCs/>
                <w:color w:val="auto"/>
                <w:spacing w:val="-3"/>
                <w:highlight w:val="none"/>
              </w:rPr>
              <w:t>投标人名称</w:t>
            </w:r>
          </w:p>
        </w:tc>
        <w:tc>
          <w:tcPr>
            <w:tcW w:w="5339" w:type="dxa"/>
            <w:gridSpan w:val="9"/>
          </w:tcPr>
          <w:p w14:paraId="579FB632">
            <w:pPr>
              <w:pStyle w:val="185"/>
              <w:spacing w:before="105" w:line="221" w:lineRule="auto"/>
              <w:ind w:left="1721"/>
              <w:rPr>
                <w:color w:val="auto"/>
                <w:highlight w:val="none"/>
              </w:rPr>
            </w:pPr>
            <w:r>
              <w:rPr>
                <w:b/>
                <w:bCs/>
                <w:color w:val="auto"/>
                <w:spacing w:val="-2"/>
                <w:highlight w:val="none"/>
              </w:rPr>
              <w:t>评审标准及评审意见</w:t>
            </w:r>
          </w:p>
        </w:tc>
        <w:tc>
          <w:tcPr>
            <w:tcW w:w="717" w:type="dxa"/>
            <w:vMerge w:val="restart"/>
            <w:tcBorders>
              <w:bottom w:val="nil"/>
            </w:tcBorders>
          </w:tcPr>
          <w:p w14:paraId="49DCAC62">
            <w:pPr>
              <w:pStyle w:val="185"/>
              <w:spacing w:before="185" w:line="221" w:lineRule="auto"/>
              <w:ind w:left="149"/>
              <w:rPr>
                <w:color w:val="auto"/>
                <w:highlight w:val="none"/>
              </w:rPr>
            </w:pPr>
            <w:r>
              <w:rPr>
                <w:b/>
                <w:bCs/>
                <w:color w:val="auto"/>
                <w:spacing w:val="-4"/>
                <w:highlight w:val="none"/>
              </w:rPr>
              <w:t>评审</w:t>
            </w:r>
          </w:p>
          <w:p w14:paraId="782E5B01">
            <w:pPr>
              <w:pStyle w:val="185"/>
              <w:spacing w:before="21" w:line="222" w:lineRule="auto"/>
              <w:ind w:left="155"/>
              <w:rPr>
                <w:color w:val="auto"/>
                <w:highlight w:val="none"/>
              </w:rPr>
            </w:pPr>
            <w:r>
              <w:rPr>
                <w:b/>
                <w:bCs/>
                <w:color w:val="auto"/>
                <w:spacing w:val="-5"/>
                <w:highlight w:val="none"/>
              </w:rPr>
              <w:t>结论</w:t>
            </w:r>
          </w:p>
        </w:tc>
      </w:tr>
      <w:tr w14:paraId="416EF1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708" w:type="dxa"/>
            <w:vMerge w:val="continue"/>
            <w:tcBorders>
              <w:top w:val="nil"/>
            </w:tcBorders>
          </w:tcPr>
          <w:p w14:paraId="7E07BA00">
            <w:pPr>
              <w:rPr>
                <w:rFonts w:ascii="Arial"/>
                <w:color w:val="auto"/>
                <w:highlight w:val="none"/>
              </w:rPr>
            </w:pPr>
          </w:p>
        </w:tc>
        <w:tc>
          <w:tcPr>
            <w:tcW w:w="1543" w:type="dxa"/>
            <w:vMerge w:val="continue"/>
            <w:tcBorders>
              <w:top w:val="nil"/>
            </w:tcBorders>
          </w:tcPr>
          <w:p w14:paraId="4F8E6C7D">
            <w:pPr>
              <w:rPr>
                <w:rFonts w:ascii="Arial"/>
                <w:color w:val="auto"/>
                <w:highlight w:val="none"/>
              </w:rPr>
            </w:pPr>
          </w:p>
        </w:tc>
        <w:tc>
          <w:tcPr>
            <w:tcW w:w="592" w:type="dxa"/>
          </w:tcPr>
          <w:p w14:paraId="0EDDA6F4">
            <w:pPr>
              <w:rPr>
                <w:rFonts w:ascii="Arial"/>
                <w:color w:val="auto"/>
                <w:highlight w:val="none"/>
              </w:rPr>
            </w:pPr>
          </w:p>
        </w:tc>
        <w:tc>
          <w:tcPr>
            <w:tcW w:w="595" w:type="dxa"/>
          </w:tcPr>
          <w:p w14:paraId="75E8487D">
            <w:pPr>
              <w:rPr>
                <w:rFonts w:ascii="Arial"/>
                <w:color w:val="auto"/>
                <w:highlight w:val="none"/>
              </w:rPr>
            </w:pPr>
          </w:p>
        </w:tc>
        <w:tc>
          <w:tcPr>
            <w:tcW w:w="595" w:type="dxa"/>
          </w:tcPr>
          <w:p w14:paraId="7ED80458">
            <w:pPr>
              <w:rPr>
                <w:rFonts w:ascii="Arial"/>
                <w:color w:val="auto"/>
                <w:highlight w:val="none"/>
              </w:rPr>
            </w:pPr>
          </w:p>
        </w:tc>
        <w:tc>
          <w:tcPr>
            <w:tcW w:w="593" w:type="dxa"/>
          </w:tcPr>
          <w:p w14:paraId="09C1E75C">
            <w:pPr>
              <w:rPr>
                <w:rFonts w:ascii="Arial"/>
                <w:color w:val="auto"/>
                <w:highlight w:val="none"/>
              </w:rPr>
            </w:pPr>
          </w:p>
        </w:tc>
        <w:tc>
          <w:tcPr>
            <w:tcW w:w="592" w:type="dxa"/>
          </w:tcPr>
          <w:p w14:paraId="4C9751F1">
            <w:pPr>
              <w:rPr>
                <w:rFonts w:ascii="Arial"/>
                <w:color w:val="auto"/>
                <w:highlight w:val="none"/>
              </w:rPr>
            </w:pPr>
          </w:p>
        </w:tc>
        <w:tc>
          <w:tcPr>
            <w:tcW w:w="592" w:type="dxa"/>
          </w:tcPr>
          <w:p w14:paraId="59B4AAE2">
            <w:pPr>
              <w:rPr>
                <w:rFonts w:ascii="Arial"/>
                <w:color w:val="auto"/>
                <w:highlight w:val="none"/>
              </w:rPr>
            </w:pPr>
          </w:p>
        </w:tc>
        <w:tc>
          <w:tcPr>
            <w:tcW w:w="592" w:type="dxa"/>
          </w:tcPr>
          <w:p w14:paraId="58212B61">
            <w:pPr>
              <w:rPr>
                <w:rFonts w:ascii="Arial"/>
                <w:color w:val="auto"/>
                <w:highlight w:val="none"/>
              </w:rPr>
            </w:pPr>
          </w:p>
        </w:tc>
        <w:tc>
          <w:tcPr>
            <w:tcW w:w="593" w:type="dxa"/>
            <w:tcBorders>
              <w:right w:val="single" w:color="000000" w:sz="4" w:space="0"/>
            </w:tcBorders>
          </w:tcPr>
          <w:p w14:paraId="18D1F6F8">
            <w:pPr>
              <w:rPr>
                <w:rFonts w:ascii="Arial"/>
                <w:color w:val="auto"/>
                <w:highlight w:val="none"/>
              </w:rPr>
            </w:pPr>
          </w:p>
        </w:tc>
        <w:tc>
          <w:tcPr>
            <w:tcW w:w="595" w:type="dxa"/>
            <w:tcBorders>
              <w:left w:val="single" w:color="000000" w:sz="4" w:space="0"/>
            </w:tcBorders>
          </w:tcPr>
          <w:p w14:paraId="316F753F">
            <w:pPr>
              <w:rPr>
                <w:rFonts w:ascii="Arial"/>
                <w:color w:val="auto"/>
                <w:highlight w:val="none"/>
              </w:rPr>
            </w:pPr>
          </w:p>
        </w:tc>
        <w:tc>
          <w:tcPr>
            <w:tcW w:w="717" w:type="dxa"/>
            <w:vMerge w:val="continue"/>
            <w:tcBorders>
              <w:top w:val="nil"/>
            </w:tcBorders>
          </w:tcPr>
          <w:p w14:paraId="0D1AB911">
            <w:pPr>
              <w:rPr>
                <w:rFonts w:ascii="Arial"/>
                <w:color w:val="auto"/>
                <w:highlight w:val="none"/>
              </w:rPr>
            </w:pPr>
          </w:p>
        </w:tc>
      </w:tr>
      <w:tr w14:paraId="55F631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08" w:type="dxa"/>
          </w:tcPr>
          <w:p w14:paraId="058AA46A">
            <w:pPr>
              <w:pStyle w:val="185"/>
              <w:spacing w:before="177" w:line="242" w:lineRule="auto"/>
              <w:ind w:left="321"/>
              <w:rPr>
                <w:color w:val="auto"/>
                <w:highlight w:val="none"/>
              </w:rPr>
            </w:pPr>
            <w:r>
              <w:rPr>
                <w:color w:val="auto"/>
                <w:highlight w:val="none"/>
              </w:rPr>
              <w:t>1</w:t>
            </w:r>
          </w:p>
        </w:tc>
        <w:tc>
          <w:tcPr>
            <w:tcW w:w="1543" w:type="dxa"/>
          </w:tcPr>
          <w:p w14:paraId="25CC4502">
            <w:pPr>
              <w:rPr>
                <w:rFonts w:ascii="Arial"/>
                <w:color w:val="auto"/>
                <w:highlight w:val="none"/>
              </w:rPr>
            </w:pPr>
          </w:p>
        </w:tc>
        <w:tc>
          <w:tcPr>
            <w:tcW w:w="592" w:type="dxa"/>
          </w:tcPr>
          <w:p w14:paraId="09105520">
            <w:pPr>
              <w:rPr>
                <w:rFonts w:ascii="Arial"/>
                <w:color w:val="auto"/>
                <w:highlight w:val="none"/>
              </w:rPr>
            </w:pPr>
          </w:p>
        </w:tc>
        <w:tc>
          <w:tcPr>
            <w:tcW w:w="595" w:type="dxa"/>
          </w:tcPr>
          <w:p w14:paraId="6FEF1967">
            <w:pPr>
              <w:rPr>
                <w:rFonts w:ascii="Arial"/>
                <w:color w:val="auto"/>
                <w:highlight w:val="none"/>
              </w:rPr>
            </w:pPr>
          </w:p>
        </w:tc>
        <w:tc>
          <w:tcPr>
            <w:tcW w:w="595" w:type="dxa"/>
          </w:tcPr>
          <w:p w14:paraId="5F194D93">
            <w:pPr>
              <w:rPr>
                <w:rFonts w:ascii="Arial"/>
                <w:color w:val="auto"/>
                <w:highlight w:val="none"/>
              </w:rPr>
            </w:pPr>
          </w:p>
        </w:tc>
        <w:tc>
          <w:tcPr>
            <w:tcW w:w="593" w:type="dxa"/>
          </w:tcPr>
          <w:p w14:paraId="1F578219">
            <w:pPr>
              <w:rPr>
                <w:rFonts w:ascii="Arial"/>
                <w:color w:val="auto"/>
                <w:highlight w:val="none"/>
              </w:rPr>
            </w:pPr>
          </w:p>
        </w:tc>
        <w:tc>
          <w:tcPr>
            <w:tcW w:w="592" w:type="dxa"/>
          </w:tcPr>
          <w:p w14:paraId="11498341">
            <w:pPr>
              <w:rPr>
                <w:rFonts w:ascii="Arial"/>
                <w:color w:val="auto"/>
                <w:highlight w:val="none"/>
              </w:rPr>
            </w:pPr>
          </w:p>
        </w:tc>
        <w:tc>
          <w:tcPr>
            <w:tcW w:w="592" w:type="dxa"/>
          </w:tcPr>
          <w:p w14:paraId="1CF67E06">
            <w:pPr>
              <w:rPr>
                <w:rFonts w:ascii="Arial"/>
                <w:color w:val="auto"/>
                <w:highlight w:val="none"/>
              </w:rPr>
            </w:pPr>
          </w:p>
        </w:tc>
        <w:tc>
          <w:tcPr>
            <w:tcW w:w="592" w:type="dxa"/>
          </w:tcPr>
          <w:p w14:paraId="09D65AEA">
            <w:pPr>
              <w:rPr>
                <w:rFonts w:ascii="Arial"/>
                <w:color w:val="auto"/>
                <w:highlight w:val="none"/>
              </w:rPr>
            </w:pPr>
          </w:p>
        </w:tc>
        <w:tc>
          <w:tcPr>
            <w:tcW w:w="593" w:type="dxa"/>
            <w:tcBorders>
              <w:right w:val="single" w:color="000000" w:sz="4" w:space="0"/>
            </w:tcBorders>
          </w:tcPr>
          <w:p w14:paraId="1B9C8CC9">
            <w:pPr>
              <w:rPr>
                <w:rFonts w:ascii="Arial"/>
                <w:color w:val="auto"/>
                <w:highlight w:val="none"/>
              </w:rPr>
            </w:pPr>
          </w:p>
        </w:tc>
        <w:tc>
          <w:tcPr>
            <w:tcW w:w="595" w:type="dxa"/>
            <w:tcBorders>
              <w:left w:val="single" w:color="000000" w:sz="4" w:space="0"/>
            </w:tcBorders>
          </w:tcPr>
          <w:p w14:paraId="40C6D9E1">
            <w:pPr>
              <w:rPr>
                <w:rFonts w:ascii="Arial"/>
                <w:color w:val="auto"/>
                <w:highlight w:val="none"/>
              </w:rPr>
            </w:pPr>
          </w:p>
        </w:tc>
        <w:tc>
          <w:tcPr>
            <w:tcW w:w="717" w:type="dxa"/>
          </w:tcPr>
          <w:p w14:paraId="266AAD66">
            <w:pPr>
              <w:rPr>
                <w:rFonts w:ascii="Arial"/>
                <w:color w:val="auto"/>
                <w:highlight w:val="none"/>
              </w:rPr>
            </w:pPr>
          </w:p>
        </w:tc>
      </w:tr>
      <w:tr w14:paraId="41F92A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708" w:type="dxa"/>
          </w:tcPr>
          <w:p w14:paraId="59B907CD">
            <w:pPr>
              <w:pStyle w:val="185"/>
              <w:spacing w:before="180" w:line="242" w:lineRule="auto"/>
              <w:ind w:left="308"/>
              <w:rPr>
                <w:color w:val="auto"/>
                <w:highlight w:val="none"/>
              </w:rPr>
            </w:pPr>
            <w:r>
              <w:rPr>
                <w:color w:val="auto"/>
                <w:highlight w:val="none"/>
              </w:rPr>
              <w:t>2</w:t>
            </w:r>
          </w:p>
        </w:tc>
        <w:tc>
          <w:tcPr>
            <w:tcW w:w="1543" w:type="dxa"/>
          </w:tcPr>
          <w:p w14:paraId="0CECD135">
            <w:pPr>
              <w:rPr>
                <w:rFonts w:ascii="Arial"/>
                <w:color w:val="auto"/>
                <w:highlight w:val="none"/>
              </w:rPr>
            </w:pPr>
          </w:p>
        </w:tc>
        <w:tc>
          <w:tcPr>
            <w:tcW w:w="592" w:type="dxa"/>
          </w:tcPr>
          <w:p w14:paraId="3D8814C0">
            <w:pPr>
              <w:rPr>
                <w:rFonts w:ascii="Arial"/>
                <w:color w:val="auto"/>
                <w:highlight w:val="none"/>
              </w:rPr>
            </w:pPr>
          </w:p>
        </w:tc>
        <w:tc>
          <w:tcPr>
            <w:tcW w:w="595" w:type="dxa"/>
          </w:tcPr>
          <w:p w14:paraId="0A5427FA">
            <w:pPr>
              <w:rPr>
                <w:rFonts w:ascii="Arial"/>
                <w:color w:val="auto"/>
                <w:highlight w:val="none"/>
              </w:rPr>
            </w:pPr>
          </w:p>
        </w:tc>
        <w:tc>
          <w:tcPr>
            <w:tcW w:w="595" w:type="dxa"/>
          </w:tcPr>
          <w:p w14:paraId="6A953F6A">
            <w:pPr>
              <w:rPr>
                <w:rFonts w:ascii="Arial"/>
                <w:color w:val="auto"/>
                <w:highlight w:val="none"/>
              </w:rPr>
            </w:pPr>
          </w:p>
        </w:tc>
        <w:tc>
          <w:tcPr>
            <w:tcW w:w="593" w:type="dxa"/>
          </w:tcPr>
          <w:p w14:paraId="4326BC32">
            <w:pPr>
              <w:rPr>
                <w:rFonts w:ascii="Arial"/>
                <w:color w:val="auto"/>
                <w:highlight w:val="none"/>
              </w:rPr>
            </w:pPr>
          </w:p>
        </w:tc>
        <w:tc>
          <w:tcPr>
            <w:tcW w:w="592" w:type="dxa"/>
          </w:tcPr>
          <w:p w14:paraId="1B669878">
            <w:pPr>
              <w:rPr>
                <w:rFonts w:ascii="Arial"/>
                <w:color w:val="auto"/>
                <w:highlight w:val="none"/>
              </w:rPr>
            </w:pPr>
          </w:p>
        </w:tc>
        <w:tc>
          <w:tcPr>
            <w:tcW w:w="592" w:type="dxa"/>
          </w:tcPr>
          <w:p w14:paraId="797B5FE5">
            <w:pPr>
              <w:rPr>
                <w:rFonts w:ascii="Arial"/>
                <w:color w:val="auto"/>
                <w:highlight w:val="none"/>
              </w:rPr>
            </w:pPr>
          </w:p>
        </w:tc>
        <w:tc>
          <w:tcPr>
            <w:tcW w:w="592" w:type="dxa"/>
          </w:tcPr>
          <w:p w14:paraId="7DA1C95F">
            <w:pPr>
              <w:rPr>
                <w:rFonts w:ascii="Arial"/>
                <w:color w:val="auto"/>
                <w:highlight w:val="none"/>
              </w:rPr>
            </w:pPr>
          </w:p>
        </w:tc>
        <w:tc>
          <w:tcPr>
            <w:tcW w:w="593" w:type="dxa"/>
            <w:tcBorders>
              <w:right w:val="single" w:color="000000" w:sz="4" w:space="0"/>
            </w:tcBorders>
          </w:tcPr>
          <w:p w14:paraId="5A28307B">
            <w:pPr>
              <w:rPr>
                <w:rFonts w:ascii="Arial"/>
                <w:color w:val="auto"/>
                <w:highlight w:val="none"/>
              </w:rPr>
            </w:pPr>
          </w:p>
        </w:tc>
        <w:tc>
          <w:tcPr>
            <w:tcW w:w="595" w:type="dxa"/>
            <w:tcBorders>
              <w:left w:val="single" w:color="000000" w:sz="4" w:space="0"/>
            </w:tcBorders>
          </w:tcPr>
          <w:p w14:paraId="1BF343C4">
            <w:pPr>
              <w:rPr>
                <w:rFonts w:ascii="Arial"/>
                <w:color w:val="auto"/>
                <w:highlight w:val="none"/>
              </w:rPr>
            </w:pPr>
          </w:p>
        </w:tc>
        <w:tc>
          <w:tcPr>
            <w:tcW w:w="717" w:type="dxa"/>
          </w:tcPr>
          <w:p w14:paraId="737F7B13">
            <w:pPr>
              <w:rPr>
                <w:rFonts w:ascii="Arial"/>
                <w:color w:val="auto"/>
                <w:highlight w:val="none"/>
              </w:rPr>
            </w:pPr>
          </w:p>
        </w:tc>
      </w:tr>
      <w:tr w14:paraId="09284E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08" w:type="dxa"/>
          </w:tcPr>
          <w:p w14:paraId="1B240456">
            <w:pPr>
              <w:pStyle w:val="185"/>
              <w:spacing w:before="177" w:line="241" w:lineRule="auto"/>
              <w:ind w:left="309"/>
              <w:rPr>
                <w:color w:val="auto"/>
                <w:highlight w:val="none"/>
              </w:rPr>
            </w:pPr>
            <w:r>
              <w:rPr>
                <w:color w:val="auto"/>
                <w:highlight w:val="none"/>
              </w:rPr>
              <w:t>3</w:t>
            </w:r>
          </w:p>
        </w:tc>
        <w:tc>
          <w:tcPr>
            <w:tcW w:w="1543" w:type="dxa"/>
          </w:tcPr>
          <w:p w14:paraId="1B9D01ED">
            <w:pPr>
              <w:rPr>
                <w:rFonts w:ascii="Arial"/>
                <w:color w:val="auto"/>
                <w:highlight w:val="none"/>
              </w:rPr>
            </w:pPr>
          </w:p>
        </w:tc>
        <w:tc>
          <w:tcPr>
            <w:tcW w:w="592" w:type="dxa"/>
          </w:tcPr>
          <w:p w14:paraId="2647BBDB">
            <w:pPr>
              <w:rPr>
                <w:rFonts w:ascii="Arial"/>
                <w:color w:val="auto"/>
                <w:highlight w:val="none"/>
              </w:rPr>
            </w:pPr>
          </w:p>
        </w:tc>
        <w:tc>
          <w:tcPr>
            <w:tcW w:w="595" w:type="dxa"/>
          </w:tcPr>
          <w:p w14:paraId="60142E8D">
            <w:pPr>
              <w:rPr>
                <w:rFonts w:ascii="Arial"/>
                <w:color w:val="auto"/>
                <w:highlight w:val="none"/>
              </w:rPr>
            </w:pPr>
          </w:p>
        </w:tc>
        <w:tc>
          <w:tcPr>
            <w:tcW w:w="595" w:type="dxa"/>
          </w:tcPr>
          <w:p w14:paraId="68C3AD78">
            <w:pPr>
              <w:rPr>
                <w:rFonts w:ascii="Arial"/>
                <w:color w:val="auto"/>
                <w:highlight w:val="none"/>
              </w:rPr>
            </w:pPr>
          </w:p>
        </w:tc>
        <w:tc>
          <w:tcPr>
            <w:tcW w:w="593" w:type="dxa"/>
          </w:tcPr>
          <w:p w14:paraId="2932626F">
            <w:pPr>
              <w:rPr>
                <w:rFonts w:ascii="Arial"/>
                <w:color w:val="auto"/>
                <w:highlight w:val="none"/>
              </w:rPr>
            </w:pPr>
          </w:p>
        </w:tc>
        <w:tc>
          <w:tcPr>
            <w:tcW w:w="592" w:type="dxa"/>
          </w:tcPr>
          <w:p w14:paraId="203832DE">
            <w:pPr>
              <w:rPr>
                <w:rFonts w:ascii="Arial"/>
                <w:color w:val="auto"/>
                <w:highlight w:val="none"/>
              </w:rPr>
            </w:pPr>
          </w:p>
        </w:tc>
        <w:tc>
          <w:tcPr>
            <w:tcW w:w="592" w:type="dxa"/>
          </w:tcPr>
          <w:p w14:paraId="72564964">
            <w:pPr>
              <w:rPr>
                <w:rFonts w:ascii="Arial"/>
                <w:color w:val="auto"/>
                <w:highlight w:val="none"/>
              </w:rPr>
            </w:pPr>
          </w:p>
        </w:tc>
        <w:tc>
          <w:tcPr>
            <w:tcW w:w="592" w:type="dxa"/>
          </w:tcPr>
          <w:p w14:paraId="52506988">
            <w:pPr>
              <w:rPr>
                <w:rFonts w:ascii="Arial"/>
                <w:color w:val="auto"/>
                <w:highlight w:val="none"/>
              </w:rPr>
            </w:pPr>
          </w:p>
        </w:tc>
        <w:tc>
          <w:tcPr>
            <w:tcW w:w="593" w:type="dxa"/>
            <w:tcBorders>
              <w:right w:val="single" w:color="000000" w:sz="4" w:space="0"/>
            </w:tcBorders>
          </w:tcPr>
          <w:p w14:paraId="7136374C">
            <w:pPr>
              <w:rPr>
                <w:rFonts w:ascii="Arial"/>
                <w:color w:val="auto"/>
                <w:highlight w:val="none"/>
              </w:rPr>
            </w:pPr>
          </w:p>
        </w:tc>
        <w:tc>
          <w:tcPr>
            <w:tcW w:w="595" w:type="dxa"/>
            <w:tcBorders>
              <w:left w:val="single" w:color="000000" w:sz="4" w:space="0"/>
            </w:tcBorders>
          </w:tcPr>
          <w:p w14:paraId="48543973">
            <w:pPr>
              <w:rPr>
                <w:rFonts w:ascii="Arial"/>
                <w:color w:val="auto"/>
                <w:highlight w:val="none"/>
              </w:rPr>
            </w:pPr>
          </w:p>
        </w:tc>
        <w:tc>
          <w:tcPr>
            <w:tcW w:w="717" w:type="dxa"/>
          </w:tcPr>
          <w:p w14:paraId="70FA3C30">
            <w:pPr>
              <w:rPr>
                <w:rFonts w:ascii="Arial"/>
                <w:color w:val="auto"/>
                <w:highlight w:val="none"/>
              </w:rPr>
            </w:pPr>
          </w:p>
        </w:tc>
      </w:tr>
      <w:tr w14:paraId="5ED404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708" w:type="dxa"/>
          </w:tcPr>
          <w:p w14:paraId="6C949A5A">
            <w:pPr>
              <w:pStyle w:val="185"/>
              <w:spacing w:before="181" w:line="242" w:lineRule="auto"/>
              <w:ind w:left="304"/>
              <w:rPr>
                <w:color w:val="auto"/>
                <w:highlight w:val="none"/>
              </w:rPr>
            </w:pPr>
            <w:r>
              <w:rPr>
                <w:color w:val="auto"/>
                <w:highlight w:val="none"/>
              </w:rPr>
              <w:t>4</w:t>
            </w:r>
          </w:p>
        </w:tc>
        <w:tc>
          <w:tcPr>
            <w:tcW w:w="1543" w:type="dxa"/>
          </w:tcPr>
          <w:p w14:paraId="7B80AB60">
            <w:pPr>
              <w:rPr>
                <w:rFonts w:ascii="Arial"/>
                <w:color w:val="auto"/>
                <w:highlight w:val="none"/>
              </w:rPr>
            </w:pPr>
          </w:p>
        </w:tc>
        <w:tc>
          <w:tcPr>
            <w:tcW w:w="592" w:type="dxa"/>
          </w:tcPr>
          <w:p w14:paraId="72B3B3EB">
            <w:pPr>
              <w:rPr>
                <w:rFonts w:ascii="Arial"/>
                <w:color w:val="auto"/>
                <w:highlight w:val="none"/>
              </w:rPr>
            </w:pPr>
          </w:p>
        </w:tc>
        <w:tc>
          <w:tcPr>
            <w:tcW w:w="595" w:type="dxa"/>
          </w:tcPr>
          <w:p w14:paraId="38FCBDBF">
            <w:pPr>
              <w:rPr>
                <w:rFonts w:ascii="Arial"/>
                <w:color w:val="auto"/>
                <w:highlight w:val="none"/>
              </w:rPr>
            </w:pPr>
          </w:p>
        </w:tc>
        <w:tc>
          <w:tcPr>
            <w:tcW w:w="595" w:type="dxa"/>
          </w:tcPr>
          <w:p w14:paraId="0AA8300D">
            <w:pPr>
              <w:rPr>
                <w:rFonts w:ascii="Arial"/>
                <w:color w:val="auto"/>
                <w:highlight w:val="none"/>
              </w:rPr>
            </w:pPr>
          </w:p>
        </w:tc>
        <w:tc>
          <w:tcPr>
            <w:tcW w:w="593" w:type="dxa"/>
          </w:tcPr>
          <w:p w14:paraId="0E94DF2D">
            <w:pPr>
              <w:rPr>
                <w:rFonts w:ascii="Arial"/>
                <w:color w:val="auto"/>
                <w:highlight w:val="none"/>
              </w:rPr>
            </w:pPr>
          </w:p>
        </w:tc>
        <w:tc>
          <w:tcPr>
            <w:tcW w:w="592" w:type="dxa"/>
          </w:tcPr>
          <w:p w14:paraId="4DAA2C67">
            <w:pPr>
              <w:rPr>
                <w:rFonts w:ascii="Arial"/>
                <w:color w:val="auto"/>
                <w:highlight w:val="none"/>
              </w:rPr>
            </w:pPr>
          </w:p>
        </w:tc>
        <w:tc>
          <w:tcPr>
            <w:tcW w:w="592" w:type="dxa"/>
          </w:tcPr>
          <w:p w14:paraId="0C9E8949">
            <w:pPr>
              <w:rPr>
                <w:rFonts w:ascii="Arial"/>
                <w:color w:val="auto"/>
                <w:highlight w:val="none"/>
              </w:rPr>
            </w:pPr>
          </w:p>
        </w:tc>
        <w:tc>
          <w:tcPr>
            <w:tcW w:w="592" w:type="dxa"/>
          </w:tcPr>
          <w:p w14:paraId="1488D991">
            <w:pPr>
              <w:rPr>
                <w:rFonts w:ascii="Arial"/>
                <w:color w:val="auto"/>
                <w:highlight w:val="none"/>
              </w:rPr>
            </w:pPr>
          </w:p>
        </w:tc>
        <w:tc>
          <w:tcPr>
            <w:tcW w:w="593" w:type="dxa"/>
            <w:tcBorders>
              <w:right w:val="single" w:color="000000" w:sz="4" w:space="0"/>
            </w:tcBorders>
          </w:tcPr>
          <w:p w14:paraId="718604DF">
            <w:pPr>
              <w:rPr>
                <w:rFonts w:ascii="Arial"/>
                <w:color w:val="auto"/>
                <w:highlight w:val="none"/>
              </w:rPr>
            </w:pPr>
          </w:p>
        </w:tc>
        <w:tc>
          <w:tcPr>
            <w:tcW w:w="595" w:type="dxa"/>
            <w:tcBorders>
              <w:left w:val="single" w:color="000000" w:sz="4" w:space="0"/>
            </w:tcBorders>
          </w:tcPr>
          <w:p w14:paraId="1A3CAD78">
            <w:pPr>
              <w:rPr>
                <w:rFonts w:ascii="Arial"/>
                <w:color w:val="auto"/>
                <w:highlight w:val="none"/>
              </w:rPr>
            </w:pPr>
          </w:p>
        </w:tc>
        <w:tc>
          <w:tcPr>
            <w:tcW w:w="717" w:type="dxa"/>
          </w:tcPr>
          <w:p w14:paraId="1E0D840B">
            <w:pPr>
              <w:rPr>
                <w:rFonts w:ascii="Arial"/>
                <w:color w:val="auto"/>
                <w:highlight w:val="none"/>
              </w:rPr>
            </w:pPr>
          </w:p>
        </w:tc>
      </w:tr>
      <w:tr w14:paraId="375739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08" w:type="dxa"/>
          </w:tcPr>
          <w:p w14:paraId="6070EAAC">
            <w:pPr>
              <w:pStyle w:val="185"/>
              <w:spacing w:before="179" w:line="241" w:lineRule="auto"/>
              <w:ind w:left="309"/>
              <w:rPr>
                <w:color w:val="auto"/>
                <w:highlight w:val="none"/>
              </w:rPr>
            </w:pPr>
            <w:r>
              <w:rPr>
                <w:color w:val="auto"/>
                <w:highlight w:val="none"/>
              </w:rPr>
              <w:t>5</w:t>
            </w:r>
          </w:p>
        </w:tc>
        <w:tc>
          <w:tcPr>
            <w:tcW w:w="1543" w:type="dxa"/>
          </w:tcPr>
          <w:p w14:paraId="0C280D3D">
            <w:pPr>
              <w:rPr>
                <w:rFonts w:ascii="Arial"/>
                <w:color w:val="auto"/>
                <w:highlight w:val="none"/>
              </w:rPr>
            </w:pPr>
          </w:p>
        </w:tc>
        <w:tc>
          <w:tcPr>
            <w:tcW w:w="592" w:type="dxa"/>
          </w:tcPr>
          <w:p w14:paraId="6B99699E">
            <w:pPr>
              <w:rPr>
                <w:rFonts w:ascii="Arial"/>
                <w:color w:val="auto"/>
                <w:highlight w:val="none"/>
              </w:rPr>
            </w:pPr>
          </w:p>
        </w:tc>
        <w:tc>
          <w:tcPr>
            <w:tcW w:w="595" w:type="dxa"/>
          </w:tcPr>
          <w:p w14:paraId="3C61458C">
            <w:pPr>
              <w:rPr>
                <w:rFonts w:ascii="Arial"/>
                <w:color w:val="auto"/>
                <w:highlight w:val="none"/>
              </w:rPr>
            </w:pPr>
          </w:p>
        </w:tc>
        <w:tc>
          <w:tcPr>
            <w:tcW w:w="595" w:type="dxa"/>
          </w:tcPr>
          <w:p w14:paraId="01D6220F">
            <w:pPr>
              <w:rPr>
                <w:rFonts w:ascii="Arial"/>
                <w:color w:val="auto"/>
                <w:highlight w:val="none"/>
              </w:rPr>
            </w:pPr>
          </w:p>
        </w:tc>
        <w:tc>
          <w:tcPr>
            <w:tcW w:w="593" w:type="dxa"/>
          </w:tcPr>
          <w:p w14:paraId="4A7624FD">
            <w:pPr>
              <w:rPr>
                <w:rFonts w:ascii="Arial"/>
                <w:color w:val="auto"/>
                <w:highlight w:val="none"/>
              </w:rPr>
            </w:pPr>
          </w:p>
        </w:tc>
        <w:tc>
          <w:tcPr>
            <w:tcW w:w="592" w:type="dxa"/>
          </w:tcPr>
          <w:p w14:paraId="26D5B0D5">
            <w:pPr>
              <w:rPr>
                <w:rFonts w:ascii="Arial"/>
                <w:color w:val="auto"/>
                <w:highlight w:val="none"/>
              </w:rPr>
            </w:pPr>
          </w:p>
        </w:tc>
        <w:tc>
          <w:tcPr>
            <w:tcW w:w="592" w:type="dxa"/>
          </w:tcPr>
          <w:p w14:paraId="55DEB60E">
            <w:pPr>
              <w:rPr>
                <w:rFonts w:ascii="Arial"/>
                <w:color w:val="auto"/>
                <w:highlight w:val="none"/>
              </w:rPr>
            </w:pPr>
          </w:p>
        </w:tc>
        <w:tc>
          <w:tcPr>
            <w:tcW w:w="592" w:type="dxa"/>
          </w:tcPr>
          <w:p w14:paraId="76BB7695">
            <w:pPr>
              <w:rPr>
                <w:rFonts w:ascii="Arial"/>
                <w:color w:val="auto"/>
                <w:highlight w:val="none"/>
              </w:rPr>
            </w:pPr>
          </w:p>
        </w:tc>
        <w:tc>
          <w:tcPr>
            <w:tcW w:w="593" w:type="dxa"/>
            <w:tcBorders>
              <w:right w:val="single" w:color="000000" w:sz="4" w:space="0"/>
            </w:tcBorders>
          </w:tcPr>
          <w:p w14:paraId="35BC602C">
            <w:pPr>
              <w:rPr>
                <w:rFonts w:ascii="Arial"/>
                <w:color w:val="auto"/>
                <w:highlight w:val="none"/>
              </w:rPr>
            </w:pPr>
          </w:p>
        </w:tc>
        <w:tc>
          <w:tcPr>
            <w:tcW w:w="595" w:type="dxa"/>
            <w:tcBorders>
              <w:left w:val="single" w:color="000000" w:sz="4" w:space="0"/>
            </w:tcBorders>
          </w:tcPr>
          <w:p w14:paraId="33A7C39E">
            <w:pPr>
              <w:rPr>
                <w:rFonts w:ascii="Arial"/>
                <w:color w:val="auto"/>
                <w:highlight w:val="none"/>
              </w:rPr>
            </w:pPr>
          </w:p>
        </w:tc>
        <w:tc>
          <w:tcPr>
            <w:tcW w:w="717" w:type="dxa"/>
          </w:tcPr>
          <w:p w14:paraId="65084647">
            <w:pPr>
              <w:rPr>
                <w:rFonts w:ascii="Arial"/>
                <w:color w:val="auto"/>
                <w:highlight w:val="none"/>
              </w:rPr>
            </w:pPr>
          </w:p>
        </w:tc>
      </w:tr>
      <w:tr w14:paraId="58FE73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08" w:type="dxa"/>
          </w:tcPr>
          <w:p w14:paraId="53316455">
            <w:pPr>
              <w:pStyle w:val="185"/>
              <w:spacing w:before="181" w:line="241" w:lineRule="auto"/>
              <w:ind w:left="307"/>
              <w:rPr>
                <w:color w:val="auto"/>
                <w:highlight w:val="none"/>
              </w:rPr>
            </w:pPr>
            <w:r>
              <w:rPr>
                <w:color w:val="auto"/>
                <w:highlight w:val="none"/>
              </w:rPr>
              <w:t>6</w:t>
            </w:r>
          </w:p>
        </w:tc>
        <w:tc>
          <w:tcPr>
            <w:tcW w:w="1543" w:type="dxa"/>
          </w:tcPr>
          <w:p w14:paraId="6B9BD1CB">
            <w:pPr>
              <w:rPr>
                <w:rFonts w:ascii="Arial"/>
                <w:color w:val="auto"/>
                <w:highlight w:val="none"/>
              </w:rPr>
            </w:pPr>
          </w:p>
        </w:tc>
        <w:tc>
          <w:tcPr>
            <w:tcW w:w="592" w:type="dxa"/>
          </w:tcPr>
          <w:p w14:paraId="4C42E656">
            <w:pPr>
              <w:rPr>
                <w:rFonts w:ascii="Arial"/>
                <w:color w:val="auto"/>
                <w:highlight w:val="none"/>
              </w:rPr>
            </w:pPr>
          </w:p>
        </w:tc>
        <w:tc>
          <w:tcPr>
            <w:tcW w:w="595" w:type="dxa"/>
          </w:tcPr>
          <w:p w14:paraId="1FB4237B">
            <w:pPr>
              <w:rPr>
                <w:rFonts w:ascii="Arial"/>
                <w:color w:val="auto"/>
                <w:highlight w:val="none"/>
              </w:rPr>
            </w:pPr>
          </w:p>
        </w:tc>
        <w:tc>
          <w:tcPr>
            <w:tcW w:w="595" w:type="dxa"/>
          </w:tcPr>
          <w:p w14:paraId="1F5F53E7">
            <w:pPr>
              <w:rPr>
                <w:rFonts w:ascii="Arial"/>
                <w:color w:val="auto"/>
                <w:highlight w:val="none"/>
              </w:rPr>
            </w:pPr>
          </w:p>
        </w:tc>
        <w:tc>
          <w:tcPr>
            <w:tcW w:w="593" w:type="dxa"/>
          </w:tcPr>
          <w:p w14:paraId="4F20C3B6">
            <w:pPr>
              <w:rPr>
                <w:rFonts w:ascii="Arial"/>
                <w:color w:val="auto"/>
                <w:highlight w:val="none"/>
              </w:rPr>
            </w:pPr>
          </w:p>
        </w:tc>
        <w:tc>
          <w:tcPr>
            <w:tcW w:w="592" w:type="dxa"/>
          </w:tcPr>
          <w:p w14:paraId="0717D672">
            <w:pPr>
              <w:rPr>
                <w:rFonts w:ascii="Arial"/>
                <w:color w:val="auto"/>
                <w:highlight w:val="none"/>
              </w:rPr>
            </w:pPr>
          </w:p>
        </w:tc>
        <w:tc>
          <w:tcPr>
            <w:tcW w:w="592" w:type="dxa"/>
          </w:tcPr>
          <w:p w14:paraId="21A2252C">
            <w:pPr>
              <w:rPr>
                <w:rFonts w:ascii="Arial"/>
                <w:color w:val="auto"/>
                <w:highlight w:val="none"/>
              </w:rPr>
            </w:pPr>
          </w:p>
        </w:tc>
        <w:tc>
          <w:tcPr>
            <w:tcW w:w="592" w:type="dxa"/>
          </w:tcPr>
          <w:p w14:paraId="13EBCBF9">
            <w:pPr>
              <w:rPr>
                <w:rFonts w:ascii="Arial"/>
                <w:color w:val="auto"/>
                <w:highlight w:val="none"/>
              </w:rPr>
            </w:pPr>
          </w:p>
        </w:tc>
        <w:tc>
          <w:tcPr>
            <w:tcW w:w="593" w:type="dxa"/>
            <w:tcBorders>
              <w:right w:val="single" w:color="000000" w:sz="4" w:space="0"/>
            </w:tcBorders>
          </w:tcPr>
          <w:p w14:paraId="3D120DB4">
            <w:pPr>
              <w:rPr>
                <w:rFonts w:ascii="Arial"/>
                <w:color w:val="auto"/>
                <w:highlight w:val="none"/>
              </w:rPr>
            </w:pPr>
          </w:p>
        </w:tc>
        <w:tc>
          <w:tcPr>
            <w:tcW w:w="595" w:type="dxa"/>
            <w:tcBorders>
              <w:left w:val="single" w:color="000000" w:sz="4" w:space="0"/>
            </w:tcBorders>
          </w:tcPr>
          <w:p w14:paraId="48BB8C7F">
            <w:pPr>
              <w:rPr>
                <w:rFonts w:ascii="Arial"/>
                <w:color w:val="auto"/>
                <w:highlight w:val="none"/>
              </w:rPr>
            </w:pPr>
          </w:p>
        </w:tc>
        <w:tc>
          <w:tcPr>
            <w:tcW w:w="717" w:type="dxa"/>
          </w:tcPr>
          <w:p w14:paraId="7F01BC34">
            <w:pPr>
              <w:rPr>
                <w:rFonts w:ascii="Arial"/>
                <w:color w:val="auto"/>
                <w:highlight w:val="none"/>
              </w:rPr>
            </w:pPr>
          </w:p>
        </w:tc>
      </w:tr>
      <w:tr w14:paraId="7BB152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708" w:type="dxa"/>
          </w:tcPr>
          <w:p w14:paraId="51BA9F37">
            <w:pPr>
              <w:pStyle w:val="185"/>
              <w:spacing w:before="182" w:line="332" w:lineRule="exact"/>
              <w:ind w:left="266"/>
              <w:rPr>
                <w:color w:val="auto"/>
                <w:highlight w:val="none"/>
              </w:rPr>
            </w:pPr>
            <w:r>
              <w:rPr>
                <w:color w:val="auto"/>
                <w:position w:val="2"/>
                <w:highlight w:val="none"/>
              </w:rPr>
              <w:t>…</w:t>
            </w:r>
          </w:p>
        </w:tc>
        <w:tc>
          <w:tcPr>
            <w:tcW w:w="1543" w:type="dxa"/>
          </w:tcPr>
          <w:p w14:paraId="46A4DB88">
            <w:pPr>
              <w:rPr>
                <w:rFonts w:ascii="Arial"/>
                <w:color w:val="auto"/>
                <w:highlight w:val="none"/>
              </w:rPr>
            </w:pPr>
          </w:p>
        </w:tc>
        <w:tc>
          <w:tcPr>
            <w:tcW w:w="592" w:type="dxa"/>
          </w:tcPr>
          <w:p w14:paraId="17662C90">
            <w:pPr>
              <w:rPr>
                <w:rFonts w:ascii="Arial"/>
                <w:color w:val="auto"/>
                <w:highlight w:val="none"/>
              </w:rPr>
            </w:pPr>
          </w:p>
        </w:tc>
        <w:tc>
          <w:tcPr>
            <w:tcW w:w="595" w:type="dxa"/>
          </w:tcPr>
          <w:p w14:paraId="5AF0EE07">
            <w:pPr>
              <w:rPr>
                <w:rFonts w:ascii="Arial"/>
                <w:color w:val="auto"/>
                <w:highlight w:val="none"/>
              </w:rPr>
            </w:pPr>
          </w:p>
        </w:tc>
        <w:tc>
          <w:tcPr>
            <w:tcW w:w="595" w:type="dxa"/>
          </w:tcPr>
          <w:p w14:paraId="07476948">
            <w:pPr>
              <w:rPr>
                <w:rFonts w:ascii="Arial"/>
                <w:color w:val="auto"/>
                <w:highlight w:val="none"/>
              </w:rPr>
            </w:pPr>
          </w:p>
        </w:tc>
        <w:tc>
          <w:tcPr>
            <w:tcW w:w="593" w:type="dxa"/>
          </w:tcPr>
          <w:p w14:paraId="6FC17012">
            <w:pPr>
              <w:rPr>
                <w:rFonts w:ascii="Arial"/>
                <w:color w:val="auto"/>
                <w:highlight w:val="none"/>
              </w:rPr>
            </w:pPr>
          </w:p>
        </w:tc>
        <w:tc>
          <w:tcPr>
            <w:tcW w:w="592" w:type="dxa"/>
          </w:tcPr>
          <w:p w14:paraId="2AFCEED4">
            <w:pPr>
              <w:rPr>
                <w:rFonts w:ascii="Arial"/>
                <w:color w:val="auto"/>
                <w:highlight w:val="none"/>
              </w:rPr>
            </w:pPr>
          </w:p>
        </w:tc>
        <w:tc>
          <w:tcPr>
            <w:tcW w:w="592" w:type="dxa"/>
          </w:tcPr>
          <w:p w14:paraId="759600ED">
            <w:pPr>
              <w:rPr>
                <w:rFonts w:ascii="Arial"/>
                <w:color w:val="auto"/>
                <w:highlight w:val="none"/>
              </w:rPr>
            </w:pPr>
          </w:p>
        </w:tc>
        <w:tc>
          <w:tcPr>
            <w:tcW w:w="592" w:type="dxa"/>
          </w:tcPr>
          <w:p w14:paraId="525CEDAF">
            <w:pPr>
              <w:rPr>
                <w:rFonts w:ascii="Arial"/>
                <w:color w:val="auto"/>
                <w:highlight w:val="none"/>
              </w:rPr>
            </w:pPr>
          </w:p>
        </w:tc>
        <w:tc>
          <w:tcPr>
            <w:tcW w:w="593" w:type="dxa"/>
            <w:tcBorders>
              <w:right w:val="single" w:color="000000" w:sz="4" w:space="0"/>
            </w:tcBorders>
          </w:tcPr>
          <w:p w14:paraId="0E8337AF">
            <w:pPr>
              <w:rPr>
                <w:rFonts w:ascii="Arial"/>
                <w:color w:val="auto"/>
                <w:highlight w:val="none"/>
              </w:rPr>
            </w:pPr>
          </w:p>
        </w:tc>
        <w:tc>
          <w:tcPr>
            <w:tcW w:w="595" w:type="dxa"/>
            <w:tcBorders>
              <w:left w:val="single" w:color="000000" w:sz="4" w:space="0"/>
            </w:tcBorders>
          </w:tcPr>
          <w:p w14:paraId="6F581BE7">
            <w:pPr>
              <w:rPr>
                <w:rFonts w:ascii="Arial"/>
                <w:color w:val="auto"/>
                <w:highlight w:val="none"/>
              </w:rPr>
            </w:pPr>
          </w:p>
        </w:tc>
        <w:tc>
          <w:tcPr>
            <w:tcW w:w="717" w:type="dxa"/>
          </w:tcPr>
          <w:p w14:paraId="518ACE0B">
            <w:pPr>
              <w:rPr>
                <w:rFonts w:ascii="Arial"/>
                <w:color w:val="auto"/>
                <w:highlight w:val="none"/>
              </w:rPr>
            </w:pPr>
          </w:p>
        </w:tc>
      </w:tr>
      <w:tr w14:paraId="69F4B8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8307" w:type="dxa"/>
            <w:gridSpan w:val="12"/>
          </w:tcPr>
          <w:p w14:paraId="644559D5">
            <w:pPr>
              <w:pStyle w:val="185"/>
              <w:spacing w:before="33" w:line="220" w:lineRule="auto"/>
              <w:ind w:left="115"/>
              <w:rPr>
                <w:color w:val="auto"/>
                <w:highlight w:val="none"/>
                <w:lang w:eastAsia="zh-CN"/>
              </w:rPr>
            </w:pPr>
            <w:r>
              <w:rPr>
                <w:color w:val="auto"/>
                <w:spacing w:val="-1"/>
                <w:highlight w:val="none"/>
                <w:lang w:eastAsia="zh-CN"/>
              </w:rPr>
              <w:t>评标委员会全体成员签名：</w:t>
            </w:r>
          </w:p>
        </w:tc>
      </w:tr>
    </w:tbl>
    <w:p w14:paraId="66027EC8">
      <w:pPr>
        <w:spacing w:before="139" w:line="221" w:lineRule="auto"/>
        <w:ind w:left="5731"/>
        <w:rPr>
          <w:rFonts w:ascii="宋体" w:hAnsi="宋体" w:cs="宋体"/>
          <w:color w:val="auto"/>
          <w:spacing w:val="-11"/>
          <w:szCs w:val="21"/>
          <w:highlight w:val="none"/>
        </w:rPr>
      </w:pPr>
      <w:r>
        <w:rPr>
          <w:rFonts w:ascii="宋体" w:hAnsi="宋体" w:cs="宋体"/>
          <w:color w:val="auto"/>
          <w:spacing w:val="-11"/>
          <w:szCs w:val="21"/>
          <w:highlight w:val="none"/>
        </w:rPr>
        <w:t>日期：   年    月    日</w:t>
      </w:r>
    </w:p>
    <w:p w14:paraId="08C0A403">
      <w:pPr>
        <w:spacing w:before="139" w:line="221" w:lineRule="auto"/>
        <w:ind w:left="5731"/>
        <w:rPr>
          <w:rFonts w:ascii="宋体" w:hAnsi="宋体" w:cs="宋体"/>
          <w:color w:val="auto"/>
          <w:szCs w:val="21"/>
          <w:highlight w:val="none"/>
        </w:rPr>
      </w:pPr>
    </w:p>
    <w:p w14:paraId="036F6958">
      <w:pPr>
        <w:spacing w:line="221" w:lineRule="auto"/>
        <w:rPr>
          <w:rFonts w:ascii="宋体" w:hAnsi="宋体" w:cs="宋体"/>
          <w:color w:val="auto"/>
          <w:szCs w:val="21"/>
          <w:highlight w:val="none"/>
        </w:rPr>
        <w:sectPr>
          <w:footerReference r:id="rId27" w:type="default"/>
          <w:pgSz w:w="11907" w:h="16839"/>
          <w:pgMar w:top="1431" w:right="1785" w:bottom="1030" w:left="1785" w:header="0" w:footer="799" w:gutter="0"/>
          <w:pgNumType w:fmt="decimal"/>
          <w:cols w:space="720" w:num="1"/>
        </w:sectPr>
      </w:pPr>
    </w:p>
    <w:p w14:paraId="2CFF2504">
      <w:pPr>
        <w:pStyle w:val="17"/>
        <w:spacing w:line="242" w:lineRule="auto"/>
        <w:rPr>
          <w:color w:val="auto"/>
          <w:highlight w:val="none"/>
        </w:rPr>
      </w:pPr>
      <w:bookmarkStart w:id="285" w:name="bookmark414"/>
      <w:bookmarkEnd w:id="285"/>
    </w:p>
    <w:p w14:paraId="3A24050F">
      <w:pPr>
        <w:spacing w:before="124" w:line="219" w:lineRule="auto"/>
        <w:ind w:left="152"/>
        <w:outlineLvl w:val="2"/>
        <w:rPr>
          <w:rFonts w:ascii="黑体" w:hAnsi="黑体" w:eastAsia="黑体" w:cs="黑体"/>
          <w:color w:val="auto"/>
          <w:spacing w:val="-3"/>
          <w:sz w:val="24"/>
          <w:highlight w:val="none"/>
        </w:rPr>
      </w:pPr>
      <w:r>
        <w:rPr>
          <w:rFonts w:ascii="黑体" w:hAnsi="黑体" w:eastAsia="黑体" w:cs="黑体"/>
          <w:color w:val="auto"/>
          <w:spacing w:val="-3"/>
          <w:sz w:val="24"/>
          <w:highlight w:val="none"/>
          <w:lang w:val="en-US" w:eastAsia="zh-CN"/>
        </w:rPr>
        <w:t>附表 A-7（1）：承包人建议书评审记录表（合格性）</w:t>
      </w:r>
    </w:p>
    <w:p w14:paraId="562762C6">
      <w:pPr>
        <w:pStyle w:val="17"/>
        <w:spacing w:line="250" w:lineRule="auto"/>
        <w:rPr>
          <w:color w:val="auto"/>
          <w:highlight w:val="none"/>
        </w:rPr>
      </w:pPr>
    </w:p>
    <w:p w14:paraId="006C1466">
      <w:pPr>
        <w:spacing w:before="117" w:line="219" w:lineRule="auto"/>
        <w:ind w:firstLine="1760" w:firstLineChars="500"/>
        <w:jc w:val="both"/>
        <w:rPr>
          <w:rFonts w:ascii="黑体" w:hAnsi="黑体" w:eastAsia="黑体" w:cs="黑体"/>
          <w:color w:val="auto"/>
          <w:spacing w:val="-4"/>
          <w:sz w:val="36"/>
          <w:szCs w:val="36"/>
          <w:highlight w:val="none"/>
        </w:rPr>
      </w:pPr>
      <w:r>
        <w:rPr>
          <w:rFonts w:ascii="黑体" w:hAnsi="黑体" w:eastAsia="黑体" w:cs="黑体"/>
          <w:color w:val="auto"/>
          <w:spacing w:val="-4"/>
          <w:sz w:val="36"/>
          <w:szCs w:val="36"/>
          <w:highlight w:val="none"/>
          <w:lang w:val="en-US" w:eastAsia="zh-CN"/>
        </w:rPr>
        <w:t>承包人建议书评审记录表</w:t>
      </w:r>
    </w:p>
    <w:p w14:paraId="34088C2C">
      <w:pPr>
        <w:spacing w:before="117" w:line="219" w:lineRule="auto"/>
        <w:ind w:firstLine="1560" w:firstLineChars="500"/>
        <w:jc w:val="both"/>
        <w:rPr>
          <w:rFonts w:ascii="黑体" w:hAnsi="黑体" w:eastAsia="黑体" w:cs="黑体"/>
          <w:color w:val="auto"/>
          <w:spacing w:val="-4"/>
          <w:sz w:val="32"/>
          <w:szCs w:val="32"/>
          <w:highlight w:val="none"/>
        </w:rPr>
      </w:pPr>
      <w:r>
        <w:rPr>
          <w:rFonts w:ascii="黑体" w:hAnsi="黑体" w:eastAsia="黑体" w:cs="黑体"/>
          <w:color w:val="auto"/>
          <w:spacing w:val="-4"/>
          <w:sz w:val="32"/>
          <w:szCs w:val="32"/>
          <w:highlight w:val="none"/>
          <w:lang w:val="en-US" w:eastAsia="zh-CN"/>
        </w:rPr>
        <w:t>（适用于经评审的最低投标价法）</w:t>
      </w:r>
    </w:p>
    <w:p w14:paraId="41305588">
      <w:pPr>
        <w:spacing w:before="241" w:line="221" w:lineRule="auto"/>
        <w:ind w:left="21"/>
        <w:rPr>
          <w:rFonts w:ascii="宋体" w:hAnsi="宋体" w:cs="宋体"/>
          <w:color w:val="auto"/>
          <w:szCs w:val="21"/>
          <w:highlight w:val="none"/>
        </w:rPr>
      </w:pPr>
      <w:r>
        <w:rPr>
          <w:rFonts w:ascii="宋体" w:hAnsi="宋体" w:cs="宋体"/>
          <w:color w:val="auto"/>
          <w:spacing w:val="-7"/>
          <w:szCs w:val="21"/>
          <w:highlight w:val="none"/>
        </w:rPr>
        <w:t>标段名称：</w:t>
      </w:r>
    </w:p>
    <w:p w14:paraId="522D80BB">
      <w:pPr>
        <w:spacing w:before="19" w:line="214" w:lineRule="auto"/>
        <w:ind w:left="21"/>
        <w:rPr>
          <w:rFonts w:ascii="宋体" w:hAnsi="宋体" w:cs="宋体"/>
          <w:color w:val="auto"/>
          <w:szCs w:val="21"/>
          <w:highlight w:val="none"/>
        </w:rPr>
      </w:pPr>
      <w:r>
        <w:rPr>
          <w:rFonts w:ascii="宋体" w:hAnsi="宋体" w:cs="宋体"/>
          <w:color w:val="auto"/>
          <w:spacing w:val="-1"/>
          <w:szCs w:val="21"/>
          <w:highlight w:val="none"/>
        </w:rPr>
        <w:t>标段唯一标识码：</w:t>
      </w:r>
    </w:p>
    <w:tbl>
      <w:tblPr>
        <w:tblStyle w:val="42"/>
        <w:tblW w:w="8307" w:type="dxa"/>
        <w:tblInd w:w="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8"/>
        <w:gridCol w:w="1543"/>
        <w:gridCol w:w="592"/>
        <w:gridCol w:w="595"/>
        <w:gridCol w:w="595"/>
        <w:gridCol w:w="593"/>
        <w:gridCol w:w="592"/>
        <w:gridCol w:w="592"/>
        <w:gridCol w:w="592"/>
        <w:gridCol w:w="593"/>
        <w:gridCol w:w="595"/>
        <w:gridCol w:w="717"/>
      </w:tblGrid>
      <w:tr w14:paraId="6DB31C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708" w:type="dxa"/>
            <w:vMerge w:val="restart"/>
            <w:tcBorders>
              <w:bottom w:val="nil"/>
            </w:tcBorders>
          </w:tcPr>
          <w:p w14:paraId="0CB50CEF">
            <w:pPr>
              <w:spacing w:line="252" w:lineRule="auto"/>
              <w:rPr>
                <w:rFonts w:ascii="Arial"/>
                <w:color w:val="auto"/>
                <w:highlight w:val="none"/>
              </w:rPr>
            </w:pPr>
          </w:p>
          <w:p w14:paraId="7C3305B3">
            <w:pPr>
              <w:pStyle w:val="185"/>
              <w:spacing w:before="68" w:line="222" w:lineRule="auto"/>
              <w:ind w:left="146"/>
              <w:rPr>
                <w:color w:val="auto"/>
                <w:highlight w:val="none"/>
              </w:rPr>
            </w:pPr>
            <w:r>
              <w:rPr>
                <w:b/>
                <w:bCs/>
                <w:color w:val="auto"/>
                <w:spacing w:val="-4"/>
                <w:highlight w:val="none"/>
              </w:rPr>
              <w:t>序号</w:t>
            </w:r>
          </w:p>
        </w:tc>
        <w:tc>
          <w:tcPr>
            <w:tcW w:w="1543" w:type="dxa"/>
            <w:vMerge w:val="restart"/>
            <w:tcBorders>
              <w:bottom w:val="nil"/>
            </w:tcBorders>
          </w:tcPr>
          <w:p w14:paraId="1A560AAE">
            <w:pPr>
              <w:spacing w:line="252" w:lineRule="auto"/>
              <w:rPr>
                <w:rFonts w:ascii="Arial"/>
                <w:color w:val="auto"/>
                <w:highlight w:val="none"/>
              </w:rPr>
            </w:pPr>
          </w:p>
          <w:p w14:paraId="55AD0FCA">
            <w:pPr>
              <w:pStyle w:val="185"/>
              <w:spacing w:before="69" w:line="221" w:lineRule="auto"/>
              <w:ind w:left="248"/>
              <w:rPr>
                <w:color w:val="auto"/>
                <w:highlight w:val="none"/>
              </w:rPr>
            </w:pPr>
            <w:r>
              <w:rPr>
                <w:b/>
                <w:bCs/>
                <w:color w:val="auto"/>
                <w:spacing w:val="-3"/>
                <w:highlight w:val="none"/>
              </w:rPr>
              <w:t>投标人名称</w:t>
            </w:r>
          </w:p>
        </w:tc>
        <w:tc>
          <w:tcPr>
            <w:tcW w:w="5339" w:type="dxa"/>
            <w:gridSpan w:val="9"/>
          </w:tcPr>
          <w:p w14:paraId="1670451B">
            <w:pPr>
              <w:pStyle w:val="185"/>
              <w:spacing w:before="105" w:line="221" w:lineRule="auto"/>
              <w:ind w:left="1721"/>
              <w:rPr>
                <w:color w:val="auto"/>
                <w:highlight w:val="none"/>
              </w:rPr>
            </w:pPr>
            <w:r>
              <w:rPr>
                <w:b/>
                <w:bCs/>
                <w:color w:val="auto"/>
                <w:spacing w:val="-2"/>
                <w:highlight w:val="none"/>
              </w:rPr>
              <w:t>评审标准及评审意见</w:t>
            </w:r>
          </w:p>
        </w:tc>
        <w:tc>
          <w:tcPr>
            <w:tcW w:w="717" w:type="dxa"/>
            <w:vMerge w:val="restart"/>
            <w:tcBorders>
              <w:bottom w:val="nil"/>
            </w:tcBorders>
          </w:tcPr>
          <w:p w14:paraId="7D423C36">
            <w:pPr>
              <w:pStyle w:val="185"/>
              <w:spacing w:before="185" w:line="221" w:lineRule="auto"/>
              <w:ind w:left="149"/>
              <w:rPr>
                <w:color w:val="auto"/>
                <w:highlight w:val="none"/>
              </w:rPr>
            </w:pPr>
            <w:r>
              <w:rPr>
                <w:b/>
                <w:bCs/>
                <w:color w:val="auto"/>
                <w:spacing w:val="-4"/>
                <w:highlight w:val="none"/>
              </w:rPr>
              <w:t>评审</w:t>
            </w:r>
          </w:p>
          <w:p w14:paraId="77B13808">
            <w:pPr>
              <w:pStyle w:val="185"/>
              <w:spacing w:before="21" w:line="222" w:lineRule="auto"/>
              <w:ind w:left="155"/>
              <w:rPr>
                <w:color w:val="auto"/>
                <w:highlight w:val="none"/>
              </w:rPr>
            </w:pPr>
            <w:r>
              <w:rPr>
                <w:b/>
                <w:bCs/>
                <w:color w:val="auto"/>
                <w:spacing w:val="-5"/>
                <w:highlight w:val="none"/>
              </w:rPr>
              <w:t>结论</w:t>
            </w:r>
          </w:p>
        </w:tc>
      </w:tr>
      <w:tr w14:paraId="320DE9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708" w:type="dxa"/>
            <w:vMerge w:val="continue"/>
            <w:tcBorders>
              <w:top w:val="nil"/>
            </w:tcBorders>
          </w:tcPr>
          <w:p w14:paraId="6785DE8C">
            <w:pPr>
              <w:rPr>
                <w:rFonts w:ascii="Arial"/>
                <w:color w:val="auto"/>
                <w:highlight w:val="none"/>
              </w:rPr>
            </w:pPr>
          </w:p>
        </w:tc>
        <w:tc>
          <w:tcPr>
            <w:tcW w:w="1543" w:type="dxa"/>
            <w:vMerge w:val="continue"/>
            <w:tcBorders>
              <w:top w:val="nil"/>
            </w:tcBorders>
          </w:tcPr>
          <w:p w14:paraId="78D0130C">
            <w:pPr>
              <w:rPr>
                <w:rFonts w:ascii="Arial"/>
                <w:color w:val="auto"/>
                <w:highlight w:val="none"/>
              </w:rPr>
            </w:pPr>
          </w:p>
        </w:tc>
        <w:tc>
          <w:tcPr>
            <w:tcW w:w="592" w:type="dxa"/>
          </w:tcPr>
          <w:p w14:paraId="55E9835A">
            <w:pPr>
              <w:rPr>
                <w:rFonts w:ascii="Arial"/>
                <w:color w:val="auto"/>
                <w:highlight w:val="none"/>
              </w:rPr>
            </w:pPr>
          </w:p>
        </w:tc>
        <w:tc>
          <w:tcPr>
            <w:tcW w:w="595" w:type="dxa"/>
          </w:tcPr>
          <w:p w14:paraId="6ACB9A55">
            <w:pPr>
              <w:rPr>
                <w:rFonts w:ascii="Arial"/>
                <w:color w:val="auto"/>
                <w:highlight w:val="none"/>
              </w:rPr>
            </w:pPr>
          </w:p>
        </w:tc>
        <w:tc>
          <w:tcPr>
            <w:tcW w:w="595" w:type="dxa"/>
          </w:tcPr>
          <w:p w14:paraId="66E15912">
            <w:pPr>
              <w:rPr>
                <w:rFonts w:ascii="Arial"/>
                <w:color w:val="auto"/>
                <w:highlight w:val="none"/>
              </w:rPr>
            </w:pPr>
          </w:p>
        </w:tc>
        <w:tc>
          <w:tcPr>
            <w:tcW w:w="593" w:type="dxa"/>
          </w:tcPr>
          <w:p w14:paraId="200162B8">
            <w:pPr>
              <w:rPr>
                <w:rFonts w:ascii="Arial"/>
                <w:color w:val="auto"/>
                <w:highlight w:val="none"/>
              </w:rPr>
            </w:pPr>
          </w:p>
        </w:tc>
        <w:tc>
          <w:tcPr>
            <w:tcW w:w="592" w:type="dxa"/>
          </w:tcPr>
          <w:p w14:paraId="0918A126">
            <w:pPr>
              <w:rPr>
                <w:rFonts w:ascii="Arial"/>
                <w:color w:val="auto"/>
                <w:highlight w:val="none"/>
              </w:rPr>
            </w:pPr>
          </w:p>
        </w:tc>
        <w:tc>
          <w:tcPr>
            <w:tcW w:w="592" w:type="dxa"/>
          </w:tcPr>
          <w:p w14:paraId="72168643">
            <w:pPr>
              <w:rPr>
                <w:rFonts w:ascii="Arial"/>
                <w:color w:val="auto"/>
                <w:highlight w:val="none"/>
              </w:rPr>
            </w:pPr>
          </w:p>
        </w:tc>
        <w:tc>
          <w:tcPr>
            <w:tcW w:w="592" w:type="dxa"/>
          </w:tcPr>
          <w:p w14:paraId="4CB67378">
            <w:pPr>
              <w:rPr>
                <w:rFonts w:ascii="Arial"/>
                <w:color w:val="auto"/>
                <w:highlight w:val="none"/>
              </w:rPr>
            </w:pPr>
          </w:p>
        </w:tc>
        <w:tc>
          <w:tcPr>
            <w:tcW w:w="593" w:type="dxa"/>
            <w:tcBorders>
              <w:right w:val="single" w:color="000000" w:sz="4" w:space="0"/>
            </w:tcBorders>
          </w:tcPr>
          <w:p w14:paraId="0478A091">
            <w:pPr>
              <w:rPr>
                <w:rFonts w:ascii="Arial"/>
                <w:color w:val="auto"/>
                <w:highlight w:val="none"/>
              </w:rPr>
            </w:pPr>
          </w:p>
        </w:tc>
        <w:tc>
          <w:tcPr>
            <w:tcW w:w="595" w:type="dxa"/>
            <w:tcBorders>
              <w:left w:val="single" w:color="000000" w:sz="4" w:space="0"/>
            </w:tcBorders>
          </w:tcPr>
          <w:p w14:paraId="15D652DA">
            <w:pPr>
              <w:rPr>
                <w:rFonts w:ascii="Arial"/>
                <w:color w:val="auto"/>
                <w:highlight w:val="none"/>
              </w:rPr>
            </w:pPr>
          </w:p>
        </w:tc>
        <w:tc>
          <w:tcPr>
            <w:tcW w:w="717" w:type="dxa"/>
            <w:vMerge w:val="continue"/>
            <w:tcBorders>
              <w:top w:val="nil"/>
            </w:tcBorders>
          </w:tcPr>
          <w:p w14:paraId="634665CE">
            <w:pPr>
              <w:rPr>
                <w:rFonts w:ascii="Arial"/>
                <w:color w:val="auto"/>
                <w:highlight w:val="none"/>
              </w:rPr>
            </w:pPr>
          </w:p>
        </w:tc>
      </w:tr>
      <w:tr w14:paraId="29062B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08" w:type="dxa"/>
          </w:tcPr>
          <w:p w14:paraId="4D236896">
            <w:pPr>
              <w:pStyle w:val="185"/>
              <w:spacing w:before="177" w:line="242" w:lineRule="auto"/>
              <w:ind w:left="321"/>
              <w:rPr>
                <w:color w:val="auto"/>
                <w:highlight w:val="none"/>
              </w:rPr>
            </w:pPr>
            <w:r>
              <w:rPr>
                <w:color w:val="auto"/>
                <w:highlight w:val="none"/>
              </w:rPr>
              <w:t>1</w:t>
            </w:r>
          </w:p>
        </w:tc>
        <w:tc>
          <w:tcPr>
            <w:tcW w:w="1543" w:type="dxa"/>
          </w:tcPr>
          <w:p w14:paraId="1811266D">
            <w:pPr>
              <w:rPr>
                <w:rFonts w:ascii="Arial"/>
                <w:color w:val="auto"/>
                <w:highlight w:val="none"/>
              </w:rPr>
            </w:pPr>
          </w:p>
        </w:tc>
        <w:tc>
          <w:tcPr>
            <w:tcW w:w="592" w:type="dxa"/>
          </w:tcPr>
          <w:p w14:paraId="1D1C22F0">
            <w:pPr>
              <w:rPr>
                <w:rFonts w:ascii="Arial"/>
                <w:color w:val="auto"/>
                <w:highlight w:val="none"/>
              </w:rPr>
            </w:pPr>
          </w:p>
        </w:tc>
        <w:tc>
          <w:tcPr>
            <w:tcW w:w="595" w:type="dxa"/>
          </w:tcPr>
          <w:p w14:paraId="3C360C2B">
            <w:pPr>
              <w:rPr>
                <w:rFonts w:ascii="Arial"/>
                <w:color w:val="auto"/>
                <w:highlight w:val="none"/>
              </w:rPr>
            </w:pPr>
          </w:p>
        </w:tc>
        <w:tc>
          <w:tcPr>
            <w:tcW w:w="595" w:type="dxa"/>
          </w:tcPr>
          <w:p w14:paraId="556190FC">
            <w:pPr>
              <w:rPr>
                <w:rFonts w:ascii="Arial"/>
                <w:color w:val="auto"/>
                <w:highlight w:val="none"/>
              </w:rPr>
            </w:pPr>
          </w:p>
        </w:tc>
        <w:tc>
          <w:tcPr>
            <w:tcW w:w="593" w:type="dxa"/>
          </w:tcPr>
          <w:p w14:paraId="3490B8D8">
            <w:pPr>
              <w:rPr>
                <w:rFonts w:ascii="Arial"/>
                <w:color w:val="auto"/>
                <w:highlight w:val="none"/>
              </w:rPr>
            </w:pPr>
          </w:p>
        </w:tc>
        <w:tc>
          <w:tcPr>
            <w:tcW w:w="592" w:type="dxa"/>
          </w:tcPr>
          <w:p w14:paraId="70994F4B">
            <w:pPr>
              <w:rPr>
                <w:rFonts w:ascii="Arial"/>
                <w:color w:val="auto"/>
                <w:highlight w:val="none"/>
              </w:rPr>
            </w:pPr>
          </w:p>
        </w:tc>
        <w:tc>
          <w:tcPr>
            <w:tcW w:w="592" w:type="dxa"/>
          </w:tcPr>
          <w:p w14:paraId="0BBB7DB0">
            <w:pPr>
              <w:rPr>
                <w:rFonts w:ascii="Arial"/>
                <w:color w:val="auto"/>
                <w:highlight w:val="none"/>
              </w:rPr>
            </w:pPr>
          </w:p>
        </w:tc>
        <w:tc>
          <w:tcPr>
            <w:tcW w:w="592" w:type="dxa"/>
          </w:tcPr>
          <w:p w14:paraId="088F5E5A">
            <w:pPr>
              <w:rPr>
                <w:rFonts w:ascii="Arial"/>
                <w:color w:val="auto"/>
                <w:highlight w:val="none"/>
              </w:rPr>
            </w:pPr>
          </w:p>
        </w:tc>
        <w:tc>
          <w:tcPr>
            <w:tcW w:w="593" w:type="dxa"/>
            <w:tcBorders>
              <w:right w:val="single" w:color="000000" w:sz="4" w:space="0"/>
            </w:tcBorders>
          </w:tcPr>
          <w:p w14:paraId="3AAC04A1">
            <w:pPr>
              <w:rPr>
                <w:rFonts w:ascii="Arial"/>
                <w:color w:val="auto"/>
                <w:highlight w:val="none"/>
              </w:rPr>
            </w:pPr>
          </w:p>
        </w:tc>
        <w:tc>
          <w:tcPr>
            <w:tcW w:w="595" w:type="dxa"/>
            <w:tcBorders>
              <w:left w:val="single" w:color="000000" w:sz="4" w:space="0"/>
            </w:tcBorders>
          </w:tcPr>
          <w:p w14:paraId="5BC4E69A">
            <w:pPr>
              <w:rPr>
                <w:rFonts w:ascii="Arial"/>
                <w:color w:val="auto"/>
                <w:highlight w:val="none"/>
              </w:rPr>
            </w:pPr>
          </w:p>
        </w:tc>
        <w:tc>
          <w:tcPr>
            <w:tcW w:w="717" w:type="dxa"/>
          </w:tcPr>
          <w:p w14:paraId="27C01D69">
            <w:pPr>
              <w:rPr>
                <w:rFonts w:ascii="Arial"/>
                <w:color w:val="auto"/>
                <w:highlight w:val="none"/>
              </w:rPr>
            </w:pPr>
          </w:p>
        </w:tc>
      </w:tr>
      <w:tr w14:paraId="0ADA8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708" w:type="dxa"/>
          </w:tcPr>
          <w:p w14:paraId="4B791374">
            <w:pPr>
              <w:pStyle w:val="185"/>
              <w:spacing w:before="180" w:line="242" w:lineRule="auto"/>
              <w:ind w:left="308"/>
              <w:rPr>
                <w:color w:val="auto"/>
                <w:highlight w:val="none"/>
              </w:rPr>
            </w:pPr>
            <w:r>
              <w:rPr>
                <w:color w:val="auto"/>
                <w:highlight w:val="none"/>
              </w:rPr>
              <w:t>2</w:t>
            </w:r>
          </w:p>
        </w:tc>
        <w:tc>
          <w:tcPr>
            <w:tcW w:w="1543" w:type="dxa"/>
          </w:tcPr>
          <w:p w14:paraId="5A1EB842">
            <w:pPr>
              <w:rPr>
                <w:rFonts w:ascii="Arial"/>
                <w:color w:val="auto"/>
                <w:highlight w:val="none"/>
              </w:rPr>
            </w:pPr>
          </w:p>
        </w:tc>
        <w:tc>
          <w:tcPr>
            <w:tcW w:w="592" w:type="dxa"/>
          </w:tcPr>
          <w:p w14:paraId="720A658C">
            <w:pPr>
              <w:rPr>
                <w:rFonts w:ascii="Arial"/>
                <w:color w:val="auto"/>
                <w:highlight w:val="none"/>
              </w:rPr>
            </w:pPr>
          </w:p>
        </w:tc>
        <w:tc>
          <w:tcPr>
            <w:tcW w:w="595" w:type="dxa"/>
          </w:tcPr>
          <w:p w14:paraId="7ED775D2">
            <w:pPr>
              <w:rPr>
                <w:rFonts w:ascii="Arial"/>
                <w:color w:val="auto"/>
                <w:highlight w:val="none"/>
              </w:rPr>
            </w:pPr>
          </w:p>
        </w:tc>
        <w:tc>
          <w:tcPr>
            <w:tcW w:w="595" w:type="dxa"/>
          </w:tcPr>
          <w:p w14:paraId="74DB9132">
            <w:pPr>
              <w:rPr>
                <w:rFonts w:ascii="Arial"/>
                <w:color w:val="auto"/>
                <w:highlight w:val="none"/>
              </w:rPr>
            </w:pPr>
          </w:p>
        </w:tc>
        <w:tc>
          <w:tcPr>
            <w:tcW w:w="593" w:type="dxa"/>
          </w:tcPr>
          <w:p w14:paraId="7A5CAEE4">
            <w:pPr>
              <w:rPr>
                <w:rFonts w:ascii="Arial"/>
                <w:color w:val="auto"/>
                <w:highlight w:val="none"/>
              </w:rPr>
            </w:pPr>
          </w:p>
        </w:tc>
        <w:tc>
          <w:tcPr>
            <w:tcW w:w="592" w:type="dxa"/>
          </w:tcPr>
          <w:p w14:paraId="06297C9B">
            <w:pPr>
              <w:rPr>
                <w:rFonts w:ascii="Arial"/>
                <w:color w:val="auto"/>
                <w:highlight w:val="none"/>
              </w:rPr>
            </w:pPr>
          </w:p>
        </w:tc>
        <w:tc>
          <w:tcPr>
            <w:tcW w:w="592" w:type="dxa"/>
          </w:tcPr>
          <w:p w14:paraId="5998AED0">
            <w:pPr>
              <w:rPr>
                <w:rFonts w:ascii="Arial"/>
                <w:color w:val="auto"/>
                <w:highlight w:val="none"/>
              </w:rPr>
            </w:pPr>
          </w:p>
        </w:tc>
        <w:tc>
          <w:tcPr>
            <w:tcW w:w="592" w:type="dxa"/>
          </w:tcPr>
          <w:p w14:paraId="4B18D986">
            <w:pPr>
              <w:rPr>
                <w:rFonts w:ascii="Arial"/>
                <w:color w:val="auto"/>
                <w:highlight w:val="none"/>
              </w:rPr>
            </w:pPr>
          </w:p>
        </w:tc>
        <w:tc>
          <w:tcPr>
            <w:tcW w:w="593" w:type="dxa"/>
            <w:tcBorders>
              <w:right w:val="single" w:color="000000" w:sz="4" w:space="0"/>
            </w:tcBorders>
          </w:tcPr>
          <w:p w14:paraId="0E60E37F">
            <w:pPr>
              <w:rPr>
                <w:rFonts w:ascii="Arial"/>
                <w:color w:val="auto"/>
                <w:highlight w:val="none"/>
              </w:rPr>
            </w:pPr>
          </w:p>
        </w:tc>
        <w:tc>
          <w:tcPr>
            <w:tcW w:w="595" w:type="dxa"/>
            <w:tcBorders>
              <w:left w:val="single" w:color="000000" w:sz="4" w:space="0"/>
            </w:tcBorders>
          </w:tcPr>
          <w:p w14:paraId="45B51376">
            <w:pPr>
              <w:rPr>
                <w:rFonts w:ascii="Arial"/>
                <w:color w:val="auto"/>
                <w:highlight w:val="none"/>
              </w:rPr>
            </w:pPr>
          </w:p>
        </w:tc>
        <w:tc>
          <w:tcPr>
            <w:tcW w:w="717" w:type="dxa"/>
          </w:tcPr>
          <w:p w14:paraId="69F504B3">
            <w:pPr>
              <w:rPr>
                <w:rFonts w:ascii="Arial"/>
                <w:color w:val="auto"/>
                <w:highlight w:val="none"/>
              </w:rPr>
            </w:pPr>
          </w:p>
        </w:tc>
      </w:tr>
      <w:tr w14:paraId="564976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0" w:hRule="atLeast"/>
        </w:trPr>
        <w:tc>
          <w:tcPr>
            <w:tcW w:w="708" w:type="dxa"/>
          </w:tcPr>
          <w:p w14:paraId="0A9CE04B">
            <w:pPr>
              <w:pStyle w:val="185"/>
              <w:spacing w:before="177" w:line="241" w:lineRule="auto"/>
              <w:ind w:left="309"/>
              <w:rPr>
                <w:color w:val="auto"/>
                <w:highlight w:val="none"/>
              </w:rPr>
            </w:pPr>
            <w:r>
              <w:rPr>
                <w:color w:val="auto"/>
                <w:highlight w:val="none"/>
              </w:rPr>
              <w:t>3</w:t>
            </w:r>
          </w:p>
        </w:tc>
        <w:tc>
          <w:tcPr>
            <w:tcW w:w="1543" w:type="dxa"/>
          </w:tcPr>
          <w:p w14:paraId="53A4A0FD">
            <w:pPr>
              <w:rPr>
                <w:rFonts w:ascii="Arial"/>
                <w:color w:val="auto"/>
                <w:highlight w:val="none"/>
              </w:rPr>
            </w:pPr>
          </w:p>
        </w:tc>
        <w:tc>
          <w:tcPr>
            <w:tcW w:w="592" w:type="dxa"/>
          </w:tcPr>
          <w:p w14:paraId="567DDF98">
            <w:pPr>
              <w:rPr>
                <w:rFonts w:ascii="Arial"/>
                <w:color w:val="auto"/>
                <w:highlight w:val="none"/>
              </w:rPr>
            </w:pPr>
          </w:p>
        </w:tc>
        <w:tc>
          <w:tcPr>
            <w:tcW w:w="595" w:type="dxa"/>
          </w:tcPr>
          <w:p w14:paraId="3DD81BE4">
            <w:pPr>
              <w:rPr>
                <w:rFonts w:ascii="Arial"/>
                <w:color w:val="auto"/>
                <w:highlight w:val="none"/>
              </w:rPr>
            </w:pPr>
          </w:p>
        </w:tc>
        <w:tc>
          <w:tcPr>
            <w:tcW w:w="595" w:type="dxa"/>
          </w:tcPr>
          <w:p w14:paraId="17E5A267">
            <w:pPr>
              <w:rPr>
                <w:rFonts w:ascii="Arial"/>
                <w:color w:val="auto"/>
                <w:highlight w:val="none"/>
              </w:rPr>
            </w:pPr>
          </w:p>
        </w:tc>
        <w:tc>
          <w:tcPr>
            <w:tcW w:w="593" w:type="dxa"/>
          </w:tcPr>
          <w:p w14:paraId="63105629">
            <w:pPr>
              <w:rPr>
                <w:rFonts w:ascii="Arial"/>
                <w:color w:val="auto"/>
                <w:highlight w:val="none"/>
              </w:rPr>
            </w:pPr>
          </w:p>
        </w:tc>
        <w:tc>
          <w:tcPr>
            <w:tcW w:w="592" w:type="dxa"/>
          </w:tcPr>
          <w:p w14:paraId="13915273">
            <w:pPr>
              <w:rPr>
                <w:rFonts w:ascii="Arial"/>
                <w:color w:val="auto"/>
                <w:highlight w:val="none"/>
              </w:rPr>
            </w:pPr>
          </w:p>
        </w:tc>
        <w:tc>
          <w:tcPr>
            <w:tcW w:w="592" w:type="dxa"/>
          </w:tcPr>
          <w:p w14:paraId="25104D51">
            <w:pPr>
              <w:rPr>
                <w:rFonts w:ascii="Arial"/>
                <w:color w:val="auto"/>
                <w:highlight w:val="none"/>
              </w:rPr>
            </w:pPr>
          </w:p>
        </w:tc>
        <w:tc>
          <w:tcPr>
            <w:tcW w:w="592" w:type="dxa"/>
          </w:tcPr>
          <w:p w14:paraId="6C77F098">
            <w:pPr>
              <w:rPr>
                <w:rFonts w:ascii="Arial"/>
                <w:color w:val="auto"/>
                <w:highlight w:val="none"/>
              </w:rPr>
            </w:pPr>
          </w:p>
        </w:tc>
        <w:tc>
          <w:tcPr>
            <w:tcW w:w="593" w:type="dxa"/>
            <w:tcBorders>
              <w:right w:val="single" w:color="000000" w:sz="4" w:space="0"/>
            </w:tcBorders>
          </w:tcPr>
          <w:p w14:paraId="56000375">
            <w:pPr>
              <w:rPr>
                <w:rFonts w:ascii="Arial"/>
                <w:color w:val="auto"/>
                <w:highlight w:val="none"/>
              </w:rPr>
            </w:pPr>
          </w:p>
        </w:tc>
        <w:tc>
          <w:tcPr>
            <w:tcW w:w="595" w:type="dxa"/>
            <w:tcBorders>
              <w:left w:val="single" w:color="000000" w:sz="4" w:space="0"/>
            </w:tcBorders>
          </w:tcPr>
          <w:p w14:paraId="1DCB5B0A">
            <w:pPr>
              <w:rPr>
                <w:rFonts w:ascii="Arial"/>
                <w:color w:val="auto"/>
                <w:highlight w:val="none"/>
              </w:rPr>
            </w:pPr>
          </w:p>
        </w:tc>
        <w:tc>
          <w:tcPr>
            <w:tcW w:w="717" w:type="dxa"/>
          </w:tcPr>
          <w:p w14:paraId="425FD685">
            <w:pPr>
              <w:rPr>
                <w:rFonts w:ascii="Arial"/>
                <w:color w:val="auto"/>
                <w:highlight w:val="none"/>
              </w:rPr>
            </w:pPr>
          </w:p>
        </w:tc>
      </w:tr>
      <w:tr w14:paraId="52B0FA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708" w:type="dxa"/>
          </w:tcPr>
          <w:p w14:paraId="462AC303">
            <w:pPr>
              <w:pStyle w:val="185"/>
              <w:spacing w:before="181" w:line="242" w:lineRule="auto"/>
              <w:ind w:left="304"/>
              <w:rPr>
                <w:color w:val="auto"/>
                <w:highlight w:val="none"/>
              </w:rPr>
            </w:pPr>
            <w:r>
              <w:rPr>
                <w:color w:val="auto"/>
                <w:highlight w:val="none"/>
              </w:rPr>
              <w:t>4</w:t>
            </w:r>
          </w:p>
        </w:tc>
        <w:tc>
          <w:tcPr>
            <w:tcW w:w="1543" w:type="dxa"/>
          </w:tcPr>
          <w:p w14:paraId="796FF04F">
            <w:pPr>
              <w:rPr>
                <w:rFonts w:ascii="Arial"/>
                <w:color w:val="auto"/>
                <w:highlight w:val="none"/>
              </w:rPr>
            </w:pPr>
          </w:p>
        </w:tc>
        <w:tc>
          <w:tcPr>
            <w:tcW w:w="592" w:type="dxa"/>
          </w:tcPr>
          <w:p w14:paraId="61B87CFD">
            <w:pPr>
              <w:rPr>
                <w:rFonts w:ascii="Arial"/>
                <w:color w:val="auto"/>
                <w:highlight w:val="none"/>
              </w:rPr>
            </w:pPr>
          </w:p>
        </w:tc>
        <w:tc>
          <w:tcPr>
            <w:tcW w:w="595" w:type="dxa"/>
          </w:tcPr>
          <w:p w14:paraId="41E4298E">
            <w:pPr>
              <w:rPr>
                <w:rFonts w:ascii="Arial"/>
                <w:color w:val="auto"/>
                <w:highlight w:val="none"/>
              </w:rPr>
            </w:pPr>
          </w:p>
        </w:tc>
        <w:tc>
          <w:tcPr>
            <w:tcW w:w="595" w:type="dxa"/>
          </w:tcPr>
          <w:p w14:paraId="37E7547D">
            <w:pPr>
              <w:rPr>
                <w:rFonts w:ascii="Arial"/>
                <w:color w:val="auto"/>
                <w:highlight w:val="none"/>
              </w:rPr>
            </w:pPr>
          </w:p>
        </w:tc>
        <w:tc>
          <w:tcPr>
            <w:tcW w:w="593" w:type="dxa"/>
          </w:tcPr>
          <w:p w14:paraId="55B5D069">
            <w:pPr>
              <w:rPr>
                <w:rFonts w:ascii="Arial"/>
                <w:color w:val="auto"/>
                <w:highlight w:val="none"/>
              </w:rPr>
            </w:pPr>
          </w:p>
        </w:tc>
        <w:tc>
          <w:tcPr>
            <w:tcW w:w="592" w:type="dxa"/>
          </w:tcPr>
          <w:p w14:paraId="07FFA29E">
            <w:pPr>
              <w:rPr>
                <w:rFonts w:ascii="Arial"/>
                <w:color w:val="auto"/>
                <w:highlight w:val="none"/>
              </w:rPr>
            </w:pPr>
          </w:p>
        </w:tc>
        <w:tc>
          <w:tcPr>
            <w:tcW w:w="592" w:type="dxa"/>
          </w:tcPr>
          <w:p w14:paraId="412816FC">
            <w:pPr>
              <w:rPr>
                <w:rFonts w:ascii="Arial"/>
                <w:color w:val="auto"/>
                <w:highlight w:val="none"/>
              </w:rPr>
            </w:pPr>
          </w:p>
        </w:tc>
        <w:tc>
          <w:tcPr>
            <w:tcW w:w="592" w:type="dxa"/>
          </w:tcPr>
          <w:p w14:paraId="55A6645A">
            <w:pPr>
              <w:rPr>
                <w:rFonts w:ascii="Arial"/>
                <w:color w:val="auto"/>
                <w:highlight w:val="none"/>
              </w:rPr>
            </w:pPr>
          </w:p>
        </w:tc>
        <w:tc>
          <w:tcPr>
            <w:tcW w:w="593" w:type="dxa"/>
            <w:tcBorders>
              <w:right w:val="single" w:color="000000" w:sz="4" w:space="0"/>
            </w:tcBorders>
          </w:tcPr>
          <w:p w14:paraId="183126F2">
            <w:pPr>
              <w:rPr>
                <w:rFonts w:ascii="Arial"/>
                <w:color w:val="auto"/>
                <w:highlight w:val="none"/>
              </w:rPr>
            </w:pPr>
          </w:p>
        </w:tc>
        <w:tc>
          <w:tcPr>
            <w:tcW w:w="595" w:type="dxa"/>
            <w:tcBorders>
              <w:left w:val="single" w:color="000000" w:sz="4" w:space="0"/>
            </w:tcBorders>
          </w:tcPr>
          <w:p w14:paraId="01037D6F">
            <w:pPr>
              <w:rPr>
                <w:rFonts w:ascii="Arial"/>
                <w:color w:val="auto"/>
                <w:highlight w:val="none"/>
              </w:rPr>
            </w:pPr>
          </w:p>
        </w:tc>
        <w:tc>
          <w:tcPr>
            <w:tcW w:w="717" w:type="dxa"/>
          </w:tcPr>
          <w:p w14:paraId="7AFF78A5">
            <w:pPr>
              <w:rPr>
                <w:rFonts w:ascii="Arial"/>
                <w:color w:val="auto"/>
                <w:highlight w:val="none"/>
              </w:rPr>
            </w:pPr>
          </w:p>
        </w:tc>
      </w:tr>
      <w:tr w14:paraId="439D04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08" w:type="dxa"/>
          </w:tcPr>
          <w:p w14:paraId="6CEC4BD6">
            <w:pPr>
              <w:pStyle w:val="185"/>
              <w:spacing w:before="179" w:line="241" w:lineRule="auto"/>
              <w:ind w:left="309"/>
              <w:rPr>
                <w:color w:val="auto"/>
                <w:highlight w:val="none"/>
              </w:rPr>
            </w:pPr>
            <w:r>
              <w:rPr>
                <w:color w:val="auto"/>
                <w:highlight w:val="none"/>
              </w:rPr>
              <w:t>5</w:t>
            </w:r>
          </w:p>
        </w:tc>
        <w:tc>
          <w:tcPr>
            <w:tcW w:w="1543" w:type="dxa"/>
          </w:tcPr>
          <w:p w14:paraId="649BDA98">
            <w:pPr>
              <w:rPr>
                <w:rFonts w:ascii="Arial"/>
                <w:color w:val="auto"/>
                <w:highlight w:val="none"/>
              </w:rPr>
            </w:pPr>
          </w:p>
        </w:tc>
        <w:tc>
          <w:tcPr>
            <w:tcW w:w="592" w:type="dxa"/>
          </w:tcPr>
          <w:p w14:paraId="2BD5A211">
            <w:pPr>
              <w:rPr>
                <w:rFonts w:ascii="Arial"/>
                <w:color w:val="auto"/>
                <w:highlight w:val="none"/>
              </w:rPr>
            </w:pPr>
          </w:p>
        </w:tc>
        <w:tc>
          <w:tcPr>
            <w:tcW w:w="595" w:type="dxa"/>
          </w:tcPr>
          <w:p w14:paraId="606B9A5A">
            <w:pPr>
              <w:rPr>
                <w:rFonts w:ascii="Arial"/>
                <w:color w:val="auto"/>
                <w:highlight w:val="none"/>
              </w:rPr>
            </w:pPr>
          </w:p>
        </w:tc>
        <w:tc>
          <w:tcPr>
            <w:tcW w:w="595" w:type="dxa"/>
          </w:tcPr>
          <w:p w14:paraId="4E83B254">
            <w:pPr>
              <w:rPr>
                <w:rFonts w:ascii="Arial"/>
                <w:color w:val="auto"/>
                <w:highlight w:val="none"/>
              </w:rPr>
            </w:pPr>
          </w:p>
        </w:tc>
        <w:tc>
          <w:tcPr>
            <w:tcW w:w="593" w:type="dxa"/>
          </w:tcPr>
          <w:p w14:paraId="237DF306">
            <w:pPr>
              <w:rPr>
                <w:rFonts w:ascii="Arial"/>
                <w:color w:val="auto"/>
                <w:highlight w:val="none"/>
              </w:rPr>
            </w:pPr>
          </w:p>
        </w:tc>
        <w:tc>
          <w:tcPr>
            <w:tcW w:w="592" w:type="dxa"/>
          </w:tcPr>
          <w:p w14:paraId="095625B1">
            <w:pPr>
              <w:rPr>
                <w:rFonts w:ascii="Arial"/>
                <w:color w:val="auto"/>
                <w:highlight w:val="none"/>
              </w:rPr>
            </w:pPr>
          </w:p>
        </w:tc>
        <w:tc>
          <w:tcPr>
            <w:tcW w:w="592" w:type="dxa"/>
          </w:tcPr>
          <w:p w14:paraId="7352AAE8">
            <w:pPr>
              <w:rPr>
                <w:rFonts w:ascii="Arial"/>
                <w:color w:val="auto"/>
                <w:highlight w:val="none"/>
              </w:rPr>
            </w:pPr>
          </w:p>
        </w:tc>
        <w:tc>
          <w:tcPr>
            <w:tcW w:w="592" w:type="dxa"/>
          </w:tcPr>
          <w:p w14:paraId="44044D52">
            <w:pPr>
              <w:rPr>
                <w:rFonts w:ascii="Arial"/>
                <w:color w:val="auto"/>
                <w:highlight w:val="none"/>
              </w:rPr>
            </w:pPr>
          </w:p>
        </w:tc>
        <w:tc>
          <w:tcPr>
            <w:tcW w:w="593" w:type="dxa"/>
            <w:tcBorders>
              <w:right w:val="single" w:color="000000" w:sz="4" w:space="0"/>
            </w:tcBorders>
          </w:tcPr>
          <w:p w14:paraId="4AD51701">
            <w:pPr>
              <w:rPr>
                <w:rFonts w:ascii="Arial"/>
                <w:color w:val="auto"/>
                <w:highlight w:val="none"/>
              </w:rPr>
            </w:pPr>
          </w:p>
        </w:tc>
        <w:tc>
          <w:tcPr>
            <w:tcW w:w="595" w:type="dxa"/>
            <w:tcBorders>
              <w:left w:val="single" w:color="000000" w:sz="4" w:space="0"/>
            </w:tcBorders>
          </w:tcPr>
          <w:p w14:paraId="5CCEECFF">
            <w:pPr>
              <w:rPr>
                <w:rFonts w:ascii="Arial"/>
                <w:color w:val="auto"/>
                <w:highlight w:val="none"/>
              </w:rPr>
            </w:pPr>
          </w:p>
        </w:tc>
        <w:tc>
          <w:tcPr>
            <w:tcW w:w="717" w:type="dxa"/>
          </w:tcPr>
          <w:p w14:paraId="22AB70EF">
            <w:pPr>
              <w:rPr>
                <w:rFonts w:ascii="Arial"/>
                <w:color w:val="auto"/>
                <w:highlight w:val="none"/>
              </w:rPr>
            </w:pPr>
          </w:p>
        </w:tc>
      </w:tr>
      <w:tr w14:paraId="32F50A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1" w:hRule="atLeast"/>
        </w:trPr>
        <w:tc>
          <w:tcPr>
            <w:tcW w:w="708" w:type="dxa"/>
          </w:tcPr>
          <w:p w14:paraId="055549C1">
            <w:pPr>
              <w:pStyle w:val="185"/>
              <w:spacing w:before="181" w:line="241" w:lineRule="auto"/>
              <w:ind w:left="307"/>
              <w:rPr>
                <w:color w:val="auto"/>
                <w:highlight w:val="none"/>
              </w:rPr>
            </w:pPr>
            <w:r>
              <w:rPr>
                <w:color w:val="auto"/>
                <w:highlight w:val="none"/>
              </w:rPr>
              <w:t>6</w:t>
            </w:r>
          </w:p>
        </w:tc>
        <w:tc>
          <w:tcPr>
            <w:tcW w:w="1543" w:type="dxa"/>
          </w:tcPr>
          <w:p w14:paraId="1D103214">
            <w:pPr>
              <w:rPr>
                <w:rFonts w:ascii="Arial"/>
                <w:color w:val="auto"/>
                <w:highlight w:val="none"/>
              </w:rPr>
            </w:pPr>
          </w:p>
        </w:tc>
        <w:tc>
          <w:tcPr>
            <w:tcW w:w="592" w:type="dxa"/>
          </w:tcPr>
          <w:p w14:paraId="14E25381">
            <w:pPr>
              <w:rPr>
                <w:rFonts w:ascii="Arial"/>
                <w:color w:val="auto"/>
                <w:highlight w:val="none"/>
              </w:rPr>
            </w:pPr>
          </w:p>
        </w:tc>
        <w:tc>
          <w:tcPr>
            <w:tcW w:w="595" w:type="dxa"/>
          </w:tcPr>
          <w:p w14:paraId="6BF3605F">
            <w:pPr>
              <w:rPr>
                <w:rFonts w:ascii="Arial"/>
                <w:color w:val="auto"/>
                <w:highlight w:val="none"/>
              </w:rPr>
            </w:pPr>
          </w:p>
        </w:tc>
        <w:tc>
          <w:tcPr>
            <w:tcW w:w="595" w:type="dxa"/>
          </w:tcPr>
          <w:p w14:paraId="087EB3E6">
            <w:pPr>
              <w:rPr>
                <w:rFonts w:ascii="Arial"/>
                <w:color w:val="auto"/>
                <w:highlight w:val="none"/>
              </w:rPr>
            </w:pPr>
          </w:p>
        </w:tc>
        <w:tc>
          <w:tcPr>
            <w:tcW w:w="593" w:type="dxa"/>
          </w:tcPr>
          <w:p w14:paraId="4D11C223">
            <w:pPr>
              <w:rPr>
                <w:rFonts w:ascii="Arial"/>
                <w:color w:val="auto"/>
                <w:highlight w:val="none"/>
              </w:rPr>
            </w:pPr>
          </w:p>
        </w:tc>
        <w:tc>
          <w:tcPr>
            <w:tcW w:w="592" w:type="dxa"/>
          </w:tcPr>
          <w:p w14:paraId="7D49C4CF">
            <w:pPr>
              <w:rPr>
                <w:rFonts w:ascii="Arial"/>
                <w:color w:val="auto"/>
                <w:highlight w:val="none"/>
              </w:rPr>
            </w:pPr>
          </w:p>
        </w:tc>
        <w:tc>
          <w:tcPr>
            <w:tcW w:w="592" w:type="dxa"/>
          </w:tcPr>
          <w:p w14:paraId="111B8582">
            <w:pPr>
              <w:rPr>
                <w:rFonts w:ascii="Arial"/>
                <w:color w:val="auto"/>
                <w:highlight w:val="none"/>
              </w:rPr>
            </w:pPr>
          </w:p>
        </w:tc>
        <w:tc>
          <w:tcPr>
            <w:tcW w:w="592" w:type="dxa"/>
          </w:tcPr>
          <w:p w14:paraId="197D4A10">
            <w:pPr>
              <w:rPr>
                <w:rFonts w:ascii="Arial"/>
                <w:color w:val="auto"/>
                <w:highlight w:val="none"/>
              </w:rPr>
            </w:pPr>
          </w:p>
        </w:tc>
        <w:tc>
          <w:tcPr>
            <w:tcW w:w="593" w:type="dxa"/>
            <w:tcBorders>
              <w:right w:val="single" w:color="000000" w:sz="4" w:space="0"/>
            </w:tcBorders>
          </w:tcPr>
          <w:p w14:paraId="1D35EDD6">
            <w:pPr>
              <w:rPr>
                <w:rFonts w:ascii="Arial"/>
                <w:color w:val="auto"/>
                <w:highlight w:val="none"/>
              </w:rPr>
            </w:pPr>
          </w:p>
        </w:tc>
        <w:tc>
          <w:tcPr>
            <w:tcW w:w="595" w:type="dxa"/>
            <w:tcBorders>
              <w:left w:val="single" w:color="000000" w:sz="4" w:space="0"/>
            </w:tcBorders>
          </w:tcPr>
          <w:p w14:paraId="40B436E2">
            <w:pPr>
              <w:rPr>
                <w:rFonts w:ascii="Arial"/>
                <w:color w:val="auto"/>
                <w:highlight w:val="none"/>
              </w:rPr>
            </w:pPr>
          </w:p>
        </w:tc>
        <w:tc>
          <w:tcPr>
            <w:tcW w:w="717" w:type="dxa"/>
          </w:tcPr>
          <w:p w14:paraId="6F71617A">
            <w:pPr>
              <w:rPr>
                <w:rFonts w:ascii="Arial"/>
                <w:color w:val="auto"/>
                <w:highlight w:val="none"/>
              </w:rPr>
            </w:pPr>
          </w:p>
        </w:tc>
      </w:tr>
      <w:tr w14:paraId="5D4EC4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708" w:type="dxa"/>
          </w:tcPr>
          <w:p w14:paraId="12D19062">
            <w:pPr>
              <w:pStyle w:val="185"/>
              <w:spacing w:before="182" w:line="332" w:lineRule="exact"/>
              <w:ind w:left="266"/>
              <w:rPr>
                <w:color w:val="auto"/>
                <w:highlight w:val="none"/>
              </w:rPr>
            </w:pPr>
            <w:r>
              <w:rPr>
                <w:color w:val="auto"/>
                <w:position w:val="2"/>
                <w:highlight w:val="none"/>
              </w:rPr>
              <w:t>…</w:t>
            </w:r>
          </w:p>
        </w:tc>
        <w:tc>
          <w:tcPr>
            <w:tcW w:w="1543" w:type="dxa"/>
          </w:tcPr>
          <w:p w14:paraId="41E6DE92">
            <w:pPr>
              <w:rPr>
                <w:rFonts w:ascii="Arial"/>
                <w:color w:val="auto"/>
                <w:highlight w:val="none"/>
              </w:rPr>
            </w:pPr>
          </w:p>
        </w:tc>
        <w:tc>
          <w:tcPr>
            <w:tcW w:w="592" w:type="dxa"/>
          </w:tcPr>
          <w:p w14:paraId="22EF197C">
            <w:pPr>
              <w:rPr>
                <w:rFonts w:ascii="Arial"/>
                <w:color w:val="auto"/>
                <w:highlight w:val="none"/>
              </w:rPr>
            </w:pPr>
          </w:p>
        </w:tc>
        <w:tc>
          <w:tcPr>
            <w:tcW w:w="595" w:type="dxa"/>
          </w:tcPr>
          <w:p w14:paraId="4583A3EE">
            <w:pPr>
              <w:rPr>
                <w:rFonts w:ascii="Arial"/>
                <w:color w:val="auto"/>
                <w:highlight w:val="none"/>
              </w:rPr>
            </w:pPr>
          </w:p>
        </w:tc>
        <w:tc>
          <w:tcPr>
            <w:tcW w:w="595" w:type="dxa"/>
          </w:tcPr>
          <w:p w14:paraId="2C24C03B">
            <w:pPr>
              <w:rPr>
                <w:rFonts w:ascii="Arial"/>
                <w:color w:val="auto"/>
                <w:highlight w:val="none"/>
              </w:rPr>
            </w:pPr>
          </w:p>
        </w:tc>
        <w:tc>
          <w:tcPr>
            <w:tcW w:w="593" w:type="dxa"/>
          </w:tcPr>
          <w:p w14:paraId="6153BFDE">
            <w:pPr>
              <w:rPr>
                <w:rFonts w:ascii="Arial"/>
                <w:color w:val="auto"/>
                <w:highlight w:val="none"/>
              </w:rPr>
            </w:pPr>
          </w:p>
        </w:tc>
        <w:tc>
          <w:tcPr>
            <w:tcW w:w="592" w:type="dxa"/>
          </w:tcPr>
          <w:p w14:paraId="34FCA64A">
            <w:pPr>
              <w:rPr>
                <w:rFonts w:ascii="Arial"/>
                <w:color w:val="auto"/>
                <w:highlight w:val="none"/>
              </w:rPr>
            </w:pPr>
          </w:p>
        </w:tc>
        <w:tc>
          <w:tcPr>
            <w:tcW w:w="592" w:type="dxa"/>
          </w:tcPr>
          <w:p w14:paraId="79AFD8DD">
            <w:pPr>
              <w:rPr>
                <w:rFonts w:ascii="Arial"/>
                <w:color w:val="auto"/>
                <w:highlight w:val="none"/>
              </w:rPr>
            </w:pPr>
          </w:p>
        </w:tc>
        <w:tc>
          <w:tcPr>
            <w:tcW w:w="592" w:type="dxa"/>
          </w:tcPr>
          <w:p w14:paraId="37008B2D">
            <w:pPr>
              <w:rPr>
                <w:rFonts w:ascii="Arial"/>
                <w:color w:val="auto"/>
                <w:highlight w:val="none"/>
              </w:rPr>
            </w:pPr>
          </w:p>
        </w:tc>
        <w:tc>
          <w:tcPr>
            <w:tcW w:w="593" w:type="dxa"/>
            <w:tcBorders>
              <w:right w:val="single" w:color="000000" w:sz="4" w:space="0"/>
            </w:tcBorders>
          </w:tcPr>
          <w:p w14:paraId="65EEFC1A">
            <w:pPr>
              <w:rPr>
                <w:rFonts w:ascii="Arial"/>
                <w:color w:val="auto"/>
                <w:highlight w:val="none"/>
              </w:rPr>
            </w:pPr>
          </w:p>
        </w:tc>
        <w:tc>
          <w:tcPr>
            <w:tcW w:w="595" w:type="dxa"/>
            <w:tcBorders>
              <w:left w:val="single" w:color="000000" w:sz="4" w:space="0"/>
            </w:tcBorders>
          </w:tcPr>
          <w:p w14:paraId="1D505E51">
            <w:pPr>
              <w:rPr>
                <w:rFonts w:ascii="Arial"/>
                <w:color w:val="auto"/>
                <w:highlight w:val="none"/>
              </w:rPr>
            </w:pPr>
          </w:p>
        </w:tc>
        <w:tc>
          <w:tcPr>
            <w:tcW w:w="717" w:type="dxa"/>
          </w:tcPr>
          <w:p w14:paraId="4117431E">
            <w:pPr>
              <w:rPr>
                <w:rFonts w:ascii="Arial"/>
                <w:color w:val="auto"/>
                <w:highlight w:val="none"/>
              </w:rPr>
            </w:pPr>
          </w:p>
        </w:tc>
      </w:tr>
      <w:tr w14:paraId="163369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8307" w:type="dxa"/>
            <w:gridSpan w:val="12"/>
          </w:tcPr>
          <w:p w14:paraId="2A6F6D4B">
            <w:pPr>
              <w:pStyle w:val="185"/>
              <w:spacing w:before="33" w:line="220" w:lineRule="auto"/>
              <w:ind w:left="115"/>
              <w:rPr>
                <w:color w:val="auto"/>
                <w:highlight w:val="none"/>
                <w:lang w:eastAsia="zh-CN"/>
              </w:rPr>
            </w:pPr>
            <w:r>
              <w:rPr>
                <w:color w:val="auto"/>
                <w:spacing w:val="-1"/>
                <w:highlight w:val="none"/>
                <w:lang w:eastAsia="zh-CN"/>
              </w:rPr>
              <w:t>评标委员会全体成员签名：</w:t>
            </w:r>
          </w:p>
        </w:tc>
      </w:tr>
    </w:tbl>
    <w:p w14:paraId="7E5A7260">
      <w:pPr>
        <w:spacing w:before="139" w:line="221" w:lineRule="auto"/>
        <w:ind w:left="5731"/>
        <w:rPr>
          <w:rFonts w:ascii="宋体" w:hAnsi="宋体" w:cs="宋体"/>
          <w:color w:val="auto"/>
          <w:spacing w:val="-11"/>
          <w:szCs w:val="21"/>
          <w:highlight w:val="none"/>
        </w:rPr>
      </w:pPr>
      <w:r>
        <w:rPr>
          <w:rFonts w:ascii="宋体" w:hAnsi="宋体" w:cs="宋体"/>
          <w:color w:val="auto"/>
          <w:spacing w:val="-11"/>
          <w:szCs w:val="21"/>
          <w:highlight w:val="none"/>
        </w:rPr>
        <w:t>日期：   年    月    日</w:t>
      </w:r>
    </w:p>
    <w:p w14:paraId="5EC01AE5">
      <w:pPr>
        <w:pStyle w:val="17"/>
        <w:spacing w:line="250" w:lineRule="auto"/>
        <w:rPr>
          <w:color w:val="auto"/>
          <w:highlight w:val="none"/>
        </w:rPr>
      </w:pPr>
    </w:p>
    <w:p w14:paraId="6A3E6F39">
      <w:pPr>
        <w:pStyle w:val="17"/>
        <w:spacing w:line="250" w:lineRule="auto"/>
        <w:rPr>
          <w:color w:val="auto"/>
          <w:highlight w:val="none"/>
        </w:rPr>
      </w:pPr>
    </w:p>
    <w:p w14:paraId="71810CD4">
      <w:pPr>
        <w:pStyle w:val="17"/>
        <w:spacing w:line="250" w:lineRule="auto"/>
        <w:rPr>
          <w:color w:val="auto"/>
          <w:highlight w:val="none"/>
        </w:rPr>
      </w:pPr>
    </w:p>
    <w:p w14:paraId="7D95753A">
      <w:pPr>
        <w:pStyle w:val="17"/>
        <w:spacing w:line="250" w:lineRule="auto"/>
        <w:rPr>
          <w:color w:val="auto"/>
          <w:highlight w:val="none"/>
        </w:rPr>
      </w:pPr>
    </w:p>
    <w:p w14:paraId="4E3A404C">
      <w:pPr>
        <w:pStyle w:val="17"/>
        <w:spacing w:line="250" w:lineRule="auto"/>
        <w:rPr>
          <w:color w:val="auto"/>
          <w:highlight w:val="none"/>
        </w:rPr>
      </w:pPr>
    </w:p>
    <w:p w14:paraId="17944CBC">
      <w:pPr>
        <w:pStyle w:val="17"/>
        <w:spacing w:line="250" w:lineRule="auto"/>
        <w:rPr>
          <w:color w:val="auto"/>
          <w:highlight w:val="none"/>
        </w:rPr>
      </w:pPr>
    </w:p>
    <w:p w14:paraId="23D15E5C">
      <w:pPr>
        <w:pStyle w:val="17"/>
        <w:spacing w:line="250" w:lineRule="auto"/>
        <w:rPr>
          <w:color w:val="auto"/>
          <w:highlight w:val="none"/>
        </w:rPr>
      </w:pPr>
    </w:p>
    <w:p w14:paraId="1F85B21B">
      <w:pPr>
        <w:pStyle w:val="17"/>
        <w:spacing w:line="250" w:lineRule="auto"/>
        <w:rPr>
          <w:color w:val="auto"/>
          <w:highlight w:val="none"/>
        </w:rPr>
      </w:pPr>
    </w:p>
    <w:p w14:paraId="61A96BE3">
      <w:pPr>
        <w:pStyle w:val="17"/>
        <w:spacing w:line="250" w:lineRule="auto"/>
        <w:rPr>
          <w:color w:val="auto"/>
          <w:highlight w:val="none"/>
        </w:rPr>
      </w:pPr>
    </w:p>
    <w:p w14:paraId="48C0C801">
      <w:pPr>
        <w:pStyle w:val="17"/>
        <w:spacing w:line="250" w:lineRule="auto"/>
        <w:rPr>
          <w:color w:val="auto"/>
          <w:highlight w:val="none"/>
        </w:rPr>
      </w:pPr>
    </w:p>
    <w:p w14:paraId="6AD13ABC">
      <w:pPr>
        <w:pStyle w:val="17"/>
        <w:spacing w:line="250" w:lineRule="auto"/>
        <w:rPr>
          <w:color w:val="auto"/>
          <w:highlight w:val="none"/>
        </w:rPr>
      </w:pPr>
    </w:p>
    <w:p w14:paraId="5265757F">
      <w:pPr>
        <w:pStyle w:val="17"/>
        <w:spacing w:line="250" w:lineRule="auto"/>
        <w:rPr>
          <w:color w:val="auto"/>
          <w:highlight w:val="none"/>
        </w:rPr>
      </w:pPr>
    </w:p>
    <w:p w14:paraId="6ED3001A">
      <w:pPr>
        <w:pStyle w:val="17"/>
        <w:spacing w:line="250" w:lineRule="auto"/>
        <w:rPr>
          <w:color w:val="auto"/>
          <w:highlight w:val="none"/>
        </w:rPr>
      </w:pPr>
    </w:p>
    <w:p w14:paraId="078B5A48">
      <w:pPr>
        <w:spacing w:before="124" w:line="219" w:lineRule="auto"/>
        <w:ind w:left="152"/>
        <w:outlineLvl w:val="2"/>
        <w:rPr>
          <w:rFonts w:ascii="黑体" w:hAnsi="黑体" w:eastAsia="黑体" w:cs="黑体"/>
          <w:color w:val="auto"/>
          <w:spacing w:val="-3"/>
          <w:sz w:val="24"/>
          <w:highlight w:val="none"/>
        </w:rPr>
      </w:pPr>
      <w:r>
        <w:rPr>
          <w:rFonts w:ascii="黑体" w:hAnsi="黑体" w:eastAsia="黑体" w:cs="黑体"/>
          <w:color w:val="auto"/>
          <w:spacing w:val="-3"/>
          <w:sz w:val="24"/>
          <w:highlight w:val="none"/>
          <w:lang w:val="en-US" w:eastAsia="zh-CN"/>
        </w:rPr>
        <w:t>附表 A-7（</w:t>
      </w:r>
      <w:r>
        <w:rPr>
          <w:rFonts w:hint="eastAsia" w:ascii="黑体" w:hAnsi="黑体" w:eastAsia="黑体" w:cs="黑体"/>
          <w:color w:val="auto"/>
          <w:spacing w:val="-3"/>
          <w:sz w:val="24"/>
          <w:highlight w:val="none"/>
          <w:lang w:val="en-US" w:eastAsia="zh-CN"/>
        </w:rPr>
        <w:t>2</w:t>
      </w:r>
      <w:r>
        <w:rPr>
          <w:rFonts w:ascii="黑体" w:hAnsi="黑体" w:eastAsia="黑体" w:cs="黑体"/>
          <w:color w:val="auto"/>
          <w:spacing w:val="-3"/>
          <w:sz w:val="24"/>
          <w:highlight w:val="none"/>
          <w:lang w:val="en-US" w:eastAsia="zh-CN"/>
        </w:rPr>
        <w:t>）：技术标评审记录表（合格性）</w:t>
      </w:r>
    </w:p>
    <w:p w14:paraId="21ECA47E">
      <w:pPr>
        <w:pStyle w:val="17"/>
        <w:spacing w:line="250" w:lineRule="auto"/>
        <w:rPr>
          <w:color w:val="auto"/>
          <w:highlight w:val="none"/>
        </w:rPr>
      </w:pPr>
    </w:p>
    <w:p w14:paraId="6AC46A25">
      <w:pPr>
        <w:spacing w:before="117" w:line="219" w:lineRule="auto"/>
        <w:ind w:firstLine="2496" w:firstLineChars="800"/>
        <w:jc w:val="both"/>
        <w:rPr>
          <w:rFonts w:ascii="黑体" w:hAnsi="黑体" w:eastAsia="黑体" w:cs="黑体"/>
          <w:color w:val="auto"/>
          <w:spacing w:val="-4"/>
          <w:sz w:val="32"/>
          <w:szCs w:val="32"/>
          <w:highlight w:val="none"/>
          <w:lang w:val="en-US" w:eastAsia="zh-CN"/>
        </w:rPr>
      </w:pPr>
      <w:r>
        <w:rPr>
          <w:rFonts w:ascii="黑体" w:hAnsi="黑体" w:eastAsia="黑体" w:cs="黑体"/>
          <w:color w:val="auto"/>
          <w:spacing w:val="-4"/>
          <w:sz w:val="32"/>
          <w:szCs w:val="32"/>
          <w:highlight w:val="none"/>
          <w:lang w:val="en-US" w:eastAsia="zh-CN"/>
        </w:rPr>
        <w:t>技术标评审记录表</w:t>
      </w:r>
    </w:p>
    <w:p w14:paraId="77776CA9">
      <w:pPr>
        <w:spacing w:before="117" w:line="219" w:lineRule="auto"/>
        <w:ind w:firstLine="1560" w:firstLineChars="500"/>
        <w:jc w:val="both"/>
        <w:rPr>
          <w:rFonts w:ascii="黑体" w:hAnsi="黑体" w:eastAsia="黑体" w:cs="黑体"/>
          <w:color w:val="auto"/>
          <w:spacing w:val="-4"/>
          <w:sz w:val="32"/>
          <w:szCs w:val="32"/>
          <w:highlight w:val="none"/>
        </w:rPr>
      </w:pPr>
      <w:r>
        <w:rPr>
          <w:rFonts w:ascii="黑体" w:hAnsi="黑体" w:eastAsia="黑体" w:cs="黑体"/>
          <w:color w:val="auto"/>
          <w:spacing w:val="-4"/>
          <w:sz w:val="32"/>
          <w:szCs w:val="32"/>
          <w:highlight w:val="none"/>
          <w:lang w:val="en-US" w:eastAsia="zh-CN"/>
        </w:rPr>
        <w:t>（适用于经评审的最低投标价法）</w:t>
      </w:r>
    </w:p>
    <w:p w14:paraId="4B5BFF47">
      <w:pPr>
        <w:spacing w:before="241" w:line="221" w:lineRule="auto"/>
        <w:ind w:left="21"/>
        <w:rPr>
          <w:rFonts w:ascii="宋体" w:hAnsi="宋体" w:cs="宋体"/>
          <w:color w:val="auto"/>
          <w:szCs w:val="21"/>
          <w:highlight w:val="none"/>
        </w:rPr>
      </w:pPr>
      <w:r>
        <w:rPr>
          <w:rFonts w:ascii="宋体" w:hAnsi="宋体" w:cs="宋体"/>
          <w:color w:val="auto"/>
          <w:spacing w:val="-7"/>
          <w:szCs w:val="21"/>
          <w:highlight w:val="none"/>
        </w:rPr>
        <w:t>标段名称：</w:t>
      </w:r>
    </w:p>
    <w:p w14:paraId="4DD24434">
      <w:pPr>
        <w:spacing w:before="19" w:line="214" w:lineRule="auto"/>
        <w:ind w:left="21"/>
        <w:rPr>
          <w:rFonts w:ascii="宋体" w:hAnsi="宋体" w:cs="宋体"/>
          <w:color w:val="auto"/>
          <w:szCs w:val="21"/>
          <w:highlight w:val="none"/>
        </w:rPr>
      </w:pPr>
      <w:r>
        <w:rPr>
          <w:rFonts w:ascii="宋体" w:hAnsi="宋体" w:cs="宋体"/>
          <w:color w:val="auto"/>
          <w:spacing w:val="-1"/>
          <w:szCs w:val="21"/>
          <w:highlight w:val="none"/>
        </w:rPr>
        <w:t>标段唯一标识码：</w:t>
      </w:r>
    </w:p>
    <w:tbl>
      <w:tblPr>
        <w:tblStyle w:val="42"/>
        <w:tblW w:w="8307" w:type="dxa"/>
        <w:tblInd w:w="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8"/>
        <w:gridCol w:w="1543"/>
        <w:gridCol w:w="592"/>
        <w:gridCol w:w="595"/>
        <w:gridCol w:w="595"/>
        <w:gridCol w:w="593"/>
        <w:gridCol w:w="592"/>
        <w:gridCol w:w="592"/>
        <w:gridCol w:w="592"/>
        <w:gridCol w:w="593"/>
        <w:gridCol w:w="595"/>
        <w:gridCol w:w="717"/>
      </w:tblGrid>
      <w:tr w14:paraId="50A365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708" w:type="dxa"/>
            <w:vMerge w:val="restart"/>
            <w:tcBorders>
              <w:bottom w:val="nil"/>
            </w:tcBorders>
          </w:tcPr>
          <w:p w14:paraId="5DEDF23F">
            <w:pPr>
              <w:spacing w:line="252" w:lineRule="auto"/>
              <w:rPr>
                <w:rFonts w:ascii="Arial"/>
                <w:color w:val="auto"/>
                <w:highlight w:val="none"/>
              </w:rPr>
            </w:pPr>
          </w:p>
          <w:p w14:paraId="472F03E3">
            <w:pPr>
              <w:pStyle w:val="185"/>
              <w:spacing w:before="68" w:line="222" w:lineRule="auto"/>
              <w:ind w:left="146"/>
              <w:rPr>
                <w:color w:val="auto"/>
                <w:highlight w:val="none"/>
              </w:rPr>
            </w:pPr>
            <w:r>
              <w:rPr>
                <w:b/>
                <w:bCs/>
                <w:color w:val="auto"/>
                <w:spacing w:val="-4"/>
                <w:highlight w:val="none"/>
              </w:rPr>
              <w:t>序号</w:t>
            </w:r>
          </w:p>
        </w:tc>
        <w:tc>
          <w:tcPr>
            <w:tcW w:w="1543" w:type="dxa"/>
            <w:vMerge w:val="restart"/>
            <w:tcBorders>
              <w:bottom w:val="nil"/>
            </w:tcBorders>
          </w:tcPr>
          <w:p w14:paraId="08D71723">
            <w:pPr>
              <w:spacing w:line="252" w:lineRule="auto"/>
              <w:rPr>
                <w:rFonts w:ascii="Arial"/>
                <w:color w:val="auto"/>
                <w:highlight w:val="none"/>
              </w:rPr>
            </w:pPr>
          </w:p>
          <w:p w14:paraId="20692FE7">
            <w:pPr>
              <w:pStyle w:val="185"/>
              <w:spacing w:before="69" w:line="221" w:lineRule="auto"/>
              <w:ind w:left="248"/>
              <w:rPr>
                <w:color w:val="auto"/>
                <w:highlight w:val="none"/>
              </w:rPr>
            </w:pPr>
            <w:r>
              <w:rPr>
                <w:b/>
                <w:bCs/>
                <w:color w:val="auto"/>
                <w:spacing w:val="-3"/>
                <w:highlight w:val="none"/>
              </w:rPr>
              <w:t>投标人名称</w:t>
            </w:r>
          </w:p>
        </w:tc>
        <w:tc>
          <w:tcPr>
            <w:tcW w:w="5339" w:type="dxa"/>
            <w:gridSpan w:val="9"/>
          </w:tcPr>
          <w:p w14:paraId="6EECD7E4">
            <w:pPr>
              <w:pStyle w:val="185"/>
              <w:spacing w:before="105" w:line="221" w:lineRule="auto"/>
              <w:ind w:left="1721"/>
              <w:rPr>
                <w:color w:val="auto"/>
                <w:highlight w:val="none"/>
              </w:rPr>
            </w:pPr>
            <w:r>
              <w:rPr>
                <w:b/>
                <w:bCs/>
                <w:color w:val="auto"/>
                <w:spacing w:val="-2"/>
                <w:highlight w:val="none"/>
              </w:rPr>
              <w:t>评审标准及评审意见</w:t>
            </w:r>
          </w:p>
        </w:tc>
        <w:tc>
          <w:tcPr>
            <w:tcW w:w="717" w:type="dxa"/>
            <w:vMerge w:val="restart"/>
            <w:tcBorders>
              <w:bottom w:val="nil"/>
            </w:tcBorders>
          </w:tcPr>
          <w:p w14:paraId="001C144B">
            <w:pPr>
              <w:pStyle w:val="185"/>
              <w:spacing w:before="185" w:line="221" w:lineRule="auto"/>
              <w:ind w:left="149"/>
              <w:rPr>
                <w:color w:val="auto"/>
                <w:highlight w:val="none"/>
              </w:rPr>
            </w:pPr>
            <w:r>
              <w:rPr>
                <w:b/>
                <w:bCs/>
                <w:color w:val="auto"/>
                <w:spacing w:val="-4"/>
                <w:highlight w:val="none"/>
              </w:rPr>
              <w:t>评审</w:t>
            </w:r>
          </w:p>
          <w:p w14:paraId="0985D8F4">
            <w:pPr>
              <w:pStyle w:val="185"/>
              <w:spacing w:before="21" w:line="222" w:lineRule="auto"/>
              <w:ind w:left="155"/>
              <w:rPr>
                <w:color w:val="auto"/>
                <w:highlight w:val="none"/>
              </w:rPr>
            </w:pPr>
            <w:r>
              <w:rPr>
                <w:b/>
                <w:bCs/>
                <w:color w:val="auto"/>
                <w:spacing w:val="-5"/>
                <w:highlight w:val="none"/>
              </w:rPr>
              <w:t>结论</w:t>
            </w:r>
          </w:p>
        </w:tc>
      </w:tr>
      <w:tr w14:paraId="0C2E8B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708" w:type="dxa"/>
            <w:vMerge w:val="continue"/>
            <w:tcBorders>
              <w:top w:val="nil"/>
            </w:tcBorders>
          </w:tcPr>
          <w:p w14:paraId="0C926DB2">
            <w:pPr>
              <w:rPr>
                <w:rFonts w:ascii="Arial"/>
                <w:color w:val="auto"/>
                <w:highlight w:val="none"/>
              </w:rPr>
            </w:pPr>
          </w:p>
        </w:tc>
        <w:tc>
          <w:tcPr>
            <w:tcW w:w="1543" w:type="dxa"/>
            <w:vMerge w:val="continue"/>
            <w:tcBorders>
              <w:top w:val="nil"/>
            </w:tcBorders>
          </w:tcPr>
          <w:p w14:paraId="2330F0F6">
            <w:pPr>
              <w:rPr>
                <w:rFonts w:ascii="Arial"/>
                <w:color w:val="auto"/>
                <w:highlight w:val="none"/>
              </w:rPr>
            </w:pPr>
          </w:p>
        </w:tc>
        <w:tc>
          <w:tcPr>
            <w:tcW w:w="592" w:type="dxa"/>
          </w:tcPr>
          <w:p w14:paraId="0323A5DF">
            <w:pPr>
              <w:rPr>
                <w:rFonts w:ascii="Arial"/>
                <w:color w:val="auto"/>
                <w:highlight w:val="none"/>
              </w:rPr>
            </w:pPr>
          </w:p>
        </w:tc>
        <w:tc>
          <w:tcPr>
            <w:tcW w:w="595" w:type="dxa"/>
          </w:tcPr>
          <w:p w14:paraId="375E3E19">
            <w:pPr>
              <w:rPr>
                <w:rFonts w:ascii="Arial"/>
                <w:color w:val="auto"/>
                <w:highlight w:val="none"/>
              </w:rPr>
            </w:pPr>
          </w:p>
        </w:tc>
        <w:tc>
          <w:tcPr>
            <w:tcW w:w="595" w:type="dxa"/>
          </w:tcPr>
          <w:p w14:paraId="30D5B77F">
            <w:pPr>
              <w:rPr>
                <w:rFonts w:ascii="Arial"/>
                <w:color w:val="auto"/>
                <w:highlight w:val="none"/>
              </w:rPr>
            </w:pPr>
          </w:p>
        </w:tc>
        <w:tc>
          <w:tcPr>
            <w:tcW w:w="593" w:type="dxa"/>
          </w:tcPr>
          <w:p w14:paraId="20D473F6">
            <w:pPr>
              <w:rPr>
                <w:rFonts w:ascii="Arial"/>
                <w:color w:val="auto"/>
                <w:highlight w:val="none"/>
              </w:rPr>
            </w:pPr>
          </w:p>
        </w:tc>
        <w:tc>
          <w:tcPr>
            <w:tcW w:w="592" w:type="dxa"/>
          </w:tcPr>
          <w:p w14:paraId="7EF8C94B">
            <w:pPr>
              <w:rPr>
                <w:rFonts w:ascii="Arial"/>
                <w:color w:val="auto"/>
                <w:highlight w:val="none"/>
              </w:rPr>
            </w:pPr>
          </w:p>
        </w:tc>
        <w:tc>
          <w:tcPr>
            <w:tcW w:w="592" w:type="dxa"/>
          </w:tcPr>
          <w:p w14:paraId="2CED9005">
            <w:pPr>
              <w:rPr>
                <w:rFonts w:ascii="Arial"/>
                <w:color w:val="auto"/>
                <w:highlight w:val="none"/>
              </w:rPr>
            </w:pPr>
          </w:p>
        </w:tc>
        <w:tc>
          <w:tcPr>
            <w:tcW w:w="592" w:type="dxa"/>
          </w:tcPr>
          <w:p w14:paraId="57AF6F1D">
            <w:pPr>
              <w:rPr>
                <w:rFonts w:ascii="Arial"/>
                <w:color w:val="auto"/>
                <w:highlight w:val="none"/>
              </w:rPr>
            </w:pPr>
          </w:p>
        </w:tc>
        <w:tc>
          <w:tcPr>
            <w:tcW w:w="593" w:type="dxa"/>
            <w:tcBorders>
              <w:right w:val="single" w:color="000000" w:sz="4" w:space="0"/>
            </w:tcBorders>
          </w:tcPr>
          <w:p w14:paraId="01E31D45">
            <w:pPr>
              <w:rPr>
                <w:rFonts w:ascii="Arial"/>
                <w:color w:val="auto"/>
                <w:highlight w:val="none"/>
              </w:rPr>
            </w:pPr>
          </w:p>
        </w:tc>
        <w:tc>
          <w:tcPr>
            <w:tcW w:w="595" w:type="dxa"/>
            <w:tcBorders>
              <w:left w:val="single" w:color="000000" w:sz="4" w:space="0"/>
            </w:tcBorders>
          </w:tcPr>
          <w:p w14:paraId="1C1B2595">
            <w:pPr>
              <w:rPr>
                <w:rFonts w:ascii="Arial"/>
                <w:color w:val="auto"/>
                <w:highlight w:val="none"/>
              </w:rPr>
            </w:pPr>
          </w:p>
        </w:tc>
        <w:tc>
          <w:tcPr>
            <w:tcW w:w="717" w:type="dxa"/>
            <w:vMerge w:val="continue"/>
            <w:tcBorders>
              <w:top w:val="nil"/>
            </w:tcBorders>
          </w:tcPr>
          <w:p w14:paraId="03B4736A">
            <w:pPr>
              <w:rPr>
                <w:rFonts w:ascii="Arial"/>
                <w:color w:val="auto"/>
                <w:highlight w:val="none"/>
              </w:rPr>
            </w:pPr>
          </w:p>
        </w:tc>
      </w:tr>
      <w:tr w14:paraId="7E4C13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08" w:type="dxa"/>
          </w:tcPr>
          <w:p w14:paraId="4E8CB66F">
            <w:pPr>
              <w:pStyle w:val="185"/>
              <w:spacing w:before="177" w:line="242" w:lineRule="auto"/>
              <w:ind w:left="321"/>
              <w:rPr>
                <w:color w:val="auto"/>
                <w:highlight w:val="none"/>
              </w:rPr>
            </w:pPr>
            <w:r>
              <w:rPr>
                <w:color w:val="auto"/>
                <w:highlight w:val="none"/>
              </w:rPr>
              <w:t>1</w:t>
            </w:r>
          </w:p>
        </w:tc>
        <w:tc>
          <w:tcPr>
            <w:tcW w:w="1543" w:type="dxa"/>
          </w:tcPr>
          <w:p w14:paraId="4D1BC7DD">
            <w:pPr>
              <w:rPr>
                <w:rFonts w:ascii="Arial"/>
                <w:color w:val="auto"/>
                <w:highlight w:val="none"/>
              </w:rPr>
            </w:pPr>
          </w:p>
        </w:tc>
        <w:tc>
          <w:tcPr>
            <w:tcW w:w="592" w:type="dxa"/>
          </w:tcPr>
          <w:p w14:paraId="68C2F44A">
            <w:pPr>
              <w:rPr>
                <w:rFonts w:ascii="Arial"/>
                <w:color w:val="auto"/>
                <w:highlight w:val="none"/>
              </w:rPr>
            </w:pPr>
          </w:p>
        </w:tc>
        <w:tc>
          <w:tcPr>
            <w:tcW w:w="595" w:type="dxa"/>
          </w:tcPr>
          <w:p w14:paraId="14EFA58B">
            <w:pPr>
              <w:rPr>
                <w:rFonts w:ascii="Arial"/>
                <w:color w:val="auto"/>
                <w:highlight w:val="none"/>
              </w:rPr>
            </w:pPr>
          </w:p>
        </w:tc>
        <w:tc>
          <w:tcPr>
            <w:tcW w:w="595" w:type="dxa"/>
          </w:tcPr>
          <w:p w14:paraId="2F0A15A3">
            <w:pPr>
              <w:rPr>
                <w:rFonts w:ascii="Arial"/>
                <w:color w:val="auto"/>
                <w:highlight w:val="none"/>
              </w:rPr>
            </w:pPr>
          </w:p>
        </w:tc>
        <w:tc>
          <w:tcPr>
            <w:tcW w:w="593" w:type="dxa"/>
          </w:tcPr>
          <w:p w14:paraId="78BCB58F">
            <w:pPr>
              <w:rPr>
                <w:rFonts w:ascii="Arial"/>
                <w:color w:val="auto"/>
                <w:highlight w:val="none"/>
              </w:rPr>
            </w:pPr>
          </w:p>
        </w:tc>
        <w:tc>
          <w:tcPr>
            <w:tcW w:w="592" w:type="dxa"/>
          </w:tcPr>
          <w:p w14:paraId="5405237B">
            <w:pPr>
              <w:rPr>
                <w:rFonts w:ascii="Arial"/>
                <w:color w:val="auto"/>
                <w:highlight w:val="none"/>
              </w:rPr>
            </w:pPr>
          </w:p>
        </w:tc>
        <w:tc>
          <w:tcPr>
            <w:tcW w:w="592" w:type="dxa"/>
          </w:tcPr>
          <w:p w14:paraId="08DD8E8B">
            <w:pPr>
              <w:rPr>
                <w:rFonts w:ascii="Arial"/>
                <w:color w:val="auto"/>
                <w:highlight w:val="none"/>
              </w:rPr>
            </w:pPr>
          </w:p>
        </w:tc>
        <w:tc>
          <w:tcPr>
            <w:tcW w:w="592" w:type="dxa"/>
          </w:tcPr>
          <w:p w14:paraId="205F21FC">
            <w:pPr>
              <w:rPr>
                <w:rFonts w:ascii="Arial"/>
                <w:color w:val="auto"/>
                <w:highlight w:val="none"/>
              </w:rPr>
            </w:pPr>
          </w:p>
        </w:tc>
        <w:tc>
          <w:tcPr>
            <w:tcW w:w="593" w:type="dxa"/>
            <w:tcBorders>
              <w:right w:val="single" w:color="000000" w:sz="4" w:space="0"/>
            </w:tcBorders>
          </w:tcPr>
          <w:p w14:paraId="0B488995">
            <w:pPr>
              <w:rPr>
                <w:rFonts w:ascii="Arial"/>
                <w:color w:val="auto"/>
                <w:highlight w:val="none"/>
              </w:rPr>
            </w:pPr>
          </w:p>
        </w:tc>
        <w:tc>
          <w:tcPr>
            <w:tcW w:w="595" w:type="dxa"/>
            <w:tcBorders>
              <w:left w:val="single" w:color="000000" w:sz="4" w:space="0"/>
            </w:tcBorders>
          </w:tcPr>
          <w:p w14:paraId="50F62E4E">
            <w:pPr>
              <w:rPr>
                <w:rFonts w:ascii="Arial"/>
                <w:color w:val="auto"/>
                <w:highlight w:val="none"/>
              </w:rPr>
            </w:pPr>
          </w:p>
        </w:tc>
        <w:tc>
          <w:tcPr>
            <w:tcW w:w="717" w:type="dxa"/>
          </w:tcPr>
          <w:p w14:paraId="4B2D7291">
            <w:pPr>
              <w:rPr>
                <w:rFonts w:ascii="Arial"/>
                <w:color w:val="auto"/>
                <w:highlight w:val="none"/>
              </w:rPr>
            </w:pPr>
          </w:p>
        </w:tc>
      </w:tr>
      <w:tr w14:paraId="2CAC5E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708" w:type="dxa"/>
          </w:tcPr>
          <w:p w14:paraId="7167F741">
            <w:pPr>
              <w:pStyle w:val="185"/>
              <w:spacing w:before="180" w:line="242" w:lineRule="auto"/>
              <w:ind w:left="308"/>
              <w:rPr>
                <w:color w:val="auto"/>
                <w:highlight w:val="none"/>
              </w:rPr>
            </w:pPr>
            <w:r>
              <w:rPr>
                <w:color w:val="auto"/>
                <w:highlight w:val="none"/>
              </w:rPr>
              <w:t>2</w:t>
            </w:r>
          </w:p>
        </w:tc>
        <w:tc>
          <w:tcPr>
            <w:tcW w:w="1543" w:type="dxa"/>
          </w:tcPr>
          <w:p w14:paraId="3EBD3E54">
            <w:pPr>
              <w:rPr>
                <w:rFonts w:ascii="Arial"/>
                <w:color w:val="auto"/>
                <w:highlight w:val="none"/>
              </w:rPr>
            </w:pPr>
          </w:p>
        </w:tc>
        <w:tc>
          <w:tcPr>
            <w:tcW w:w="592" w:type="dxa"/>
          </w:tcPr>
          <w:p w14:paraId="08D5961C">
            <w:pPr>
              <w:rPr>
                <w:rFonts w:ascii="Arial"/>
                <w:color w:val="auto"/>
                <w:highlight w:val="none"/>
              </w:rPr>
            </w:pPr>
          </w:p>
        </w:tc>
        <w:tc>
          <w:tcPr>
            <w:tcW w:w="595" w:type="dxa"/>
          </w:tcPr>
          <w:p w14:paraId="5ADB911A">
            <w:pPr>
              <w:rPr>
                <w:rFonts w:ascii="Arial"/>
                <w:color w:val="auto"/>
                <w:highlight w:val="none"/>
              </w:rPr>
            </w:pPr>
          </w:p>
        </w:tc>
        <w:tc>
          <w:tcPr>
            <w:tcW w:w="595" w:type="dxa"/>
          </w:tcPr>
          <w:p w14:paraId="7976B99A">
            <w:pPr>
              <w:rPr>
                <w:rFonts w:ascii="Arial"/>
                <w:color w:val="auto"/>
                <w:highlight w:val="none"/>
              </w:rPr>
            </w:pPr>
          </w:p>
        </w:tc>
        <w:tc>
          <w:tcPr>
            <w:tcW w:w="593" w:type="dxa"/>
          </w:tcPr>
          <w:p w14:paraId="0DDB8E5A">
            <w:pPr>
              <w:rPr>
                <w:rFonts w:ascii="Arial"/>
                <w:color w:val="auto"/>
                <w:highlight w:val="none"/>
              </w:rPr>
            </w:pPr>
          </w:p>
        </w:tc>
        <w:tc>
          <w:tcPr>
            <w:tcW w:w="592" w:type="dxa"/>
          </w:tcPr>
          <w:p w14:paraId="062C2437">
            <w:pPr>
              <w:rPr>
                <w:rFonts w:ascii="Arial"/>
                <w:color w:val="auto"/>
                <w:highlight w:val="none"/>
              </w:rPr>
            </w:pPr>
          </w:p>
        </w:tc>
        <w:tc>
          <w:tcPr>
            <w:tcW w:w="592" w:type="dxa"/>
          </w:tcPr>
          <w:p w14:paraId="6C961F9F">
            <w:pPr>
              <w:rPr>
                <w:rFonts w:ascii="Arial"/>
                <w:color w:val="auto"/>
                <w:highlight w:val="none"/>
              </w:rPr>
            </w:pPr>
          </w:p>
        </w:tc>
        <w:tc>
          <w:tcPr>
            <w:tcW w:w="592" w:type="dxa"/>
          </w:tcPr>
          <w:p w14:paraId="20DAF495">
            <w:pPr>
              <w:rPr>
                <w:rFonts w:ascii="Arial"/>
                <w:color w:val="auto"/>
                <w:highlight w:val="none"/>
              </w:rPr>
            </w:pPr>
          </w:p>
        </w:tc>
        <w:tc>
          <w:tcPr>
            <w:tcW w:w="593" w:type="dxa"/>
            <w:tcBorders>
              <w:right w:val="single" w:color="000000" w:sz="4" w:space="0"/>
            </w:tcBorders>
          </w:tcPr>
          <w:p w14:paraId="0B2706EC">
            <w:pPr>
              <w:rPr>
                <w:rFonts w:ascii="Arial"/>
                <w:color w:val="auto"/>
                <w:highlight w:val="none"/>
              </w:rPr>
            </w:pPr>
          </w:p>
        </w:tc>
        <w:tc>
          <w:tcPr>
            <w:tcW w:w="595" w:type="dxa"/>
            <w:tcBorders>
              <w:left w:val="single" w:color="000000" w:sz="4" w:space="0"/>
            </w:tcBorders>
          </w:tcPr>
          <w:p w14:paraId="57AAFB2D">
            <w:pPr>
              <w:rPr>
                <w:rFonts w:ascii="Arial"/>
                <w:color w:val="auto"/>
                <w:highlight w:val="none"/>
              </w:rPr>
            </w:pPr>
          </w:p>
        </w:tc>
        <w:tc>
          <w:tcPr>
            <w:tcW w:w="717" w:type="dxa"/>
          </w:tcPr>
          <w:p w14:paraId="1BC218C8">
            <w:pPr>
              <w:rPr>
                <w:rFonts w:ascii="Arial"/>
                <w:color w:val="auto"/>
                <w:highlight w:val="none"/>
              </w:rPr>
            </w:pPr>
          </w:p>
        </w:tc>
      </w:tr>
      <w:tr w14:paraId="7E0161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08" w:type="dxa"/>
          </w:tcPr>
          <w:p w14:paraId="255D6E5A">
            <w:pPr>
              <w:pStyle w:val="185"/>
              <w:spacing w:before="177" w:line="241" w:lineRule="auto"/>
              <w:ind w:left="309"/>
              <w:rPr>
                <w:color w:val="auto"/>
                <w:highlight w:val="none"/>
              </w:rPr>
            </w:pPr>
            <w:r>
              <w:rPr>
                <w:color w:val="auto"/>
                <w:highlight w:val="none"/>
              </w:rPr>
              <w:t>3</w:t>
            </w:r>
          </w:p>
        </w:tc>
        <w:tc>
          <w:tcPr>
            <w:tcW w:w="1543" w:type="dxa"/>
          </w:tcPr>
          <w:p w14:paraId="32B4855C">
            <w:pPr>
              <w:rPr>
                <w:rFonts w:ascii="Arial"/>
                <w:color w:val="auto"/>
                <w:highlight w:val="none"/>
              </w:rPr>
            </w:pPr>
          </w:p>
        </w:tc>
        <w:tc>
          <w:tcPr>
            <w:tcW w:w="592" w:type="dxa"/>
          </w:tcPr>
          <w:p w14:paraId="77C203F3">
            <w:pPr>
              <w:rPr>
                <w:rFonts w:ascii="Arial"/>
                <w:color w:val="auto"/>
                <w:highlight w:val="none"/>
              </w:rPr>
            </w:pPr>
          </w:p>
        </w:tc>
        <w:tc>
          <w:tcPr>
            <w:tcW w:w="595" w:type="dxa"/>
          </w:tcPr>
          <w:p w14:paraId="471693BE">
            <w:pPr>
              <w:rPr>
                <w:rFonts w:ascii="Arial"/>
                <w:color w:val="auto"/>
                <w:highlight w:val="none"/>
              </w:rPr>
            </w:pPr>
          </w:p>
        </w:tc>
        <w:tc>
          <w:tcPr>
            <w:tcW w:w="595" w:type="dxa"/>
          </w:tcPr>
          <w:p w14:paraId="703AE4C2">
            <w:pPr>
              <w:rPr>
                <w:rFonts w:ascii="Arial"/>
                <w:color w:val="auto"/>
                <w:highlight w:val="none"/>
              </w:rPr>
            </w:pPr>
          </w:p>
        </w:tc>
        <w:tc>
          <w:tcPr>
            <w:tcW w:w="593" w:type="dxa"/>
          </w:tcPr>
          <w:p w14:paraId="29779CDB">
            <w:pPr>
              <w:rPr>
                <w:rFonts w:ascii="Arial"/>
                <w:color w:val="auto"/>
                <w:highlight w:val="none"/>
              </w:rPr>
            </w:pPr>
          </w:p>
        </w:tc>
        <w:tc>
          <w:tcPr>
            <w:tcW w:w="592" w:type="dxa"/>
          </w:tcPr>
          <w:p w14:paraId="575887F9">
            <w:pPr>
              <w:rPr>
                <w:rFonts w:ascii="Arial"/>
                <w:color w:val="auto"/>
                <w:highlight w:val="none"/>
              </w:rPr>
            </w:pPr>
          </w:p>
        </w:tc>
        <w:tc>
          <w:tcPr>
            <w:tcW w:w="592" w:type="dxa"/>
          </w:tcPr>
          <w:p w14:paraId="0C672E9D">
            <w:pPr>
              <w:rPr>
                <w:rFonts w:ascii="Arial"/>
                <w:color w:val="auto"/>
                <w:highlight w:val="none"/>
              </w:rPr>
            </w:pPr>
          </w:p>
        </w:tc>
        <w:tc>
          <w:tcPr>
            <w:tcW w:w="592" w:type="dxa"/>
          </w:tcPr>
          <w:p w14:paraId="4BDD4805">
            <w:pPr>
              <w:rPr>
                <w:rFonts w:ascii="Arial"/>
                <w:color w:val="auto"/>
                <w:highlight w:val="none"/>
              </w:rPr>
            </w:pPr>
          </w:p>
        </w:tc>
        <w:tc>
          <w:tcPr>
            <w:tcW w:w="593" w:type="dxa"/>
            <w:tcBorders>
              <w:right w:val="single" w:color="000000" w:sz="4" w:space="0"/>
            </w:tcBorders>
          </w:tcPr>
          <w:p w14:paraId="6016A3A4">
            <w:pPr>
              <w:rPr>
                <w:rFonts w:ascii="Arial"/>
                <w:color w:val="auto"/>
                <w:highlight w:val="none"/>
              </w:rPr>
            </w:pPr>
          </w:p>
        </w:tc>
        <w:tc>
          <w:tcPr>
            <w:tcW w:w="595" w:type="dxa"/>
            <w:tcBorders>
              <w:left w:val="single" w:color="000000" w:sz="4" w:space="0"/>
            </w:tcBorders>
          </w:tcPr>
          <w:p w14:paraId="3E52F3D2">
            <w:pPr>
              <w:rPr>
                <w:rFonts w:ascii="Arial"/>
                <w:color w:val="auto"/>
                <w:highlight w:val="none"/>
              </w:rPr>
            </w:pPr>
          </w:p>
        </w:tc>
        <w:tc>
          <w:tcPr>
            <w:tcW w:w="717" w:type="dxa"/>
          </w:tcPr>
          <w:p w14:paraId="14EBD876">
            <w:pPr>
              <w:rPr>
                <w:rFonts w:ascii="Arial"/>
                <w:color w:val="auto"/>
                <w:highlight w:val="none"/>
              </w:rPr>
            </w:pPr>
          </w:p>
        </w:tc>
      </w:tr>
      <w:tr w14:paraId="7AC1F8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708" w:type="dxa"/>
          </w:tcPr>
          <w:p w14:paraId="1DE75ED6">
            <w:pPr>
              <w:pStyle w:val="185"/>
              <w:spacing w:before="181" w:line="242" w:lineRule="auto"/>
              <w:ind w:left="304"/>
              <w:rPr>
                <w:color w:val="auto"/>
                <w:highlight w:val="none"/>
              </w:rPr>
            </w:pPr>
            <w:r>
              <w:rPr>
                <w:color w:val="auto"/>
                <w:highlight w:val="none"/>
              </w:rPr>
              <w:t>4</w:t>
            </w:r>
          </w:p>
        </w:tc>
        <w:tc>
          <w:tcPr>
            <w:tcW w:w="1543" w:type="dxa"/>
          </w:tcPr>
          <w:p w14:paraId="1E445058">
            <w:pPr>
              <w:rPr>
                <w:rFonts w:ascii="Arial"/>
                <w:color w:val="auto"/>
                <w:highlight w:val="none"/>
              </w:rPr>
            </w:pPr>
          </w:p>
        </w:tc>
        <w:tc>
          <w:tcPr>
            <w:tcW w:w="592" w:type="dxa"/>
          </w:tcPr>
          <w:p w14:paraId="4E038D97">
            <w:pPr>
              <w:rPr>
                <w:rFonts w:ascii="Arial"/>
                <w:color w:val="auto"/>
                <w:highlight w:val="none"/>
              </w:rPr>
            </w:pPr>
          </w:p>
        </w:tc>
        <w:tc>
          <w:tcPr>
            <w:tcW w:w="595" w:type="dxa"/>
          </w:tcPr>
          <w:p w14:paraId="0DF7F9DA">
            <w:pPr>
              <w:rPr>
                <w:rFonts w:ascii="Arial"/>
                <w:color w:val="auto"/>
                <w:highlight w:val="none"/>
              </w:rPr>
            </w:pPr>
          </w:p>
        </w:tc>
        <w:tc>
          <w:tcPr>
            <w:tcW w:w="595" w:type="dxa"/>
          </w:tcPr>
          <w:p w14:paraId="2C04C922">
            <w:pPr>
              <w:rPr>
                <w:rFonts w:ascii="Arial"/>
                <w:color w:val="auto"/>
                <w:highlight w:val="none"/>
              </w:rPr>
            </w:pPr>
          </w:p>
        </w:tc>
        <w:tc>
          <w:tcPr>
            <w:tcW w:w="593" w:type="dxa"/>
          </w:tcPr>
          <w:p w14:paraId="08C9F34D">
            <w:pPr>
              <w:rPr>
                <w:rFonts w:ascii="Arial"/>
                <w:color w:val="auto"/>
                <w:highlight w:val="none"/>
              </w:rPr>
            </w:pPr>
          </w:p>
        </w:tc>
        <w:tc>
          <w:tcPr>
            <w:tcW w:w="592" w:type="dxa"/>
          </w:tcPr>
          <w:p w14:paraId="594D84BC">
            <w:pPr>
              <w:rPr>
                <w:rFonts w:ascii="Arial"/>
                <w:color w:val="auto"/>
                <w:highlight w:val="none"/>
              </w:rPr>
            </w:pPr>
          </w:p>
        </w:tc>
        <w:tc>
          <w:tcPr>
            <w:tcW w:w="592" w:type="dxa"/>
          </w:tcPr>
          <w:p w14:paraId="6F7180AC">
            <w:pPr>
              <w:rPr>
                <w:rFonts w:ascii="Arial"/>
                <w:color w:val="auto"/>
                <w:highlight w:val="none"/>
              </w:rPr>
            </w:pPr>
          </w:p>
        </w:tc>
        <w:tc>
          <w:tcPr>
            <w:tcW w:w="592" w:type="dxa"/>
          </w:tcPr>
          <w:p w14:paraId="281203A9">
            <w:pPr>
              <w:rPr>
                <w:rFonts w:ascii="Arial"/>
                <w:color w:val="auto"/>
                <w:highlight w:val="none"/>
              </w:rPr>
            </w:pPr>
          </w:p>
        </w:tc>
        <w:tc>
          <w:tcPr>
            <w:tcW w:w="593" w:type="dxa"/>
            <w:tcBorders>
              <w:right w:val="single" w:color="000000" w:sz="4" w:space="0"/>
            </w:tcBorders>
          </w:tcPr>
          <w:p w14:paraId="0C28D6E8">
            <w:pPr>
              <w:rPr>
                <w:rFonts w:ascii="Arial"/>
                <w:color w:val="auto"/>
                <w:highlight w:val="none"/>
              </w:rPr>
            </w:pPr>
          </w:p>
        </w:tc>
        <w:tc>
          <w:tcPr>
            <w:tcW w:w="595" w:type="dxa"/>
            <w:tcBorders>
              <w:left w:val="single" w:color="000000" w:sz="4" w:space="0"/>
            </w:tcBorders>
          </w:tcPr>
          <w:p w14:paraId="417AB78C">
            <w:pPr>
              <w:rPr>
                <w:rFonts w:ascii="Arial"/>
                <w:color w:val="auto"/>
                <w:highlight w:val="none"/>
              </w:rPr>
            </w:pPr>
          </w:p>
        </w:tc>
        <w:tc>
          <w:tcPr>
            <w:tcW w:w="717" w:type="dxa"/>
          </w:tcPr>
          <w:p w14:paraId="402DDADA">
            <w:pPr>
              <w:rPr>
                <w:rFonts w:ascii="Arial"/>
                <w:color w:val="auto"/>
                <w:highlight w:val="none"/>
              </w:rPr>
            </w:pPr>
          </w:p>
        </w:tc>
      </w:tr>
      <w:tr w14:paraId="605C7E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08" w:type="dxa"/>
          </w:tcPr>
          <w:p w14:paraId="0F9898FE">
            <w:pPr>
              <w:pStyle w:val="185"/>
              <w:spacing w:before="179" w:line="241" w:lineRule="auto"/>
              <w:ind w:left="309"/>
              <w:rPr>
                <w:color w:val="auto"/>
                <w:highlight w:val="none"/>
              </w:rPr>
            </w:pPr>
            <w:r>
              <w:rPr>
                <w:color w:val="auto"/>
                <w:highlight w:val="none"/>
              </w:rPr>
              <w:t>5</w:t>
            </w:r>
          </w:p>
        </w:tc>
        <w:tc>
          <w:tcPr>
            <w:tcW w:w="1543" w:type="dxa"/>
          </w:tcPr>
          <w:p w14:paraId="64CE66AA">
            <w:pPr>
              <w:rPr>
                <w:rFonts w:ascii="Arial"/>
                <w:color w:val="auto"/>
                <w:highlight w:val="none"/>
              </w:rPr>
            </w:pPr>
          </w:p>
        </w:tc>
        <w:tc>
          <w:tcPr>
            <w:tcW w:w="592" w:type="dxa"/>
          </w:tcPr>
          <w:p w14:paraId="34B142EF">
            <w:pPr>
              <w:rPr>
                <w:rFonts w:ascii="Arial"/>
                <w:color w:val="auto"/>
                <w:highlight w:val="none"/>
              </w:rPr>
            </w:pPr>
          </w:p>
        </w:tc>
        <w:tc>
          <w:tcPr>
            <w:tcW w:w="595" w:type="dxa"/>
          </w:tcPr>
          <w:p w14:paraId="2D65BE0D">
            <w:pPr>
              <w:rPr>
                <w:rFonts w:ascii="Arial"/>
                <w:color w:val="auto"/>
                <w:highlight w:val="none"/>
              </w:rPr>
            </w:pPr>
          </w:p>
        </w:tc>
        <w:tc>
          <w:tcPr>
            <w:tcW w:w="595" w:type="dxa"/>
          </w:tcPr>
          <w:p w14:paraId="639EC463">
            <w:pPr>
              <w:rPr>
                <w:rFonts w:ascii="Arial"/>
                <w:color w:val="auto"/>
                <w:highlight w:val="none"/>
              </w:rPr>
            </w:pPr>
          </w:p>
        </w:tc>
        <w:tc>
          <w:tcPr>
            <w:tcW w:w="593" w:type="dxa"/>
          </w:tcPr>
          <w:p w14:paraId="7EB27808">
            <w:pPr>
              <w:rPr>
                <w:rFonts w:ascii="Arial"/>
                <w:color w:val="auto"/>
                <w:highlight w:val="none"/>
              </w:rPr>
            </w:pPr>
          </w:p>
        </w:tc>
        <w:tc>
          <w:tcPr>
            <w:tcW w:w="592" w:type="dxa"/>
          </w:tcPr>
          <w:p w14:paraId="6EE70F0B">
            <w:pPr>
              <w:rPr>
                <w:rFonts w:ascii="Arial"/>
                <w:color w:val="auto"/>
                <w:highlight w:val="none"/>
              </w:rPr>
            </w:pPr>
          </w:p>
        </w:tc>
        <w:tc>
          <w:tcPr>
            <w:tcW w:w="592" w:type="dxa"/>
          </w:tcPr>
          <w:p w14:paraId="04ED6A16">
            <w:pPr>
              <w:rPr>
                <w:rFonts w:ascii="Arial"/>
                <w:color w:val="auto"/>
                <w:highlight w:val="none"/>
              </w:rPr>
            </w:pPr>
          </w:p>
        </w:tc>
        <w:tc>
          <w:tcPr>
            <w:tcW w:w="592" w:type="dxa"/>
          </w:tcPr>
          <w:p w14:paraId="2782223A">
            <w:pPr>
              <w:rPr>
                <w:rFonts w:ascii="Arial"/>
                <w:color w:val="auto"/>
                <w:highlight w:val="none"/>
              </w:rPr>
            </w:pPr>
          </w:p>
        </w:tc>
        <w:tc>
          <w:tcPr>
            <w:tcW w:w="593" w:type="dxa"/>
            <w:tcBorders>
              <w:right w:val="single" w:color="000000" w:sz="4" w:space="0"/>
            </w:tcBorders>
          </w:tcPr>
          <w:p w14:paraId="1B7CCADB">
            <w:pPr>
              <w:rPr>
                <w:rFonts w:ascii="Arial"/>
                <w:color w:val="auto"/>
                <w:highlight w:val="none"/>
              </w:rPr>
            </w:pPr>
          </w:p>
        </w:tc>
        <w:tc>
          <w:tcPr>
            <w:tcW w:w="595" w:type="dxa"/>
            <w:tcBorders>
              <w:left w:val="single" w:color="000000" w:sz="4" w:space="0"/>
            </w:tcBorders>
          </w:tcPr>
          <w:p w14:paraId="314A5A22">
            <w:pPr>
              <w:rPr>
                <w:rFonts w:ascii="Arial"/>
                <w:color w:val="auto"/>
                <w:highlight w:val="none"/>
              </w:rPr>
            </w:pPr>
          </w:p>
        </w:tc>
        <w:tc>
          <w:tcPr>
            <w:tcW w:w="717" w:type="dxa"/>
          </w:tcPr>
          <w:p w14:paraId="546FCB82">
            <w:pPr>
              <w:rPr>
                <w:rFonts w:ascii="Arial"/>
                <w:color w:val="auto"/>
                <w:highlight w:val="none"/>
              </w:rPr>
            </w:pPr>
          </w:p>
        </w:tc>
      </w:tr>
      <w:tr w14:paraId="2D376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08" w:type="dxa"/>
          </w:tcPr>
          <w:p w14:paraId="6DBE704E">
            <w:pPr>
              <w:pStyle w:val="185"/>
              <w:spacing w:before="181" w:line="241" w:lineRule="auto"/>
              <w:ind w:left="307"/>
              <w:rPr>
                <w:color w:val="auto"/>
                <w:highlight w:val="none"/>
              </w:rPr>
            </w:pPr>
            <w:r>
              <w:rPr>
                <w:color w:val="auto"/>
                <w:highlight w:val="none"/>
              </w:rPr>
              <w:t>6</w:t>
            </w:r>
          </w:p>
        </w:tc>
        <w:tc>
          <w:tcPr>
            <w:tcW w:w="1543" w:type="dxa"/>
          </w:tcPr>
          <w:p w14:paraId="21CA121F">
            <w:pPr>
              <w:rPr>
                <w:rFonts w:ascii="Arial"/>
                <w:color w:val="auto"/>
                <w:highlight w:val="none"/>
              </w:rPr>
            </w:pPr>
          </w:p>
        </w:tc>
        <w:tc>
          <w:tcPr>
            <w:tcW w:w="592" w:type="dxa"/>
          </w:tcPr>
          <w:p w14:paraId="42D6D59B">
            <w:pPr>
              <w:rPr>
                <w:rFonts w:ascii="Arial"/>
                <w:color w:val="auto"/>
                <w:highlight w:val="none"/>
              </w:rPr>
            </w:pPr>
          </w:p>
        </w:tc>
        <w:tc>
          <w:tcPr>
            <w:tcW w:w="595" w:type="dxa"/>
          </w:tcPr>
          <w:p w14:paraId="20EFEEB1">
            <w:pPr>
              <w:rPr>
                <w:rFonts w:ascii="Arial"/>
                <w:color w:val="auto"/>
                <w:highlight w:val="none"/>
              </w:rPr>
            </w:pPr>
          </w:p>
        </w:tc>
        <w:tc>
          <w:tcPr>
            <w:tcW w:w="595" w:type="dxa"/>
          </w:tcPr>
          <w:p w14:paraId="36ECE65E">
            <w:pPr>
              <w:rPr>
                <w:rFonts w:ascii="Arial"/>
                <w:color w:val="auto"/>
                <w:highlight w:val="none"/>
              </w:rPr>
            </w:pPr>
          </w:p>
        </w:tc>
        <w:tc>
          <w:tcPr>
            <w:tcW w:w="593" w:type="dxa"/>
          </w:tcPr>
          <w:p w14:paraId="25704284">
            <w:pPr>
              <w:rPr>
                <w:rFonts w:ascii="Arial"/>
                <w:color w:val="auto"/>
                <w:highlight w:val="none"/>
              </w:rPr>
            </w:pPr>
          </w:p>
        </w:tc>
        <w:tc>
          <w:tcPr>
            <w:tcW w:w="592" w:type="dxa"/>
          </w:tcPr>
          <w:p w14:paraId="5389A8E4">
            <w:pPr>
              <w:rPr>
                <w:rFonts w:ascii="Arial"/>
                <w:color w:val="auto"/>
                <w:highlight w:val="none"/>
              </w:rPr>
            </w:pPr>
          </w:p>
        </w:tc>
        <w:tc>
          <w:tcPr>
            <w:tcW w:w="592" w:type="dxa"/>
          </w:tcPr>
          <w:p w14:paraId="6F16BEAE">
            <w:pPr>
              <w:rPr>
                <w:rFonts w:ascii="Arial"/>
                <w:color w:val="auto"/>
                <w:highlight w:val="none"/>
              </w:rPr>
            </w:pPr>
          </w:p>
        </w:tc>
        <w:tc>
          <w:tcPr>
            <w:tcW w:w="592" w:type="dxa"/>
          </w:tcPr>
          <w:p w14:paraId="3A768E5D">
            <w:pPr>
              <w:rPr>
                <w:rFonts w:ascii="Arial"/>
                <w:color w:val="auto"/>
                <w:highlight w:val="none"/>
              </w:rPr>
            </w:pPr>
          </w:p>
        </w:tc>
        <w:tc>
          <w:tcPr>
            <w:tcW w:w="593" w:type="dxa"/>
            <w:tcBorders>
              <w:right w:val="single" w:color="000000" w:sz="4" w:space="0"/>
            </w:tcBorders>
          </w:tcPr>
          <w:p w14:paraId="244E142A">
            <w:pPr>
              <w:rPr>
                <w:rFonts w:ascii="Arial"/>
                <w:color w:val="auto"/>
                <w:highlight w:val="none"/>
              </w:rPr>
            </w:pPr>
          </w:p>
        </w:tc>
        <w:tc>
          <w:tcPr>
            <w:tcW w:w="595" w:type="dxa"/>
            <w:tcBorders>
              <w:left w:val="single" w:color="000000" w:sz="4" w:space="0"/>
            </w:tcBorders>
          </w:tcPr>
          <w:p w14:paraId="608664CC">
            <w:pPr>
              <w:rPr>
                <w:rFonts w:ascii="Arial"/>
                <w:color w:val="auto"/>
                <w:highlight w:val="none"/>
              </w:rPr>
            </w:pPr>
          </w:p>
        </w:tc>
        <w:tc>
          <w:tcPr>
            <w:tcW w:w="717" w:type="dxa"/>
          </w:tcPr>
          <w:p w14:paraId="6D0F4673">
            <w:pPr>
              <w:rPr>
                <w:rFonts w:ascii="Arial"/>
                <w:color w:val="auto"/>
                <w:highlight w:val="none"/>
              </w:rPr>
            </w:pPr>
          </w:p>
        </w:tc>
      </w:tr>
      <w:tr w14:paraId="615909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708" w:type="dxa"/>
          </w:tcPr>
          <w:p w14:paraId="40F751F4">
            <w:pPr>
              <w:pStyle w:val="185"/>
              <w:spacing w:before="182" w:line="332" w:lineRule="exact"/>
              <w:ind w:left="266"/>
              <w:rPr>
                <w:color w:val="auto"/>
                <w:highlight w:val="none"/>
              </w:rPr>
            </w:pPr>
            <w:r>
              <w:rPr>
                <w:color w:val="auto"/>
                <w:position w:val="2"/>
                <w:highlight w:val="none"/>
              </w:rPr>
              <w:t>…</w:t>
            </w:r>
          </w:p>
        </w:tc>
        <w:tc>
          <w:tcPr>
            <w:tcW w:w="1543" w:type="dxa"/>
          </w:tcPr>
          <w:p w14:paraId="6EED6A16">
            <w:pPr>
              <w:rPr>
                <w:rFonts w:ascii="Arial"/>
                <w:color w:val="auto"/>
                <w:highlight w:val="none"/>
              </w:rPr>
            </w:pPr>
          </w:p>
        </w:tc>
        <w:tc>
          <w:tcPr>
            <w:tcW w:w="592" w:type="dxa"/>
          </w:tcPr>
          <w:p w14:paraId="7C8E70D8">
            <w:pPr>
              <w:rPr>
                <w:rFonts w:ascii="Arial"/>
                <w:color w:val="auto"/>
                <w:highlight w:val="none"/>
              </w:rPr>
            </w:pPr>
          </w:p>
        </w:tc>
        <w:tc>
          <w:tcPr>
            <w:tcW w:w="595" w:type="dxa"/>
          </w:tcPr>
          <w:p w14:paraId="57340B4E">
            <w:pPr>
              <w:rPr>
                <w:rFonts w:ascii="Arial"/>
                <w:color w:val="auto"/>
                <w:highlight w:val="none"/>
              </w:rPr>
            </w:pPr>
          </w:p>
        </w:tc>
        <w:tc>
          <w:tcPr>
            <w:tcW w:w="595" w:type="dxa"/>
          </w:tcPr>
          <w:p w14:paraId="144D1772">
            <w:pPr>
              <w:rPr>
                <w:rFonts w:ascii="Arial"/>
                <w:color w:val="auto"/>
                <w:highlight w:val="none"/>
              </w:rPr>
            </w:pPr>
          </w:p>
        </w:tc>
        <w:tc>
          <w:tcPr>
            <w:tcW w:w="593" w:type="dxa"/>
          </w:tcPr>
          <w:p w14:paraId="19AEFC60">
            <w:pPr>
              <w:rPr>
                <w:rFonts w:ascii="Arial"/>
                <w:color w:val="auto"/>
                <w:highlight w:val="none"/>
              </w:rPr>
            </w:pPr>
          </w:p>
        </w:tc>
        <w:tc>
          <w:tcPr>
            <w:tcW w:w="592" w:type="dxa"/>
          </w:tcPr>
          <w:p w14:paraId="3201D7D5">
            <w:pPr>
              <w:rPr>
                <w:rFonts w:ascii="Arial"/>
                <w:color w:val="auto"/>
                <w:highlight w:val="none"/>
              </w:rPr>
            </w:pPr>
          </w:p>
        </w:tc>
        <w:tc>
          <w:tcPr>
            <w:tcW w:w="592" w:type="dxa"/>
          </w:tcPr>
          <w:p w14:paraId="64122E96">
            <w:pPr>
              <w:rPr>
                <w:rFonts w:ascii="Arial"/>
                <w:color w:val="auto"/>
                <w:highlight w:val="none"/>
              </w:rPr>
            </w:pPr>
          </w:p>
        </w:tc>
        <w:tc>
          <w:tcPr>
            <w:tcW w:w="592" w:type="dxa"/>
          </w:tcPr>
          <w:p w14:paraId="4DC5549F">
            <w:pPr>
              <w:rPr>
                <w:rFonts w:ascii="Arial"/>
                <w:color w:val="auto"/>
                <w:highlight w:val="none"/>
              </w:rPr>
            </w:pPr>
          </w:p>
        </w:tc>
        <w:tc>
          <w:tcPr>
            <w:tcW w:w="593" w:type="dxa"/>
            <w:tcBorders>
              <w:right w:val="single" w:color="000000" w:sz="4" w:space="0"/>
            </w:tcBorders>
          </w:tcPr>
          <w:p w14:paraId="786E07C1">
            <w:pPr>
              <w:rPr>
                <w:rFonts w:ascii="Arial"/>
                <w:color w:val="auto"/>
                <w:highlight w:val="none"/>
              </w:rPr>
            </w:pPr>
          </w:p>
        </w:tc>
        <w:tc>
          <w:tcPr>
            <w:tcW w:w="595" w:type="dxa"/>
            <w:tcBorders>
              <w:left w:val="single" w:color="000000" w:sz="4" w:space="0"/>
            </w:tcBorders>
          </w:tcPr>
          <w:p w14:paraId="7F014EFA">
            <w:pPr>
              <w:rPr>
                <w:rFonts w:ascii="Arial"/>
                <w:color w:val="auto"/>
                <w:highlight w:val="none"/>
              </w:rPr>
            </w:pPr>
          </w:p>
        </w:tc>
        <w:tc>
          <w:tcPr>
            <w:tcW w:w="717" w:type="dxa"/>
          </w:tcPr>
          <w:p w14:paraId="1976052E">
            <w:pPr>
              <w:rPr>
                <w:rFonts w:ascii="Arial"/>
                <w:color w:val="auto"/>
                <w:highlight w:val="none"/>
              </w:rPr>
            </w:pPr>
          </w:p>
        </w:tc>
      </w:tr>
      <w:tr w14:paraId="55362A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8307" w:type="dxa"/>
            <w:gridSpan w:val="12"/>
          </w:tcPr>
          <w:p w14:paraId="642E6E00">
            <w:pPr>
              <w:pStyle w:val="185"/>
              <w:spacing w:before="33" w:line="220" w:lineRule="auto"/>
              <w:ind w:left="115"/>
              <w:rPr>
                <w:color w:val="auto"/>
                <w:highlight w:val="none"/>
                <w:lang w:eastAsia="zh-CN"/>
              </w:rPr>
            </w:pPr>
            <w:r>
              <w:rPr>
                <w:color w:val="auto"/>
                <w:spacing w:val="-1"/>
                <w:highlight w:val="none"/>
                <w:lang w:eastAsia="zh-CN"/>
              </w:rPr>
              <w:t>评标委员会全体成员签名：</w:t>
            </w:r>
          </w:p>
        </w:tc>
      </w:tr>
    </w:tbl>
    <w:p w14:paraId="70AF6CA1">
      <w:pPr>
        <w:spacing w:before="139" w:line="221" w:lineRule="auto"/>
        <w:ind w:left="5731"/>
        <w:rPr>
          <w:rFonts w:ascii="宋体" w:hAnsi="宋体" w:cs="宋体"/>
          <w:color w:val="auto"/>
          <w:spacing w:val="-11"/>
          <w:szCs w:val="21"/>
          <w:highlight w:val="none"/>
        </w:rPr>
      </w:pPr>
      <w:r>
        <w:rPr>
          <w:rFonts w:ascii="宋体" w:hAnsi="宋体" w:cs="宋体"/>
          <w:color w:val="auto"/>
          <w:spacing w:val="-11"/>
          <w:szCs w:val="21"/>
          <w:highlight w:val="none"/>
        </w:rPr>
        <w:t>日期：   年    月    日</w:t>
      </w:r>
    </w:p>
    <w:p w14:paraId="384FC293">
      <w:pPr>
        <w:pStyle w:val="17"/>
        <w:spacing w:line="250" w:lineRule="auto"/>
        <w:rPr>
          <w:color w:val="auto"/>
          <w:highlight w:val="none"/>
        </w:rPr>
      </w:pPr>
    </w:p>
    <w:p w14:paraId="639E65ED">
      <w:pPr>
        <w:pStyle w:val="17"/>
        <w:spacing w:line="250" w:lineRule="auto"/>
        <w:rPr>
          <w:color w:val="auto"/>
          <w:highlight w:val="none"/>
        </w:rPr>
      </w:pPr>
    </w:p>
    <w:p w14:paraId="06BAE252">
      <w:pPr>
        <w:pStyle w:val="17"/>
        <w:spacing w:line="250" w:lineRule="auto"/>
        <w:rPr>
          <w:color w:val="auto"/>
          <w:highlight w:val="none"/>
        </w:rPr>
      </w:pPr>
    </w:p>
    <w:p w14:paraId="2956C0B7">
      <w:pPr>
        <w:pStyle w:val="17"/>
        <w:spacing w:line="250" w:lineRule="auto"/>
        <w:rPr>
          <w:color w:val="auto"/>
          <w:highlight w:val="none"/>
        </w:rPr>
      </w:pPr>
    </w:p>
    <w:p w14:paraId="30BEC0A7">
      <w:pPr>
        <w:pStyle w:val="17"/>
        <w:spacing w:line="250" w:lineRule="auto"/>
        <w:rPr>
          <w:color w:val="auto"/>
          <w:highlight w:val="none"/>
        </w:rPr>
      </w:pPr>
    </w:p>
    <w:p w14:paraId="3A6742B4">
      <w:pPr>
        <w:pStyle w:val="17"/>
        <w:spacing w:line="250" w:lineRule="auto"/>
        <w:rPr>
          <w:color w:val="auto"/>
          <w:highlight w:val="none"/>
        </w:rPr>
      </w:pPr>
    </w:p>
    <w:p w14:paraId="2089E4B2">
      <w:pPr>
        <w:pStyle w:val="17"/>
        <w:spacing w:line="250" w:lineRule="auto"/>
        <w:rPr>
          <w:color w:val="auto"/>
          <w:highlight w:val="none"/>
        </w:rPr>
      </w:pPr>
    </w:p>
    <w:p w14:paraId="09D3B24B">
      <w:pPr>
        <w:pStyle w:val="17"/>
        <w:spacing w:line="250" w:lineRule="auto"/>
        <w:rPr>
          <w:color w:val="auto"/>
          <w:highlight w:val="none"/>
        </w:rPr>
      </w:pPr>
    </w:p>
    <w:p w14:paraId="600C2B82">
      <w:pPr>
        <w:pStyle w:val="17"/>
        <w:spacing w:line="250" w:lineRule="auto"/>
        <w:rPr>
          <w:color w:val="auto"/>
          <w:highlight w:val="none"/>
        </w:rPr>
      </w:pPr>
    </w:p>
    <w:p w14:paraId="54B75089">
      <w:pPr>
        <w:pStyle w:val="17"/>
        <w:spacing w:line="250" w:lineRule="auto"/>
        <w:rPr>
          <w:color w:val="auto"/>
          <w:highlight w:val="none"/>
        </w:rPr>
      </w:pPr>
    </w:p>
    <w:p w14:paraId="0AE89C21">
      <w:pPr>
        <w:pStyle w:val="17"/>
        <w:spacing w:line="250" w:lineRule="auto"/>
        <w:rPr>
          <w:color w:val="auto"/>
          <w:highlight w:val="none"/>
        </w:rPr>
      </w:pPr>
    </w:p>
    <w:p w14:paraId="3AB447C5">
      <w:pPr>
        <w:pStyle w:val="17"/>
        <w:spacing w:line="250" w:lineRule="auto"/>
        <w:rPr>
          <w:color w:val="auto"/>
          <w:highlight w:val="none"/>
        </w:rPr>
      </w:pPr>
    </w:p>
    <w:p w14:paraId="409A942D">
      <w:pPr>
        <w:pStyle w:val="17"/>
        <w:spacing w:line="250" w:lineRule="auto"/>
        <w:rPr>
          <w:color w:val="auto"/>
          <w:highlight w:val="none"/>
        </w:rPr>
      </w:pPr>
    </w:p>
    <w:p w14:paraId="0813CEE4">
      <w:pPr>
        <w:spacing w:before="78" w:line="219" w:lineRule="auto"/>
        <w:ind w:left="152"/>
        <w:outlineLvl w:val="2"/>
        <w:rPr>
          <w:rFonts w:ascii="黑体" w:hAnsi="黑体" w:eastAsia="黑体" w:cs="黑体"/>
          <w:color w:val="auto"/>
          <w:sz w:val="24"/>
          <w:highlight w:val="none"/>
        </w:rPr>
      </w:pPr>
      <w:bookmarkStart w:id="286" w:name="bookmark415"/>
      <w:bookmarkEnd w:id="286"/>
      <w:bookmarkStart w:id="287" w:name="_Toc17010"/>
      <w:r>
        <w:rPr>
          <w:rFonts w:ascii="黑体" w:hAnsi="黑体" w:eastAsia="黑体" w:cs="黑体"/>
          <w:color w:val="auto"/>
          <w:spacing w:val="-3"/>
          <w:sz w:val="24"/>
          <w:highlight w:val="none"/>
        </w:rPr>
        <w:t>附表A-8：初步评审汇总记录表</w:t>
      </w:r>
      <w:bookmarkEnd w:id="287"/>
    </w:p>
    <w:p w14:paraId="342BAA00">
      <w:pPr>
        <w:pStyle w:val="17"/>
        <w:spacing w:line="314" w:lineRule="auto"/>
        <w:rPr>
          <w:color w:val="auto"/>
          <w:highlight w:val="none"/>
        </w:rPr>
      </w:pPr>
    </w:p>
    <w:p w14:paraId="2E4ABAF1">
      <w:pPr>
        <w:pStyle w:val="17"/>
        <w:spacing w:line="314" w:lineRule="auto"/>
        <w:rPr>
          <w:color w:val="auto"/>
          <w:highlight w:val="none"/>
        </w:rPr>
      </w:pPr>
    </w:p>
    <w:p w14:paraId="5909C754">
      <w:pPr>
        <w:spacing w:before="117" w:line="219" w:lineRule="auto"/>
        <w:ind w:left="2558"/>
        <w:rPr>
          <w:rFonts w:ascii="黑体" w:hAnsi="黑体" w:eastAsia="黑体" w:cs="黑体"/>
          <w:color w:val="auto"/>
          <w:sz w:val="36"/>
          <w:szCs w:val="36"/>
          <w:highlight w:val="none"/>
        </w:rPr>
      </w:pPr>
      <w:bookmarkStart w:id="288" w:name="bookmark138"/>
      <w:bookmarkEnd w:id="288"/>
      <w:r>
        <w:rPr>
          <w:rFonts w:ascii="黑体" w:hAnsi="黑体" w:eastAsia="黑体" w:cs="黑体"/>
          <w:color w:val="auto"/>
          <w:spacing w:val="-2"/>
          <w:sz w:val="36"/>
          <w:szCs w:val="36"/>
          <w:highlight w:val="none"/>
        </w:rPr>
        <w:t>初步评审汇总记录表</w:t>
      </w:r>
    </w:p>
    <w:p w14:paraId="1E1767B0">
      <w:pPr>
        <w:spacing w:before="241" w:line="221" w:lineRule="auto"/>
        <w:ind w:left="21"/>
        <w:rPr>
          <w:rFonts w:ascii="宋体" w:hAnsi="宋体" w:cs="宋体"/>
          <w:color w:val="auto"/>
          <w:szCs w:val="21"/>
          <w:highlight w:val="none"/>
        </w:rPr>
      </w:pPr>
      <w:r>
        <w:rPr>
          <w:rFonts w:ascii="宋体" w:hAnsi="宋体" w:cs="宋体"/>
          <w:color w:val="auto"/>
          <w:spacing w:val="-7"/>
          <w:szCs w:val="21"/>
          <w:highlight w:val="none"/>
        </w:rPr>
        <w:t>标段名称：</w:t>
      </w:r>
    </w:p>
    <w:p w14:paraId="00DB92FE">
      <w:pPr>
        <w:spacing w:before="20" w:line="214" w:lineRule="auto"/>
        <w:ind w:left="21"/>
        <w:rPr>
          <w:rFonts w:ascii="宋体" w:hAnsi="宋体" w:cs="宋体"/>
          <w:color w:val="auto"/>
          <w:szCs w:val="21"/>
          <w:highlight w:val="none"/>
        </w:rPr>
      </w:pPr>
      <w:r>
        <w:rPr>
          <w:rFonts w:ascii="宋体" w:hAnsi="宋体" w:cs="宋体"/>
          <w:color w:val="auto"/>
          <w:szCs w:val="21"/>
          <w:highlight w:val="none"/>
        </w:rPr>
        <w:t>标段唯一标识码：                                                单</w:t>
      </w:r>
      <w:r>
        <w:rPr>
          <w:rFonts w:ascii="宋体" w:hAnsi="宋体" w:cs="宋体"/>
          <w:color w:val="auto"/>
          <w:spacing w:val="-1"/>
          <w:szCs w:val="21"/>
          <w:highlight w:val="none"/>
        </w:rPr>
        <w:t>位：人民币元</w:t>
      </w:r>
    </w:p>
    <w:tbl>
      <w:tblPr>
        <w:tblStyle w:val="42"/>
        <w:tblW w:w="8648" w:type="dxa"/>
        <w:tblInd w:w="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9"/>
        <w:gridCol w:w="940"/>
        <w:gridCol w:w="943"/>
        <w:gridCol w:w="940"/>
        <w:gridCol w:w="1017"/>
        <w:gridCol w:w="1185"/>
        <w:gridCol w:w="1166"/>
        <w:gridCol w:w="852"/>
        <w:gridCol w:w="996"/>
      </w:tblGrid>
      <w:tr w14:paraId="74577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9" w:hRule="atLeast"/>
        </w:trPr>
        <w:tc>
          <w:tcPr>
            <w:tcW w:w="609" w:type="dxa"/>
            <w:textDirection w:val="tbRlV"/>
          </w:tcPr>
          <w:p w14:paraId="642A7C3E">
            <w:pPr>
              <w:pStyle w:val="185"/>
              <w:spacing w:before="196" w:line="211" w:lineRule="auto"/>
              <w:ind w:left="305"/>
              <w:rPr>
                <w:color w:val="auto"/>
                <w:highlight w:val="none"/>
              </w:rPr>
            </w:pPr>
            <w:r>
              <w:rPr>
                <w:b/>
                <w:bCs/>
                <w:color w:val="auto"/>
                <w:spacing w:val="-2"/>
                <w:highlight w:val="none"/>
              </w:rPr>
              <w:t>序号</w:t>
            </w:r>
          </w:p>
        </w:tc>
        <w:tc>
          <w:tcPr>
            <w:tcW w:w="940" w:type="dxa"/>
          </w:tcPr>
          <w:p w14:paraId="64A7B0D6">
            <w:pPr>
              <w:pStyle w:val="185"/>
              <w:spacing w:before="305" w:line="244" w:lineRule="auto"/>
              <w:ind w:left="264" w:right="152" w:hanging="105"/>
              <w:rPr>
                <w:color w:val="auto"/>
                <w:highlight w:val="none"/>
              </w:rPr>
            </w:pPr>
            <w:r>
              <w:rPr>
                <w:b/>
                <w:bCs/>
                <w:color w:val="auto"/>
                <w:spacing w:val="-5"/>
                <w:highlight w:val="none"/>
              </w:rPr>
              <w:t>投标人名称</w:t>
            </w:r>
          </w:p>
        </w:tc>
        <w:tc>
          <w:tcPr>
            <w:tcW w:w="943" w:type="dxa"/>
          </w:tcPr>
          <w:p w14:paraId="1E2FCFBE">
            <w:pPr>
              <w:pStyle w:val="185"/>
              <w:spacing w:before="305" w:line="220" w:lineRule="auto"/>
              <w:ind w:left="160"/>
              <w:rPr>
                <w:color w:val="auto"/>
                <w:highlight w:val="none"/>
              </w:rPr>
            </w:pPr>
            <w:r>
              <w:rPr>
                <w:b/>
                <w:bCs/>
                <w:color w:val="auto"/>
                <w:spacing w:val="-4"/>
                <w:highlight w:val="none"/>
              </w:rPr>
              <w:t>形式评</w:t>
            </w:r>
          </w:p>
          <w:p w14:paraId="1F938800">
            <w:pPr>
              <w:pStyle w:val="185"/>
              <w:spacing w:before="24" w:line="221" w:lineRule="auto"/>
              <w:ind w:left="168"/>
              <w:rPr>
                <w:color w:val="auto"/>
                <w:highlight w:val="none"/>
              </w:rPr>
            </w:pPr>
            <w:r>
              <w:rPr>
                <w:b/>
                <w:bCs/>
                <w:color w:val="auto"/>
                <w:spacing w:val="-6"/>
                <w:highlight w:val="none"/>
              </w:rPr>
              <w:t>审结果</w:t>
            </w:r>
          </w:p>
        </w:tc>
        <w:tc>
          <w:tcPr>
            <w:tcW w:w="940" w:type="dxa"/>
          </w:tcPr>
          <w:p w14:paraId="2B69A7D8">
            <w:pPr>
              <w:pStyle w:val="185"/>
              <w:spacing w:before="305" w:line="219" w:lineRule="auto"/>
              <w:ind w:left="165"/>
              <w:rPr>
                <w:color w:val="auto"/>
                <w:highlight w:val="none"/>
              </w:rPr>
            </w:pPr>
            <w:r>
              <w:rPr>
                <w:b/>
                <w:bCs/>
                <w:color w:val="auto"/>
                <w:spacing w:val="-6"/>
                <w:highlight w:val="none"/>
              </w:rPr>
              <w:t>资格评</w:t>
            </w:r>
          </w:p>
          <w:p w14:paraId="24DC4AC6">
            <w:pPr>
              <w:pStyle w:val="185"/>
              <w:spacing w:before="25" w:line="221" w:lineRule="auto"/>
              <w:ind w:left="167"/>
              <w:rPr>
                <w:color w:val="auto"/>
                <w:highlight w:val="none"/>
              </w:rPr>
            </w:pPr>
            <w:r>
              <w:rPr>
                <w:b/>
                <w:bCs/>
                <w:color w:val="auto"/>
                <w:spacing w:val="-6"/>
                <w:highlight w:val="none"/>
              </w:rPr>
              <w:t>审结果</w:t>
            </w:r>
          </w:p>
        </w:tc>
        <w:tc>
          <w:tcPr>
            <w:tcW w:w="1017" w:type="dxa"/>
          </w:tcPr>
          <w:p w14:paraId="60384997">
            <w:pPr>
              <w:pStyle w:val="185"/>
              <w:spacing w:before="171" w:line="222" w:lineRule="auto"/>
              <w:ind w:left="208"/>
              <w:rPr>
                <w:color w:val="auto"/>
                <w:highlight w:val="none"/>
              </w:rPr>
            </w:pPr>
            <w:r>
              <w:rPr>
                <w:b/>
                <w:bCs/>
                <w:color w:val="auto"/>
                <w:spacing w:val="-6"/>
                <w:highlight w:val="none"/>
              </w:rPr>
              <w:t>响应性</w:t>
            </w:r>
          </w:p>
          <w:p w14:paraId="234C83D2">
            <w:pPr>
              <w:pStyle w:val="185"/>
              <w:spacing w:before="19" w:line="221" w:lineRule="auto"/>
              <w:ind w:left="197"/>
              <w:rPr>
                <w:color w:val="auto"/>
                <w:highlight w:val="none"/>
              </w:rPr>
            </w:pPr>
            <w:r>
              <w:rPr>
                <w:b/>
                <w:bCs/>
                <w:color w:val="auto"/>
                <w:spacing w:val="-4"/>
                <w:highlight w:val="none"/>
              </w:rPr>
              <w:t>评审结</w:t>
            </w:r>
          </w:p>
          <w:p w14:paraId="6E8B919A">
            <w:pPr>
              <w:pStyle w:val="185"/>
              <w:spacing w:before="22" w:line="221" w:lineRule="auto"/>
              <w:ind w:left="413"/>
              <w:rPr>
                <w:color w:val="auto"/>
                <w:highlight w:val="none"/>
              </w:rPr>
            </w:pPr>
            <w:r>
              <w:rPr>
                <w:b/>
                <w:bCs/>
                <w:color w:val="auto"/>
                <w:spacing w:val="-3"/>
                <w:highlight w:val="none"/>
              </w:rPr>
              <w:t>果</w:t>
            </w:r>
          </w:p>
        </w:tc>
        <w:tc>
          <w:tcPr>
            <w:tcW w:w="1185" w:type="dxa"/>
          </w:tcPr>
          <w:p w14:paraId="5F005F14">
            <w:pPr>
              <w:pStyle w:val="185"/>
              <w:spacing w:before="33" w:line="221" w:lineRule="auto"/>
              <w:ind w:left="177"/>
              <w:rPr>
                <w:color w:val="auto"/>
                <w:highlight w:val="none"/>
                <w:lang w:eastAsia="zh-CN"/>
              </w:rPr>
            </w:pPr>
            <w:r>
              <w:rPr>
                <w:b/>
                <w:bCs/>
                <w:color w:val="auto"/>
                <w:spacing w:val="-3"/>
                <w:highlight w:val="none"/>
                <w:lang w:eastAsia="zh-CN"/>
              </w:rPr>
              <w:t>承包人建</w:t>
            </w:r>
          </w:p>
          <w:p w14:paraId="354797C8">
            <w:pPr>
              <w:pStyle w:val="185"/>
              <w:spacing w:before="20" w:line="220" w:lineRule="auto"/>
              <w:ind w:left="179"/>
              <w:rPr>
                <w:color w:val="auto"/>
                <w:highlight w:val="none"/>
                <w:lang w:eastAsia="zh-CN"/>
              </w:rPr>
            </w:pPr>
            <w:r>
              <w:rPr>
                <w:b/>
                <w:bCs/>
                <w:color w:val="auto"/>
                <w:spacing w:val="-4"/>
                <w:highlight w:val="none"/>
                <w:lang w:eastAsia="zh-CN"/>
              </w:rPr>
              <w:t>议书评审</w:t>
            </w:r>
          </w:p>
          <w:p w14:paraId="402E65CC">
            <w:pPr>
              <w:pStyle w:val="185"/>
              <w:spacing w:before="24" w:line="221" w:lineRule="auto"/>
              <w:ind w:left="182"/>
              <w:rPr>
                <w:color w:val="auto"/>
                <w:highlight w:val="none"/>
                <w:lang w:eastAsia="zh-CN"/>
              </w:rPr>
            </w:pPr>
            <w:r>
              <w:rPr>
                <w:b/>
                <w:bCs/>
                <w:color w:val="auto"/>
                <w:spacing w:val="-4"/>
                <w:highlight w:val="none"/>
                <w:lang w:eastAsia="zh-CN"/>
              </w:rPr>
              <w:t>结果（如</w:t>
            </w:r>
          </w:p>
          <w:p w14:paraId="49BD2B0A">
            <w:pPr>
              <w:pStyle w:val="185"/>
              <w:spacing w:before="19" w:line="209" w:lineRule="auto"/>
              <w:ind w:left="389"/>
              <w:rPr>
                <w:color w:val="auto"/>
                <w:highlight w:val="none"/>
              </w:rPr>
            </w:pPr>
            <w:r>
              <w:rPr>
                <w:b/>
                <w:bCs/>
                <w:color w:val="auto"/>
                <w:spacing w:val="-8"/>
                <w:highlight w:val="none"/>
              </w:rPr>
              <w:t>有）</w:t>
            </w:r>
          </w:p>
        </w:tc>
        <w:tc>
          <w:tcPr>
            <w:tcW w:w="1166" w:type="dxa"/>
          </w:tcPr>
          <w:p w14:paraId="3BA698ED">
            <w:pPr>
              <w:pStyle w:val="185"/>
              <w:spacing w:before="34" w:line="217" w:lineRule="auto"/>
              <w:ind w:left="168"/>
              <w:rPr>
                <w:color w:val="auto"/>
                <w:highlight w:val="none"/>
                <w:lang w:eastAsia="zh-CN"/>
              </w:rPr>
            </w:pPr>
            <w:r>
              <w:rPr>
                <w:b/>
                <w:bCs/>
                <w:color w:val="auto"/>
                <w:spacing w:val="-3"/>
                <w:highlight w:val="none"/>
                <w:lang w:eastAsia="zh-CN"/>
              </w:rPr>
              <w:t>承包人实</w:t>
            </w:r>
          </w:p>
          <w:p w14:paraId="12323D77">
            <w:pPr>
              <w:pStyle w:val="185"/>
              <w:spacing w:before="24" w:line="221" w:lineRule="auto"/>
              <w:ind w:left="167"/>
              <w:rPr>
                <w:color w:val="auto"/>
                <w:highlight w:val="none"/>
                <w:lang w:eastAsia="zh-CN"/>
              </w:rPr>
            </w:pPr>
            <w:r>
              <w:rPr>
                <w:b/>
                <w:bCs/>
                <w:color w:val="auto"/>
                <w:spacing w:val="-3"/>
                <w:highlight w:val="none"/>
                <w:lang w:eastAsia="zh-CN"/>
              </w:rPr>
              <w:t>施方案评</w:t>
            </w:r>
          </w:p>
          <w:p w14:paraId="4B01246C">
            <w:pPr>
              <w:pStyle w:val="185"/>
              <w:spacing w:before="22" w:line="221" w:lineRule="auto"/>
              <w:ind w:left="284"/>
              <w:rPr>
                <w:color w:val="auto"/>
                <w:highlight w:val="none"/>
                <w:lang w:eastAsia="zh-CN"/>
              </w:rPr>
            </w:pPr>
            <w:r>
              <w:rPr>
                <w:b/>
                <w:bCs/>
                <w:color w:val="auto"/>
                <w:spacing w:val="-6"/>
                <w:highlight w:val="none"/>
                <w:lang w:eastAsia="zh-CN"/>
              </w:rPr>
              <w:t>审结果</w:t>
            </w:r>
          </w:p>
          <w:p w14:paraId="04B7A947">
            <w:pPr>
              <w:pStyle w:val="185"/>
              <w:spacing w:before="19" w:line="209" w:lineRule="auto"/>
              <w:ind w:left="174"/>
              <w:rPr>
                <w:color w:val="auto"/>
                <w:highlight w:val="none"/>
              </w:rPr>
            </w:pPr>
            <w:r>
              <w:rPr>
                <w:b/>
                <w:bCs/>
                <w:color w:val="auto"/>
                <w:spacing w:val="-7"/>
                <w:highlight w:val="none"/>
              </w:rPr>
              <w:t>（如有）</w:t>
            </w:r>
          </w:p>
        </w:tc>
        <w:tc>
          <w:tcPr>
            <w:tcW w:w="852" w:type="dxa"/>
          </w:tcPr>
          <w:p w14:paraId="736E100D">
            <w:pPr>
              <w:pStyle w:val="185"/>
              <w:spacing w:before="306" w:line="242" w:lineRule="auto"/>
              <w:ind w:left="381" w:right="52" w:hanging="210"/>
              <w:rPr>
                <w:color w:val="auto"/>
                <w:highlight w:val="none"/>
              </w:rPr>
            </w:pPr>
            <w:r>
              <w:rPr>
                <w:b/>
                <w:bCs/>
                <w:color w:val="auto"/>
                <w:spacing w:val="-5"/>
                <w:highlight w:val="none"/>
              </w:rPr>
              <w:t>投标报</w:t>
            </w:r>
            <w:r>
              <w:rPr>
                <w:b/>
                <w:bCs/>
                <w:color w:val="auto"/>
                <w:spacing w:val="-3"/>
                <w:highlight w:val="none"/>
              </w:rPr>
              <w:t>价</w:t>
            </w:r>
          </w:p>
        </w:tc>
        <w:tc>
          <w:tcPr>
            <w:tcW w:w="996" w:type="dxa"/>
          </w:tcPr>
          <w:p w14:paraId="0EF00004">
            <w:pPr>
              <w:spacing w:line="372" w:lineRule="auto"/>
              <w:rPr>
                <w:rFonts w:ascii="Arial"/>
                <w:color w:val="auto"/>
                <w:highlight w:val="none"/>
              </w:rPr>
            </w:pPr>
          </w:p>
          <w:p w14:paraId="294C2DC4">
            <w:pPr>
              <w:pStyle w:val="185"/>
              <w:spacing w:before="69" w:line="221" w:lineRule="auto"/>
              <w:ind w:right="17"/>
              <w:jc w:val="right"/>
              <w:rPr>
                <w:color w:val="auto"/>
                <w:highlight w:val="none"/>
              </w:rPr>
            </w:pPr>
            <w:r>
              <w:rPr>
                <w:b/>
                <w:bCs/>
                <w:color w:val="auto"/>
                <w:spacing w:val="-3"/>
                <w:highlight w:val="none"/>
              </w:rPr>
              <w:t>评审结论</w:t>
            </w:r>
          </w:p>
        </w:tc>
      </w:tr>
      <w:tr w14:paraId="53471A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609" w:type="dxa"/>
          </w:tcPr>
          <w:p w14:paraId="7DBAA3F2">
            <w:pPr>
              <w:spacing w:before="130" w:line="278" w:lineRule="exact"/>
              <w:ind w:left="268"/>
              <w:rPr>
                <w:rFonts w:ascii="黑体" w:hAnsi="黑体" w:eastAsia="黑体" w:cs="黑体"/>
                <w:color w:val="auto"/>
                <w:szCs w:val="21"/>
                <w:highlight w:val="none"/>
              </w:rPr>
            </w:pPr>
            <w:r>
              <w:rPr>
                <w:rFonts w:ascii="黑体" w:hAnsi="黑体" w:eastAsia="黑体" w:cs="黑体"/>
                <w:color w:val="auto"/>
                <w:position w:val="1"/>
                <w:szCs w:val="21"/>
                <w:highlight w:val="none"/>
              </w:rPr>
              <w:t>1</w:t>
            </w:r>
          </w:p>
        </w:tc>
        <w:tc>
          <w:tcPr>
            <w:tcW w:w="940" w:type="dxa"/>
          </w:tcPr>
          <w:p w14:paraId="392B1DA5">
            <w:pPr>
              <w:rPr>
                <w:rFonts w:ascii="Arial"/>
                <w:color w:val="auto"/>
                <w:highlight w:val="none"/>
              </w:rPr>
            </w:pPr>
          </w:p>
        </w:tc>
        <w:tc>
          <w:tcPr>
            <w:tcW w:w="943" w:type="dxa"/>
          </w:tcPr>
          <w:p w14:paraId="0570FE4D">
            <w:pPr>
              <w:rPr>
                <w:rFonts w:ascii="Arial"/>
                <w:color w:val="auto"/>
                <w:highlight w:val="none"/>
              </w:rPr>
            </w:pPr>
          </w:p>
        </w:tc>
        <w:tc>
          <w:tcPr>
            <w:tcW w:w="940" w:type="dxa"/>
          </w:tcPr>
          <w:p w14:paraId="4EFC394F">
            <w:pPr>
              <w:rPr>
                <w:rFonts w:ascii="Arial"/>
                <w:color w:val="auto"/>
                <w:highlight w:val="none"/>
              </w:rPr>
            </w:pPr>
          </w:p>
        </w:tc>
        <w:tc>
          <w:tcPr>
            <w:tcW w:w="1017" w:type="dxa"/>
          </w:tcPr>
          <w:p w14:paraId="126614B9">
            <w:pPr>
              <w:rPr>
                <w:rFonts w:ascii="Arial"/>
                <w:color w:val="auto"/>
                <w:highlight w:val="none"/>
              </w:rPr>
            </w:pPr>
          </w:p>
        </w:tc>
        <w:tc>
          <w:tcPr>
            <w:tcW w:w="1185" w:type="dxa"/>
          </w:tcPr>
          <w:p w14:paraId="6F03D223">
            <w:pPr>
              <w:rPr>
                <w:rFonts w:ascii="Arial"/>
                <w:color w:val="auto"/>
                <w:highlight w:val="none"/>
              </w:rPr>
            </w:pPr>
          </w:p>
        </w:tc>
        <w:tc>
          <w:tcPr>
            <w:tcW w:w="1166" w:type="dxa"/>
          </w:tcPr>
          <w:p w14:paraId="6EA5F421">
            <w:pPr>
              <w:rPr>
                <w:rFonts w:ascii="Arial"/>
                <w:color w:val="auto"/>
                <w:highlight w:val="none"/>
              </w:rPr>
            </w:pPr>
          </w:p>
        </w:tc>
        <w:tc>
          <w:tcPr>
            <w:tcW w:w="852" w:type="dxa"/>
          </w:tcPr>
          <w:p w14:paraId="2432CEE3">
            <w:pPr>
              <w:rPr>
                <w:rFonts w:ascii="Arial"/>
                <w:color w:val="auto"/>
                <w:highlight w:val="none"/>
              </w:rPr>
            </w:pPr>
          </w:p>
        </w:tc>
        <w:tc>
          <w:tcPr>
            <w:tcW w:w="996" w:type="dxa"/>
          </w:tcPr>
          <w:p w14:paraId="6F869275">
            <w:pPr>
              <w:rPr>
                <w:rFonts w:ascii="Arial"/>
                <w:color w:val="auto"/>
                <w:highlight w:val="none"/>
              </w:rPr>
            </w:pPr>
          </w:p>
        </w:tc>
      </w:tr>
      <w:tr w14:paraId="1DEE4A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609" w:type="dxa"/>
          </w:tcPr>
          <w:p w14:paraId="62004641">
            <w:pPr>
              <w:spacing w:before="131" w:line="277" w:lineRule="exact"/>
              <w:ind w:left="255"/>
              <w:rPr>
                <w:rFonts w:ascii="黑体" w:hAnsi="黑体" w:eastAsia="黑体" w:cs="黑体"/>
                <w:color w:val="auto"/>
                <w:szCs w:val="21"/>
                <w:highlight w:val="none"/>
              </w:rPr>
            </w:pPr>
            <w:r>
              <w:rPr>
                <w:rFonts w:ascii="黑体" w:hAnsi="黑体" w:eastAsia="黑体" w:cs="黑体"/>
                <w:color w:val="auto"/>
                <w:position w:val="1"/>
                <w:szCs w:val="21"/>
                <w:highlight w:val="none"/>
              </w:rPr>
              <w:t>2</w:t>
            </w:r>
          </w:p>
        </w:tc>
        <w:tc>
          <w:tcPr>
            <w:tcW w:w="940" w:type="dxa"/>
          </w:tcPr>
          <w:p w14:paraId="48CDB307">
            <w:pPr>
              <w:rPr>
                <w:rFonts w:ascii="Arial"/>
                <w:color w:val="auto"/>
                <w:highlight w:val="none"/>
              </w:rPr>
            </w:pPr>
          </w:p>
        </w:tc>
        <w:tc>
          <w:tcPr>
            <w:tcW w:w="943" w:type="dxa"/>
          </w:tcPr>
          <w:p w14:paraId="1F7FDAD7">
            <w:pPr>
              <w:rPr>
                <w:rFonts w:ascii="Arial"/>
                <w:color w:val="auto"/>
                <w:highlight w:val="none"/>
              </w:rPr>
            </w:pPr>
          </w:p>
        </w:tc>
        <w:tc>
          <w:tcPr>
            <w:tcW w:w="940" w:type="dxa"/>
          </w:tcPr>
          <w:p w14:paraId="4C3324BF">
            <w:pPr>
              <w:rPr>
                <w:rFonts w:ascii="Arial"/>
                <w:color w:val="auto"/>
                <w:highlight w:val="none"/>
              </w:rPr>
            </w:pPr>
          </w:p>
        </w:tc>
        <w:tc>
          <w:tcPr>
            <w:tcW w:w="1017" w:type="dxa"/>
          </w:tcPr>
          <w:p w14:paraId="7CB3B1A4">
            <w:pPr>
              <w:rPr>
                <w:rFonts w:ascii="Arial"/>
                <w:color w:val="auto"/>
                <w:highlight w:val="none"/>
              </w:rPr>
            </w:pPr>
          </w:p>
        </w:tc>
        <w:tc>
          <w:tcPr>
            <w:tcW w:w="1185" w:type="dxa"/>
          </w:tcPr>
          <w:p w14:paraId="3CDE7935">
            <w:pPr>
              <w:rPr>
                <w:rFonts w:ascii="Arial"/>
                <w:color w:val="auto"/>
                <w:highlight w:val="none"/>
              </w:rPr>
            </w:pPr>
          </w:p>
        </w:tc>
        <w:tc>
          <w:tcPr>
            <w:tcW w:w="1166" w:type="dxa"/>
          </w:tcPr>
          <w:p w14:paraId="5BC527D8">
            <w:pPr>
              <w:rPr>
                <w:rFonts w:ascii="Arial"/>
                <w:color w:val="auto"/>
                <w:highlight w:val="none"/>
              </w:rPr>
            </w:pPr>
          </w:p>
        </w:tc>
        <w:tc>
          <w:tcPr>
            <w:tcW w:w="852" w:type="dxa"/>
          </w:tcPr>
          <w:p w14:paraId="3A4ADB02">
            <w:pPr>
              <w:rPr>
                <w:rFonts w:ascii="Arial"/>
                <w:color w:val="auto"/>
                <w:highlight w:val="none"/>
              </w:rPr>
            </w:pPr>
          </w:p>
        </w:tc>
        <w:tc>
          <w:tcPr>
            <w:tcW w:w="996" w:type="dxa"/>
          </w:tcPr>
          <w:p w14:paraId="196D6FA5">
            <w:pPr>
              <w:rPr>
                <w:rFonts w:ascii="Arial"/>
                <w:color w:val="auto"/>
                <w:highlight w:val="none"/>
              </w:rPr>
            </w:pPr>
          </w:p>
        </w:tc>
      </w:tr>
      <w:tr w14:paraId="0070B7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609" w:type="dxa"/>
          </w:tcPr>
          <w:p w14:paraId="5CF82323">
            <w:pPr>
              <w:spacing w:before="133" w:line="241" w:lineRule="auto"/>
              <w:ind w:left="257"/>
              <w:rPr>
                <w:rFonts w:ascii="黑体" w:hAnsi="黑体" w:eastAsia="黑体" w:cs="黑体"/>
                <w:color w:val="auto"/>
                <w:szCs w:val="21"/>
                <w:highlight w:val="none"/>
              </w:rPr>
            </w:pPr>
            <w:r>
              <w:rPr>
                <w:rFonts w:ascii="黑体" w:hAnsi="黑体" w:eastAsia="黑体" w:cs="黑体"/>
                <w:color w:val="auto"/>
                <w:szCs w:val="21"/>
                <w:highlight w:val="none"/>
              </w:rPr>
              <w:t>3</w:t>
            </w:r>
          </w:p>
        </w:tc>
        <w:tc>
          <w:tcPr>
            <w:tcW w:w="940" w:type="dxa"/>
          </w:tcPr>
          <w:p w14:paraId="149DF4B9">
            <w:pPr>
              <w:rPr>
                <w:rFonts w:ascii="Arial"/>
                <w:color w:val="auto"/>
                <w:highlight w:val="none"/>
              </w:rPr>
            </w:pPr>
          </w:p>
        </w:tc>
        <w:tc>
          <w:tcPr>
            <w:tcW w:w="943" w:type="dxa"/>
          </w:tcPr>
          <w:p w14:paraId="22501AE8">
            <w:pPr>
              <w:rPr>
                <w:rFonts w:ascii="Arial"/>
                <w:color w:val="auto"/>
                <w:highlight w:val="none"/>
              </w:rPr>
            </w:pPr>
          </w:p>
        </w:tc>
        <w:tc>
          <w:tcPr>
            <w:tcW w:w="940" w:type="dxa"/>
          </w:tcPr>
          <w:p w14:paraId="48311606">
            <w:pPr>
              <w:rPr>
                <w:rFonts w:ascii="Arial"/>
                <w:color w:val="auto"/>
                <w:highlight w:val="none"/>
              </w:rPr>
            </w:pPr>
          </w:p>
        </w:tc>
        <w:tc>
          <w:tcPr>
            <w:tcW w:w="1017" w:type="dxa"/>
          </w:tcPr>
          <w:p w14:paraId="797AA0EC">
            <w:pPr>
              <w:rPr>
                <w:rFonts w:ascii="Arial"/>
                <w:color w:val="auto"/>
                <w:highlight w:val="none"/>
              </w:rPr>
            </w:pPr>
          </w:p>
        </w:tc>
        <w:tc>
          <w:tcPr>
            <w:tcW w:w="1185" w:type="dxa"/>
          </w:tcPr>
          <w:p w14:paraId="281F55EB">
            <w:pPr>
              <w:rPr>
                <w:rFonts w:ascii="Arial"/>
                <w:color w:val="auto"/>
                <w:highlight w:val="none"/>
              </w:rPr>
            </w:pPr>
          </w:p>
        </w:tc>
        <w:tc>
          <w:tcPr>
            <w:tcW w:w="1166" w:type="dxa"/>
          </w:tcPr>
          <w:p w14:paraId="0BC8BCE3">
            <w:pPr>
              <w:rPr>
                <w:rFonts w:ascii="Arial"/>
                <w:color w:val="auto"/>
                <w:highlight w:val="none"/>
              </w:rPr>
            </w:pPr>
          </w:p>
        </w:tc>
        <w:tc>
          <w:tcPr>
            <w:tcW w:w="852" w:type="dxa"/>
          </w:tcPr>
          <w:p w14:paraId="226CCB42">
            <w:pPr>
              <w:rPr>
                <w:rFonts w:ascii="Arial"/>
                <w:color w:val="auto"/>
                <w:highlight w:val="none"/>
              </w:rPr>
            </w:pPr>
          </w:p>
        </w:tc>
        <w:tc>
          <w:tcPr>
            <w:tcW w:w="996" w:type="dxa"/>
          </w:tcPr>
          <w:p w14:paraId="28EB935E">
            <w:pPr>
              <w:rPr>
                <w:rFonts w:ascii="Arial"/>
                <w:color w:val="auto"/>
                <w:highlight w:val="none"/>
              </w:rPr>
            </w:pPr>
          </w:p>
        </w:tc>
      </w:tr>
      <w:tr w14:paraId="5A6566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609" w:type="dxa"/>
          </w:tcPr>
          <w:p w14:paraId="723F2D4E">
            <w:pPr>
              <w:spacing w:before="133" w:line="277" w:lineRule="exact"/>
              <w:ind w:left="251"/>
              <w:rPr>
                <w:rFonts w:ascii="黑体" w:hAnsi="黑体" w:eastAsia="黑体" w:cs="黑体"/>
                <w:color w:val="auto"/>
                <w:szCs w:val="21"/>
                <w:highlight w:val="none"/>
              </w:rPr>
            </w:pPr>
            <w:r>
              <w:rPr>
                <w:rFonts w:ascii="黑体" w:hAnsi="黑体" w:eastAsia="黑体" w:cs="黑体"/>
                <w:color w:val="auto"/>
                <w:position w:val="1"/>
                <w:szCs w:val="21"/>
                <w:highlight w:val="none"/>
              </w:rPr>
              <w:t>4</w:t>
            </w:r>
          </w:p>
        </w:tc>
        <w:tc>
          <w:tcPr>
            <w:tcW w:w="940" w:type="dxa"/>
          </w:tcPr>
          <w:p w14:paraId="363FE875">
            <w:pPr>
              <w:rPr>
                <w:rFonts w:ascii="Arial"/>
                <w:color w:val="auto"/>
                <w:highlight w:val="none"/>
              </w:rPr>
            </w:pPr>
          </w:p>
        </w:tc>
        <w:tc>
          <w:tcPr>
            <w:tcW w:w="943" w:type="dxa"/>
          </w:tcPr>
          <w:p w14:paraId="13BA61E3">
            <w:pPr>
              <w:rPr>
                <w:rFonts w:ascii="Arial"/>
                <w:color w:val="auto"/>
                <w:highlight w:val="none"/>
              </w:rPr>
            </w:pPr>
          </w:p>
        </w:tc>
        <w:tc>
          <w:tcPr>
            <w:tcW w:w="940" w:type="dxa"/>
          </w:tcPr>
          <w:p w14:paraId="5C1DF01F">
            <w:pPr>
              <w:rPr>
                <w:rFonts w:ascii="Arial"/>
                <w:color w:val="auto"/>
                <w:highlight w:val="none"/>
              </w:rPr>
            </w:pPr>
          </w:p>
        </w:tc>
        <w:tc>
          <w:tcPr>
            <w:tcW w:w="1017" w:type="dxa"/>
          </w:tcPr>
          <w:p w14:paraId="5E89D162">
            <w:pPr>
              <w:rPr>
                <w:rFonts w:ascii="Arial"/>
                <w:color w:val="auto"/>
                <w:highlight w:val="none"/>
              </w:rPr>
            </w:pPr>
          </w:p>
        </w:tc>
        <w:tc>
          <w:tcPr>
            <w:tcW w:w="1185" w:type="dxa"/>
          </w:tcPr>
          <w:p w14:paraId="3E3639E0">
            <w:pPr>
              <w:rPr>
                <w:rFonts w:ascii="Arial"/>
                <w:color w:val="auto"/>
                <w:highlight w:val="none"/>
              </w:rPr>
            </w:pPr>
          </w:p>
        </w:tc>
        <w:tc>
          <w:tcPr>
            <w:tcW w:w="1166" w:type="dxa"/>
          </w:tcPr>
          <w:p w14:paraId="3C422315">
            <w:pPr>
              <w:rPr>
                <w:rFonts w:ascii="Arial"/>
                <w:color w:val="auto"/>
                <w:highlight w:val="none"/>
              </w:rPr>
            </w:pPr>
          </w:p>
        </w:tc>
        <w:tc>
          <w:tcPr>
            <w:tcW w:w="852" w:type="dxa"/>
          </w:tcPr>
          <w:p w14:paraId="23AA9FCF">
            <w:pPr>
              <w:rPr>
                <w:rFonts w:ascii="Arial"/>
                <w:color w:val="auto"/>
                <w:highlight w:val="none"/>
              </w:rPr>
            </w:pPr>
          </w:p>
        </w:tc>
        <w:tc>
          <w:tcPr>
            <w:tcW w:w="996" w:type="dxa"/>
          </w:tcPr>
          <w:p w14:paraId="6465D204">
            <w:pPr>
              <w:rPr>
                <w:rFonts w:ascii="Arial"/>
                <w:color w:val="auto"/>
                <w:highlight w:val="none"/>
              </w:rPr>
            </w:pPr>
          </w:p>
        </w:tc>
      </w:tr>
      <w:tr w14:paraId="41B5DD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609" w:type="dxa"/>
          </w:tcPr>
          <w:p w14:paraId="32893371">
            <w:pPr>
              <w:spacing w:before="132" w:line="241" w:lineRule="auto"/>
              <w:ind w:left="252"/>
              <w:rPr>
                <w:rFonts w:ascii="黑体" w:hAnsi="黑体" w:eastAsia="黑体" w:cs="黑体"/>
                <w:color w:val="auto"/>
                <w:szCs w:val="21"/>
                <w:highlight w:val="none"/>
              </w:rPr>
            </w:pPr>
            <w:r>
              <w:rPr>
                <w:rFonts w:ascii="黑体" w:hAnsi="黑体" w:eastAsia="黑体" w:cs="黑体"/>
                <w:color w:val="auto"/>
                <w:szCs w:val="21"/>
                <w:highlight w:val="none"/>
              </w:rPr>
              <w:t>5</w:t>
            </w:r>
          </w:p>
        </w:tc>
        <w:tc>
          <w:tcPr>
            <w:tcW w:w="940" w:type="dxa"/>
          </w:tcPr>
          <w:p w14:paraId="3E774774">
            <w:pPr>
              <w:rPr>
                <w:rFonts w:ascii="Arial"/>
                <w:color w:val="auto"/>
                <w:highlight w:val="none"/>
              </w:rPr>
            </w:pPr>
          </w:p>
        </w:tc>
        <w:tc>
          <w:tcPr>
            <w:tcW w:w="943" w:type="dxa"/>
          </w:tcPr>
          <w:p w14:paraId="3C84C720">
            <w:pPr>
              <w:rPr>
                <w:rFonts w:ascii="Arial"/>
                <w:color w:val="auto"/>
                <w:highlight w:val="none"/>
              </w:rPr>
            </w:pPr>
          </w:p>
        </w:tc>
        <w:tc>
          <w:tcPr>
            <w:tcW w:w="940" w:type="dxa"/>
          </w:tcPr>
          <w:p w14:paraId="5F2FEEC0">
            <w:pPr>
              <w:rPr>
                <w:rFonts w:ascii="Arial"/>
                <w:color w:val="auto"/>
                <w:highlight w:val="none"/>
              </w:rPr>
            </w:pPr>
          </w:p>
        </w:tc>
        <w:tc>
          <w:tcPr>
            <w:tcW w:w="1017" w:type="dxa"/>
          </w:tcPr>
          <w:p w14:paraId="3B59DA96">
            <w:pPr>
              <w:rPr>
                <w:rFonts w:ascii="Arial"/>
                <w:color w:val="auto"/>
                <w:highlight w:val="none"/>
              </w:rPr>
            </w:pPr>
          </w:p>
        </w:tc>
        <w:tc>
          <w:tcPr>
            <w:tcW w:w="1185" w:type="dxa"/>
          </w:tcPr>
          <w:p w14:paraId="64C1164E">
            <w:pPr>
              <w:rPr>
                <w:rFonts w:ascii="Arial"/>
                <w:color w:val="auto"/>
                <w:highlight w:val="none"/>
              </w:rPr>
            </w:pPr>
          </w:p>
        </w:tc>
        <w:tc>
          <w:tcPr>
            <w:tcW w:w="1166" w:type="dxa"/>
          </w:tcPr>
          <w:p w14:paraId="6F862E7F">
            <w:pPr>
              <w:rPr>
                <w:rFonts w:ascii="Arial"/>
                <w:color w:val="auto"/>
                <w:highlight w:val="none"/>
              </w:rPr>
            </w:pPr>
          </w:p>
        </w:tc>
        <w:tc>
          <w:tcPr>
            <w:tcW w:w="852" w:type="dxa"/>
          </w:tcPr>
          <w:p w14:paraId="091227C9">
            <w:pPr>
              <w:rPr>
                <w:rFonts w:ascii="Arial"/>
                <w:color w:val="auto"/>
                <w:highlight w:val="none"/>
              </w:rPr>
            </w:pPr>
          </w:p>
        </w:tc>
        <w:tc>
          <w:tcPr>
            <w:tcW w:w="996" w:type="dxa"/>
          </w:tcPr>
          <w:p w14:paraId="3921C0E1">
            <w:pPr>
              <w:rPr>
                <w:rFonts w:ascii="Arial"/>
                <w:color w:val="auto"/>
                <w:highlight w:val="none"/>
              </w:rPr>
            </w:pPr>
          </w:p>
        </w:tc>
      </w:tr>
      <w:tr w14:paraId="3D31E9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609" w:type="dxa"/>
          </w:tcPr>
          <w:p w14:paraId="7501C839">
            <w:pPr>
              <w:spacing w:before="136" w:line="332" w:lineRule="exact"/>
              <w:ind w:left="216"/>
              <w:rPr>
                <w:rFonts w:ascii="黑体" w:hAnsi="黑体" w:eastAsia="黑体" w:cs="黑体"/>
                <w:color w:val="auto"/>
                <w:szCs w:val="21"/>
                <w:highlight w:val="none"/>
              </w:rPr>
            </w:pPr>
            <w:r>
              <w:rPr>
                <w:rFonts w:ascii="黑体" w:hAnsi="黑体" w:eastAsia="黑体" w:cs="黑体"/>
                <w:color w:val="auto"/>
                <w:position w:val="2"/>
                <w:szCs w:val="21"/>
                <w:highlight w:val="none"/>
              </w:rPr>
              <w:t>…</w:t>
            </w:r>
          </w:p>
        </w:tc>
        <w:tc>
          <w:tcPr>
            <w:tcW w:w="940" w:type="dxa"/>
          </w:tcPr>
          <w:p w14:paraId="696FE020">
            <w:pPr>
              <w:rPr>
                <w:rFonts w:ascii="Arial"/>
                <w:color w:val="auto"/>
                <w:highlight w:val="none"/>
              </w:rPr>
            </w:pPr>
          </w:p>
        </w:tc>
        <w:tc>
          <w:tcPr>
            <w:tcW w:w="943" w:type="dxa"/>
          </w:tcPr>
          <w:p w14:paraId="58A0F11F">
            <w:pPr>
              <w:rPr>
                <w:rFonts w:ascii="Arial"/>
                <w:color w:val="auto"/>
                <w:highlight w:val="none"/>
              </w:rPr>
            </w:pPr>
          </w:p>
        </w:tc>
        <w:tc>
          <w:tcPr>
            <w:tcW w:w="940" w:type="dxa"/>
          </w:tcPr>
          <w:p w14:paraId="4C21B553">
            <w:pPr>
              <w:rPr>
                <w:rFonts w:ascii="Arial"/>
                <w:color w:val="auto"/>
                <w:highlight w:val="none"/>
              </w:rPr>
            </w:pPr>
          </w:p>
        </w:tc>
        <w:tc>
          <w:tcPr>
            <w:tcW w:w="1017" w:type="dxa"/>
          </w:tcPr>
          <w:p w14:paraId="2B860A9F">
            <w:pPr>
              <w:rPr>
                <w:rFonts w:ascii="Arial"/>
                <w:color w:val="auto"/>
                <w:highlight w:val="none"/>
              </w:rPr>
            </w:pPr>
          </w:p>
        </w:tc>
        <w:tc>
          <w:tcPr>
            <w:tcW w:w="1185" w:type="dxa"/>
          </w:tcPr>
          <w:p w14:paraId="01F65A01">
            <w:pPr>
              <w:rPr>
                <w:rFonts w:ascii="Arial"/>
                <w:color w:val="auto"/>
                <w:highlight w:val="none"/>
              </w:rPr>
            </w:pPr>
          </w:p>
        </w:tc>
        <w:tc>
          <w:tcPr>
            <w:tcW w:w="1166" w:type="dxa"/>
          </w:tcPr>
          <w:p w14:paraId="4D2F59A0">
            <w:pPr>
              <w:rPr>
                <w:rFonts w:ascii="Arial"/>
                <w:color w:val="auto"/>
                <w:highlight w:val="none"/>
              </w:rPr>
            </w:pPr>
          </w:p>
        </w:tc>
        <w:tc>
          <w:tcPr>
            <w:tcW w:w="852" w:type="dxa"/>
          </w:tcPr>
          <w:p w14:paraId="13DAC29A">
            <w:pPr>
              <w:rPr>
                <w:rFonts w:ascii="Arial"/>
                <w:color w:val="auto"/>
                <w:highlight w:val="none"/>
              </w:rPr>
            </w:pPr>
          </w:p>
        </w:tc>
        <w:tc>
          <w:tcPr>
            <w:tcW w:w="996" w:type="dxa"/>
          </w:tcPr>
          <w:p w14:paraId="7E98F65F">
            <w:pPr>
              <w:rPr>
                <w:rFonts w:ascii="Arial"/>
                <w:color w:val="auto"/>
                <w:highlight w:val="none"/>
              </w:rPr>
            </w:pPr>
          </w:p>
        </w:tc>
      </w:tr>
      <w:tr w14:paraId="10AD1B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8648" w:type="dxa"/>
            <w:gridSpan w:val="9"/>
          </w:tcPr>
          <w:p w14:paraId="211C556A">
            <w:pPr>
              <w:pStyle w:val="185"/>
              <w:spacing w:before="33" w:line="220" w:lineRule="auto"/>
              <w:ind w:left="115"/>
              <w:rPr>
                <w:color w:val="auto"/>
                <w:highlight w:val="none"/>
                <w:lang w:eastAsia="zh-CN"/>
              </w:rPr>
            </w:pPr>
            <w:r>
              <w:rPr>
                <w:color w:val="auto"/>
                <w:spacing w:val="-1"/>
                <w:highlight w:val="none"/>
                <w:lang w:eastAsia="zh-CN"/>
              </w:rPr>
              <w:t>评标委员会全体成员签名：</w:t>
            </w:r>
          </w:p>
        </w:tc>
      </w:tr>
    </w:tbl>
    <w:p w14:paraId="10FA2A24">
      <w:pPr>
        <w:spacing w:before="303" w:line="221" w:lineRule="auto"/>
        <w:ind w:left="5846"/>
        <w:rPr>
          <w:rFonts w:ascii="宋体" w:hAnsi="宋体" w:cs="宋体"/>
          <w:color w:val="auto"/>
          <w:szCs w:val="21"/>
          <w:highlight w:val="none"/>
        </w:rPr>
      </w:pPr>
      <w:r>
        <w:rPr>
          <w:rFonts w:ascii="宋体" w:hAnsi="宋体" w:cs="宋体"/>
          <w:color w:val="auto"/>
          <w:spacing w:val="-11"/>
          <w:szCs w:val="21"/>
          <w:highlight w:val="none"/>
        </w:rPr>
        <w:t>日期：</w:t>
      </w:r>
      <w:r>
        <w:rPr>
          <w:rFonts w:hint="eastAsia" w:ascii="宋体" w:hAnsi="宋体" w:cs="宋体"/>
          <w:color w:val="auto"/>
          <w:spacing w:val="-11"/>
          <w:szCs w:val="21"/>
          <w:highlight w:val="none"/>
          <w:lang w:val="en-US" w:eastAsia="zh-CN"/>
        </w:rPr>
        <w:t xml:space="preserve">    </w:t>
      </w:r>
      <w:r>
        <w:rPr>
          <w:rFonts w:ascii="宋体" w:hAnsi="宋体" w:cs="宋体"/>
          <w:color w:val="auto"/>
          <w:spacing w:val="-11"/>
          <w:szCs w:val="21"/>
          <w:highlight w:val="none"/>
        </w:rPr>
        <w:t>年</w:t>
      </w:r>
      <w:r>
        <w:rPr>
          <w:rFonts w:hint="eastAsia" w:ascii="宋体" w:hAnsi="宋体" w:cs="宋体"/>
          <w:color w:val="auto"/>
          <w:spacing w:val="-11"/>
          <w:szCs w:val="21"/>
          <w:highlight w:val="none"/>
          <w:lang w:val="en-US" w:eastAsia="zh-CN"/>
        </w:rPr>
        <w:t xml:space="preserve">    </w:t>
      </w:r>
      <w:r>
        <w:rPr>
          <w:rFonts w:ascii="宋体" w:hAnsi="宋体" w:cs="宋体"/>
          <w:color w:val="auto"/>
          <w:spacing w:val="-11"/>
          <w:szCs w:val="21"/>
          <w:highlight w:val="none"/>
        </w:rPr>
        <w:t>月</w:t>
      </w:r>
      <w:r>
        <w:rPr>
          <w:rFonts w:hint="eastAsia" w:ascii="宋体" w:hAnsi="宋体" w:cs="宋体"/>
          <w:color w:val="auto"/>
          <w:spacing w:val="-11"/>
          <w:szCs w:val="21"/>
          <w:highlight w:val="none"/>
          <w:lang w:val="en-US" w:eastAsia="zh-CN"/>
        </w:rPr>
        <w:t xml:space="preserve">    </w:t>
      </w:r>
      <w:r>
        <w:rPr>
          <w:rFonts w:ascii="宋体" w:hAnsi="宋体" w:cs="宋体"/>
          <w:color w:val="auto"/>
          <w:spacing w:val="-11"/>
          <w:szCs w:val="21"/>
          <w:highlight w:val="none"/>
        </w:rPr>
        <w:t>日</w:t>
      </w:r>
    </w:p>
    <w:p w14:paraId="719DEA76">
      <w:pPr>
        <w:spacing w:line="221" w:lineRule="auto"/>
        <w:rPr>
          <w:rFonts w:ascii="宋体" w:hAnsi="宋体" w:cs="宋体"/>
          <w:color w:val="auto"/>
          <w:szCs w:val="21"/>
          <w:highlight w:val="none"/>
        </w:rPr>
        <w:sectPr>
          <w:headerReference r:id="rId28" w:type="default"/>
          <w:footerReference r:id="rId29" w:type="default"/>
          <w:pgSz w:w="11907" w:h="16839"/>
          <w:pgMar w:top="400" w:right="1454" w:bottom="1030" w:left="1785" w:header="0" w:footer="799" w:gutter="0"/>
          <w:pgNumType w:fmt="decimal"/>
          <w:cols w:space="720" w:num="1"/>
        </w:sectPr>
      </w:pPr>
    </w:p>
    <w:p w14:paraId="0CCF5EFE">
      <w:pPr>
        <w:pStyle w:val="17"/>
        <w:spacing w:line="268" w:lineRule="auto"/>
        <w:rPr>
          <w:color w:val="auto"/>
          <w:highlight w:val="none"/>
        </w:rPr>
      </w:pPr>
    </w:p>
    <w:p w14:paraId="4A1DB632">
      <w:pPr>
        <w:spacing w:before="78" w:line="218" w:lineRule="auto"/>
        <w:ind w:left="209"/>
        <w:outlineLvl w:val="2"/>
        <w:rPr>
          <w:rFonts w:ascii="黑体" w:hAnsi="黑体" w:eastAsia="黑体" w:cs="黑体"/>
          <w:color w:val="auto"/>
          <w:sz w:val="24"/>
          <w:highlight w:val="none"/>
        </w:rPr>
      </w:pPr>
      <w:bookmarkStart w:id="289" w:name="bookmark416"/>
      <w:bookmarkEnd w:id="289"/>
      <w:bookmarkStart w:id="290" w:name="_Toc18554"/>
      <w:r>
        <w:rPr>
          <w:rFonts w:ascii="黑体" w:hAnsi="黑体" w:eastAsia="黑体" w:cs="黑体"/>
          <w:color w:val="auto"/>
          <w:spacing w:val="-4"/>
          <w:sz w:val="24"/>
          <w:highlight w:val="none"/>
        </w:rPr>
        <w:t>附表A-9：否决投标的情况说明</w:t>
      </w:r>
      <w:bookmarkEnd w:id="290"/>
    </w:p>
    <w:p w14:paraId="3AD3F1FC">
      <w:pPr>
        <w:pStyle w:val="17"/>
        <w:spacing w:line="315" w:lineRule="auto"/>
        <w:rPr>
          <w:color w:val="auto"/>
          <w:highlight w:val="none"/>
        </w:rPr>
      </w:pPr>
    </w:p>
    <w:p w14:paraId="2E2F7717">
      <w:pPr>
        <w:pStyle w:val="17"/>
        <w:spacing w:line="315" w:lineRule="auto"/>
        <w:rPr>
          <w:color w:val="auto"/>
          <w:highlight w:val="none"/>
        </w:rPr>
      </w:pPr>
    </w:p>
    <w:p w14:paraId="616F766F">
      <w:pPr>
        <w:spacing w:before="117" w:line="218" w:lineRule="auto"/>
        <w:ind w:left="2618"/>
        <w:rPr>
          <w:rFonts w:ascii="黑体" w:hAnsi="黑体" w:eastAsia="黑体" w:cs="黑体"/>
          <w:color w:val="auto"/>
          <w:sz w:val="36"/>
          <w:szCs w:val="36"/>
          <w:highlight w:val="none"/>
        </w:rPr>
      </w:pPr>
      <w:bookmarkStart w:id="291" w:name="bookmark139"/>
      <w:bookmarkEnd w:id="291"/>
      <w:r>
        <w:rPr>
          <w:rFonts w:ascii="黑体" w:hAnsi="黑体" w:eastAsia="黑体" w:cs="黑体"/>
          <w:color w:val="auto"/>
          <w:spacing w:val="-2"/>
          <w:sz w:val="36"/>
          <w:szCs w:val="36"/>
          <w:highlight w:val="none"/>
        </w:rPr>
        <w:t>否决投标的情况说明</w:t>
      </w:r>
    </w:p>
    <w:p w14:paraId="783D2EEA">
      <w:pPr>
        <w:spacing w:before="242" w:line="221" w:lineRule="auto"/>
        <w:ind w:left="78"/>
        <w:rPr>
          <w:rFonts w:ascii="宋体" w:hAnsi="宋体" w:cs="宋体"/>
          <w:color w:val="auto"/>
          <w:szCs w:val="21"/>
          <w:highlight w:val="none"/>
        </w:rPr>
      </w:pPr>
      <w:r>
        <w:rPr>
          <w:rFonts w:ascii="宋体" w:hAnsi="宋体" w:cs="宋体"/>
          <w:color w:val="auto"/>
          <w:spacing w:val="-7"/>
          <w:szCs w:val="21"/>
          <w:highlight w:val="none"/>
        </w:rPr>
        <w:t>标段名称：</w:t>
      </w:r>
    </w:p>
    <w:p w14:paraId="6AFAF220">
      <w:pPr>
        <w:spacing w:before="19" w:line="212" w:lineRule="auto"/>
        <w:ind w:left="78"/>
        <w:rPr>
          <w:rFonts w:ascii="宋体" w:hAnsi="宋体" w:cs="宋体"/>
          <w:color w:val="auto"/>
          <w:szCs w:val="21"/>
          <w:highlight w:val="none"/>
        </w:rPr>
      </w:pPr>
      <w:r>
        <w:rPr>
          <w:rFonts w:ascii="宋体" w:hAnsi="宋体" w:cs="宋体"/>
          <w:color w:val="auto"/>
          <w:spacing w:val="-1"/>
          <w:szCs w:val="21"/>
          <w:highlight w:val="none"/>
        </w:rPr>
        <w:t>标段唯一标识码：</w:t>
      </w:r>
    </w:p>
    <w:tbl>
      <w:tblPr>
        <w:tblStyle w:val="42"/>
        <w:tblW w:w="84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1"/>
        <w:gridCol w:w="1547"/>
        <w:gridCol w:w="1777"/>
        <w:gridCol w:w="4429"/>
      </w:tblGrid>
      <w:tr w14:paraId="0CA323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691" w:type="dxa"/>
          </w:tcPr>
          <w:p w14:paraId="71074D57">
            <w:pPr>
              <w:pStyle w:val="185"/>
              <w:spacing w:before="139" w:line="222" w:lineRule="auto"/>
              <w:ind w:left="139"/>
              <w:rPr>
                <w:color w:val="auto"/>
                <w:highlight w:val="none"/>
              </w:rPr>
            </w:pPr>
            <w:r>
              <w:rPr>
                <w:b/>
                <w:bCs/>
                <w:color w:val="auto"/>
                <w:spacing w:val="-4"/>
                <w:highlight w:val="none"/>
              </w:rPr>
              <w:t>序号</w:t>
            </w:r>
          </w:p>
        </w:tc>
        <w:tc>
          <w:tcPr>
            <w:tcW w:w="1547" w:type="dxa"/>
          </w:tcPr>
          <w:p w14:paraId="1FD8BA6B">
            <w:pPr>
              <w:pStyle w:val="185"/>
              <w:spacing w:before="140" w:line="221" w:lineRule="auto"/>
              <w:ind w:left="253"/>
              <w:rPr>
                <w:color w:val="auto"/>
                <w:highlight w:val="none"/>
              </w:rPr>
            </w:pPr>
            <w:r>
              <w:rPr>
                <w:b/>
                <w:bCs/>
                <w:color w:val="auto"/>
                <w:spacing w:val="-3"/>
                <w:highlight w:val="none"/>
              </w:rPr>
              <w:t>投标人名称</w:t>
            </w:r>
          </w:p>
        </w:tc>
        <w:tc>
          <w:tcPr>
            <w:tcW w:w="1777" w:type="dxa"/>
          </w:tcPr>
          <w:p w14:paraId="3929A18C">
            <w:pPr>
              <w:pStyle w:val="185"/>
              <w:spacing w:before="139" w:line="220" w:lineRule="auto"/>
              <w:ind w:left="162"/>
              <w:rPr>
                <w:color w:val="auto"/>
                <w:highlight w:val="none"/>
              </w:rPr>
            </w:pPr>
            <w:r>
              <w:rPr>
                <w:b/>
                <w:bCs/>
                <w:color w:val="auto"/>
                <w:spacing w:val="-3"/>
                <w:highlight w:val="none"/>
              </w:rPr>
              <w:t>否决投标的依据</w:t>
            </w:r>
          </w:p>
        </w:tc>
        <w:tc>
          <w:tcPr>
            <w:tcW w:w="4429" w:type="dxa"/>
          </w:tcPr>
          <w:p w14:paraId="665B70BF">
            <w:pPr>
              <w:pStyle w:val="185"/>
              <w:spacing w:before="139" w:line="221" w:lineRule="auto"/>
              <w:ind w:left="854"/>
              <w:rPr>
                <w:color w:val="auto"/>
                <w:highlight w:val="none"/>
                <w:lang w:eastAsia="zh-CN"/>
              </w:rPr>
            </w:pPr>
            <w:r>
              <w:rPr>
                <w:b/>
                <w:bCs/>
                <w:color w:val="auto"/>
                <w:spacing w:val="-3"/>
                <w:highlight w:val="none"/>
                <w:lang w:eastAsia="zh-CN"/>
              </w:rPr>
              <w:t>投标文件存在的具体问题描述</w:t>
            </w:r>
          </w:p>
        </w:tc>
      </w:tr>
      <w:tr w14:paraId="32A53C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91" w:type="dxa"/>
          </w:tcPr>
          <w:p w14:paraId="763C661F">
            <w:pPr>
              <w:spacing w:before="120" w:line="238" w:lineRule="auto"/>
              <w:ind w:left="307"/>
              <w:rPr>
                <w:rFonts w:ascii="仿宋" w:hAnsi="仿宋" w:eastAsia="仿宋" w:cs="仿宋"/>
                <w:color w:val="auto"/>
                <w:sz w:val="24"/>
                <w:highlight w:val="none"/>
              </w:rPr>
            </w:pPr>
            <w:r>
              <w:rPr>
                <w:rFonts w:ascii="仿宋" w:hAnsi="仿宋" w:eastAsia="仿宋" w:cs="仿宋"/>
                <w:color w:val="auto"/>
                <w:sz w:val="24"/>
                <w:highlight w:val="none"/>
              </w:rPr>
              <w:t>1</w:t>
            </w:r>
          </w:p>
        </w:tc>
        <w:tc>
          <w:tcPr>
            <w:tcW w:w="1547" w:type="dxa"/>
          </w:tcPr>
          <w:p w14:paraId="091EADE9">
            <w:pPr>
              <w:rPr>
                <w:rFonts w:ascii="Arial"/>
                <w:color w:val="auto"/>
                <w:highlight w:val="none"/>
              </w:rPr>
            </w:pPr>
          </w:p>
        </w:tc>
        <w:tc>
          <w:tcPr>
            <w:tcW w:w="1777" w:type="dxa"/>
          </w:tcPr>
          <w:p w14:paraId="30434422">
            <w:pPr>
              <w:rPr>
                <w:rFonts w:ascii="Arial"/>
                <w:color w:val="auto"/>
                <w:highlight w:val="none"/>
              </w:rPr>
            </w:pPr>
          </w:p>
        </w:tc>
        <w:tc>
          <w:tcPr>
            <w:tcW w:w="4429" w:type="dxa"/>
          </w:tcPr>
          <w:p w14:paraId="727A0FB6">
            <w:pPr>
              <w:rPr>
                <w:rFonts w:ascii="Arial"/>
                <w:color w:val="auto"/>
                <w:highlight w:val="none"/>
              </w:rPr>
            </w:pPr>
          </w:p>
        </w:tc>
      </w:tr>
      <w:tr w14:paraId="4B25BC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691" w:type="dxa"/>
          </w:tcPr>
          <w:p w14:paraId="47280B19">
            <w:pPr>
              <w:spacing w:before="121" w:line="238" w:lineRule="auto"/>
              <w:ind w:left="301"/>
              <w:rPr>
                <w:rFonts w:ascii="仿宋" w:hAnsi="仿宋" w:eastAsia="仿宋" w:cs="仿宋"/>
                <w:color w:val="auto"/>
                <w:sz w:val="24"/>
                <w:highlight w:val="none"/>
              </w:rPr>
            </w:pPr>
            <w:r>
              <w:rPr>
                <w:rFonts w:ascii="仿宋" w:hAnsi="仿宋" w:eastAsia="仿宋" w:cs="仿宋"/>
                <w:color w:val="auto"/>
                <w:sz w:val="24"/>
                <w:highlight w:val="none"/>
              </w:rPr>
              <w:t>2</w:t>
            </w:r>
          </w:p>
        </w:tc>
        <w:tc>
          <w:tcPr>
            <w:tcW w:w="1547" w:type="dxa"/>
          </w:tcPr>
          <w:p w14:paraId="5821E283">
            <w:pPr>
              <w:rPr>
                <w:rFonts w:ascii="Arial"/>
                <w:color w:val="auto"/>
                <w:highlight w:val="none"/>
              </w:rPr>
            </w:pPr>
          </w:p>
        </w:tc>
        <w:tc>
          <w:tcPr>
            <w:tcW w:w="1777" w:type="dxa"/>
          </w:tcPr>
          <w:p w14:paraId="2170729F">
            <w:pPr>
              <w:rPr>
                <w:rFonts w:ascii="Arial"/>
                <w:color w:val="auto"/>
                <w:highlight w:val="none"/>
              </w:rPr>
            </w:pPr>
          </w:p>
        </w:tc>
        <w:tc>
          <w:tcPr>
            <w:tcW w:w="4429" w:type="dxa"/>
          </w:tcPr>
          <w:p w14:paraId="3B7F7C70">
            <w:pPr>
              <w:rPr>
                <w:rFonts w:ascii="Arial"/>
                <w:color w:val="auto"/>
                <w:highlight w:val="none"/>
              </w:rPr>
            </w:pPr>
          </w:p>
        </w:tc>
      </w:tr>
      <w:tr w14:paraId="5276E0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691" w:type="dxa"/>
          </w:tcPr>
          <w:p w14:paraId="13A9D9D3">
            <w:pPr>
              <w:spacing w:before="190" w:line="237" w:lineRule="auto"/>
              <w:ind w:left="311"/>
              <w:rPr>
                <w:rFonts w:ascii="仿宋" w:hAnsi="仿宋" w:eastAsia="仿宋" w:cs="仿宋"/>
                <w:color w:val="auto"/>
                <w:sz w:val="24"/>
                <w:highlight w:val="none"/>
              </w:rPr>
            </w:pPr>
            <w:r>
              <w:rPr>
                <w:rFonts w:ascii="仿宋" w:hAnsi="仿宋" w:eastAsia="仿宋" w:cs="仿宋"/>
                <w:color w:val="auto"/>
                <w:sz w:val="24"/>
                <w:highlight w:val="none"/>
              </w:rPr>
              <w:t>3</w:t>
            </w:r>
          </w:p>
        </w:tc>
        <w:tc>
          <w:tcPr>
            <w:tcW w:w="1547" w:type="dxa"/>
          </w:tcPr>
          <w:p w14:paraId="478428C3">
            <w:pPr>
              <w:rPr>
                <w:rFonts w:ascii="Arial"/>
                <w:color w:val="auto"/>
                <w:highlight w:val="none"/>
              </w:rPr>
            </w:pPr>
          </w:p>
        </w:tc>
        <w:tc>
          <w:tcPr>
            <w:tcW w:w="1777" w:type="dxa"/>
          </w:tcPr>
          <w:p w14:paraId="1207A41B">
            <w:pPr>
              <w:rPr>
                <w:rFonts w:ascii="Arial"/>
                <w:color w:val="auto"/>
                <w:highlight w:val="none"/>
              </w:rPr>
            </w:pPr>
          </w:p>
        </w:tc>
        <w:tc>
          <w:tcPr>
            <w:tcW w:w="4429" w:type="dxa"/>
          </w:tcPr>
          <w:p w14:paraId="269D7C17">
            <w:pPr>
              <w:rPr>
                <w:rFonts w:ascii="Arial"/>
                <w:color w:val="auto"/>
                <w:highlight w:val="none"/>
              </w:rPr>
            </w:pPr>
          </w:p>
        </w:tc>
      </w:tr>
      <w:tr w14:paraId="029E03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91" w:type="dxa"/>
          </w:tcPr>
          <w:p w14:paraId="56CA34DA">
            <w:pPr>
              <w:spacing w:before="121" w:line="238" w:lineRule="auto"/>
              <w:ind w:left="300"/>
              <w:rPr>
                <w:rFonts w:ascii="仿宋" w:hAnsi="仿宋" w:eastAsia="仿宋" w:cs="仿宋"/>
                <w:color w:val="auto"/>
                <w:sz w:val="24"/>
                <w:highlight w:val="none"/>
              </w:rPr>
            </w:pPr>
            <w:r>
              <w:rPr>
                <w:rFonts w:ascii="仿宋" w:hAnsi="仿宋" w:eastAsia="仿宋" w:cs="仿宋"/>
                <w:color w:val="auto"/>
                <w:sz w:val="24"/>
                <w:highlight w:val="none"/>
              </w:rPr>
              <w:t>4</w:t>
            </w:r>
          </w:p>
        </w:tc>
        <w:tc>
          <w:tcPr>
            <w:tcW w:w="1547" w:type="dxa"/>
          </w:tcPr>
          <w:p w14:paraId="5376DC55">
            <w:pPr>
              <w:rPr>
                <w:rFonts w:ascii="Arial"/>
                <w:color w:val="auto"/>
                <w:highlight w:val="none"/>
              </w:rPr>
            </w:pPr>
          </w:p>
        </w:tc>
        <w:tc>
          <w:tcPr>
            <w:tcW w:w="1777" w:type="dxa"/>
          </w:tcPr>
          <w:p w14:paraId="4DB4919C">
            <w:pPr>
              <w:rPr>
                <w:rFonts w:ascii="Arial"/>
                <w:color w:val="auto"/>
                <w:highlight w:val="none"/>
              </w:rPr>
            </w:pPr>
          </w:p>
        </w:tc>
        <w:tc>
          <w:tcPr>
            <w:tcW w:w="4429" w:type="dxa"/>
          </w:tcPr>
          <w:p w14:paraId="15DC577C">
            <w:pPr>
              <w:rPr>
                <w:rFonts w:ascii="Arial"/>
                <w:color w:val="auto"/>
                <w:highlight w:val="none"/>
              </w:rPr>
            </w:pPr>
          </w:p>
        </w:tc>
      </w:tr>
      <w:tr w14:paraId="149571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91" w:type="dxa"/>
          </w:tcPr>
          <w:p w14:paraId="11A75D4A">
            <w:pPr>
              <w:spacing w:before="121" w:line="237" w:lineRule="auto"/>
              <w:ind w:left="304"/>
              <w:rPr>
                <w:rFonts w:ascii="仿宋" w:hAnsi="仿宋" w:eastAsia="仿宋" w:cs="仿宋"/>
                <w:color w:val="auto"/>
                <w:sz w:val="24"/>
                <w:highlight w:val="none"/>
              </w:rPr>
            </w:pPr>
            <w:r>
              <w:rPr>
                <w:rFonts w:ascii="仿宋" w:hAnsi="仿宋" w:eastAsia="仿宋" w:cs="仿宋"/>
                <w:color w:val="auto"/>
                <w:sz w:val="24"/>
                <w:highlight w:val="none"/>
              </w:rPr>
              <w:t>5</w:t>
            </w:r>
          </w:p>
        </w:tc>
        <w:tc>
          <w:tcPr>
            <w:tcW w:w="1547" w:type="dxa"/>
          </w:tcPr>
          <w:p w14:paraId="6C085C4D">
            <w:pPr>
              <w:rPr>
                <w:rFonts w:ascii="Arial"/>
                <w:color w:val="auto"/>
                <w:highlight w:val="none"/>
              </w:rPr>
            </w:pPr>
          </w:p>
        </w:tc>
        <w:tc>
          <w:tcPr>
            <w:tcW w:w="1777" w:type="dxa"/>
          </w:tcPr>
          <w:p w14:paraId="14282AC7">
            <w:pPr>
              <w:rPr>
                <w:rFonts w:ascii="Arial"/>
                <w:color w:val="auto"/>
                <w:highlight w:val="none"/>
              </w:rPr>
            </w:pPr>
          </w:p>
        </w:tc>
        <w:tc>
          <w:tcPr>
            <w:tcW w:w="4429" w:type="dxa"/>
          </w:tcPr>
          <w:p w14:paraId="516D7BED">
            <w:pPr>
              <w:rPr>
                <w:rFonts w:ascii="Arial"/>
                <w:color w:val="auto"/>
                <w:highlight w:val="none"/>
              </w:rPr>
            </w:pPr>
          </w:p>
        </w:tc>
      </w:tr>
      <w:tr w14:paraId="74028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91" w:type="dxa"/>
          </w:tcPr>
          <w:p w14:paraId="1AAD5D42">
            <w:pPr>
              <w:spacing w:before="122" w:line="237" w:lineRule="auto"/>
              <w:ind w:left="303"/>
              <w:rPr>
                <w:rFonts w:ascii="仿宋" w:hAnsi="仿宋" w:eastAsia="仿宋" w:cs="仿宋"/>
                <w:color w:val="auto"/>
                <w:sz w:val="24"/>
                <w:highlight w:val="none"/>
              </w:rPr>
            </w:pPr>
            <w:r>
              <w:rPr>
                <w:rFonts w:ascii="仿宋" w:hAnsi="仿宋" w:eastAsia="仿宋" w:cs="仿宋"/>
                <w:color w:val="auto"/>
                <w:sz w:val="24"/>
                <w:highlight w:val="none"/>
              </w:rPr>
              <w:t>6</w:t>
            </w:r>
          </w:p>
        </w:tc>
        <w:tc>
          <w:tcPr>
            <w:tcW w:w="1547" w:type="dxa"/>
          </w:tcPr>
          <w:p w14:paraId="1419DACD">
            <w:pPr>
              <w:rPr>
                <w:rFonts w:ascii="Arial"/>
                <w:color w:val="auto"/>
                <w:highlight w:val="none"/>
              </w:rPr>
            </w:pPr>
          </w:p>
        </w:tc>
        <w:tc>
          <w:tcPr>
            <w:tcW w:w="1777" w:type="dxa"/>
          </w:tcPr>
          <w:p w14:paraId="4FE0D396">
            <w:pPr>
              <w:rPr>
                <w:rFonts w:ascii="Arial"/>
                <w:color w:val="auto"/>
                <w:highlight w:val="none"/>
              </w:rPr>
            </w:pPr>
          </w:p>
        </w:tc>
        <w:tc>
          <w:tcPr>
            <w:tcW w:w="4429" w:type="dxa"/>
          </w:tcPr>
          <w:p w14:paraId="78255331">
            <w:pPr>
              <w:rPr>
                <w:rFonts w:ascii="Arial"/>
                <w:color w:val="auto"/>
                <w:highlight w:val="none"/>
              </w:rPr>
            </w:pPr>
          </w:p>
        </w:tc>
      </w:tr>
      <w:tr w14:paraId="3C75E0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91" w:type="dxa"/>
          </w:tcPr>
          <w:p w14:paraId="27F96200">
            <w:pPr>
              <w:spacing w:before="123" w:line="237" w:lineRule="auto"/>
              <w:ind w:left="303"/>
              <w:rPr>
                <w:rFonts w:ascii="仿宋" w:hAnsi="仿宋" w:eastAsia="仿宋" w:cs="仿宋"/>
                <w:color w:val="auto"/>
                <w:sz w:val="24"/>
                <w:highlight w:val="none"/>
              </w:rPr>
            </w:pPr>
            <w:r>
              <w:rPr>
                <w:rFonts w:ascii="仿宋" w:hAnsi="仿宋" w:eastAsia="仿宋" w:cs="仿宋"/>
                <w:color w:val="auto"/>
                <w:sz w:val="24"/>
                <w:highlight w:val="none"/>
              </w:rPr>
              <w:t>7</w:t>
            </w:r>
          </w:p>
        </w:tc>
        <w:tc>
          <w:tcPr>
            <w:tcW w:w="1547" w:type="dxa"/>
          </w:tcPr>
          <w:p w14:paraId="5747CFE2">
            <w:pPr>
              <w:rPr>
                <w:rFonts w:ascii="Arial"/>
                <w:color w:val="auto"/>
                <w:highlight w:val="none"/>
              </w:rPr>
            </w:pPr>
          </w:p>
        </w:tc>
        <w:tc>
          <w:tcPr>
            <w:tcW w:w="1777" w:type="dxa"/>
          </w:tcPr>
          <w:p w14:paraId="62F8E6E6">
            <w:pPr>
              <w:rPr>
                <w:rFonts w:ascii="Arial"/>
                <w:color w:val="auto"/>
                <w:highlight w:val="none"/>
              </w:rPr>
            </w:pPr>
          </w:p>
        </w:tc>
        <w:tc>
          <w:tcPr>
            <w:tcW w:w="4429" w:type="dxa"/>
          </w:tcPr>
          <w:p w14:paraId="4E873D93">
            <w:pPr>
              <w:rPr>
                <w:rFonts w:ascii="Arial"/>
                <w:color w:val="auto"/>
                <w:highlight w:val="none"/>
              </w:rPr>
            </w:pPr>
          </w:p>
        </w:tc>
      </w:tr>
      <w:tr w14:paraId="59CBC3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691" w:type="dxa"/>
          </w:tcPr>
          <w:p w14:paraId="092CD8C0">
            <w:pPr>
              <w:spacing w:before="124" w:line="237" w:lineRule="auto"/>
              <w:ind w:left="303"/>
              <w:rPr>
                <w:rFonts w:ascii="仿宋" w:hAnsi="仿宋" w:eastAsia="仿宋" w:cs="仿宋"/>
                <w:color w:val="auto"/>
                <w:sz w:val="24"/>
                <w:highlight w:val="none"/>
              </w:rPr>
            </w:pPr>
            <w:r>
              <w:rPr>
                <w:rFonts w:ascii="仿宋" w:hAnsi="仿宋" w:eastAsia="仿宋" w:cs="仿宋"/>
                <w:color w:val="auto"/>
                <w:sz w:val="24"/>
                <w:highlight w:val="none"/>
              </w:rPr>
              <w:t>8</w:t>
            </w:r>
          </w:p>
        </w:tc>
        <w:tc>
          <w:tcPr>
            <w:tcW w:w="1547" w:type="dxa"/>
          </w:tcPr>
          <w:p w14:paraId="1EFAF3D7">
            <w:pPr>
              <w:rPr>
                <w:rFonts w:ascii="Arial"/>
                <w:color w:val="auto"/>
                <w:highlight w:val="none"/>
              </w:rPr>
            </w:pPr>
          </w:p>
        </w:tc>
        <w:tc>
          <w:tcPr>
            <w:tcW w:w="1777" w:type="dxa"/>
          </w:tcPr>
          <w:p w14:paraId="6193EBAB">
            <w:pPr>
              <w:rPr>
                <w:rFonts w:ascii="Arial"/>
                <w:color w:val="auto"/>
                <w:highlight w:val="none"/>
              </w:rPr>
            </w:pPr>
          </w:p>
        </w:tc>
        <w:tc>
          <w:tcPr>
            <w:tcW w:w="4429" w:type="dxa"/>
          </w:tcPr>
          <w:p w14:paraId="2C7B79DF">
            <w:pPr>
              <w:rPr>
                <w:rFonts w:ascii="Arial"/>
                <w:color w:val="auto"/>
                <w:highlight w:val="none"/>
              </w:rPr>
            </w:pPr>
          </w:p>
        </w:tc>
      </w:tr>
      <w:tr w14:paraId="22D17A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7" w:hRule="atLeast"/>
        </w:trPr>
        <w:tc>
          <w:tcPr>
            <w:tcW w:w="691" w:type="dxa"/>
          </w:tcPr>
          <w:p w14:paraId="21A2607E">
            <w:pPr>
              <w:spacing w:before="138" w:line="333" w:lineRule="exact"/>
              <w:ind w:left="257"/>
              <w:rPr>
                <w:rFonts w:ascii="黑体" w:hAnsi="黑体" w:eastAsia="黑体" w:cs="黑体"/>
                <w:color w:val="auto"/>
                <w:szCs w:val="21"/>
                <w:highlight w:val="none"/>
              </w:rPr>
            </w:pPr>
            <w:r>
              <w:rPr>
                <w:rFonts w:ascii="黑体" w:hAnsi="黑体" w:eastAsia="黑体" w:cs="黑体"/>
                <w:color w:val="auto"/>
                <w:position w:val="2"/>
                <w:szCs w:val="21"/>
                <w:highlight w:val="none"/>
              </w:rPr>
              <w:t>…</w:t>
            </w:r>
          </w:p>
        </w:tc>
        <w:tc>
          <w:tcPr>
            <w:tcW w:w="1547" w:type="dxa"/>
          </w:tcPr>
          <w:p w14:paraId="5D457C24">
            <w:pPr>
              <w:rPr>
                <w:rFonts w:ascii="Arial"/>
                <w:color w:val="auto"/>
                <w:highlight w:val="none"/>
              </w:rPr>
            </w:pPr>
          </w:p>
        </w:tc>
        <w:tc>
          <w:tcPr>
            <w:tcW w:w="1777" w:type="dxa"/>
          </w:tcPr>
          <w:p w14:paraId="10227074">
            <w:pPr>
              <w:rPr>
                <w:rFonts w:ascii="Arial"/>
                <w:color w:val="auto"/>
                <w:highlight w:val="none"/>
              </w:rPr>
            </w:pPr>
          </w:p>
        </w:tc>
        <w:tc>
          <w:tcPr>
            <w:tcW w:w="4429" w:type="dxa"/>
          </w:tcPr>
          <w:p w14:paraId="26709342">
            <w:pPr>
              <w:rPr>
                <w:rFonts w:ascii="Arial"/>
                <w:color w:val="auto"/>
                <w:highlight w:val="none"/>
              </w:rPr>
            </w:pPr>
          </w:p>
        </w:tc>
      </w:tr>
      <w:tr w14:paraId="1608C0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8444" w:type="dxa"/>
            <w:gridSpan w:val="4"/>
          </w:tcPr>
          <w:p w14:paraId="3CC6058B">
            <w:pPr>
              <w:pStyle w:val="185"/>
              <w:spacing w:before="33" w:line="220" w:lineRule="auto"/>
              <w:ind w:left="117"/>
              <w:rPr>
                <w:color w:val="auto"/>
                <w:highlight w:val="none"/>
                <w:lang w:eastAsia="zh-CN"/>
              </w:rPr>
            </w:pPr>
            <w:r>
              <w:rPr>
                <w:color w:val="auto"/>
                <w:spacing w:val="-1"/>
                <w:highlight w:val="none"/>
                <w:lang w:eastAsia="zh-CN"/>
              </w:rPr>
              <w:t>评标委员会全体成员签名：</w:t>
            </w:r>
          </w:p>
        </w:tc>
      </w:tr>
    </w:tbl>
    <w:p w14:paraId="009D7FD1">
      <w:pPr>
        <w:spacing w:before="29" w:line="221" w:lineRule="auto"/>
        <w:ind w:left="5786"/>
        <w:rPr>
          <w:rFonts w:ascii="宋体" w:hAnsi="宋体" w:cs="宋体"/>
          <w:color w:val="auto"/>
          <w:spacing w:val="-11"/>
          <w:szCs w:val="21"/>
          <w:highlight w:val="none"/>
        </w:rPr>
      </w:pPr>
      <w:r>
        <w:rPr>
          <w:rFonts w:ascii="宋体" w:hAnsi="宋体" w:cs="宋体"/>
          <w:color w:val="auto"/>
          <w:spacing w:val="-11"/>
          <w:szCs w:val="21"/>
          <w:highlight w:val="none"/>
        </w:rPr>
        <w:t>日期：</w:t>
      </w:r>
      <w:r>
        <w:rPr>
          <w:rFonts w:hint="eastAsia" w:ascii="宋体" w:hAnsi="宋体" w:cs="宋体"/>
          <w:color w:val="auto"/>
          <w:spacing w:val="-11"/>
          <w:szCs w:val="21"/>
          <w:highlight w:val="none"/>
          <w:lang w:val="en-US" w:eastAsia="zh-CN"/>
        </w:rPr>
        <w:t xml:space="preserve">    </w:t>
      </w:r>
      <w:r>
        <w:rPr>
          <w:rFonts w:ascii="宋体" w:hAnsi="宋体" w:cs="宋体"/>
          <w:color w:val="auto"/>
          <w:spacing w:val="-11"/>
          <w:szCs w:val="21"/>
          <w:highlight w:val="none"/>
        </w:rPr>
        <w:t>年</w:t>
      </w:r>
      <w:r>
        <w:rPr>
          <w:rFonts w:hint="eastAsia" w:ascii="宋体" w:hAnsi="宋体" w:cs="宋体"/>
          <w:color w:val="auto"/>
          <w:spacing w:val="-11"/>
          <w:szCs w:val="21"/>
          <w:highlight w:val="none"/>
          <w:lang w:val="en-US" w:eastAsia="zh-CN"/>
        </w:rPr>
        <w:t xml:space="preserve">    </w:t>
      </w:r>
      <w:r>
        <w:rPr>
          <w:rFonts w:ascii="宋体" w:hAnsi="宋体" w:cs="宋体"/>
          <w:color w:val="auto"/>
          <w:spacing w:val="-11"/>
          <w:szCs w:val="21"/>
          <w:highlight w:val="none"/>
        </w:rPr>
        <w:t>月</w:t>
      </w:r>
      <w:r>
        <w:rPr>
          <w:rFonts w:hint="eastAsia" w:ascii="宋体" w:hAnsi="宋体" w:cs="宋体"/>
          <w:color w:val="auto"/>
          <w:spacing w:val="-11"/>
          <w:szCs w:val="21"/>
          <w:highlight w:val="none"/>
          <w:lang w:val="en-US" w:eastAsia="zh-CN"/>
        </w:rPr>
        <w:t xml:space="preserve">    </w:t>
      </w:r>
      <w:r>
        <w:rPr>
          <w:rFonts w:ascii="宋体" w:hAnsi="宋体" w:cs="宋体"/>
          <w:color w:val="auto"/>
          <w:spacing w:val="-11"/>
          <w:szCs w:val="21"/>
          <w:highlight w:val="none"/>
        </w:rPr>
        <w:t>日</w:t>
      </w:r>
    </w:p>
    <w:p w14:paraId="2D0AB532">
      <w:pPr>
        <w:spacing w:before="29" w:line="221" w:lineRule="auto"/>
        <w:ind w:left="5786"/>
        <w:rPr>
          <w:rFonts w:ascii="宋体" w:hAnsi="宋体" w:cs="宋体"/>
          <w:color w:val="auto"/>
          <w:szCs w:val="21"/>
          <w:highlight w:val="none"/>
        </w:rPr>
      </w:pPr>
    </w:p>
    <w:p w14:paraId="09E469BE">
      <w:pPr>
        <w:spacing w:line="221" w:lineRule="auto"/>
        <w:rPr>
          <w:rFonts w:ascii="宋体" w:hAnsi="宋体" w:cs="宋体"/>
          <w:color w:val="auto"/>
          <w:szCs w:val="21"/>
          <w:highlight w:val="none"/>
        </w:rPr>
        <w:sectPr>
          <w:footerReference r:id="rId30" w:type="default"/>
          <w:pgSz w:w="11907" w:h="16839"/>
          <w:pgMar w:top="400" w:right="1728" w:bottom="1169" w:left="1728" w:header="0" w:footer="938" w:gutter="0"/>
          <w:pgNumType w:fmt="decimal"/>
          <w:cols w:space="720" w:num="1"/>
        </w:sectPr>
      </w:pPr>
    </w:p>
    <w:p w14:paraId="1B3D514B">
      <w:pPr>
        <w:pStyle w:val="17"/>
        <w:spacing w:line="267" w:lineRule="auto"/>
        <w:rPr>
          <w:color w:val="auto"/>
          <w:highlight w:val="none"/>
        </w:rPr>
      </w:pPr>
    </w:p>
    <w:p w14:paraId="18C2B74E">
      <w:pPr>
        <w:pStyle w:val="17"/>
        <w:spacing w:line="268" w:lineRule="auto"/>
        <w:rPr>
          <w:color w:val="auto"/>
          <w:highlight w:val="none"/>
        </w:rPr>
      </w:pPr>
    </w:p>
    <w:p w14:paraId="537C67CD">
      <w:pPr>
        <w:spacing w:before="78" w:line="219" w:lineRule="auto"/>
        <w:ind w:left="238"/>
        <w:outlineLvl w:val="2"/>
        <w:rPr>
          <w:rFonts w:ascii="黑体" w:hAnsi="黑体" w:eastAsia="黑体" w:cs="黑体"/>
          <w:color w:val="auto"/>
          <w:sz w:val="24"/>
          <w:highlight w:val="none"/>
        </w:rPr>
      </w:pPr>
      <w:bookmarkStart w:id="292" w:name="bookmark417"/>
      <w:bookmarkEnd w:id="292"/>
      <w:bookmarkStart w:id="293" w:name="_Toc18618"/>
      <w:r>
        <w:rPr>
          <w:rFonts w:ascii="黑体" w:hAnsi="黑体" w:eastAsia="黑体" w:cs="黑体"/>
          <w:color w:val="auto"/>
          <w:spacing w:val="-3"/>
          <w:sz w:val="24"/>
          <w:highlight w:val="none"/>
        </w:rPr>
        <w:t>附表A-10：经济标评分记录表</w:t>
      </w:r>
      <w:bookmarkEnd w:id="293"/>
    </w:p>
    <w:p w14:paraId="7301403E">
      <w:pPr>
        <w:pStyle w:val="17"/>
        <w:spacing w:line="314" w:lineRule="auto"/>
        <w:rPr>
          <w:color w:val="auto"/>
          <w:highlight w:val="none"/>
        </w:rPr>
      </w:pPr>
    </w:p>
    <w:p w14:paraId="0E220B67">
      <w:pPr>
        <w:pStyle w:val="17"/>
        <w:spacing w:line="314" w:lineRule="auto"/>
        <w:rPr>
          <w:color w:val="auto"/>
          <w:highlight w:val="none"/>
        </w:rPr>
      </w:pPr>
    </w:p>
    <w:p w14:paraId="0D90EBE0">
      <w:pPr>
        <w:spacing w:before="117" w:line="219" w:lineRule="auto"/>
        <w:ind w:left="1751"/>
        <w:rPr>
          <w:rFonts w:ascii="黑体" w:hAnsi="黑体" w:eastAsia="黑体" w:cs="黑体"/>
          <w:color w:val="auto"/>
          <w:sz w:val="36"/>
          <w:szCs w:val="36"/>
          <w:highlight w:val="none"/>
        </w:rPr>
      </w:pPr>
      <w:bookmarkStart w:id="294" w:name="bookmark140"/>
      <w:bookmarkEnd w:id="294"/>
      <w:r>
        <w:rPr>
          <w:rFonts w:ascii="黑体" w:hAnsi="黑体" w:eastAsia="黑体" w:cs="黑体"/>
          <w:color w:val="auto"/>
          <w:spacing w:val="-2"/>
          <w:sz w:val="36"/>
          <w:szCs w:val="36"/>
          <w:highlight w:val="none"/>
        </w:rPr>
        <w:t>经济标（投标报价）评审记录表</w:t>
      </w:r>
    </w:p>
    <w:p w14:paraId="261A82AA">
      <w:pPr>
        <w:spacing w:before="241" w:line="221" w:lineRule="auto"/>
        <w:ind w:left="107"/>
        <w:rPr>
          <w:rFonts w:ascii="宋体" w:hAnsi="宋体" w:cs="宋体"/>
          <w:color w:val="auto"/>
          <w:szCs w:val="21"/>
          <w:highlight w:val="none"/>
        </w:rPr>
      </w:pPr>
      <w:r>
        <w:rPr>
          <w:rFonts w:ascii="宋体" w:hAnsi="宋体" w:cs="宋体"/>
          <w:color w:val="auto"/>
          <w:spacing w:val="-7"/>
          <w:szCs w:val="21"/>
          <w:highlight w:val="none"/>
        </w:rPr>
        <w:t>标段名称：</w:t>
      </w:r>
    </w:p>
    <w:p w14:paraId="6BF93D42">
      <w:pPr>
        <w:spacing w:before="20" w:line="212" w:lineRule="auto"/>
        <w:ind w:left="107"/>
        <w:rPr>
          <w:rFonts w:ascii="宋体" w:hAnsi="宋体" w:cs="宋体"/>
          <w:color w:val="auto"/>
          <w:szCs w:val="21"/>
          <w:highlight w:val="none"/>
        </w:rPr>
      </w:pPr>
      <w:r>
        <w:rPr>
          <w:rFonts w:ascii="宋体" w:hAnsi="宋体" w:cs="宋体"/>
          <w:color w:val="auto"/>
          <w:szCs w:val="21"/>
          <w:highlight w:val="none"/>
        </w:rPr>
        <w:t>标段唯一标识码：                                                单</w:t>
      </w:r>
      <w:r>
        <w:rPr>
          <w:rFonts w:ascii="宋体" w:hAnsi="宋体" w:cs="宋体"/>
          <w:color w:val="auto"/>
          <w:spacing w:val="-1"/>
          <w:szCs w:val="21"/>
          <w:highlight w:val="none"/>
        </w:rPr>
        <w:t>位：人民币元</w:t>
      </w:r>
    </w:p>
    <w:tbl>
      <w:tblPr>
        <w:tblStyle w:val="42"/>
        <w:tblW w:w="850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3"/>
        <w:gridCol w:w="1329"/>
        <w:gridCol w:w="701"/>
        <w:gridCol w:w="998"/>
        <w:gridCol w:w="736"/>
        <w:gridCol w:w="945"/>
        <w:gridCol w:w="842"/>
        <w:gridCol w:w="839"/>
        <w:gridCol w:w="1533"/>
      </w:tblGrid>
      <w:tr w14:paraId="03C40C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583" w:type="dxa"/>
            <w:vMerge w:val="restart"/>
            <w:tcBorders>
              <w:bottom w:val="nil"/>
            </w:tcBorders>
            <w:textDirection w:val="tbRlV"/>
          </w:tcPr>
          <w:p w14:paraId="56698E9A">
            <w:pPr>
              <w:pStyle w:val="185"/>
              <w:spacing w:before="184" w:line="211" w:lineRule="auto"/>
              <w:ind w:left="562"/>
              <w:rPr>
                <w:color w:val="auto"/>
                <w:highlight w:val="none"/>
              </w:rPr>
            </w:pPr>
            <w:r>
              <w:rPr>
                <w:b/>
                <w:bCs/>
                <w:color w:val="auto"/>
                <w:spacing w:val="-2"/>
                <w:highlight w:val="none"/>
              </w:rPr>
              <w:t>序号</w:t>
            </w:r>
          </w:p>
        </w:tc>
        <w:tc>
          <w:tcPr>
            <w:tcW w:w="1329" w:type="dxa"/>
            <w:vMerge w:val="restart"/>
            <w:tcBorders>
              <w:bottom w:val="nil"/>
            </w:tcBorders>
          </w:tcPr>
          <w:p w14:paraId="43122980">
            <w:pPr>
              <w:spacing w:line="313" w:lineRule="auto"/>
              <w:rPr>
                <w:rFonts w:ascii="Arial"/>
                <w:color w:val="auto"/>
                <w:highlight w:val="none"/>
              </w:rPr>
            </w:pPr>
          </w:p>
          <w:p w14:paraId="5FDA4CFE">
            <w:pPr>
              <w:spacing w:line="314" w:lineRule="auto"/>
              <w:rPr>
                <w:rFonts w:ascii="Arial"/>
                <w:color w:val="auto"/>
                <w:highlight w:val="none"/>
              </w:rPr>
            </w:pPr>
          </w:p>
          <w:p w14:paraId="45FA1BF5">
            <w:pPr>
              <w:pStyle w:val="185"/>
              <w:spacing w:before="68" w:line="221" w:lineRule="auto"/>
              <w:ind w:left="142"/>
              <w:rPr>
                <w:color w:val="auto"/>
                <w:highlight w:val="none"/>
              </w:rPr>
            </w:pPr>
            <w:r>
              <w:rPr>
                <w:b/>
                <w:bCs/>
                <w:color w:val="auto"/>
                <w:spacing w:val="-3"/>
                <w:highlight w:val="none"/>
              </w:rPr>
              <w:t>投标人名称</w:t>
            </w:r>
          </w:p>
        </w:tc>
        <w:tc>
          <w:tcPr>
            <w:tcW w:w="6594" w:type="dxa"/>
            <w:gridSpan w:val="7"/>
          </w:tcPr>
          <w:p w14:paraId="6A7BBD99">
            <w:pPr>
              <w:pStyle w:val="185"/>
              <w:spacing w:before="149" w:line="221" w:lineRule="auto"/>
              <w:ind w:left="2879"/>
              <w:rPr>
                <w:color w:val="auto"/>
                <w:highlight w:val="none"/>
              </w:rPr>
            </w:pPr>
            <w:r>
              <w:rPr>
                <w:b/>
                <w:bCs/>
                <w:color w:val="auto"/>
                <w:spacing w:val="-3"/>
                <w:highlight w:val="none"/>
              </w:rPr>
              <w:t>评审项目</w:t>
            </w:r>
          </w:p>
        </w:tc>
      </w:tr>
      <w:tr w14:paraId="5E28E4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583" w:type="dxa"/>
            <w:vMerge w:val="continue"/>
            <w:tcBorders>
              <w:top w:val="nil"/>
            </w:tcBorders>
            <w:textDirection w:val="tbRlV"/>
          </w:tcPr>
          <w:p w14:paraId="14A741C6">
            <w:pPr>
              <w:rPr>
                <w:rFonts w:ascii="Arial"/>
                <w:color w:val="auto"/>
                <w:highlight w:val="none"/>
              </w:rPr>
            </w:pPr>
          </w:p>
        </w:tc>
        <w:tc>
          <w:tcPr>
            <w:tcW w:w="1329" w:type="dxa"/>
            <w:vMerge w:val="continue"/>
            <w:tcBorders>
              <w:top w:val="nil"/>
            </w:tcBorders>
          </w:tcPr>
          <w:p w14:paraId="7C69C090">
            <w:pPr>
              <w:rPr>
                <w:rFonts w:ascii="Arial"/>
                <w:color w:val="auto"/>
                <w:highlight w:val="none"/>
              </w:rPr>
            </w:pPr>
          </w:p>
        </w:tc>
        <w:tc>
          <w:tcPr>
            <w:tcW w:w="701" w:type="dxa"/>
          </w:tcPr>
          <w:p w14:paraId="048D7889">
            <w:pPr>
              <w:pStyle w:val="185"/>
              <w:spacing w:before="304" w:line="221" w:lineRule="auto"/>
              <w:ind w:left="146"/>
              <w:rPr>
                <w:color w:val="auto"/>
                <w:highlight w:val="none"/>
              </w:rPr>
            </w:pPr>
            <w:r>
              <w:rPr>
                <w:b/>
                <w:bCs/>
                <w:color w:val="auto"/>
                <w:spacing w:val="-5"/>
                <w:highlight w:val="none"/>
              </w:rPr>
              <w:t>投标</w:t>
            </w:r>
          </w:p>
          <w:p w14:paraId="13B0C01D">
            <w:pPr>
              <w:pStyle w:val="185"/>
              <w:spacing w:before="20" w:line="219" w:lineRule="auto"/>
              <w:ind w:left="142"/>
              <w:rPr>
                <w:color w:val="auto"/>
                <w:highlight w:val="none"/>
              </w:rPr>
            </w:pPr>
            <w:r>
              <w:rPr>
                <w:b/>
                <w:bCs/>
                <w:color w:val="auto"/>
                <w:spacing w:val="-4"/>
                <w:highlight w:val="none"/>
              </w:rPr>
              <w:t>报价</w:t>
            </w:r>
          </w:p>
        </w:tc>
        <w:tc>
          <w:tcPr>
            <w:tcW w:w="998" w:type="dxa"/>
          </w:tcPr>
          <w:p w14:paraId="6827B885">
            <w:pPr>
              <w:pStyle w:val="185"/>
              <w:spacing w:before="30" w:line="221" w:lineRule="auto"/>
              <w:ind w:left="184"/>
              <w:rPr>
                <w:color w:val="auto"/>
                <w:highlight w:val="none"/>
                <w:lang w:eastAsia="zh-CN"/>
              </w:rPr>
            </w:pPr>
            <w:r>
              <w:rPr>
                <w:b/>
                <w:bCs/>
                <w:color w:val="auto"/>
                <w:spacing w:val="-4"/>
                <w:highlight w:val="none"/>
                <w:lang w:eastAsia="zh-CN"/>
              </w:rPr>
              <w:t>修正后</w:t>
            </w:r>
          </w:p>
          <w:p w14:paraId="29146049">
            <w:pPr>
              <w:pStyle w:val="185"/>
              <w:spacing w:before="22" w:line="221" w:lineRule="auto"/>
              <w:ind w:left="186"/>
              <w:rPr>
                <w:color w:val="auto"/>
                <w:highlight w:val="none"/>
                <w:lang w:eastAsia="zh-CN"/>
              </w:rPr>
            </w:pPr>
            <w:r>
              <w:rPr>
                <w:b/>
                <w:bCs/>
                <w:color w:val="auto"/>
                <w:spacing w:val="-4"/>
                <w:highlight w:val="none"/>
                <w:lang w:eastAsia="zh-CN"/>
              </w:rPr>
              <w:t>投标报</w:t>
            </w:r>
          </w:p>
          <w:p w14:paraId="667A9425">
            <w:pPr>
              <w:pStyle w:val="185"/>
              <w:spacing w:before="21" w:line="223" w:lineRule="auto"/>
              <w:ind w:left="290" w:right="183" w:hanging="105"/>
              <w:rPr>
                <w:color w:val="auto"/>
                <w:highlight w:val="none"/>
                <w:lang w:eastAsia="zh-CN"/>
              </w:rPr>
            </w:pPr>
            <w:r>
              <w:rPr>
                <w:b/>
                <w:bCs/>
                <w:color w:val="auto"/>
                <w:spacing w:val="-5"/>
                <w:highlight w:val="none"/>
                <w:lang w:eastAsia="zh-CN"/>
              </w:rPr>
              <w:t>价（如</w:t>
            </w:r>
            <w:r>
              <w:rPr>
                <w:b/>
                <w:bCs/>
                <w:color w:val="auto"/>
                <w:spacing w:val="-8"/>
                <w:highlight w:val="none"/>
                <w:lang w:eastAsia="zh-CN"/>
              </w:rPr>
              <w:t>有）</w:t>
            </w:r>
          </w:p>
        </w:tc>
        <w:tc>
          <w:tcPr>
            <w:tcW w:w="736" w:type="dxa"/>
          </w:tcPr>
          <w:p w14:paraId="63153E8F">
            <w:pPr>
              <w:pStyle w:val="185"/>
              <w:spacing w:before="304"/>
              <w:ind w:left="266" w:right="156" w:hanging="107"/>
              <w:rPr>
                <w:color w:val="auto"/>
                <w:highlight w:val="none"/>
              </w:rPr>
            </w:pPr>
            <w:r>
              <w:rPr>
                <w:b/>
                <w:bCs/>
                <w:color w:val="auto"/>
                <w:spacing w:val="-5"/>
                <w:highlight w:val="none"/>
              </w:rPr>
              <w:t>评标</w:t>
            </w:r>
            <w:r>
              <w:rPr>
                <w:b/>
                <w:bCs/>
                <w:color w:val="auto"/>
                <w:spacing w:val="-3"/>
                <w:highlight w:val="none"/>
              </w:rPr>
              <w:t>价</w:t>
            </w:r>
          </w:p>
        </w:tc>
        <w:tc>
          <w:tcPr>
            <w:tcW w:w="945" w:type="dxa"/>
          </w:tcPr>
          <w:p w14:paraId="401A41DD">
            <w:pPr>
              <w:pStyle w:val="185"/>
              <w:spacing w:before="304"/>
              <w:ind w:left="268" w:right="153" w:hanging="108"/>
              <w:rPr>
                <w:color w:val="auto"/>
                <w:highlight w:val="none"/>
              </w:rPr>
            </w:pPr>
            <w:r>
              <w:rPr>
                <w:b/>
                <w:bCs/>
                <w:color w:val="auto"/>
                <w:spacing w:val="-4"/>
                <w:highlight w:val="none"/>
              </w:rPr>
              <w:t>评标基</w:t>
            </w:r>
            <w:r>
              <w:rPr>
                <w:b/>
                <w:bCs/>
                <w:color w:val="auto"/>
                <w:spacing w:val="-5"/>
                <w:highlight w:val="none"/>
              </w:rPr>
              <w:t>准价</w:t>
            </w:r>
          </w:p>
        </w:tc>
        <w:tc>
          <w:tcPr>
            <w:tcW w:w="842" w:type="dxa"/>
          </w:tcPr>
          <w:p w14:paraId="275B54B1">
            <w:pPr>
              <w:pStyle w:val="185"/>
              <w:spacing w:before="304" w:line="241" w:lineRule="auto"/>
              <w:ind w:left="322" w:right="207" w:hanging="107"/>
              <w:rPr>
                <w:color w:val="auto"/>
                <w:highlight w:val="none"/>
              </w:rPr>
            </w:pPr>
            <w:r>
              <w:rPr>
                <w:b/>
                <w:bCs/>
                <w:color w:val="auto"/>
                <w:spacing w:val="-6"/>
                <w:highlight w:val="none"/>
              </w:rPr>
              <w:t>偏差</w:t>
            </w:r>
            <w:r>
              <w:rPr>
                <w:b/>
                <w:bCs/>
                <w:color w:val="auto"/>
                <w:spacing w:val="-3"/>
                <w:highlight w:val="none"/>
              </w:rPr>
              <w:t>率</w:t>
            </w:r>
          </w:p>
        </w:tc>
        <w:tc>
          <w:tcPr>
            <w:tcW w:w="839" w:type="dxa"/>
          </w:tcPr>
          <w:p w14:paraId="5FFA657A">
            <w:pPr>
              <w:pStyle w:val="185"/>
              <w:spacing w:before="30" w:line="221" w:lineRule="auto"/>
              <w:ind w:left="213"/>
              <w:rPr>
                <w:color w:val="auto"/>
                <w:highlight w:val="none"/>
              </w:rPr>
            </w:pPr>
            <w:r>
              <w:rPr>
                <w:b/>
                <w:bCs/>
                <w:color w:val="auto"/>
                <w:spacing w:val="-4"/>
                <w:highlight w:val="none"/>
              </w:rPr>
              <w:t>计算</w:t>
            </w:r>
          </w:p>
          <w:p w14:paraId="7437D096">
            <w:pPr>
              <w:pStyle w:val="185"/>
              <w:spacing w:before="23" w:line="221" w:lineRule="auto"/>
              <w:ind w:left="215"/>
              <w:rPr>
                <w:color w:val="auto"/>
                <w:highlight w:val="none"/>
              </w:rPr>
            </w:pPr>
            <w:r>
              <w:rPr>
                <w:b/>
                <w:bCs/>
                <w:color w:val="auto"/>
                <w:spacing w:val="-5"/>
                <w:highlight w:val="none"/>
              </w:rPr>
              <w:t>投标</w:t>
            </w:r>
          </w:p>
          <w:p w14:paraId="358F3437">
            <w:pPr>
              <w:pStyle w:val="185"/>
              <w:spacing w:before="20" w:line="219" w:lineRule="auto"/>
              <w:ind w:left="211"/>
              <w:rPr>
                <w:color w:val="auto"/>
                <w:highlight w:val="none"/>
              </w:rPr>
            </w:pPr>
            <w:r>
              <w:rPr>
                <w:b/>
                <w:bCs/>
                <w:color w:val="auto"/>
                <w:spacing w:val="-4"/>
                <w:highlight w:val="none"/>
              </w:rPr>
              <w:t>报价</w:t>
            </w:r>
          </w:p>
          <w:p w14:paraId="408A4D61">
            <w:pPr>
              <w:pStyle w:val="185"/>
              <w:spacing w:before="24" w:line="206" w:lineRule="auto"/>
              <w:ind w:left="214"/>
              <w:rPr>
                <w:color w:val="auto"/>
                <w:highlight w:val="none"/>
              </w:rPr>
            </w:pPr>
            <w:r>
              <w:rPr>
                <w:b/>
                <w:bCs/>
                <w:color w:val="auto"/>
                <w:spacing w:val="-4"/>
                <w:highlight w:val="none"/>
              </w:rPr>
              <w:t>得分</w:t>
            </w:r>
          </w:p>
        </w:tc>
        <w:tc>
          <w:tcPr>
            <w:tcW w:w="1533" w:type="dxa"/>
          </w:tcPr>
          <w:p w14:paraId="6484317B">
            <w:pPr>
              <w:pStyle w:val="185"/>
              <w:spacing w:before="167" w:line="219" w:lineRule="auto"/>
              <w:ind w:left="143"/>
              <w:rPr>
                <w:color w:val="auto"/>
                <w:highlight w:val="none"/>
                <w:lang w:eastAsia="zh-CN"/>
              </w:rPr>
            </w:pPr>
            <w:r>
              <w:rPr>
                <w:b/>
                <w:bCs/>
                <w:color w:val="auto"/>
                <w:spacing w:val="-3"/>
                <w:highlight w:val="none"/>
                <w:lang w:eastAsia="zh-CN"/>
              </w:rPr>
              <w:t>投标报价最终</w:t>
            </w:r>
          </w:p>
          <w:p w14:paraId="62031DDE">
            <w:pPr>
              <w:pStyle w:val="185"/>
              <w:spacing w:before="22" w:line="221" w:lineRule="auto"/>
              <w:ind w:left="561"/>
              <w:rPr>
                <w:color w:val="auto"/>
                <w:highlight w:val="none"/>
                <w:lang w:eastAsia="zh-CN"/>
              </w:rPr>
            </w:pPr>
            <w:r>
              <w:rPr>
                <w:b/>
                <w:bCs/>
                <w:color w:val="auto"/>
                <w:spacing w:val="-4"/>
                <w:highlight w:val="none"/>
                <w:lang w:eastAsia="zh-CN"/>
              </w:rPr>
              <w:t>得分</w:t>
            </w:r>
          </w:p>
          <w:p w14:paraId="0134F94C">
            <w:pPr>
              <w:pStyle w:val="185"/>
              <w:spacing w:before="22" w:line="221" w:lineRule="auto"/>
              <w:ind w:left="146"/>
              <w:rPr>
                <w:color w:val="auto"/>
                <w:highlight w:val="none"/>
                <w:lang w:eastAsia="zh-CN"/>
              </w:rPr>
            </w:pPr>
            <w:r>
              <w:rPr>
                <w:b/>
                <w:bCs/>
                <w:color w:val="auto"/>
                <w:spacing w:val="-9"/>
                <w:highlight w:val="none"/>
                <w:lang w:eastAsia="zh-CN"/>
              </w:rPr>
              <w:t>（满分分）</w:t>
            </w:r>
          </w:p>
        </w:tc>
      </w:tr>
      <w:tr w14:paraId="5FBAE7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83" w:type="dxa"/>
          </w:tcPr>
          <w:p w14:paraId="339996F8">
            <w:pPr>
              <w:spacing w:before="157" w:line="236" w:lineRule="auto"/>
              <w:ind w:left="259"/>
              <w:rPr>
                <w:rFonts w:eastAsia="Times New Roman"/>
                <w:color w:val="auto"/>
                <w:szCs w:val="21"/>
                <w:highlight w:val="none"/>
              </w:rPr>
            </w:pPr>
            <w:r>
              <w:rPr>
                <w:rFonts w:eastAsia="Times New Roman"/>
                <w:color w:val="auto"/>
                <w:szCs w:val="21"/>
                <w:highlight w:val="none"/>
              </w:rPr>
              <w:t>1</w:t>
            </w:r>
          </w:p>
        </w:tc>
        <w:tc>
          <w:tcPr>
            <w:tcW w:w="1329" w:type="dxa"/>
          </w:tcPr>
          <w:p w14:paraId="51EF8344">
            <w:pPr>
              <w:rPr>
                <w:rFonts w:ascii="Arial"/>
                <w:color w:val="auto"/>
                <w:highlight w:val="none"/>
              </w:rPr>
            </w:pPr>
          </w:p>
        </w:tc>
        <w:tc>
          <w:tcPr>
            <w:tcW w:w="701" w:type="dxa"/>
          </w:tcPr>
          <w:p w14:paraId="78B06BB1">
            <w:pPr>
              <w:rPr>
                <w:rFonts w:ascii="Arial"/>
                <w:color w:val="auto"/>
                <w:highlight w:val="none"/>
              </w:rPr>
            </w:pPr>
          </w:p>
        </w:tc>
        <w:tc>
          <w:tcPr>
            <w:tcW w:w="998" w:type="dxa"/>
          </w:tcPr>
          <w:p w14:paraId="6300EEB5">
            <w:pPr>
              <w:rPr>
                <w:rFonts w:ascii="Arial"/>
                <w:color w:val="auto"/>
                <w:highlight w:val="none"/>
              </w:rPr>
            </w:pPr>
          </w:p>
        </w:tc>
        <w:tc>
          <w:tcPr>
            <w:tcW w:w="736" w:type="dxa"/>
          </w:tcPr>
          <w:p w14:paraId="2FEDE3D7">
            <w:pPr>
              <w:rPr>
                <w:rFonts w:ascii="Arial"/>
                <w:color w:val="auto"/>
                <w:highlight w:val="none"/>
              </w:rPr>
            </w:pPr>
          </w:p>
        </w:tc>
        <w:tc>
          <w:tcPr>
            <w:tcW w:w="945" w:type="dxa"/>
            <w:vMerge w:val="restart"/>
            <w:tcBorders>
              <w:bottom w:val="nil"/>
            </w:tcBorders>
          </w:tcPr>
          <w:p w14:paraId="2FBBF540">
            <w:pPr>
              <w:rPr>
                <w:rFonts w:ascii="Arial"/>
                <w:color w:val="auto"/>
                <w:highlight w:val="none"/>
              </w:rPr>
            </w:pPr>
          </w:p>
        </w:tc>
        <w:tc>
          <w:tcPr>
            <w:tcW w:w="842" w:type="dxa"/>
          </w:tcPr>
          <w:p w14:paraId="6FBE14E2">
            <w:pPr>
              <w:rPr>
                <w:rFonts w:ascii="Arial"/>
                <w:color w:val="auto"/>
                <w:highlight w:val="none"/>
              </w:rPr>
            </w:pPr>
          </w:p>
        </w:tc>
        <w:tc>
          <w:tcPr>
            <w:tcW w:w="839" w:type="dxa"/>
          </w:tcPr>
          <w:p w14:paraId="2C6BA044">
            <w:pPr>
              <w:rPr>
                <w:rFonts w:ascii="Arial"/>
                <w:color w:val="auto"/>
                <w:highlight w:val="none"/>
              </w:rPr>
            </w:pPr>
          </w:p>
        </w:tc>
        <w:tc>
          <w:tcPr>
            <w:tcW w:w="1533" w:type="dxa"/>
          </w:tcPr>
          <w:p w14:paraId="16CD2DFF">
            <w:pPr>
              <w:rPr>
                <w:rFonts w:ascii="Arial"/>
                <w:color w:val="auto"/>
                <w:highlight w:val="none"/>
              </w:rPr>
            </w:pPr>
          </w:p>
        </w:tc>
      </w:tr>
      <w:tr w14:paraId="20E349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583" w:type="dxa"/>
          </w:tcPr>
          <w:p w14:paraId="06FEC48E">
            <w:pPr>
              <w:pStyle w:val="185"/>
              <w:spacing w:before="58" w:line="242" w:lineRule="auto"/>
              <w:ind w:left="245"/>
              <w:rPr>
                <w:color w:val="auto"/>
                <w:highlight w:val="none"/>
              </w:rPr>
            </w:pPr>
            <w:r>
              <w:rPr>
                <w:color w:val="auto"/>
                <w:highlight w:val="none"/>
              </w:rPr>
              <w:t>2</w:t>
            </w:r>
          </w:p>
        </w:tc>
        <w:tc>
          <w:tcPr>
            <w:tcW w:w="1329" w:type="dxa"/>
          </w:tcPr>
          <w:p w14:paraId="6A7E3C52">
            <w:pPr>
              <w:rPr>
                <w:rFonts w:ascii="Arial"/>
                <w:color w:val="auto"/>
                <w:highlight w:val="none"/>
              </w:rPr>
            </w:pPr>
          </w:p>
        </w:tc>
        <w:tc>
          <w:tcPr>
            <w:tcW w:w="701" w:type="dxa"/>
          </w:tcPr>
          <w:p w14:paraId="5F010860">
            <w:pPr>
              <w:rPr>
                <w:rFonts w:ascii="Arial"/>
                <w:color w:val="auto"/>
                <w:highlight w:val="none"/>
              </w:rPr>
            </w:pPr>
          </w:p>
        </w:tc>
        <w:tc>
          <w:tcPr>
            <w:tcW w:w="998" w:type="dxa"/>
          </w:tcPr>
          <w:p w14:paraId="1ABC96ED">
            <w:pPr>
              <w:rPr>
                <w:rFonts w:ascii="Arial"/>
                <w:color w:val="auto"/>
                <w:highlight w:val="none"/>
              </w:rPr>
            </w:pPr>
          </w:p>
        </w:tc>
        <w:tc>
          <w:tcPr>
            <w:tcW w:w="736" w:type="dxa"/>
          </w:tcPr>
          <w:p w14:paraId="185A8935">
            <w:pPr>
              <w:rPr>
                <w:rFonts w:ascii="Arial"/>
                <w:color w:val="auto"/>
                <w:highlight w:val="none"/>
              </w:rPr>
            </w:pPr>
          </w:p>
        </w:tc>
        <w:tc>
          <w:tcPr>
            <w:tcW w:w="945" w:type="dxa"/>
            <w:vMerge w:val="continue"/>
            <w:tcBorders>
              <w:top w:val="nil"/>
              <w:bottom w:val="nil"/>
            </w:tcBorders>
          </w:tcPr>
          <w:p w14:paraId="2667D416">
            <w:pPr>
              <w:rPr>
                <w:rFonts w:ascii="Arial"/>
                <w:color w:val="auto"/>
                <w:highlight w:val="none"/>
              </w:rPr>
            </w:pPr>
          </w:p>
        </w:tc>
        <w:tc>
          <w:tcPr>
            <w:tcW w:w="842" w:type="dxa"/>
          </w:tcPr>
          <w:p w14:paraId="5CD53E60">
            <w:pPr>
              <w:rPr>
                <w:rFonts w:ascii="Arial"/>
                <w:color w:val="auto"/>
                <w:highlight w:val="none"/>
              </w:rPr>
            </w:pPr>
          </w:p>
        </w:tc>
        <w:tc>
          <w:tcPr>
            <w:tcW w:w="839" w:type="dxa"/>
          </w:tcPr>
          <w:p w14:paraId="47460C9D">
            <w:pPr>
              <w:rPr>
                <w:rFonts w:ascii="Arial"/>
                <w:color w:val="auto"/>
                <w:highlight w:val="none"/>
              </w:rPr>
            </w:pPr>
          </w:p>
        </w:tc>
        <w:tc>
          <w:tcPr>
            <w:tcW w:w="1533" w:type="dxa"/>
          </w:tcPr>
          <w:p w14:paraId="24954E55">
            <w:pPr>
              <w:rPr>
                <w:rFonts w:ascii="Arial"/>
                <w:color w:val="auto"/>
                <w:highlight w:val="none"/>
              </w:rPr>
            </w:pPr>
          </w:p>
        </w:tc>
      </w:tr>
      <w:tr w14:paraId="5E9226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583" w:type="dxa"/>
          </w:tcPr>
          <w:p w14:paraId="3EB09525">
            <w:pPr>
              <w:spacing w:before="164" w:line="234" w:lineRule="auto"/>
              <w:ind w:left="243"/>
              <w:rPr>
                <w:rFonts w:eastAsia="Times New Roman"/>
                <w:color w:val="auto"/>
                <w:szCs w:val="21"/>
                <w:highlight w:val="none"/>
              </w:rPr>
            </w:pPr>
            <w:r>
              <w:rPr>
                <w:rFonts w:eastAsia="Times New Roman"/>
                <w:color w:val="auto"/>
                <w:szCs w:val="21"/>
                <w:highlight w:val="none"/>
              </w:rPr>
              <w:t>3</w:t>
            </w:r>
          </w:p>
        </w:tc>
        <w:tc>
          <w:tcPr>
            <w:tcW w:w="1329" w:type="dxa"/>
          </w:tcPr>
          <w:p w14:paraId="317D7FE0">
            <w:pPr>
              <w:rPr>
                <w:rFonts w:ascii="Arial"/>
                <w:color w:val="auto"/>
                <w:highlight w:val="none"/>
              </w:rPr>
            </w:pPr>
          </w:p>
        </w:tc>
        <w:tc>
          <w:tcPr>
            <w:tcW w:w="701" w:type="dxa"/>
          </w:tcPr>
          <w:p w14:paraId="594D6223">
            <w:pPr>
              <w:rPr>
                <w:rFonts w:ascii="Arial"/>
                <w:color w:val="auto"/>
                <w:highlight w:val="none"/>
              </w:rPr>
            </w:pPr>
          </w:p>
        </w:tc>
        <w:tc>
          <w:tcPr>
            <w:tcW w:w="998" w:type="dxa"/>
          </w:tcPr>
          <w:p w14:paraId="0B8356AB">
            <w:pPr>
              <w:rPr>
                <w:rFonts w:ascii="Arial"/>
                <w:color w:val="auto"/>
                <w:highlight w:val="none"/>
              </w:rPr>
            </w:pPr>
          </w:p>
        </w:tc>
        <w:tc>
          <w:tcPr>
            <w:tcW w:w="736" w:type="dxa"/>
          </w:tcPr>
          <w:p w14:paraId="4E19D311">
            <w:pPr>
              <w:rPr>
                <w:rFonts w:ascii="Arial"/>
                <w:color w:val="auto"/>
                <w:highlight w:val="none"/>
              </w:rPr>
            </w:pPr>
          </w:p>
        </w:tc>
        <w:tc>
          <w:tcPr>
            <w:tcW w:w="945" w:type="dxa"/>
            <w:vMerge w:val="continue"/>
            <w:tcBorders>
              <w:top w:val="nil"/>
              <w:bottom w:val="nil"/>
            </w:tcBorders>
          </w:tcPr>
          <w:p w14:paraId="67780E76">
            <w:pPr>
              <w:rPr>
                <w:rFonts w:ascii="Arial"/>
                <w:color w:val="auto"/>
                <w:highlight w:val="none"/>
              </w:rPr>
            </w:pPr>
          </w:p>
        </w:tc>
        <w:tc>
          <w:tcPr>
            <w:tcW w:w="842" w:type="dxa"/>
          </w:tcPr>
          <w:p w14:paraId="7639F6B3">
            <w:pPr>
              <w:rPr>
                <w:rFonts w:ascii="Arial"/>
                <w:color w:val="auto"/>
                <w:highlight w:val="none"/>
              </w:rPr>
            </w:pPr>
          </w:p>
        </w:tc>
        <w:tc>
          <w:tcPr>
            <w:tcW w:w="839" w:type="dxa"/>
          </w:tcPr>
          <w:p w14:paraId="1A9E68A5">
            <w:pPr>
              <w:rPr>
                <w:rFonts w:ascii="Arial"/>
                <w:color w:val="auto"/>
                <w:highlight w:val="none"/>
              </w:rPr>
            </w:pPr>
          </w:p>
        </w:tc>
        <w:tc>
          <w:tcPr>
            <w:tcW w:w="1533" w:type="dxa"/>
          </w:tcPr>
          <w:p w14:paraId="535C5337">
            <w:pPr>
              <w:rPr>
                <w:rFonts w:ascii="Arial"/>
                <w:color w:val="auto"/>
                <w:highlight w:val="none"/>
              </w:rPr>
            </w:pPr>
          </w:p>
        </w:tc>
      </w:tr>
      <w:tr w14:paraId="32D20C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583" w:type="dxa"/>
          </w:tcPr>
          <w:p w14:paraId="621A4094">
            <w:pPr>
              <w:pStyle w:val="185"/>
              <w:spacing w:before="131" w:line="242" w:lineRule="auto"/>
              <w:ind w:left="242"/>
              <w:rPr>
                <w:color w:val="auto"/>
                <w:highlight w:val="none"/>
              </w:rPr>
            </w:pPr>
            <w:r>
              <w:rPr>
                <w:color w:val="auto"/>
                <w:highlight w:val="none"/>
              </w:rPr>
              <w:t>4</w:t>
            </w:r>
          </w:p>
        </w:tc>
        <w:tc>
          <w:tcPr>
            <w:tcW w:w="1329" w:type="dxa"/>
          </w:tcPr>
          <w:p w14:paraId="2B82B13A">
            <w:pPr>
              <w:rPr>
                <w:rFonts w:ascii="Arial"/>
                <w:color w:val="auto"/>
                <w:highlight w:val="none"/>
              </w:rPr>
            </w:pPr>
          </w:p>
        </w:tc>
        <w:tc>
          <w:tcPr>
            <w:tcW w:w="701" w:type="dxa"/>
          </w:tcPr>
          <w:p w14:paraId="418A192B">
            <w:pPr>
              <w:rPr>
                <w:rFonts w:ascii="Arial"/>
                <w:color w:val="auto"/>
                <w:highlight w:val="none"/>
              </w:rPr>
            </w:pPr>
          </w:p>
        </w:tc>
        <w:tc>
          <w:tcPr>
            <w:tcW w:w="998" w:type="dxa"/>
          </w:tcPr>
          <w:p w14:paraId="3049C024">
            <w:pPr>
              <w:rPr>
                <w:rFonts w:ascii="Arial"/>
                <w:color w:val="auto"/>
                <w:highlight w:val="none"/>
              </w:rPr>
            </w:pPr>
          </w:p>
        </w:tc>
        <w:tc>
          <w:tcPr>
            <w:tcW w:w="736" w:type="dxa"/>
          </w:tcPr>
          <w:p w14:paraId="2F3BC465">
            <w:pPr>
              <w:rPr>
                <w:rFonts w:ascii="Arial"/>
                <w:color w:val="auto"/>
                <w:highlight w:val="none"/>
              </w:rPr>
            </w:pPr>
          </w:p>
        </w:tc>
        <w:tc>
          <w:tcPr>
            <w:tcW w:w="945" w:type="dxa"/>
            <w:vMerge w:val="continue"/>
            <w:tcBorders>
              <w:top w:val="nil"/>
              <w:bottom w:val="nil"/>
            </w:tcBorders>
          </w:tcPr>
          <w:p w14:paraId="58EF0D7E">
            <w:pPr>
              <w:rPr>
                <w:rFonts w:ascii="Arial"/>
                <w:color w:val="auto"/>
                <w:highlight w:val="none"/>
              </w:rPr>
            </w:pPr>
          </w:p>
        </w:tc>
        <w:tc>
          <w:tcPr>
            <w:tcW w:w="842" w:type="dxa"/>
          </w:tcPr>
          <w:p w14:paraId="614C52FC">
            <w:pPr>
              <w:rPr>
                <w:rFonts w:ascii="Arial"/>
                <w:color w:val="auto"/>
                <w:highlight w:val="none"/>
              </w:rPr>
            </w:pPr>
          </w:p>
        </w:tc>
        <w:tc>
          <w:tcPr>
            <w:tcW w:w="839" w:type="dxa"/>
          </w:tcPr>
          <w:p w14:paraId="05D1DA41">
            <w:pPr>
              <w:rPr>
                <w:rFonts w:ascii="Arial"/>
                <w:color w:val="auto"/>
                <w:highlight w:val="none"/>
              </w:rPr>
            </w:pPr>
          </w:p>
        </w:tc>
        <w:tc>
          <w:tcPr>
            <w:tcW w:w="1533" w:type="dxa"/>
          </w:tcPr>
          <w:p w14:paraId="4551D884">
            <w:pPr>
              <w:rPr>
                <w:rFonts w:ascii="Arial"/>
                <w:color w:val="auto"/>
                <w:highlight w:val="none"/>
              </w:rPr>
            </w:pPr>
          </w:p>
        </w:tc>
      </w:tr>
      <w:tr w14:paraId="3CB91E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583" w:type="dxa"/>
          </w:tcPr>
          <w:p w14:paraId="50D0AC39">
            <w:pPr>
              <w:spacing w:before="161" w:line="234" w:lineRule="auto"/>
              <w:ind w:left="245"/>
              <w:rPr>
                <w:rFonts w:eastAsia="Times New Roman"/>
                <w:color w:val="auto"/>
                <w:szCs w:val="21"/>
                <w:highlight w:val="none"/>
              </w:rPr>
            </w:pPr>
            <w:r>
              <w:rPr>
                <w:rFonts w:eastAsia="Times New Roman"/>
                <w:color w:val="auto"/>
                <w:szCs w:val="21"/>
                <w:highlight w:val="none"/>
              </w:rPr>
              <w:t>5</w:t>
            </w:r>
          </w:p>
        </w:tc>
        <w:tc>
          <w:tcPr>
            <w:tcW w:w="1329" w:type="dxa"/>
          </w:tcPr>
          <w:p w14:paraId="3D5E1235">
            <w:pPr>
              <w:rPr>
                <w:rFonts w:ascii="Arial"/>
                <w:color w:val="auto"/>
                <w:highlight w:val="none"/>
              </w:rPr>
            </w:pPr>
          </w:p>
        </w:tc>
        <w:tc>
          <w:tcPr>
            <w:tcW w:w="701" w:type="dxa"/>
          </w:tcPr>
          <w:p w14:paraId="0F458729">
            <w:pPr>
              <w:rPr>
                <w:rFonts w:ascii="Arial"/>
                <w:color w:val="auto"/>
                <w:highlight w:val="none"/>
              </w:rPr>
            </w:pPr>
          </w:p>
        </w:tc>
        <w:tc>
          <w:tcPr>
            <w:tcW w:w="998" w:type="dxa"/>
          </w:tcPr>
          <w:p w14:paraId="560CF305">
            <w:pPr>
              <w:rPr>
                <w:rFonts w:ascii="Arial"/>
                <w:color w:val="auto"/>
                <w:highlight w:val="none"/>
              </w:rPr>
            </w:pPr>
          </w:p>
        </w:tc>
        <w:tc>
          <w:tcPr>
            <w:tcW w:w="736" w:type="dxa"/>
          </w:tcPr>
          <w:p w14:paraId="7188B657">
            <w:pPr>
              <w:rPr>
                <w:rFonts w:ascii="Arial"/>
                <w:color w:val="auto"/>
                <w:highlight w:val="none"/>
              </w:rPr>
            </w:pPr>
          </w:p>
        </w:tc>
        <w:tc>
          <w:tcPr>
            <w:tcW w:w="945" w:type="dxa"/>
            <w:vMerge w:val="continue"/>
            <w:tcBorders>
              <w:top w:val="nil"/>
              <w:bottom w:val="nil"/>
            </w:tcBorders>
          </w:tcPr>
          <w:p w14:paraId="2B1D4E0C">
            <w:pPr>
              <w:rPr>
                <w:rFonts w:ascii="Arial"/>
                <w:color w:val="auto"/>
                <w:highlight w:val="none"/>
              </w:rPr>
            </w:pPr>
          </w:p>
        </w:tc>
        <w:tc>
          <w:tcPr>
            <w:tcW w:w="842" w:type="dxa"/>
          </w:tcPr>
          <w:p w14:paraId="3CC3BFA2">
            <w:pPr>
              <w:rPr>
                <w:rFonts w:ascii="Arial"/>
                <w:color w:val="auto"/>
                <w:highlight w:val="none"/>
              </w:rPr>
            </w:pPr>
          </w:p>
        </w:tc>
        <w:tc>
          <w:tcPr>
            <w:tcW w:w="839" w:type="dxa"/>
          </w:tcPr>
          <w:p w14:paraId="2B695835">
            <w:pPr>
              <w:rPr>
                <w:rFonts w:ascii="Arial"/>
                <w:color w:val="auto"/>
                <w:highlight w:val="none"/>
              </w:rPr>
            </w:pPr>
          </w:p>
        </w:tc>
        <w:tc>
          <w:tcPr>
            <w:tcW w:w="1533" w:type="dxa"/>
          </w:tcPr>
          <w:p w14:paraId="52402D1B">
            <w:pPr>
              <w:rPr>
                <w:rFonts w:ascii="Arial"/>
                <w:color w:val="auto"/>
                <w:highlight w:val="none"/>
              </w:rPr>
            </w:pPr>
          </w:p>
        </w:tc>
      </w:tr>
      <w:tr w14:paraId="21628E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583" w:type="dxa"/>
          </w:tcPr>
          <w:p w14:paraId="48C5E942">
            <w:pPr>
              <w:spacing w:before="166" w:line="234" w:lineRule="auto"/>
              <w:ind w:left="244"/>
              <w:rPr>
                <w:rFonts w:eastAsia="Times New Roman"/>
                <w:color w:val="auto"/>
                <w:szCs w:val="21"/>
                <w:highlight w:val="none"/>
              </w:rPr>
            </w:pPr>
            <w:r>
              <w:rPr>
                <w:rFonts w:eastAsia="Times New Roman"/>
                <w:color w:val="auto"/>
                <w:szCs w:val="21"/>
                <w:highlight w:val="none"/>
              </w:rPr>
              <w:t>6</w:t>
            </w:r>
          </w:p>
        </w:tc>
        <w:tc>
          <w:tcPr>
            <w:tcW w:w="1329" w:type="dxa"/>
          </w:tcPr>
          <w:p w14:paraId="161BDC2A">
            <w:pPr>
              <w:rPr>
                <w:rFonts w:ascii="Arial"/>
                <w:color w:val="auto"/>
                <w:highlight w:val="none"/>
              </w:rPr>
            </w:pPr>
          </w:p>
        </w:tc>
        <w:tc>
          <w:tcPr>
            <w:tcW w:w="701" w:type="dxa"/>
          </w:tcPr>
          <w:p w14:paraId="708DDE34">
            <w:pPr>
              <w:rPr>
                <w:rFonts w:ascii="Arial"/>
                <w:color w:val="auto"/>
                <w:highlight w:val="none"/>
              </w:rPr>
            </w:pPr>
          </w:p>
        </w:tc>
        <w:tc>
          <w:tcPr>
            <w:tcW w:w="998" w:type="dxa"/>
          </w:tcPr>
          <w:p w14:paraId="618C66BB">
            <w:pPr>
              <w:rPr>
                <w:rFonts w:ascii="Arial"/>
                <w:color w:val="auto"/>
                <w:highlight w:val="none"/>
              </w:rPr>
            </w:pPr>
          </w:p>
        </w:tc>
        <w:tc>
          <w:tcPr>
            <w:tcW w:w="736" w:type="dxa"/>
          </w:tcPr>
          <w:p w14:paraId="790A0A57">
            <w:pPr>
              <w:rPr>
                <w:rFonts w:ascii="Arial"/>
                <w:color w:val="auto"/>
                <w:highlight w:val="none"/>
              </w:rPr>
            </w:pPr>
          </w:p>
        </w:tc>
        <w:tc>
          <w:tcPr>
            <w:tcW w:w="945" w:type="dxa"/>
            <w:vMerge w:val="continue"/>
            <w:tcBorders>
              <w:top w:val="nil"/>
              <w:bottom w:val="nil"/>
            </w:tcBorders>
          </w:tcPr>
          <w:p w14:paraId="7DAB73D7">
            <w:pPr>
              <w:rPr>
                <w:rFonts w:ascii="Arial"/>
                <w:color w:val="auto"/>
                <w:highlight w:val="none"/>
              </w:rPr>
            </w:pPr>
          </w:p>
        </w:tc>
        <w:tc>
          <w:tcPr>
            <w:tcW w:w="842" w:type="dxa"/>
          </w:tcPr>
          <w:p w14:paraId="01FCA88B">
            <w:pPr>
              <w:rPr>
                <w:rFonts w:ascii="Arial"/>
                <w:color w:val="auto"/>
                <w:highlight w:val="none"/>
              </w:rPr>
            </w:pPr>
          </w:p>
        </w:tc>
        <w:tc>
          <w:tcPr>
            <w:tcW w:w="839" w:type="dxa"/>
          </w:tcPr>
          <w:p w14:paraId="4E7A445B">
            <w:pPr>
              <w:rPr>
                <w:rFonts w:ascii="Arial"/>
                <w:color w:val="auto"/>
                <w:highlight w:val="none"/>
              </w:rPr>
            </w:pPr>
          </w:p>
        </w:tc>
        <w:tc>
          <w:tcPr>
            <w:tcW w:w="1533" w:type="dxa"/>
          </w:tcPr>
          <w:p w14:paraId="1B134361">
            <w:pPr>
              <w:rPr>
                <w:rFonts w:ascii="Arial"/>
                <w:color w:val="auto"/>
                <w:highlight w:val="none"/>
              </w:rPr>
            </w:pPr>
          </w:p>
        </w:tc>
      </w:tr>
      <w:tr w14:paraId="73E2D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583" w:type="dxa"/>
          </w:tcPr>
          <w:p w14:paraId="16181822">
            <w:pPr>
              <w:pStyle w:val="185"/>
              <w:spacing w:before="131" w:line="331" w:lineRule="exact"/>
              <w:ind w:left="203"/>
              <w:rPr>
                <w:color w:val="auto"/>
                <w:highlight w:val="none"/>
              </w:rPr>
            </w:pPr>
            <w:r>
              <w:rPr>
                <w:color w:val="auto"/>
                <w:position w:val="2"/>
                <w:highlight w:val="none"/>
              </w:rPr>
              <w:t>…</w:t>
            </w:r>
          </w:p>
        </w:tc>
        <w:tc>
          <w:tcPr>
            <w:tcW w:w="1329" w:type="dxa"/>
          </w:tcPr>
          <w:p w14:paraId="566D4EC9">
            <w:pPr>
              <w:rPr>
                <w:rFonts w:ascii="Arial"/>
                <w:color w:val="auto"/>
                <w:highlight w:val="none"/>
              </w:rPr>
            </w:pPr>
          </w:p>
        </w:tc>
        <w:tc>
          <w:tcPr>
            <w:tcW w:w="701" w:type="dxa"/>
          </w:tcPr>
          <w:p w14:paraId="4910FA39">
            <w:pPr>
              <w:rPr>
                <w:rFonts w:ascii="Arial"/>
                <w:color w:val="auto"/>
                <w:highlight w:val="none"/>
              </w:rPr>
            </w:pPr>
          </w:p>
        </w:tc>
        <w:tc>
          <w:tcPr>
            <w:tcW w:w="998" w:type="dxa"/>
          </w:tcPr>
          <w:p w14:paraId="62AB316A">
            <w:pPr>
              <w:rPr>
                <w:rFonts w:ascii="Arial"/>
                <w:color w:val="auto"/>
                <w:highlight w:val="none"/>
              </w:rPr>
            </w:pPr>
          </w:p>
        </w:tc>
        <w:tc>
          <w:tcPr>
            <w:tcW w:w="736" w:type="dxa"/>
          </w:tcPr>
          <w:p w14:paraId="26429226">
            <w:pPr>
              <w:rPr>
                <w:rFonts w:ascii="Arial"/>
                <w:color w:val="auto"/>
                <w:highlight w:val="none"/>
              </w:rPr>
            </w:pPr>
          </w:p>
        </w:tc>
        <w:tc>
          <w:tcPr>
            <w:tcW w:w="945" w:type="dxa"/>
            <w:vMerge w:val="continue"/>
            <w:tcBorders>
              <w:top w:val="nil"/>
            </w:tcBorders>
          </w:tcPr>
          <w:p w14:paraId="07C51751">
            <w:pPr>
              <w:rPr>
                <w:rFonts w:ascii="Arial"/>
                <w:color w:val="auto"/>
                <w:highlight w:val="none"/>
              </w:rPr>
            </w:pPr>
          </w:p>
        </w:tc>
        <w:tc>
          <w:tcPr>
            <w:tcW w:w="842" w:type="dxa"/>
          </w:tcPr>
          <w:p w14:paraId="1135CC70">
            <w:pPr>
              <w:rPr>
                <w:rFonts w:ascii="Arial"/>
                <w:color w:val="auto"/>
                <w:highlight w:val="none"/>
              </w:rPr>
            </w:pPr>
          </w:p>
        </w:tc>
        <w:tc>
          <w:tcPr>
            <w:tcW w:w="839" w:type="dxa"/>
          </w:tcPr>
          <w:p w14:paraId="47875E51">
            <w:pPr>
              <w:rPr>
                <w:rFonts w:ascii="Arial"/>
                <w:color w:val="auto"/>
                <w:highlight w:val="none"/>
              </w:rPr>
            </w:pPr>
          </w:p>
        </w:tc>
        <w:tc>
          <w:tcPr>
            <w:tcW w:w="1533" w:type="dxa"/>
          </w:tcPr>
          <w:p w14:paraId="47463DF4">
            <w:pPr>
              <w:rPr>
                <w:rFonts w:ascii="Arial"/>
                <w:color w:val="auto"/>
                <w:highlight w:val="none"/>
              </w:rPr>
            </w:pPr>
          </w:p>
        </w:tc>
      </w:tr>
      <w:tr w14:paraId="0C2608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4" w:hRule="atLeast"/>
        </w:trPr>
        <w:tc>
          <w:tcPr>
            <w:tcW w:w="8506" w:type="dxa"/>
            <w:gridSpan w:val="9"/>
          </w:tcPr>
          <w:p w14:paraId="2A5B9ED2">
            <w:pPr>
              <w:pStyle w:val="185"/>
              <w:spacing w:before="276" w:line="221" w:lineRule="auto"/>
              <w:ind w:left="117"/>
              <w:rPr>
                <w:color w:val="auto"/>
                <w:highlight w:val="none"/>
              </w:rPr>
            </w:pPr>
            <w:r>
              <w:rPr>
                <w:color w:val="auto"/>
                <w:spacing w:val="-1"/>
                <w:highlight w:val="none"/>
              </w:rPr>
              <w:t>经济标评委签名：</w:t>
            </w:r>
          </w:p>
        </w:tc>
      </w:tr>
    </w:tbl>
    <w:p w14:paraId="0C9F0CF9">
      <w:pPr>
        <w:spacing w:before="29" w:line="221" w:lineRule="auto"/>
        <w:ind w:left="5395"/>
        <w:rPr>
          <w:rFonts w:ascii="宋体" w:hAnsi="宋体" w:cs="宋体"/>
          <w:color w:val="auto"/>
          <w:spacing w:val="-11"/>
          <w:szCs w:val="21"/>
          <w:highlight w:val="none"/>
        </w:rPr>
      </w:pPr>
      <w:r>
        <w:rPr>
          <w:rFonts w:ascii="宋体" w:hAnsi="宋体" w:cs="宋体"/>
          <w:color w:val="auto"/>
          <w:spacing w:val="-11"/>
          <w:szCs w:val="21"/>
          <w:highlight w:val="none"/>
        </w:rPr>
        <w:t>日期：</w:t>
      </w:r>
      <w:r>
        <w:rPr>
          <w:rFonts w:hint="eastAsia" w:ascii="宋体" w:hAnsi="宋体" w:cs="宋体"/>
          <w:color w:val="auto"/>
          <w:spacing w:val="-11"/>
          <w:szCs w:val="21"/>
          <w:highlight w:val="none"/>
          <w:lang w:val="en-US" w:eastAsia="zh-CN"/>
        </w:rPr>
        <w:t xml:space="preserve">    </w:t>
      </w:r>
      <w:r>
        <w:rPr>
          <w:rFonts w:ascii="宋体" w:hAnsi="宋体" w:cs="宋体"/>
          <w:color w:val="auto"/>
          <w:spacing w:val="-11"/>
          <w:szCs w:val="21"/>
          <w:highlight w:val="none"/>
        </w:rPr>
        <w:t>年</w:t>
      </w:r>
      <w:r>
        <w:rPr>
          <w:rFonts w:hint="eastAsia" w:ascii="宋体" w:hAnsi="宋体" w:cs="宋体"/>
          <w:color w:val="auto"/>
          <w:spacing w:val="-11"/>
          <w:szCs w:val="21"/>
          <w:highlight w:val="none"/>
          <w:lang w:val="en-US" w:eastAsia="zh-CN"/>
        </w:rPr>
        <w:t xml:space="preserve">    </w:t>
      </w:r>
      <w:r>
        <w:rPr>
          <w:rFonts w:ascii="宋体" w:hAnsi="宋体" w:cs="宋体"/>
          <w:color w:val="auto"/>
          <w:spacing w:val="-11"/>
          <w:szCs w:val="21"/>
          <w:highlight w:val="none"/>
        </w:rPr>
        <w:t>月</w:t>
      </w:r>
      <w:r>
        <w:rPr>
          <w:rFonts w:hint="eastAsia" w:ascii="宋体" w:hAnsi="宋体" w:cs="宋体"/>
          <w:color w:val="auto"/>
          <w:spacing w:val="-11"/>
          <w:szCs w:val="21"/>
          <w:highlight w:val="none"/>
          <w:lang w:val="en-US" w:eastAsia="zh-CN"/>
        </w:rPr>
        <w:t xml:space="preserve">    </w:t>
      </w:r>
      <w:r>
        <w:rPr>
          <w:rFonts w:ascii="宋体" w:hAnsi="宋体" w:cs="宋体"/>
          <w:color w:val="auto"/>
          <w:spacing w:val="-11"/>
          <w:szCs w:val="21"/>
          <w:highlight w:val="none"/>
        </w:rPr>
        <w:t>日</w:t>
      </w:r>
    </w:p>
    <w:p w14:paraId="44950F4A">
      <w:pPr>
        <w:spacing w:before="29" w:line="221" w:lineRule="auto"/>
        <w:ind w:left="5395"/>
        <w:rPr>
          <w:rFonts w:ascii="宋体" w:hAnsi="宋体" w:cs="宋体"/>
          <w:color w:val="auto"/>
          <w:szCs w:val="21"/>
          <w:highlight w:val="none"/>
        </w:rPr>
      </w:pPr>
    </w:p>
    <w:p w14:paraId="4F7CBE07">
      <w:pPr>
        <w:spacing w:line="221" w:lineRule="auto"/>
        <w:rPr>
          <w:rFonts w:ascii="宋体" w:hAnsi="宋体" w:cs="宋体"/>
          <w:color w:val="auto"/>
          <w:szCs w:val="21"/>
          <w:highlight w:val="none"/>
        </w:rPr>
        <w:sectPr>
          <w:footerReference r:id="rId31" w:type="default"/>
          <w:pgSz w:w="11907" w:h="16839"/>
          <w:pgMar w:top="400" w:right="1694" w:bottom="1169" w:left="1699" w:header="0" w:footer="938" w:gutter="0"/>
          <w:pgNumType w:fmt="decimal"/>
          <w:cols w:space="720" w:num="1"/>
        </w:sectPr>
      </w:pPr>
    </w:p>
    <w:p w14:paraId="30AF53D2">
      <w:pPr>
        <w:pStyle w:val="17"/>
        <w:spacing w:line="242" w:lineRule="auto"/>
        <w:rPr>
          <w:color w:val="auto"/>
          <w:highlight w:val="none"/>
        </w:rPr>
      </w:pPr>
    </w:p>
    <w:p w14:paraId="54AFF8B5">
      <w:pPr>
        <w:pStyle w:val="17"/>
        <w:spacing w:line="242" w:lineRule="auto"/>
        <w:rPr>
          <w:color w:val="auto"/>
          <w:highlight w:val="none"/>
        </w:rPr>
      </w:pPr>
    </w:p>
    <w:p w14:paraId="7B7A7F61">
      <w:pPr>
        <w:pStyle w:val="17"/>
        <w:spacing w:line="243" w:lineRule="auto"/>
        <w:rPr>
          <w:color w:val="auto"/>
          <w:highlight w:val="none"/>
        </w:rPr>
      </w:pPr>
    </w:p>
    <w:p w14:paraId="3EAF5494">
      <w:pPr>
        <w:spacing w:before="78" w:line="219" w:lineRule="auto"/>
        <w:ind w:left="181"/>
        <w:outlineLvl w:val="2"/>
        <w:rPr>
          <w:rFonts w:ascii="黑体" w:hAnsi="黑体" w:eastAsia="黑体" w:cs="黑体"/>
          <w:color w:val="auto"/>
          <w:sz w:val="24"/>
          <w:highlight w:val="none"/>
        </w:rPr>
      </w:pPr>
      <w:bookmarkStart w:id="295" w:name="bookmark418"/>
      <w:bookmarkEnd w:id="295"/>
      <w:bookmarkStart w:id="296" w:name="_Toc28901"/>
      <w:r>
        <w:rPr>
          <w:rFonts w:ascii="黑体" w:hAnsi="黑体" w:eastAsia="黑体" w:cs="黑体"/>
          <w:color w:val="auto"/>
          <w:spacing w:val="-2"/>
          <w:sz w:val="24"/>
          <w:highlight w:val="none"/>
        </w:rPr>
        <w:t>附表A-11：承包人建议书评审记录表</w:t>
      </w:r>
      <w:bookmarkEnd w:id="296"/>
    </w:p>
    <w:p w14:paraId="60C7C7C7">
      <w:pPr>
        <w:spacing w:before="284" w:line="219" w:lineRule="auto"/>
        <w:ind w:left="5053"/>
        <w:rPr>
          <w:rFonts w:ascii="黑体" w:hAnsi="黑体" w:eastAsia="黑体" w:cs="黑体"/>
          <w:color w:val="auto"/>
          <w:sz w:val="36"/>
          <w:szCs w:val="36"/>
          <w:highlight w:val="none"/>
        </w:rPr>
      </w:pPr>
      <w:bookmarkStart w:id="297" w:name="bookmark141"/>
      <w:bookmarkEnd w:id="297"/>
      <w:r>
        <w:rPr>
          <w:rFonts w:ascii="黑体" w:hAnsi="黑体" w:eastAsia="黑体" w:cs="黑体"/>
          <w:color w:val="auto"/>
          <w:spacing w:val="-2"/>
          <w:sz w:val="36"/>
          <w:szCs w:val="36"/>
          <w:highlight w:val="none"/>
        </w:rPr>
        <w:t>承包人建议书评审记录表</w:t>
      </w:r>
    </w:p>
    <w:p w14:paraId="5C757BE2">
      <w:pPr>
        <w:spacing w:before="239" w:line="221" w:lineRule="auto"/>
        <w:ind w:left="49"/>
        <w:rPr>
          <w:rFonts w:ascii="宋体" w:hAnsi="宋体" w:cs="宋体"/>
          <w:color w:val="auto"/>
          <w:szCs w:val="21"/>
          <w:highlight w:val="none"/>
        </w:rPr>
      </w:pPr>
      <w:r>
        <w:rPr>
          <w:rFonts w:ascii="宋体" w:hAnsi="宋体" w:cs="宋体"/>
          <w:color w:val="auto"/>
          <w:spacing w:val="-7"/>
          <w:szCs w:val="21"/>
          <w:highlight w:val="none"/>
        </w:rPr>
        <w:t>标段名称：</w:t>
      </w:r>
    </w:p>
    <w:p w14:paraId="47894D3C">
      <w:pPr>
        <w:spacing w:before="22" w:line="212" w:lineRule="auto"/>
        <w:ind w:left="49"/>
        <w:rPr>
          <w:rFonts w:ascii="宋体" w:hAnsi="宋体" w:cs="宋体"/>
          <w:color w:val="auto"/>
          <w:szCs w:val="21"/>
          <w:highlight w:val="none"/>
        </w:rPr>
      </w:pPr>
      <w:r>
        <w:rPr>
          <w:rFonts w:ascii="宋体" w:hAnsi="宋体" w:cs="宋体"/>
          <w:color w:val="auto"/>
          <w:spacing w:val="-1"/>
          <w:szCs w:val="21"/>
          <w:highlight w:val="none"/>
        </w:rPr>
        <w:t>标段唯一标识码：</w:t>
      </w:r>
    </w:p>
    <w:tbl>
      <w:tblPr>
        <w:tblStyle w:val="42"/>
        <w:tblW w:w="1403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0"/>
        <w:gridCol w:w="1785"/>
        <w:gridCol w:w="1339"/>
        <w:gridCol w:w="1341"/>
        <w:gridCol w:w="1339"/>
        <w:gridCol w:w="1339"/>
        <w:gridCol w:w="1339"/>
        <w:gridCol w:w="1342"/>
        <w:gridCol w:w="1348"/>
        <w:gridCol w:w="2075"/>
      </w:tblGrid>
      <w:tr w14:paraId="2EFA82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90" w:type="dxa"/>
            <w:vMerge w:val="restart"/>
            <w:tcBorders>
              <w:bottom w:val="nil"/>
            </w:tcBorders>
          </w:tcPr>
          <w:p w14:paraId="0D0B5000">
            <w:pPr>
              <w:pStyle w:val="185"/>
              <w:spacing w:before="267" w:line="222" w:lineRule="auto"/>
              <w:ind w:left="187"/>
              <w:rPr>
                <w:color w:val="auto"/>
                <w:highlight w:val="none"/>
              </w:rPr>
            </w:pPr>
            <w:r>
              <w:rPr>
                <w:b/>
                <w:bCs/>
                <w:color w:val="auto"/>
                <w:spacing w:val="-4"/>
                <w:highlight w:val="none"/>
              </w:rPr>
              <w:t>序号</w:t>
            </w:r>
          </w:p>
        </w:tc>
        <w:tc>
          <w:tcPr>
            <w:tcW w:w="1785" w:type="dxa"/>
            <w:vMerge w:val="restart"/>
            <w:tcBorders>
              <w:bottom w:val="nil"/>
            </w:tcBorders>
          </w:tcPr>
          <w:p w14:paraId="616F8208">
            <w:pPr>
              <w:pStyle w:val="185"/>
              <w:spacing w:before="267" w:line="221" w:lineRule="auto"/>
              <w:ind w:left="372"/>
              <w:rPr>
                <w:color w:val="auto"/>
                <w:highlight w:val="none"/>
              </w:rPr>
            </w:pPr>
            <w:r>
              <w:rPr>
                <w:b/>
                <w:bCs/>
                <w:color w:val="auto"/>
                <w:spacing w:val="-3"/>
                <w:highlight w:val="none"/>
              </w:rPr>
              <w:t>投标人名称</w:t>
            </w:r>
          </w:p>
        </w:tc>
        <w:tc>
          <w:tcPr>
            <w:tcW w:w="9387" w:type="dxa"/>
            <w:gridSpan w:val="7"/>
          </w:tcPr>
          <w:p w14:paraId="3E3CC11A">
            <w:pPr>
              <w:pStyle w:val="185"/>
              <w:spacing w:before="79" w:line="221" w:lineRule="auto"/>
              <w:ind w:left="3958"/>
              <w:rPr>
                <w:color w:val="auto"/>
                <w:highlight w:val="none"/>
              </w:rPr>
            </w:pPr>
            <w:r>
              <w:rPr>
                <w:b/>
                <w:bCs/>
                <w:color w:val="auto"/>
                <w:spacing w:val="-3"/>
                <w:highlight w:val="none"/>
              </w:rPr>
              <w:t>评委姓名及得分</w:t>
            </w:r>
          </w:p>
        </w:tc>
        <w:tc>
          <w:tcPr>
            <w:tcW w:w="2075" w:type="dxa"/>
            <w:vMerge w:val="restart"/>
            <w:tcBorders>
              <w:bottom w:val="nil"/>
            </w:tcBorders>
          </w:tcPr>
          <w:p w14:paraId="1156F8F2">
            <w:pPr>
              <w:pStyle w:val="185"/>
              <w:spacing w:before="129" w:line="243" w:lineRule="auto"/>
              <w:ind w:left="147" w:right="150" w:firstLine="51"/>
              <w:jc w:val="center"/>
              <w:rPr>
                <w:color w:val="auto"/>
                <w:highlight w:val="none"/>
                <w:lang w:eastAsia="zh-CN"/>
              </w:rPr>
            </w:pPr>
            <w:r>
              <w:rPr>
                <w:b/>
                <w:bCs/>
                <w:color w:val="auto"/>
                <w:spacing w:val="-3"/>
                <w:highlight w:val="none"/>
                <w:lang w:eastAsia="zh-CN"/>
              </w:rPr>
              <w:t>承包人建议书最终</w:t>
            </w:r>
            <w:r>
              <w:rPr>
                <w:b/>
                <w:bCs/>
                <w:color w:val="auto"/>
                <w:spacing w:val="-6"/>
                <w:highlight w:val="none"/>
                <w:lang w:eastAsia="zh-CN"/>
              </w:rPr>
              <w:t>得分</w:t>
            </w:r>
          </w:p>
        </w:tc>
      </w:tr>
      <w:tr w14:paraId="2016D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790" w:type="dxa"/>
            <w:vMerge w:val="continue"/>
            <w:tcBorders>
              <w:top w:val="nil"/>
            </w:tcBorders>
          </w:tcPr>
          <w:p w14:paraId="2EDE531C">
            <w:pPr>
              <w:rPr>
                <w:rFonts w:ascii="Arial"/>
                <w:color w:val="auto"/>
                <w:highlight w:val="none"/>
              </w:rPr>
            </w:pPr>
          </w:p>
        </w:tc>
        <w:tc>
          <w:tcPr>
            <w:tcW w:w="1785" w:type="dxa"/>
            <w:vMerge w:val="continue"/>
            <w:tcBorders>
              <w:top w:val="nil"/>
            </w:tcBorders>
          </w:tcPr>
          <w:p w14:paraId="60A02BAA">
            <w:pPr>
              <w:rPr>
                <w:rFonts w:ascii="Arial"/>
                <w:color w:val="auto"/>
                <w:highlight w:val="none"/>
              </w:rPr>
            </w:pPr>
          </w:p>
        </w:tc>
        <w:tc>
          <w:tcPr>
            <w:tcW w:w="1339" w:type="dxa"/>
          </w:tcPr>
          <w:p w14:paraId="69B2D9A4">
            <w:pPr>
              <w:pStyle w:val="185"/>
              <w:spacing w:before="75" w:line="221" w:lineRule="auto"/>
              <w:ind w:left="382"/>
              <w:rPr>
                <w:color w:val="auto"/>
                <w:highlight w:val="none"/>
              </w:rPr>
            </w:pPr>
            <w:r>
              <w:rPr>
                <w:b/>
                <w:bCs/>
                <w:color w:val="auto"/>
                <w:spacing w:val="-4"/>
                <w:highlight w:val="none"/>
              </w:rPr>
              <w:t>评委1</w:t>
            </w:r>
          </w:p>
        </w:tc>
        <w:tc>
          <w:tcPr>
            <w:tcW w:w="1341" w:type="dxa"/>
          </w:tcPr>
          <w:p w14:paraId="28468B9A">
            <w:pPr>
              <w:pStyle w:val="185"/>
              <w:spacing w:before="75" w:line="221" w:lineRule="auto"/>
              <w:ind w:left="382"/>
              <w:rPr>
                <w:color w:val="auto"/>
                <w:highlight w:val="none"/>
              </w:rPr>
            </w:pPr>
            <w:r>
              <w:rPr>
                <w:b/>
                <w:bCs/>
                <w:color w:val="auto"/>
                <w:spacing w:val="-4"/>
                <w:highlight w:val="none"/>
              </w:rPr>
              <w:t>评委2</w:t>
            </w:r>
          </w:p>
        </w:tc>
        <w:tc>
          <w:tcPr>
            <w:tcW w:w="1339" w:type="dxa"/>
          </w:tcPr>
          <w:p w14:paraId="06B29B06">
            <w:pPr>
              <w:pStyle w:val="185"/>
              <w:spacing w:before="75" w:line="282" w:lineRule="exact"/>
              <w:ind w:left="476"/>
              <w:rPr>
                <w:color w:val="auto"/>
                <w:highlight w:val="none"/>
              </w:rPr>
            </w:pPr>
            <w:r>
              <w:rPr>
                <w:b/>
                <w:bCs/>
                <w:color w:val="auto"/>
                <w:spacing w:val="-12"/>
                <w:position w:val="1"/>
                <w:highlight w:val="none"/>
              </w:rPr>
              <w:t>……</w:t>
            </w:r>
          </w:p>
        </w:tc>
        <w:tc>
          <w:tcPr>
            <w:tcW w:w="1339" w:type="dxa"/>
          </w:tcPr>
          <w:p w14:paraId="601463E3">
            <w:pPr>
              <w:rPr>
                <w:rFonts w:ascii="Arial"/>
                <w:color w:val="auto"/>
                <w:highlight w:val="none"/>
              </w:rPr>
            </w:pPr>
          </w:p>
        </w:tc>
        <w:tc>
          <w:tcPr>
            <w:tcW w:w="1339" w:type="dxa"/>
          </w:tcPr>
          <w:p w14:paraId="361EFD34">
            <w:pPr>
              <w:rPr>
                <w:rFonts w:ascii="Arial"/>
                <w:color w:val="auto"/>
                <w:highlight w:val="none"/>
              </w:rPr>
            </w:pPr>
          </w:p>
        </w:tc>
        <w:tc>
          <w:tcPr>
            <w:tcW w:w="1342" w:type="dxa"/>
          </w:tcPr>
          <w:p w14:paraId="1F5DA5BB">
            <w:pPr>
              <w:rPr>
                <w:rFonts w:ascii="Arial"/>
                <w:color w:val="auto"/>
                <w:highlight w:val="none"/>
              </w:rPr>
            </w:pPr>
          </w:p>
        </w:tc>
        <w:tc>
          <w:tcPr>
            <w:tcW w:w="1348" w:type="dxa"/>
          </w:tcPr>
          <w:p w14:paraId="28CFCA55">
            <w:pPr>
              <w:rPr>
                <w:rFonts w:ascii="Arial"/>
                <w:color w:val="auto"/>
                <w:highlight w:val="none"/>
              </w:rPr>
            </w:pPr>
          </w:p>
        </w:tc>
        <w:tc>
          <w:tcPr>
            <w:tcW w:w="2075" w:type="dxa"/>
            <w:vMerge w:val="continue"/>
            <w:tcBorders>
              <w:top w:val="nil"/>
            </w:tcBorders>
          </w:tcPr>
          <w:p w14:paraId="3843D8A0">
            <w:pPr>
              <w:rPr>
                <w:rFonts w:ascii="Arial"/>
                <w:color w:val="auto"/>
                <w:highlight w:val="none"/>
              </w:rPr>
            </w:pPr>
          </w:p>
        </w:tc>
      </w:tr>
      <w:tr w14:paraId="73D71C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790" w:type="dxa"/>
          </w:tcPr>
          <w:p w14:paraId="71EAF9E5">
            <w:pPr>
              <w:pStyle w:val="185"/>
              <w:spacing w:before="140" w:line="242" w:lineRule="auto"/>
              <w:ind w:left="362"/>
              <w:rPr>
                <w:color w:val="auto"/>
                <w:highlight w:val="none"/>
              </w:rPr>
            </w:pPr>
            <w:r>
              <w:rPr>
                <w:color w:val="auto"/>
                <w:highlight w:val="none"/>
              </w:rPr>
              <w:t>1</w:t>
            </w:r>
          </w:p>
        </w:tc>
        <w:tc>
          <w:tcPr>
            <w:tcW w:w="1785" w:type="dxa"/>
          </w:tcPr>
          <w:p w14:paraId="55118D5F">
            <w:pPr>
              <w:rPr>
                <w:rFonts w:ascii="Arial"/>
                <w:color w:val="auto"/>
                <w:highlight w:val="none"/>
              </w:rPr>
            </w:pPr>
          </w:p>
        </w:tc>
        <w:tc>
          <w:tcPr>
            <w:tcW w:w="1339" w:type="dxa"/>
          </w:tcPr>
          <w:p w14:paraId="260B4BE3">
            <w:pPr>
              <w:rPr>
                <w:rFonts w:ascii="Arial"/>
                <w:color w:val="auto"/>
                <w:highlight w:val="none"/>
              </w:rPr>
            </w:pPr>
          </w:p>
        </w:tc>
        <w:tc>
          <w:tcPr>
            <w:tcW w:w="1341" w:type="dxa"/>
          </w:tcPr>
          <w:p w14:paraId="0E560AB9">
            <w:pPr>
              <w:rPr>
                <w:rFonts w:ascii="Arial"/>
                <w:color w:val="auto"/>
                <w:highlight w:val="none"/>
              </w:rPr>
            </w:pPr>
          </w:p>
        </w:tc>
        <w:tc>
          <w:tcPr>
            <w:tcW w:w="1339" w:type="dxa"/>
          </w:tcPr>
          <w:p w14:paraId="0F985A87">
            <w:pPr>
              <w:rPr>
                <w:rFonts w:ascii="Arial"/>
                <w:color w:val="auto"/>
                <w:highlight w:val="none"/>
              </w:rPr>
            </w:pPr>
          </w:p>
        </w:tc>
        <w:tc>
          <w:tcPr>
            <w:tcW w:w="1339" w:type="dxa"/>
          </w:tcPr>
          <w:p w14:paraId="3115740A">
            <w:pPr>
              <w:rPr>
                <w:rFonts w:ascii="Arial"/>
                <w:color w:val="auto"/>
                <w:highlight w:val="none"/>
              </w:rPr>
            </w:pPr>
          </w:p>
        </w:tc>
        <w:tc>
          <w:tcPr>
            <w:tcW w:w="1339" w:type="dxa"/>
          </w:tcPr>
          <w:p w14:paraId="7F3FEF04">
            <w:pPr>
              <w:rPr>
                <w:rFonts w:ascii="Arial"/>
                <w:color w:val="auto"/>
                <w:highlight w:val="none"/>
              </w:rPr>
            </w:pPr>
          </w:p>
        </w:tc>
        <w:tc>
          <w:tcPr>
            <w:tcW w:w="1342" w:type="dxa"/>
          </w:tcPr>
          <w:p w14:paraId="5E4C6E8C">
            <w:pPr>
              <w:rPr>
                <w:rFonts w:ascii="Arial"/>
                <w:color w:val="auto"/>
                <w:highlight w:val="none"/>
              </w:rPr>
            </w:pPr>
          </w:p>
        </w:tc>
        <w:tc>
          <w:tcPr>
            <w:tcW w:w="1348" w:type="dxa"/>
          </w:tcPr>
          <w:p w14:paraId="525DF9FB">
            <w:pPr>
              <w:rPr>
                <w:rFonts w:ascii="Arial"/>
                <w:color w:val="auto"/>
                <w:highlight w:val="none"/>
              </w:rPr>
            </w:pPr>
          </w:p>
        </w:tc>
        <w:tc>
          <w:tcPr>
            <w:tcW w:w="2075" w:type="dxa"/>
          </w:tcPr>
          <w:p w14:paraId="7C685308">
            <w:pPr>
              <w:rPr>
                <w:rFonts w:ascii="Arial"/>
                <w:color w:val="auto"/>
                <w:highlight w:val="none"/>
              </w:rPr>
            </w:pPr>
          </w:p>
        </w:tc>
      </w:tr>
      <w:tr w14:paraId="53195F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790" w:type="dxa"/>
          </w:tcPr>
          <w:p w14:paraId="34058D83">
            <w:pPr>
              <w:pStyle w:val="185"/>
              <w:spacing w:before="138" w:line="242" w:lineRule="auto"/>
              <w:ind w:left="349"/>
              <w:rPr>
                <w:color w:val="auto"/>
                <w:highlight w:val="none"/>
              </w:rPr>
            </w:pPr>
            <w:r>
              <w:rPr>
                <w:color w:val="auto"/>
                <w:highlight w:val="none"/>
              </w:rPr>
              <w:t>2</w:t>
            </w:r>
          </w:p>
        </w:tc>
        <w:tc>
          <w:tcPr>
            <w:tcW w:w="1785" w:type="dxa"/>
          </w:tcPr>
          <w:p w14:paraId="361B2C30">
            <w:pPr>
              <w:rPr>
                <w:rFonts w:ascii="Arial"/>
                <w:color w:val="auto"/>
                <w:highlight w:val="none"/>
              </w:rPr>
            </w:pPr>
          </w:p>
        </w:tc>
        <w:tc>
          <w:tcPr>
            <w:tcW w:w="1339" w:type="dxa"/>
          </w:tcPr>
          <w:p w14:paraId="51CC728C">
            <w:pPr>
              <w:rPr>
                <w:rFonts w:ascii="Arial"/>
                <w:color w:val="auto"/>
                <w:highlight w:val="none"/>
              </w:rPr>
            </w:pPr>
          </w:p>
        </w:tc>
        <w:tc>
          <w:tcPr>
            <w:tcW w:w="1341" w:type="dxa"/>
          </w:tcPr>
          <w:p w14:paraId="5CE5E641">
            <w:pPr>
              <w:rPr>
                <w:rFonts w:ascii="Arial"/>
                <w:color w:val="auto"/>
                <w:highlight w:val="none"/>
              </w:rPr>
            </w:pPr>
          </w:p>
        </w:tc>
        <w:tc>
          <w:tcPr>
            <w:tcW w:w="1339" w:type="dxa"/>
          </w:tcPr>
          <w:p w14:paraId="3F87CA2F">
            <w:pPr>
              <w:rPr>
                <w:rFonts w:ascii="Arial"/>
                <w:color w:val="auto"/>
                <w:highlight w:val="none"/>
              </w:rPr>
            </w:pPr>
          </w:p>
        </w:tc>
        <w:tc>
          <w:tcPr>
            <w:tcW w:w="1339" w:type="dxa"/>
          </w:tcPr>
          <w:p w14:paraId="093C7F08">
            <w:pPr>
              <w:rPr>
                <w:rFonts w:ascii="Arial"/>
                <w:color w:val="auto"/>
                <w:highlight w:val="none"/>
              </w:rPr>
            </w:pPr>
          </w:p>
        </w:tc>
        <w:tc>
          <w:tcPr>
            <w:tcW w:w="1339" w:type="dxa"/>
          </w:tcPr>
          <w:p w14:paraId="2DD7738F">
            <w:pPr>
              <w:rPr>
                <w:rFonts w:ascii="Arial"/>
                <w:color w:val="auto"/>
                <w:highlight w:val="none"/>
              </w:rPr>
            </w:pPr>
          </w:p>
        </w:tc>
        <w:tc>
          <w:tcPr>
            <w:tcW w:w="1342" w:type="dxa"/>
          </w:tcPr>
          <w:p w14:paraId="30AA93BA">
            <w:pPr>
              <w:rPr>
                <w:rFonts w:ascii="Arial"/>
                <w:color w:val="auto"/>
                <w:highlight w:val="none"/>
              </w:rPr>
            </w:pPr>
          </w:p>
        </w:tc>
        <w:tc>
          <w:tcPr>
            <w:tcW w:w="1348" w:type="dxa"/>
          </w:tcPr>
          <w:p w14:paraId="3061BF8B">
            <w:pPr>
              <w:rPr>
                <w:rFonts w:ascii="Arial"/>
                <w:color w:val="auto"/>
                <w:highlight w:val="none"/>
              </w:rPr>
            </w:pPr>
          </w:p>
        </w:tc>
        <w:tc>
          <w:tcPr>
            <w:tcW w:w="2075" w:type="dxa"/>
          </w:tcPr>
          <w:p w14:paraId="1BE52902">
            <w:pPr>
              <w:rPr>
                <w:rFonts w:ascii="Arial"/>
                <w:color w:val="auto"/>
                <w:highlight w:val="none"/>
              </w:rPr>
            </w:pPr>
          </w:p>
        </w:tc>
      </w:tr>
      <w:tr w14:paraId="4DDA5F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90" w:type="dxa"/>
          </w:tcPr>
          <w:p w14:paraId="6C010AF6">
            <w:pPr>
              <w:pStyle w:val="185"/>
              <w:spacing w:before="138" w:line="241" w:lineRule="auto"/>
              <w:ind w:left="351"/>
              <w:rPr>
                <w:color w:val="auto"/>
                <w:highlight w:val="none"/>
              </w:rPr>
            </w:pPr>
            <w:r>
              <w:rPr>
                <w:color w:val="auto"/>
                <w:highlight w:val="none"/>
              </w:rPr>
              <w:t>3</w:t>
            </w:r>
          </w:p>
        </w:tc>
        <w:tc>
          <w:tcPr>
            <w:tcW w:w="1785" w:type="dxa"/>
          </w:tcPr>
          <w:p w14:paraId="722906D2">
            <w:pPr>
              <w:rPr>
                <w:rFonts w:ascii="Arial"/>
                <w:color w:val="auto"/>
                <w:highlight w:val="none"/>
              </w:rPr>
            </w:pPr>
          </w:p>
        </w:tc>
        <w:tc>
          <w:tcPr>
            <w:tcW w:w="1339" w:type="dxa"/>
          </w:tcPr>
          <w:p w14:paraId="53CDD39B">
            <w:pPr>
              <w:rPr>
                <w:rFonts w:ascii="Arial"/>
                <w:color w:val="auto"/>
                <w:highlight w:val="none"/>
              </w:rPr>
            </w:pPr>
          </w:p>
        </w:tc>
        <w:tc>
          <w:tcPr>
            <w:tcW w:w="1341" w:type="dxa"/>
          </w:tcPr>
          <w:p w14:paraId="20BF689B">
            <w:pPr>
              <w:rPr>
                <w:rFonts w:ascii="Arial"/>
                <w:color w:val="auto"/>
                <w:highlight w:val="none"/>
              </w:rPr>
            </w:pPr>
          </w:p>
        </w:tc>
        <w:tc>
          <w:tcPr>
            <w:tcW w:w="1339" w:type="dxa"/>
          </w:tcPr>
          <w:p w14:paraId="79B81313">
            <w:pPr>
              <w:rPr>
                <w:rFonts w:ascii="Arial"/>
                <w:color w:val="auto"/>
                <w:highlight w:val="none"/>
              </w:rPr>
            </w:pPr>
          </w:p>
        </w:tc>
        <w:tc>
          <w:tcPr>
            <w:tcW w:w="1339" w:type="dxa"/>
          </w:tcPr>
          <w:p w14:paraId="730B4F71">
            <w:pPr>
              <w:rPr>
                <w:rFonts w:ascii="Arial"/>
                <w:color w:val="auto"/>
                <w:highlight w:val="none"/>
              </w:rPr>
            </w:pPr>
          </w:p>
        </w:tc>
        <w:tc>
          <w:tcPr>
            <w:tcW w:w="1339" w:type="dxa"/>
          </w:tcPr>
          <w:p w14:paraId="279358EF">
            <w:pPr>
              <w:rPr>
                <w:rFonts w:ascii="Arial"/>
                <w:color w:val="auto"/>
                <w:highlight w:val="none"/>
              </w:rPr>
            </w:pPr>
          </w:p>
        </w:tc>
        <w:tc>
          <w:tcPr>
            <w:tcW w:w="1342" w:type="dxa"/>
          </w:tcPr>
          <w:p w14:paraId="29676738">
            <w:pPr>
              <w:rPr>
                <w:rFonts w:ascii="Arial"/>
                <w:color w:val="auto"/>
                <w:highlight w:val="none"/>
              </w:rPr>
            </w:pPr>
          </w:p>
        </w:tc>
        <w:tc>
          <w:tcPr>
            <w:tcW w:w="1348" w:type="dxa"/>
          </w:tcPr>
          <w:p w14:paraId="0656EDD7">
            <w:pPr>
              <w:rPr>
                <w:rFonts w:ascii="Arial"/>
                <w:color w:val="auto"/>
                <w:highlight w:val="none"/>
              </w:rPr>
            </w:pPr>
          </w:p>
        </w:tc>
        <w:tc>
          <w:tcPr>
            <w:tcW w:w="2075" w:type="dxa"/>
          </w:tcPr>
          <w:p w14:paraId="6B193BF3">
            <w:pPr>
              <w:rPr>
                <w:rFonts w:ascii="Arial"/>
                <w:color w:val="auto"/>
                <w:highlight w:val="none"/>
              </w:rPr>
            </w:pPr>
          </w:p>
        </w:tc>
      </w:tr>
      <w:tr w14:paraId="7EB519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790" w:type="dxa"/>
          </w:tcPr>
          <w:p w14:paraId="601E6BB8">
            <w:pPr>
              <w:pStyle w:val="185"/>
              <w:spacing w:before="142" w:line="242" w:lineRule="auto"/>
              <w:ind w:left="346"/>
              <w:rPr>
                <w:color w:val="auto"/>
                <w:highlight w:val="none"/>
              </w:rPr>
            </w:pPr>
            <w:r>
              <w:rPr>
                <w:color w:val="auto"/>
                <w:highlight w:val="none"/>
              </w:rPr>
              <w:t>4</w:t>
            </w:r>
          </w:p>
        </w:tc>
        <w:tc>
          <w:tcPr>
            <w:tcW w:w="1785" w:type="dxa"/>
          </w:tcPr>
          <w:p w14:paraId="604FAEAC">
            <w:pPr>
              <w:rPr>
                <w:rFonts w:ascii="Arial"/>
                <w:color w:val="auto"/>
                <w:highlight w:val="none"/>
              </w:rPr>
            </w:pPr>
          </w:p>
        </w:tc>
        <w:tc>
          <w:tcPr>
            <w:tcW w:w="1339" w:type="dxa"/>
          </w:tcPr>
          <w:p w14:paraId="077BD60B">
            <w:pPr>
              <w:rPr>
                <w:rFonts w:ascii="Arial"/>
                <w:color w:val="auto"/>
                <w:highlight w:val="none"/>
              </w:rPr>
            </w:pPr>
          </w:p>
        </w:tc>
        <w:tc>
          <w:tcPr>
            <w:tcW w:w="1341" w:type="dxa"/>
          </w:tcPr>
          <w:p w14:paraId="043D2CBB">
            <w:pPr>
              <w:rPr>
                <w:rFonts w:ascii="Arial"/>
                <w:color w:val="auto"/>
                <w:highlight w:val="none"/>
              </w:rPr>
            </w:pPr>
          </w:p>
        </w:tc>
        <w:tc>
          <w:tcPr>
            <w:tcW w:w="1339" w:type="dxa"/>
          </w:tcPr>
          <w:p w14:paraId="16EE3C39">
            <w:pPr>
              <w:rPr>
                <w:rFonts w:ascii="Arial"/>
                <w:color w:val="auto"/>
                <w:highlight w:val="none"/>
              </w:rPr>
            </w:pPr>
          </w:p>
        </w:tc>
        <w:tc>
          <w:tcPr>
            <w:tcW w:w="1339" w:type="dxa"/>
          </w:tcPr>
          <w:p w14:paraId="78CD0A59">
            <w:pPr>
              <w:rPr>
                <w:rFonts w:ascii="Arial"/>
                <w:color w:val="auto"/>
                <w:highlight w:val="none"/>
              </w:rPr>
            </w:pPr>
          </w:p>
        </w:tc>
        <w:tc>
          <w:tcPr>
            <w:tcW w:w="1339" w:type="dxa"/>
          </w:tcPr>
          <w:p w14:paraId="63040379">
            <w:pPr>
              <w:rPr>
                <w:rFonts w:ascii="Arial"/>
                <w:color w:val="auto"/>
                <w:highlight w:val="none"/>
              </w:rPr>
            </w:pPr>
          </w:p>
        </w:tc>
        <w:tc>
          <w:tcPr>
            <w:tcW w:w="1342" w:type="dxa"/>
          </w:tcPr>
          <w:p w14:paraId="255E1442">
            <w:pPr>
              <w:rPr>
                <w:rFonts w:ascii="Arial"/>
                <w:color w:val="auto"/>
                <w:highlight w:val="none"/>
              </w:rPr>
            </w:pPr>
          </w:p>
        </w:tc>
        <w:tc>
          <w:tcPr>
            <w:tcW w:w="1348" w:type="dxa"/>
          </w:tcPr>
          <w:p w14:paraId="1FC275FA">
            <w:pPr>
              <w:rPr>
                <w:rFonts w:ascii="Arial"/>
                <w:color w:val="auto"/>
                <w:highlight w:val="none"/>
              </w:rPr>
            </w:pPr>
          </w:p>
        </w:tc>
        <w:tc>
          <w:tcPr>
            <w:tcW w:w="2075" w:type="dxa"/>
          </w:tcPr>
          <w:p w14:paraId="489C1DF3">
            <w:pPr>
              <w:rPr>
                <w:rFonts w:ascii="Arial"/>
                <w:color w:val="auto"/>
                <w:highlight w:val="none"/>
              </w:rPr>
            </w:pPr>
          </w:p>
        </w:tc>
      </w:tr>
      <w:tr w14:paraId="398C8D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790" w:type="dxa"/>
          </w:tcPr>
          <w:p w14:paraId="732CF646">
            <w:pPr>
              <w:pStyle w:val="185"/>
              <w:spacing w:before="142" w:line="241" w:lineRule="auto"/>
              <w:ind w:left="351"/>
              <w:rPr>
                <w:color w:val="auto"/>
                <w:highlight w:val="none"/>
              </w:rPr>
            </w:pPr>
            <w:r>
              <w:rPr>
                <w:color w:val="auto"/>
                <w:highlight w:val="none"/>
              </w:rPr>
              <w:t>5</w:t>
            </w:r>
          </w:p>
        </w:tc>
        <w:tc>
          <w:tcPr>
            <w:tcW w:w="1785" w:type="dxa"/>
          </w:tcPr>
          <w:p w14:paraId="33A7CEC5">
            <w:pPr>
              <w:rPr>
                <w:rFonts w:ascii="Arial"/>
                <w:color w:val="auto"/>
                <w:highlight w:val="none"/>
              </w:rPr>
            </w:pPr>
          </w:p>
        </w:tc>
        <w:tc>
          <w:tcPr>
            <w:tcW w:w="1339" w:type="dxa"/>
          </w:tcPr>
          <w:p w14:paraId="2214C4FB">
            <w:pPr>
              <w:rPr>
                <w:rFonts w:ascii="Arial"/>
                <w:color w:val="auto"/>
                <w:highlight w:val="none"/>
              </w:rPr>
            </w:pPr>
          </w:p>
        </w:tc>
        <w:tc>
          <w:tcPr>
            <w:tcW w:w="1341" w:type="dxa"/>
          </w:tcPr>
          <w:p w14:paraId="12408C44">
            <w:pPr>
              <w:rPr>
                <w:rFonts w:ascii="Arial"/>
                <w:color w:val="auto"/>
                <w:highlight w:val="none"/>
              </w:rPr>
            </w:pPr>
          </w:p>
        </w:tc>
        <w:tc>
          <w:tcPr>
            <w:tcW w:w="1339" w:type="dxa"/>
          </w:tcPr>
          <w:p w14:paraId="6FE40950">
            <w:pPr>
              <w:rPr>
                <w:rFonts w:ascii="Arial"/>
                <w:color w:val="auto"/>
                <w:highlight w:val="none"/>
              </w:rPr>
            </w:pPr>
          </w:p>
        </w:tc>
        <w:tc>
          <w:tcPr>
            <w:tcW w:w="1339" w:type="dxa"/>
          </w:tcPr>
          <w:p w14:paraId="1578306F">
            <w:pPr>
              <w:rPr>
                <w:rFonts w:ascii="Arial"/>
                <w:color w:val="auto"/>
                <w:highlight w:val="none"/>
              </w:rPr>
            </w:pPr>
          </w:p>
        </w:tc>
        <w:tc>
          <w:tcPr>
            <w:tcW w:w="1339" w:type="dxa"/>
          </w:tcPr>
          <w:p w14:paraId="431077F4">
            <w:pPr>
              <w:rPr>
                <w:rFonts w:ascii="Arial"/>
                <w:color w:val="auto"/>
                <w:highlight w:val="none"/>
              </w:rPr>
            </w:pPr>
          </w:p>
        </w:tc>
        <w:tc>
          <w:tcPr>
            <w:tcW w:w="1342" w:type="dxa"/>
          </w:tcPr>
          <w:p w14:paraId="5A9CBC90">
            <w:pPr>
              <w:rPr>
                <w:rFonts w:ascii="Arial"/>
                <w:color w:val="auto"/>
                <w:highlight w:val="none"/>
              </w:rPr>
            </w:pPr>
          </w:p>
        </w:tc>
        <w:tc>
          <w:tcPr>
            <w:tcW w:w="1348" w:type="dxa"/>
          </w:tcPr>
          <w:p w14:paraId="2C7A2472">
            <w:pPr>
              <w:rPr>
                <w:rFonts w:ascii="Arial"/>
                <w:color w:val="auto"/>
                <w:highlight w:val="none"/>
              </w:rPr>
            </w:pPr>
          </w:p>
        </w:tc>
        <w:tc>
          <w:tcPr>
            <w:tcW w:w="2075" w:type="dxa"/>
          </w:tcPr>
          <w:p w14:paraId="5DA7535C">
            <w:pPr>
              <w:rPr>
                <w:rFonts w:ascii="Arial"/>
                <w:color w:val="auto"/>
                <w:highlight w:val="none"/>
              </w:rPr>
            </w:pPr>
          </w:p>
        </w:tc>
      </w:tr>
      <w:tr w14:paraId="348EE6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790" w:type="dxa"/>
          </w:tcPr>
          <w:p w14:paraId="5DBD53B9">
            <w:pPr>
              <w:pStyle w:val="185"/>
              <w:spacing w:before="140" w:line="241" w:lineRule="auto"/>
              <w:ind w:left="348"/>
              <w:rPr>
                <w:color w:val="auto"/>
                <w:highlight w:val="none"/>
              </w:rPr>
            </w:pPr>
            <w:r>
              <w:rPr>
                <w:color w:val="auto"/>
                <w:highlight w:val="none"/>
              </w:rPr>
              <w:t>6</w:t>
            </w:r>
          </w:p>
        </w:tc>
        <w:tc>
          <w:tcPr>
            <w:tcW w:w="1785" w:type="dxa"/>
          </w:tcPr>
          <w:p w14:paraId="5000D8F3">
            <w:pPr>
              <w:rPr>
                <w:rFonts w:ascii="Arial"/>
                <w:color w:val="auto"/>
                <w:highlight w:val="none"/>
              </w:rPr>
            </w:pPr>
          </w:p>
        </w:tc>
        <w:tc>
          <w:tcPr>
            <w:tcW w:w="1339" w:type="dxa"/>
          </w:tcPr>
          <w:p w14:paraId="14CBE2AB">
            <w:pPr>
              <w:rPr>
                <w:rFonts w:ascii="Arial"/>
                <w:color w:val="auto"/>
                <w:highlight w:val="none"/>
              </w:rPr>
            </w:pPr>
          </w:p>
        </w:tc>
        <w:tc>
          <w:tcPr>
            <w:tcW w:w="1341" w:type="dxa"/>
          </w:tcPr>
          <w:p w14:paraId="30A410EB">
            <w:pPr>
              <w:rPr>
                <w:rFonts w:ascii="Arial"/>
                <w:color w:val="auto"/>
                <w:highlight w:val="none"/>
              </w:rPr>
            </w:pPr>
          </w:p>
        </w:tc>
        <w:tc>
          <w:tcPr>
            <w:tcW w:w="1339" w:type="dxa"/>
          </w:tcPr>
          <w:p w14:paraId="599682B4">
            <w:pPr>
              <w:rPr>
                <w:rFonts w:ascii="Arial"/>
                <w:color w:val="auto"/>
                <w:highlight w:val="none"/>
              </w:rPr>
            </w:pPr>
          </w:p>
        </w:tc>
        <w:tc>
          <w:tcPr>
            <w:tcW w:w="1339" w:type="dxa"/>
          </w:tcPr>
          <w:p w14:paraId="0A8D68B8">
            <w:pPr>
              <w:rPr>
                <w:rFonts w:ascii="Arial"/>
                <w:color w:val="auto"/>
                <w:highlight w:val="none"/>
              </w:rPr>
            </w:pPr>
          </w:p>
        </w:tc>
        <w:tc>
          <w:tcPr>
            <w:tcW w:w="1339" w:type="dxa"/>
          </w:tcPr>
          <w:p w14:paraId="4F7AB46B">
            <w:pPr>
              <w:rPr>
                <w:rFonts w:ascii="Arial"/>
                <w:color w:val="auto"/>
                <w:highlight w:val="none"/>
              </w:rPr>
            </w:pPr>
          </w:p>
        </w:tc>
        <w:tc>
          <w:tcPr>
            <w:tcW w:w="1342" w:type="dxa"/>
          </w:tcPr>
          <w:p w14:paraId="28C54E89">
            <w:pPr>
              <w:rPr>
                <w:rFonts w:ascii="Arial"/>
                <w:color w:val="auto"/>
                <w:highlight w:val="none"/>
              </w:rPr>
            </w:pPr>
          </w:p>
        </w:tc>
        <w:tc>
          <w:tcPr>
            <w:tcW w:w="1348" w:type="dxa"/>
          </w:tcPr>
          <w:p w14:paraId="52B9F476">
            <w:pPr>
              <w:rPr>
                <w:rFonts w:ascii="Arial"/>
                <w:color w:val="auto"/>
                <w:highlight w:val="none"/>
              </w:rPr>
            </w:pPr>
          </w:p>
        </w:tc>
        <w:tc>
          <w:tcPr>
            <w:tcW w:w="2075" w:type="dxa"/>
          </w:tcPr>
          <w:p w14:paraId="7477BA43">
            <w:pPr>
              <w:rPr>
                <w:rFonts w:ascii="Arial"/>
                <w:color w:val="auto"/>
                <w:highlight w:val="none"/>
              </w:rPr>
            </w:pPr>
          </w:p>
        </w:tc>
      </w:tr>
      <w:tr w14:paraId="2DEA56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90" w:type="dxa"/>
          </w:tcPr>
          <w:p w14:paraId="08BE9414">
            <w:pPr>
              <w:pStyle w:val="185"/>
              <w:spacing w:before="141" w:line="332" w:lineRule="exact"/>
              <w:ind w:left="204"/>
              <w:rPr>
                <w:color w:val="auto"/>
                <w:highlight w:val="none"/>
              </w:rPr>
            </w:pPr>
            <w:r>
              <w:rPr>
                <w:color w:val="auto"/>
                <w:spacing w:val="-10"/>
                <w:position w:val="2"/>
                <w:highlight w:val="none"/>
              </w:rPr>
              <w:t>……</w:t>
            </w:r>
          </w:p>
        </w:tc>
        <w:tc>
          <w:tcPr>
            <w:tcW w:w="1785" w:type="dxa"/>
          </w:tcPr>
          <w:p w14:paraId="51B8271F">
            <w:pPr>
              <w:rPr>
                <w:rFonts w:ascii="Arial"/>
                <w:color w:val="auto"/>
                <w:highlight w:val="none"/>
              </w:rPr>
            </w:pPr>
          </w:p>
        </w:tc>
        <w:tc>
          <w:tcPr>
            <w:tcW w:w="1339" w:type="dxa"/>
          </w:tcPr>
          <w:p w14:paraId="06A12E76">
            <w:pPr>
              <w:rPr>
                <w:rFonts w:ascii="Arial"/>
                <w:color w:val="auto"/>
                <w:highlight w:val="none"/>
              </w:rPr>
            </w:pPr>
          </w:p>
        </w:tc>
        <w:tc>
          <w:tcPr>
            <w:tcW w:w="1341" w:type="dxa"/>
          </w:tcPr>
          <w:p w14:paraId="2ED1E00B">
            <w:pPr>
              <w:rPr>
                <w:rFonts w:ascii="Arial"/>
                <w:color w:val="auto"/>
                <w:highlight w:val="none"/>
              </w:rPr>
            </w:pPr>
          </w:p>
        </w:tc>
        <w:tc>
          <w:tcPr>
            <w:tcW w:w="1339" w:type="dxa"/>
          </w:tcPr>
          <w:p w14:paraId="61EF7B6B">
            <w:pPr>
              <w:rPr>
                <w:rFonts w:ascii="Arial"/>
                <w:color w:val="auto"/>
                <w:highlight w:val="none"/>
              </w:rPr>
            </w:pPr>
          </w:p>
        </w:tc>
        <w:tc>
          <w:tcPr>
            <w:tcW w:w="1339" w:type="dxa"/>
          </w:tcPr>
          <w:p w14:paraId="481CC85F">
            <w:pPr>
              <w:rPr>
                <w:rFonts w:ascii="Arial"/>
                <w:color w:val="auto"/>
                <w:highlight w:val="none"/>
              </w:rPr>
            </w:pPr>
          </w:p>
        </w:tc>
        <w:tc>
          <w:tcPr>
            <w:tcW w:w="1339" w:type="dxa"/>
          </w:tcPr>
          <w:p w14:paraId="006F42B6">
            <w:pPr>
              <w:rPr>
                <w:rFonts w:ascii="Arial"/>
                <w:color w:val="auto"/>
                <w:highlight w:val="none"/>
              </w:rPr>
            </w:pPr>
          </w:p>
        </w:tc>
        <w:tc>
          <w:tcPr>
            <w:tcW w:w="1342" w:type="dxa"/>
          </w:tcPr>
          <w:p w14:paraId="2A41A37F">
            <w:pPr>
              <w:rPr>
                <w:rFonts w:ascii="Arial"/>
                <w:color w:val="auto"/>
                <w:highlight w:val="none"/>
              </w:rPr>
            </w:pPr>
          </w:p>
        </w:tc>
        <w:tc>
          <w:tcPr>
            <w:tcW w:w="1348" w:type="dxa"/>
          </w:tcPr>
          <w:p w14:paraId="24258EE0">
            <w:pPr>
              <w:rPr>
                <w:rFonts w:ascii="Arial"/>
                <w:color w:val="auto"/>
                <w:highlight w:val="none"/>
              </w:rPr>
            </w:pPr>
          </w:p>
        </w:tc>
        <w:tc>
          <w:tcPr>
            <w:tcW w:w="2075" w:type="dxa"/>
          </w:tcPr>
          <w:p w14:paraId="764AC3DB">
            <w:pPr>
              <w:rPr>
                <w:rFonts w:ascii="Arial"/>
                <w:color w:val="auto"/>
                <w:highlight w:val="none"/>
              </w:rPr>
            </w:pPr>
          </w:p>
        </w:tc>
      </w:tr>
      <w:tr w14:paraId="0B7C8D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1" w:hRule="atLeast"/>
        </w:trPr>
        <w:tc>
          <w:tcPr>
            <w:tcW w:w="14037" w:type="dxa"/>
            <w:gridSpan w:val="10"/>
          </w:tcPr>
          <w:p w14:paraId="1DF0406B">
            <w:pPr>
              <w:pStyle w:val="185"/>
              <w:spacing w:before="33" w:line="220" w:lineRule="auto"/>
              <w:ind w:left="116"/>
              <w:rPr>
                <w:color w:val="auto"/>
                <w:highlight w:val="none"/>
                <w:lang w:eastAsia="zh-CN"/>
              </w:rPr>
            </w:pPr>
            <w:r>
              <w:rPr>
                <w:color w:val="auto"/>
                <w:spacing w:val="-3"/>
                <w:highlight w:val="none"/>
                <w:lang w:eastAsia="zh-CN"/>
              </w:rPr>
              <w:t>承包人建议书评委签名：</w:t>
            </w:r>
          </w:p>
        </w:tc>
      </w:tr>
    </w:tbl>
    <w:p w14:paraId="3FF5F0C0">
      <w:pPr>
        <w:spacing w:line="221" w:lineRule="auto"/>
        <w:ind w:firstLine="11468" w:firstLineChars="6100"/>
        <w:rPr>
          <w:rFonts w:ascii="宋体" w:hAnsi="宋体" w:cs="宋体"/>
          <w:color w:val="auto"/>
          <w:spacing w:val="-11"/>
          <w:szCs w:val="21"/>
          <w:highlight w:val="none"/>
        </w:rPr>
      </w:pPr>
      <w:r>
        <w:rPr>
          <w:rFonts w:ascii="宋体" w:hAnsi="宋体" w:cs="宋体"/>
          <w:color w:val="auto"/>
          <w:spacing w:val="-11"/>
          <w:szCs w:val="21"/>
          <w:highlight w:val="none"/>
        </w:rPr>
        <w:t>日期：</w:t>
      </w:r>
      <w:r>
        <w:rPr>
          <w:rFonts w:hint="eastAsia" w:ascii="宋体" w:hAnsi="宋体" w:cs="宋体"/>
          <w:color w:val="auto"/>
          <w:spacing w:val="-11"/>
          <w:szCs w:val="21"/>
          <w:highlight w:val="none"/>
          <w:lang w:val="en-US" w:eastAsia="zh-CN"/>
        </w:rPr>
        <w:t xml:space="preserve">    </w:t>
      </w:r>
      <w:r>
        <w:rPr>
          <w:rFonts w:ascii="宋体" w:hAnsi="宋体" w:cs="宋体"/>
          <w:color w:val="auto"/>
          <w:spacing w:val="-11"/>
          <w:szCs w:val="21"/>
          <w:highlight w:val="none"/>
        </w:rPr>
        <w:t>年</w:t>
      </w:r>
      <w:r>
        <w:rPr>
          <w:rFonts w:hint="eastAsia" w:ascii="宋体" w:hAnsi="宋体" w:cs="宋体"/>
          <w:color w:val="auto"/>
          <w:spacing w:val="-11"/>
          <w:szCs w:val="21"/>
          <w:highlight w:val="none"/>
          <w:lang w:val="en-US" w:eastAsia="zh-CN"/>
        </w:rPr>
        <w:t xml:space="preserve">    </w:t>
      </w:r>
      <w:r>
        <w:rPr>
          <w:rFonts w:ascii="宋体" w:hAnsi="宋体" w:cs="宋体"/>
          <w:color w:val="auto"/>
          <w:spacing w:val="-11"/>
          <w:szCs w:val="21"/>
          <w:highlight w:val="none"/>
        </w:rPr>
        <w:t>月</w:t>
      </w:r>
      <w:r>
        <w:rPr>
          <w:rFonts w:hint="eastAsia" w:ascii="宋体" w:hAnsi="宋体" w:cs="宋体"/>
          <w:color w:val="auto"/>
          <w:spacing w:val="-11"/>
          <w:szCs w:val="21"/>
          <w:highlight w:val="none"/>
          <w:lang w:val="en-US" w:eastAsia="zh-CN"/>
        </w:rPr>
        <w:t xml:space="preserve">    </w:t>
      </w:r>
      <w:r>
        <w:rPr>
          <w:rFonts w:ascii="宋体" w:hAnsi="宋体" w:cs="宋体"/>
          <w:color w:val="auto"/>
          <w:spacing w:val="-11"/>
          <w:szCs w:val="21"/>
          <w:highlight w:val="none"/>
        </w:rPr>
        <w:t>日</w:t>
      </w:r>
    </w:p>
    <w:p w14:paraId="2CBE4399">
      <w:pPr>
        <w:spacing w:line="221" w:lineRule="auto"/>
        <w:jc w:val="both"/>
        <w:rPr>
          <w:rFonts w:ascii="宋体" w:hAnsi="宋体" w:cs="宋体"/>
          <w:color w:val="auto"/>
          <w:szCs w:val="21"/>
          <w:highlight w:val="none"/>
        </w:rPr>
        <w:sectPr>
          <w:footerReference r:id="rId32" w:type="default"/>
          <w:pgSz w:w="16839" w:h="11907"/>
          <w:pgMar w:top="400" w:right="1396" w:bottom="1170" w:left="1399" w:header="0" w:footer="939" w:gutter="0"/>
          <w:pgNumType w:fmt="decimal"/>
          <w:cols w:space="720" w:num="1"/>
        </w:sectPr>
      </w:pPr>
    </w:p>
    <w:p w14:paraId="7379B595">
      <w:pPr>
        <w:pStyle w:val="17"/>
        <w:spacing w:line="285" w:lineRule="auto"/>
        <w:rPr>
          <w:color w:val="auto"/>
          <w:highlight w:val="none"/>
        </w:rPr>
      </w:pPr>
    </w:p>
    <w:p w14:paraId="40B226E7">
      <w:pPr>
        <w:spacing w:before="78" w:line="218" w:lineRule="auto"/>
        <w:ind w:left="251"/>
        <w:outlineLvl w:val="2"/>
        <w:rPr>
          <w:rFonts w:ascii="黑体" w:hAnsi="黑体" w:eastAsia="黑体" w:cs="黑体"/>
          <w:color w:val="auto"/>
          <w:sz w:val="24"/>
          <w:highlight w:val="none"/>
        </w:rPr>
      </w:pPr>
      <w:bookmarkStart w:id="298" w:name="bookmark419"/>
      <w:bookmarkEnd w:id="298"/>
      <w:bookmarkStart w:id="299" w:name="_Toc7637"/>
      <w:r>
        <w:rPr>
          <w:rFonts w:ascii="黑体" w:hAnsi="黑体" w:eastAsia="黑体" w:cs="黑体"/>
          <w:color w:val="auto"/>
          <w:spacing w:val="-2"/>
          <w:sz w:val="24"/>
          <w:highlight w:val="none"/>
        </w:rPr>
        <w:t>附表A-12：</w:t>
      </w:r>
      <w:r>
        <w:rPr>
          <w:rFonts w:hint="eastAsia" w:ascii="黑体" w:hAnsi="黑体" w:eastAsia="黑体" w:cs="黑体"/>
          <w:color w:val="auto"/>
          <w:spacing w:val="-2"/>
          <w:sz w:val="24"/>
          <w:highlight w:val="none"/>
          <w:lang w:val="en-US" w:eastAsia="zh-CN"/>
        </w:rPr>
        <w:t>技术标</w:t>
      </w:r>
      <w:r>
        <w:rPr>
          <w:rFonts w:ascii="黑体" w:hAnsi="黑体" w:eastAsia="黑体" w:cs="黑体"/>
          <w:color w:val="auto"/>
          <w:spacing w:val="-2"/>
          <w:sz w:val="24"/>
          <w:highlight w:val="none"/>
        </w:rPr>
        <w:t>评审记录表</w:t>
      </w:r>
      <w:r>
        <w:rPr>
          <w:rFonts w:ascii="黑体" w:hAnsi="黑体" w:eastAsia="黑体" w:cs="黑体"/>
          <w:color w:val="auto"/>
          <w:spacing w:val="-3"/>
          <w:sz w:val="24"/>
          <w:highlight w:val="none"/>
        </w:rPr>
        <w:t>（评分）</w:t>
      </w:r>
      <w:bookmarkEnd w:id="299"/>
    </w:p>
    <w:p w14:paraId="47B5D8ED">
      <w:pPr>
        <w:spacing w:before="285" w:line="218" w:lineRule="auto"/>
        <w:ind w:left="4943"/>
        <w:rPr>
          <w:rFonts w:ascii="黑体" w:hAnsi="黑体" w:eastAsia="黑体" w:cs="黑体"/>
          <w:color w:val="auto"/>
          <w:sz w:val="36"/>
          <w:szCs w:val="36"/>
          <w:highlight w:val="none"/>
        </w:rPr>
      </w:pPr>
      <w:bookmarkStart w:id="300" w:name="bookmark142"/>
      <w:bookmarkEnd w:id="300"/>
      <w:r>
        <w:rPr>
          <w:rFonts w:hint="eastAsia" w:ascii="黑体" w:hAnsi="黑体" w:eastAsia="黑体" w:cs="黑体"/>
          <w:color w:val="auto"/>
          <w:spacing w:val="-2"/>
          <w:sz w:val="36"/>
          <w:szCs w:val="36"/>
          <w:highlight w:val="none"/>
          <w:lang w:val="en-US" w:eastAsia="zh-CN"/>
        </w:rPr>
        <w:t>技术标</w:t>
      </w:r>
      <w:r>
        <w:rPr>
          <w:rFonts w:ascii="黑体" w:hAnsi="黑体" w:eastAsia="黑体" w:cs="黑体"/>
          <w:color w:val="auto"/>
          <w:spacing w:val="-2"/>
          <w:sz w:val="36"/>
          <w:szCs w:val="36"/>
          <w:highlight w:val="none"/>
        </w:rPr>
        <w:t>评审记录表</w:t>
      </w:r>
    </w:p>
    <w:p w14:paraId="2DC535FF">
      <w:pPr>
        <w:spacing w:before="242" w:line="221" w:lineRule="auto"/>
        <w:ind w:left="119"/>
        <w:rPr>
          <w:rFonts w:ascii="宋体" w:hAnsi="宋体" w:cs="宋体"/>
          <w:color w:val="auto"/>
          <w:szCs w:val="21"/>
          <w:highlight w:val="none"/>
        </w:rPr>
      </w:pPr>
      <w:r>
        <w:rPr>
          <w:rFonts w:ascii="宋体" w:hAnsi="宋体" w:cs="宋体"/>
          <w:color w:val="auto"/>
          <w:spacing w:val="-7"/>
          <w:szCs w:val="21"/>
          <w:highlight w:val="none"/>
        </w:rPr>
        <w:t>标段名称：</w:t>
      </w:r>
    </w:p>
    <w:p w14:paraId="08544BD2">
      <w:pPr>
        <w:spacing w:before="19" w:line="214" w:lineRule="auto"/>
        <w:ind w:left="119"/>
        <w:rPr>
          <w:rFonts w:ascii="宋体" w:hAnsi="宋体" w:cs="宋体"/>
          <w:color w:val="auto"/>
          <w:szCs w:val="21"/>
          <w:highlight w:val="none"/>
        </w:rPr>
      </w:pPr>
      <w:r>
        <w:rPr>
          <w:rFonts w:ascii="宋体" w:hAnsi="宋体" w:cs="宋体"/>
          <w:color w:val="auto"/>
          <w:spacing w:val="-1"/>
          <w:szCs w:val="21"/>
          <w:highlight w:val="none"/>
        </w:rPr>
        <w:t>标段唯一标识码：</w:t>
      </w:r>
    </w:p>
    <w:tbl>
      <w:tblPr>
        <w:tblStyle w:val="42"/>
        <w:tblW w:w="1417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0"/>
        <w:gridCol w:w="1792"/>
        <w:gridCol w:w="1342"/>
        <w:gridCol w:w="1343"/>
        <w:gridCol w:w="1341"/>
        <w:gridCol w:w="1341"/>
        <w:gridCol w:w="1344"/>
        <w:gridCol w:w="1344"/>
        <w:gridCol w:w="1353"/>
        <w:gridCol w:w="2186"/>
      </w:tblGrid>
      <w:tr w14:paraId="7C858B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790" w:type="dxa"/>
            <w:vMerge w:val="restart"/>
            <w:tcBorders>
              <w:bottom w:val="nil"/>
            </w:tcBorders>
          </w:tcPr>
          <w:p w14:paraId="23009063">
            <w:pPr>
              <w:pStyle w:val="185"/>
              <w:spacing w:before="258" w:line="222" w:lineRule="auto"/>
              <w:ind w:left="187"/>
              <w:rPr>
                <w:color w:val="auto"/>
                <w:highlight w:val="none"/>
              </w:rPr>
            </w:pPr>
            <w:r>
              <w:rPr>
                <w:b/>
                <w:bCs/>
                <w:color w:val="auto"/>
                <w:spacing w:val="-4"/>
                <w:highlight w:val="none"/>
              </w:rPr>
              <w:t>序号</w:t>
            </w:r>
          </w:p>
        </w:tc>
        <w:tc>
          <w:tcPr>
            <w:tcW w:w="1792" w:type="dxa"/>
            <w:vMerge w:val="restart"/>
            <w:tcBorders>
              <w:bottom w:val="nil"/>
            </w:tcBorders>
          </w:tcPr>
          <w:p w14:paraId="6B9A16A1">
            <w:pPr>
              <w:pStyle w:val="185"/>
              <w:spacing w:before="258" w:line="221" w:lineRule="auto"/>
              <w:ind w:left="375"/>
              <w:rPr>
                <w:color w:val="auto"/>
                <w:highlight w:val="none"/>
              </w:rPr>
            </w:pPr>
            <w:r>
              <w:rPr>
                <w:b/>
                <w:bCs/>
                <w:color w:val="auto"/>
                <w:spacing w:val="-3"/>
                <w:highlight w:val="none"/>
              </w:rPr>
              <w:t>投标人名称</w:t>
            </w:r>
          </w:p>
        </w:tc>
        <w:tc>
          <w:tcPr>
            <w:tcW w:w="9408" w:type="dxa"/>
            <w:gridSpan w:val="7"/>
          </w:tcPr>
          <w:p w14:paraId="594EB4D7">
            <w:pPr>
              <w:pStyle w:val="185"/>
              <w:spacing w:before="75" w:line="221" w:lineRule="auto"/>
              <w:ind w:left="3970"/>
              <w:rPr>
                <w:color w:val="auto"/>
                <w:highlight w:val="none"/>
              </w:rPr>
            </w:pPr>
            <w:r>
              <w:rPr>
                <w:b/>
                <w:bCs/>
                <w:color w:val="auto"/>
                <w:spacing w:val="-3"/>
                <w:highlight w:val="none"/>
              </w:rPr>
              <w:t>评委姓名及得分</w:t>
            </w:r>
          </w:p>
        </w:tc>
        <w:tc>
          <w:tcPr>
            <w:tcW w:w="2186" w:type="dxa"/>
            <w:vMerge w:val="restart"/>
            <w:tcBorders>
              <w:bottom w:val="nil"/>
            </w:tcBorders>
          </w:tcPr>
          <w:p w14:paraId="7C1AA036">
            <w:pPr>
              <w:pStyle w:val="185"/>
              <w:spacing w:before="122"/>
              <w:ind w:left="255" w:right="138" w:hanging="106"/>
              <w:jc w:val="center"/>
              <w:rPr>
                <w:color w:val="auto"/>
                <w:highlight w:val="none"/>
                <w:lang w:eastAsia="zh-CN"/>
              </w:rPr>
            </w:pPr>
            <w:r>
              <w:rPr>
                <w:b/>
                <w:bCs/>
                <w:color w:val="auto"/>
                <w:spacing w:val="-2"/>
                <w:highlight w:val="none"/>
                <w:lang w:eastAsia="zh-CN"/>
              </w:rPr>
              <w:t>承包人实施方案最终得分</w:t>
            </w:r>
          </w:p>
        </w:tc>
      </w:tr>
      <w:tr w14:paraId="51918C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790" w:type="dxa"/>
            <w:vMerge w:val="continue"/>
            <w:tcBorders>
              <w:top w:val="nil"/>
            </w:tcBorders>
          </w:tcPr>
          <w:p w14:paraId="51C95093">
            <w:pPr>
              <w:rPr>
                <w:rFonts w:ascii="Arial"/>
                <w:color w:val="auto"/>
                <w:highlight w:val="none"/>
              </w:rPr>
            </w:pPr>
          </w:p>
        </w:tc>
        <w:tc>
          <w:tcPr>
            <w:tcW w:w="1792" w:type="dxa"/>
            <w:vMerge w:val="continue"/>
            <w:tcBorders>
              <w:top w:val="nil"/>
            </w:tcBorders>
          </w:tcPr>
          <w:p w14:paraId="3F0F6568">
            <w:pPr>
              <w:rPr>
                <w:rFonts w:ascii="Arial"/>
                <w:color w:val="auto"/>
                <w:highlight w:val="none"/>
              </w:rPr>
            </w:pPr>
          </w:p>
        </w:tc>
        <w:tc>
          <w:tcPr>
            <w:tcW w:w="1342" w:type="dxa"/>
          </w:tcPr>
          <w:p w14:paraId="1B2B6105">
            <w:pPr>
              <w:pStyle w:val="185"/>
              <w:spacing w:before="73" w:line="221" w:lineRule="auto"/>
              <w:ind w:left="382"/>
              <w:rPr>
                <w:color w:val="auto"/>
                <w:highlight w:val="none"/>
              </w:rPr>
            </w:pPr>
            <w:r>
              <w:rPr>
                <w:b/>
                <w:bCs/>
                <w:color w:val="auto"/>
                <w:spacing w:val="-4"/>
                <w:highlight w:val="none"/>
              </w:rPr>
              <w:t>评委1</w:t>
            </w:r>
          </w:p>
        </w:tc>
        <w:tc>
          <w:tcPr>
            <w:tcW w:w="1343" w:type="dxa"/>
          </w:tcPr>
          <w:p w14:paraId="1EC72EB4">
            <w:pPr>
              <w:pStyle w:val="185"/>
              <w:spacing w:before="73" w:line="221" w:lineRule="auto"/>
              <w:ind w:left="384"/>
              <w:rPr>
                <w:color w:val="auto"/>
                <w:highlight w:val="none"/>
              </w:rPr>
            </w:pPr>
            <w:r>
              <w:rPr>
                <w:b/>
                <w:bCs/>
                <w:color w:val="auto"/>
                <w:spacing w:val="-4"/>
                <w:highlight w:val="none"/>
              </w:rPr>
              <w:t>评委2</w:t>
            </w:r>
          </w:p>
        </w:tc>
        <w:tc>
          <w:tcPr>
            <w:tcW w:w="1341" w:type="dxa"/>
          </w:tcPr>
          <w:p w14:paraId="60EBEF27">
            <w:pPr>
              <w:pStyle w:val="185"/>
              <w:spacing w:before="73" w:line="242" w:lineRule="auto"/>
              <w:ind w:left="476"/>
              <w:rPr>
                <w:color w:val="auto"/>
                <w:highlight w:val="none"/>
              </w:rPr>
            </w:pPr>
            <w:r>
              <w:rPr>
                <w:b/>
                <w:bCs/>
                <w:color w:val="auto"/>
                <w:spacing w:val="-12"/>
                <w:highlight w:val="none"/>
              </w:rPr>
              <w:t>……</w:t>
            </w:r>
          </w:p>
        </w:tc>
        <w:tc>
          <w:tcPr>
            <w:tcW w:w="1341" w:type="dxa"/>
          </w:tcPr>
          <w:p w14:paraId="19082F32">
            <w:pPr>
              <w:rPr>
                <w:rFonts w:ascii="Arial"/>
                <w:color w:val="auto"/>
                <w:highlight w:val="none"/>
              </w:rPr>
            </w:pPr>
          </w:p>
        </w:tc>
        <w:tc>
          <w:tcPr>
            <w:tcW w:w="1344" w:type="dxa"/>
          </w:tcPr>
          <w:p w14:paraId="5C1FCB3B">
            <w:pPr>
              <w:rPr>
                <w:rFonts w:ascii="Arial"/>
                <w:color w:val="auto"/>
                <w:highlight w:val="none"/>
              </w:rPr>
            </w:pPr>
          </w:p>
        </w:tc>
        <w:tc>
          <w:tcPr>
            <w:tcW w:w="1344" w:type="dxa"/>
          </w:tcPr>
          <w:p w14:paraId="7B42FE3E">
            <w:pPr>
              <w:rPr>
                <w:rFonts w:ascii="Arial"/>
                <w:color w:val="auto"/>
                <w:highlight w:val="none"/>
              </w:rPr>
            </w:pPr>
          </w:p>
        </w:tc>
        <w:tc>
          <w:tcPr>
            <w:tcW w:w="1353" w:type="dxa"/>
          </w:tcPr>
          <w:p w14:paraId="6E1C2F75">
            <w:pPr>
              <w:rPr>
                <w:rFonts w:ascii="Arial"/>
                <w:color w:val="auto"/>
                <w:highlight w:val="none"/>
              </w:rPr>
            </w:pPr>
          </w:p>
        </w:tc>
        <w:tc>
          <w:tcPr>
            <w:tcW w:w="2186" w:type="dxa"/>
            <w:vMerge w:val="continue"/>
            <w:tcBorders>
              <w:top w:val="nil"/>
            </w:tcBorders>
          </w:tcPr>
          <w:p w14:paraId="77D3D41A">
            <w:pPr>
              <w:rPr>
                <w:rFonts w:ascii="Arial"/>
                <w:color w:val="auto"/>
                <w:highlight w:val="none"/>
              </w:rPr>
            </w:pPr>
          </w:p>
        </w:tc>
      </w:tr>
      <w:tr w14:paraId="676271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90" w:type="dxa"/>
          </w:tcPr>
          <w:p w14:paraId="7FBD9EB4">
            <w:pPr>
              <w:pStyle w:val="185"/>
              <w:spacing w:before="134" w:line="242" w:lineRule="auto"/>
              <w:ind w:left="362"/>
              <w:rPr>
                <w:color w:val="auto"/>
                <w:highlight w:val="none"/>
              </w:rPr>
            </w:pPr>
            <w:r>
              <w:rPr>
                <w:color w:val="auto"/>
                <w:highlight w:val="none"/>
              </w:rPr>
              <w:t>1</w:t>
            </w:r>
          </w:p>
        </w:tc>
        <w:tc>
          <w:tcPr>
            <w:tcW w:w="1792" w:type="dxa"/>
          </w:tcPr>
          <w:p w14:paraId="28560B77">
            <w:pPr>
              <w:rPr>
                <w:rFonts w:ascii="Arial"/>
                <w:color w:val="auto"/>
                <w:highlight w:val="none"/>
              </w:rPr>
            </w:pPr>
          </w:p>
        </w:tc>
        <w:tc>
          <w:tcPr>
            <w:tcW w:w="1342" w:type="dxa"/>
          </w:tcPr>
          <w:p w14:paraId="4E19C07D">
            <w:pPr>
              <w:rPr>
                <w:rFonts w:ascii="Arial"/>
                <w:color w:val="auto"/>
                <w:highlight w:val="none"/>
              </w:rPr>
            </w:pPr>
          </w:p>
        </w:tc>
        <w:tc>
          <w:tcPr>
            <w:tcW w:w="1343" w:type="dxa"/>
          </w:tcPr>
          <w:p w14:paraId="45D1EDE2">
            <w:pPr>
              <w:rPr>
                <w:rFonts w:ascii="Arial"/>
                <w:color w:val="auto"/>
                <w:highlight w:val="none"/>
              </w:rPr>
            </w:pPr>
          </w:p>
        </w:tc>
        <w:tc>
          <w:tcPr>
            <w:tcW w:w="1341" w:type="dxa"/>
          </w:tcPr>
          <w:p w14:paraId="3A20A455">
            <w:pPr>
              <w:rPr>
                <w:rFonts w:ascii="Arial"/>
                <w:color w:val="auto"/>
                <w:highlight w:val="none"/>
              </w:rPr>
            </w:pPr>
          </w:p>
        </w:tc>
        <w:tc>
          <w:tcPr>
            <w:tcW w:w="1341" w:type="dxa"/>
          </w:tcPr>
          <w:p w14:paraId="53C7B7B7">
            <w:pPr>
              <w:rPr>
                <w:rFonts w:ascii="Arial"/>
                <w:color w:val="auto"/>
                <w:highlight w:val="none"/>
              </w:rPr>
            </w:pPr>
          </w:p>
        </w:tc>
        <w:tc>
          <w:tcPr>
            <w:tcW w:w="1344" w:type="dxa"/>
          </w:tcPr>
          <w:p w14:paraId="34CDDD61">
            <w:pPr>
              <w:rPr>
                <w:rFonts w:ascii="Arial"/>
                <w:color w:val="auto"/>
                <w:highlight w:val="none"/>
              </w:rPr>
            </w:pPr>
          </w:p>
        </w:tc>
        <w:tc>
          <w:tcPr>
            <w:tcW w:w="1344" w:type="dxa"/>
          </w:tcPr>
          <w:p w14:paraId="57802F9C">
            <w:pPr>
              <w:rPr>
                <w:rFonts w:ascii="Arial"/>
                <w:color w:val="auto"/>
                <w:highlight w:val="none"/>
              </w:rPr>
            </w:pPr>
          </w:p>
        </w:tc>
        <w:tc>
          <w:tcPr>
            <w:tcW w:w="1353" w:type="dxa"/>
          </w:tcPr>
          <w:p w14:paraId="7CB10D87">
            <w:pPr>
              <w:rPr>
                <w:rFonts w:ascii="Arial"/>
                <w:color w:val="auto"/>
                <w:highlight w:val="none"/>
              </w:rPr>
            </w:pPr>
          </w:p>
        </w:tc>
        <w:tc>
          <w:tcPr>
            <w:tcW w:w="2186" w:type="dxa"/>
          </w:tcPr>
          <w:p w14:paraId="55893431">
            <w:pPr>
              <w:rPr>
                <w:rFonts w:ascii="Arial"/>
                <w:color w:val="auto"/>
                <w:highlight w:val="none"/>
              </w:rPr>
            </w:pPr>
          </w:p>
        </w:tc>
      </w:tr>
      <w:tr w14:paraId="716A4C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90" w:type="dxa"/>
          </w:tcPr>
          <w:p w14:paraId="75070985">
            <w:pPr>
              <w:pStyle w:val="185"/>
              <w:spacing w:before="137" w:line="242" w:lineRule="auto"/>
              <w:ind w:left="349"/>
              <w:rPr>
                <w:color w:val="auto"/>
                <w:highlight w:val="none"/>
              </w:rPr>
            </w:pPr>
            <w:r>
              <w:rPr>
                <w:color w:val="auto"/>
                <w:highlight w:val="none"/>
              </w:rPr>
              <w:t>2</w:t>
            </w:r>
          </w:p>
        </w:tc>
        <w:tc>
          <w:tcPr>
            <w:tcW w:w="1792" w:type="dxa"/>
          </w:tcPr>
          <w:p w14:paraId="4DAEF9C7">
            <w:pPr>
              <w:rPr>
                <w:rFonts w:ascii="Arial"/>
                <w:color w:val="auto"/>
                <w:highlight w:val="none"/>
              </w:rPr>
            </w:pPr>
          </w:p>
        </w:tc>
        <w:tc>
          <w:tcPr>
            <w:tcW w:w="1342" w:type="dxa"/>
          </w:tcPr>
          <w:p w14:paraId="54D3D146">
            <w:pPr>
              <w:rPr>
                <w:rFonts w:ascii="Arial"/>
                <w:color w:val="auto"/>
                <w:highlight w:val="none"/>
              </w:rPr>
            </w:pPr>
          </w:p>
        </w:tc>
        <w:tc>
          <w:tcPr>
            <w:tcW w:w="1343" w:type="dxa"/>
          </w:tcPr>
          <w:p w14:paraId="0FD10598">
            <w:pPr>
              <w:rPr>
                <w:rFonts w:ascii="Arial"/>
                <w:color w:val="auto"/>
                <w:highlight w:val="none"/>
              </w:rPr>
            </w:pPr>
          </w:p>
        </w:tc>
        <w:tc>
          <w:tcPr>
            <w:tcW w:w="1341" w:type="dxa"/>
          </w:tcPr>
          <w:p w14:paraId="24FCA16C">
            <w:pPr>
              <w:rPr>
                <w:rFonts w:ascii="Arial"/>
                <w:color w:val="auto"/>
                <w:highlight w:val="none"/>
              </w:rPr>
            </w:pPr>
          </w:p>
        </w:tc>
        <w:tc>
          <w:tcPr>
            <w:tcW w:w="1341" w:type="dxa"/>
          </w:tcPr>
          <w:p w14:paraId="55E0059C">
            <w:pPr>
              <w:rPr>
                <w:rFonts w:ascii="Arial"/>
                <w:color w:val="auto"/>
                <w:highlight w:val="none"/>
              </w:rPr>
            </w:pPr>
          </w:p>
        </w:tc>
        <w:tc>
          <w:tcPr>
            <w:tcW w:w="1344" w:type="dxa"/>
          </w:tcPr>
          <w:p w14:paraId="41ED1003">
            <w:pPr>
              <w:rPr>
                <w:rFonts w:ascii="Arial"/>
                <w:color w:val="auto"/>
                <w:highlight w:val="none"/>
              </w:rPr>
            </w:pPr>
          </w:p>
        </w:tc>
        <w:tc>
          <w:tcPr>
            <w:tcW w:w="1344" w:type="dxa"/>
          </w:tcPr>
          <w:p w14:paraId="3D3B3E13">
            <w:pPr>
              <w:rPr>
                <w:rFonts w:ascii="Arial"/>
                <w:color w:val="auto"/>
                <w:highlight w:val="none"/>
              </w:rPr>
            </w:pPr>
          </w:p>
        </w:tc>
        <w:tc>
          <w:tcPr>
            <w:tcW w:w="1353" w:type="dxa"/>
          </w:tcPr>
          <w:p w14:paraId="13C83E7E">
            <w:pPr>
              <w:rPr>
                <w:rFonts w:ascii="Arial"/>
                <w:color w:val="auto"/>
                <w:highlight w:val="none"/>
              </w:rPr>
            </w:pPr>
          </w:p>
        </w:tc>
        <w:tc>
          <w:tcPr>
            <w:tcW w:w="2186" w:type="dxa"/>
          </w:tcPr>
          <w:p w14:paraId="0FCF6659">
            <w:pPr>
              <w:rPr>
                <w:rFonts w:ascii="Arial"/>
                <w:color w:val="auto"/>
                <w:highlight w:val="none"/>
              </w:rPr>
            </w:pPr>
          </w:p>
        </w:tc>
      </w:tr>
      <w:tr w14:paraId="3D7FA3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790" w:type="dxa"/>
          </w:tcPr>
          <w:p w14:paraId="1CCD8072">
            <w:pPr>
              <w:pStyle w:val="185"/>
              <w:spacing w:before="137" w:line="241" w:lineRule="auto"/>
              <w:ind w:left="351"/>
              <w:rPr>
                <w:color w:val="auto"/>
                <w:highlight w:val="none"/>
              </w:rPr>
            </w:pPr>
            <w:r>
              <w:rPr>
                <w:color w:val="auto"/>
                <w:highlight w:val="none"/>
              </w:rPr>
              <w:t>3</w:t>
            </w:r>
          </w:p>
        </w:tc>
        <w:tc>
          <w:tcPr>
            <w:tcW w:w="1792" w:type="dxa"/>
          </w:tcPr>
          <w:p w14:paraId="5ABB6DFC">
            <w:pPr>
              <w:rPr>
                <w:rFonts w:ascii="Arial"/>
                <w:color w:val="auto"/>
                <w:highlight w:val="none"/>
              </w:rPr>
            </w:pPr>
          </w:p>
        </w:tc>
        <w:tc>
          <w:tcPr>
            <w:tcW w:w="1342" w:type="dxa"/>
          </w:tcPr>
          <w:p w14:paraId="0339653E">
            <w:pPr>
              <w:rPr>
                <w:rFonts w:ascii="Arial"/>
                <w:color w:val="auto"/>
                <w:highlight w:val="none"/>
              </w:rPr>
            </w:pPr>
          </w:p>
        </w:tc>
        <w:tc>
          <w:tcPr>
            <w:tcW w:w="1343" w:type="dxa"/>
          </w:tcPr>
          <w:p w14:paraId="42B36606">
            <w:pPr>
              <w:rPr>
                <w:rFonts w:ascii="Arial"/>
                <w:color w:val="auto"/>
                <w:highlight w:val="none"/>
              </w:rPr>
            </w:pPr>
          </w:p>
        </w:tc>
        <w:tc>
          <w:tcPr>
            <w:tcW w:w="1341" w:type="dxa"/>
          </w:tcPr>
          <w:p w14:paraId="1D38AA99">
            <w:pPr>
              <w:rPr>
                <w:rFonts w:ascii="Arial"/>
                <w:color w:val="auto"/>
                <w:highlight w:val="none"/>
              </w:rPr>
            </w:pPr>
          </w:p>
        </w:tc>
        <w:tc>
          <w:tcPr>
            <w:tcW w:w="1341" w:type="dxa"/>
          </w:tcPr>
          <w:p w14:paraId="73AAE220">
            <w:pPr>
              <w:rPr>
                <w:rFonts w:ascii="Arial"/>
                <w:color w:val="auto"/>
                <w:highlight w:val="none"/>
              </w:rPr>
            </w:pPr>
          </w:p>
        </w:tc>
        <w:tc>
          <w:tcPr>
            <w:tcW w:w="1344" w:type="dxa"/>
          </w:tcPr>
          <w:p w14:paraId="4BAAF0AF">
            <w:pPr>
              <w:rPr>
                <w:rFonts w:ascii="Arial"/>
                <w:color w:val="auto"/>
                <w:highlight w:val="none"/>
              </w:rPr>
            </w:pPr>
          </w:p>
        </w:tc>
        <w:tc>
          <w:tcPr>
            <w:tcW w:w="1344" w:type="dxa"/>
          </w:tcPr>
          <w:p w14:paraId="06065D99">
            <w:pPr>
              <w:rPr>
                <w:rFonts w:ascii="Arial"/>
                <w:color w:val="auto"/>
                <w:highlight w:val="none"/>
              </w:rPr>
            </w:pPr>
          </w:p>
        </w:tc>
        <w:tc>
          <w:tcPr>
            <w:tcW w:w="1353" w:type="dxa"/>
          </w:tcPr>
          <w:p w14:paraId="1164DA0D">
            <w:pPr>
              <w:rPr>
                <w:rFonts w:ascii="Arial"/>
                <w:color w:val="auto"/>
                <w:highlight w:val="none"/>
              </w:rPr>
            </w:pPr>
          </w:p>
        </w:tc>
        <w:tc>
          <w:tcPr>
            <w:tcW w:w="2186" w:type="dxa"/>
          </w:tcPr>
          <w:p w14:paraId="3B6E8E8A">
            <w:pPr>
              <w:rPr>
                <w:rFonts w:ascii="Arial"/>
                <w:color w:val="auto"/>
                <w:highlight w:val="none"/>
              </w:rPr>
            </w:pPr>
          </w:p>
        </w:tc>
      </w:tr>
      <w:tr w14:paraId="27841F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790" w:type="dxa"/>
          </w:tcPr>
          <w:p w14:paraId="11B4CD4A">
            <w:pPr>
              <w:pStyle w:val="185"/>
              <w:spacing w:before="135" w:line="242" w:lineRule="auto"/>
              <w:ind w:left="346"/>
              <w:rPr>
                <w:color w:val="auto"/>
                <w:highlight w:val="none"/>
              </w:rPr>
            </w:pPr>
            <w:r>
              <w:rPr>
                <w:color w:val="auto"/>
                <w:highlight w:val="none"/>
              </w:rPr>
              <w:t>4</w:t>
            </w:r>
          </w:p>
        </w:tc>
        <w:tc>
          <w:tcPr>
            <w:tcW w:w="1792" w:type="dxa"/>
          </w:tcPr>
          <w:p w14:paraId="146A7FD6">
            <w:pPr>
              <w:rPr>
                <w:rFonts w:ascii="Arial"/>
                <w:color w:val="auto"/>
                <w:highlight w:val="none"/>
              </w:rPr>
            </w:pPr>
          </w:p>
        </w:tc>
        <w:tc>
          <w:tcPr>
            <w:tcW w:w="1342" w:type="dxa"/>
          </w:tcPr>
          <w:p w14:paraId="1D293A1C">
            <w:pPr>
              <w:rPr>
                <w:rFonts w:ascii="Arial"/>
                <w:color w:val="auto"/>
                <w:highlight w:val="none"/>
              </w:rPr>
            </w:pPr>
          </w:p>
        </w:tc>
        <w:tc>
          <w:tcPr>
            <w:tcW w:w="1343" w:type="dxa"/>
          </w:tcPr>
          <w:p w14:paraId="2BE3FECE">
            <w:pPr>
              <w:rPr>
                <w:rFonts w:ascii="Arial"/>
                <w:color w:val="auto"/>
                <w:highlight w:val="none"/>
              </w:rPr>
            </w:pPr>
          </w:p>
        </w:tc>
        <w:tc>
          <w:tcPr>
            <w:tcW w:w="1341" w:type="dxa"/>
          </w:tcPr>
          <w:p w14:paraId="4CD8CE6B">
            <w:pPr>
              <w:rPr>
                <w:rFonts w:ascii="Arial"/>
                <w:color w:val="auto"/>
                <w:highlight w:val="none"/>
              </w:rPr>
            </w:pPr>
          </w:p>
        </w:tc>
        <w:tc>
          <w:tcPr>
            <w:tcW w:w="1341" w:type="dxa"/>
          </w:tcPr>
          <w:p w14:paraId="78880CF6">
            <w:pPr>
              <w:rPr>
                <w:rFonts w:ascii="Arial"/>
                <w:color w:val="auto"/>
                <w:highlight w:val="none"/>
              </w:rPr>
            </w:pPr>
          </w:p>
        </w:tc>
        <w:tc>
          <w:tcPr>
            <w:tcW w:w="1344" w:type="dxa"/>
          </w:tcPr>
          <w:p w14:paraId="4568D164">
            <w:pPr>
              <w:rPr>
                <w:rFonts w:ascii="Arial"/>
                <w:color w:val="auto"/>
                <w:highlight w:val="none"/>
              </w:rPr>
            </w:pPr>
          </w:p>
        </w:tc>
        <w:tc>
          <w:tcPr>
            <w:tcW w:w="1344" w:type="dxa"/>
          </w:tcPr>
          <w:p w14:paraId="02367067">
            <w:pPr>
              <w:rPr>
                <w:rFonts w:ascii="Arial"/>
                <w:color w:val="auto"/>
                <w:highlight w:val="none"/>
              </w:rPr>
            </w:pPr>
          </w:p>
        </w:tc>
        <w:tc>
          <w:tcPr>
            <w:tcW w:w="1353" w:type="dxa"/>
          </w:tcPr>
          <w:p w14:paraId="4B342605">
            <w:pPr>
              <w:rPr>
                <w:rFonts w:ascii="Arial"/>
                <w:color w:val="auto"/>
                <w:highlight w:val="none"/>
              </w:rPr>
            </w:pPr>
          </w:p>
        </w:tc>
        <w:tc>
          <w:tcPr>
            <w:tcW w:w="2186" w:type="dxa"/>
          </w:tcPr>
          <w:p w14:paraId="5A5D8B9E">
            <w:pPr>
              <w:rPr>
                <w:rFonts w:ascii="Arial"/>
                <w:color w:val="auto"/>
                <w:highlight w:val="none"/>
              </w:rPr>
            </w:pPr>
          </w:p>
        </w:tc>
      </w:tr>
      <w:tr w14:paraId="354C3E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90" w:type="dxa"/>
          </w:tcPr>
          <w:p w14:paraId="47BA9293">
            <w:pPr>
              <w:pStyle w:val="185"/>
              <w:spacing w:before="135" w:line="241" w:lineRule="auto"/>
              <w:ind w:left="351"/>
              <w:rPr>
                <w:color w:val="auto"/>
                <w:highlight w:val="none"/>
              </w:rPr>
            </w:pPr>
            <w:r>
              <w:rPr>
                <w:color w:val="auto"/>
                <w:highlight w:val="none"/>
              </w:rPr>
              <w:t>5</w:t>
            </w:r>
          </w:p>
        </w:tc>
        <w:tc>
          <w:tcPr>
            <w:tcW w:w="1792" w:type="dxa"/>
          </w:tcPr>
          <w:p w14:paraId="3D6C1467">
            <w:pPr>
              <w:rPr>
                <w:rFonts w:ascii="Arial"/>
                <w:color w:val="auto"/>
                <w:highlight w:val="none"/>
              </w:rPr>
            </w:pPr>
          </w:p>
        </w:tc>
        <w:tc>
          <w:tcPr>
            <w:tcW w:w="1342" w:type="dxa"/>
          </w:tcPr>
          <w:p w14:paraId="191CF89B">
            <w:pPr>
              <w:rPr>
                <w:rFonts w:ascii="Arial"/>
                <w:color w:val="auto"/>
                <w:highlight w:val="none"/>
              </w:rPr>
            </w:pPr>
          </w:p>
        </w:tc>
        <w:tc>
          <w:tcPr>
            <w:tcW w:w="1343" w:type="dxa"/>
          </w:tcPr>
          <w:p w14:paraId="64680ACF">
            <w:pPr>
              <w:rPr>
                <w:rFonts w:ascii="Arial"/>
                <w:color w:val="auto"/>
                <w:highlight w:val="none"/>
              </w:rPr>
            </w:pPr>
          </w:p>
        </w:tc>
        <w:tc>
          <w:tcPr>
            <w:tcW w:w="1341" w:type="dxa"/>
          </w:tcPr>
          <w:p w14:paraId="1E3136D6">
            <w:pPr>
              <w:rPr>
                <w:rFonts w:ascii="Arial"/>
                <w:color w:val="auto"/>
                <w:highlight w:val="none"/>
              </w:rPr>
            </w:pPr>
          </w:p>
        </w:tc>
        <w:tc>
          <w:tcPr>
            <w:tcW w:w="1341" w:type="dxa"/>
          </w:tcPr>
          <w:p w14:paraId="1A357FFA">
            <w:pPr>
              <w:rPr>
                <w:rFonts w:ascii="Arial"/>
                <w:color w:val="auto"/>
                <w:highlight w:val="none"/>
              </w:rPr>
            </w:pPr>
          </w:p>
        </w:tc>
        <w:tc>
          <w:tcPr>
            <w:tcW w:w="1344" w:type="dxa"/>
          </w:tcPr>
          <w:p w14:paraId="6BEC5D0C">
            <w:pPr>
              <w:rPr>
                <w:rFonts w:ascii="Arial"/>
                <w:color w:val="auto"/>
                <w:highlight w:val="none"/>
              </w:rPr>
            </w:pPr>
          </w:p>
        </w:tc>
        <w:tc>
          <w:tcPr>
            <w:tcW w:w="1344" w:type="dxa"/>
          </w:tcPr>
          <w:p w14:paraId="02014B0F">
            <w:pPr>
              <w:rPr>
                <w:rFonts w:ascii="Arial"/>
                <w:color w:val="auto"/>
                <w:highlight w:val="none"/>
              </w:rPr>
            </w:pPr>
          </w:p>
        </w:tc>
        <w:tc>
          <w:tcPr>
            <w:tcW w:w="1353" w:type="dxa"/>
          </w:tcPr>
          <w:p w14:paraId="40BC73BD">
            <w:pPr>
              <w:rPr>
                <w:rFonts w:ascii="Arial"/>
                <w:color w:val="auto"/>
                <w:highlight w:val="none"/>
              </w:rPr>
            </w:pPr>
          </w:p>
        </w:tc>
        <w:tc>
          <w:tcPr>
            <w:tcW w:w="2186" w:type="dxa"/>
          </w:tcPr>
          <w:p w14:paraId="6DF042D8">
            <w:pPr>
              <w:rPr>
                <w:rFonts w:ascii="Arial"/>
                <w:color w:val="auto"/>
                <w:highlight w:val="none"/>
              </w:rPr>
            </w:pPr>
          </w:p>
        </w:tc>
      </w:tr>
      <w:tr w14:paraId="0AF593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90" w:type="dxa"/>
          </w:tcPr>
          <w:p w14:paraId="7F4F3D2F">
            <w:pPr>
              <w:pStyle w:val="185"/>
              <w:spacing w:before="135" w:line="241" w:lineRule="auto"/>
              <w:ind w:left="348"/>
              <w:rPr>
                <w:color w:val="auto"/>
                <w:highlight w:val="none"/>
              </w:rPr>
            </w:pPr>
            <w:r>
              <w:rPr>
                <w:color w:val="auto"/>
                <w:highlight w:val="none"/>
              </w:rPr>
              <w:t>6</w:t>
            </w:r>
          </w:p>
        </w:tc>
        <w:tc>
          <w:tcPr>
            <w:tcW w:w="1792" w:type="dxa"/>
          </w:tcPr>
          <w:p w14:paraId="78B9643E">
            <w:pPr>
              <w:rPr>
                <w:rFonts w:ascii="Arial"/>
                <w:color w:val="auto"/>
                <w:highlight w:val="none"/>
              </w:rPr>
            </w:pPr>
          </w:p>
        </w:tc>
        <w:tc>
          <w:tcPr>
            <w:tcW w:w="1342" w:type="dxa"/>
          </w:tcPr>
          <w:p w14:paraId="15984090">
            <w:pPr>
              <w:rPr>
                <w:rFonts w:ascii="Arial"/>
                <w:color w:val="auto"/>
                <w:highlight w:val="none"/>
              </w:rPr>
            </w:pPr>
          </w:p>
        </w:tc>
        <w:tc>
          <w:tcPr>
            <w:tcW w:w="1343" w:type="dxa"/>
          </w:tcPr>
          <w:p w14:paraId="3EE22E4A">
            <w:pPr>
              <w:rPr>
                <w:rFonts w:ascii="Arial"/>
                <w:color w:val="auto"/>
                <w:highlight w:val="none"/>
              </w:rPr>
            </w:pPr>
          </w:p>
        </w:tc>
        <w:tc>
          <w:tcPr>
            <w:tcW w:w="1341" w:type="dxa"/>
          </w:tcPr>
          <w:p w14:paraId="3A6755F1">
            <w:pPr>
              <w:rPr>
                <w:rFonts w:ascii="Arial"/>
                <w:color w:val="auto"/>
                <w:highlight w:val="none"/>
              </w:rPr>
            </w:pPr>
          </w:p>
        </w:tc>
        <w:tc>
          <w:tcPr>
            <w:tcW w:w="1341" w:type="dxa"/>
          </w:tcPr>
          <w:p w14:paraId="4CACA23D">
            <w:pPr>
              <w:rPr>
                <w:rFonts w:ascii="Arial"/>
                <w:color w:val="auto"/>
                <w:highlight w:val="none"/>
              </w:rPr>
            </w:pPr>
          </w:p>
        </w:tc>
        <w:tc>
          <w:tcPr>
            <w:tcW w:w="1344" w:type="dxa"/>
          </w:tcPr>
          <w:p w14:paraId="37A40B11">
            <w:pPr>
              <w:rPr>
                <w:rFonts w:ascii="Arial"/>
                <w:color w:val="auto"/>
                <w:highlight w:val="none"/>
              </w:rPr>
            </w:pPr>
          </w:p>
        </w:tc>
        <w:tc>
          <w:tcPr>
            <w:tcW w:w="1344" w:type="dxa"/>
          </w:tcPr>
          <w:p w14:paraId="13377D57">
            <w:pPr>
              <w:rPr>
                <w:rFonts w:ascii="Arial"/>
                <w:color w:val="auto"/>
                <w:highlight w:val="none"/>
              </w:rPr>
            </w:pPr>
          </w:p>
        </w:tc>
        <w:tc>
          <w:tcPr>
            <w:tcW w:w="1353" w:type="dxa"/>
          </w:tcPr>
          <w:p w14:paraId="4ED1F07B">
            <w:pPr>
              <w:rPr>
                <w:rFonts w:ascii="Arial"/>
                <w:color w:val="auto"/>
                <w:highlight w:val="none"/>
              </w:rPr>
            </w:pPr>
          </w:p>
        </w:tc>
        <w:tc>
          <w:tcPr>
            <w:tcW w:w="2186" w:type="dxa"/>
          </w:tcPr>
          <w:p w14:paraId="4A4B8416">
            <w:pPr>
              <w:rPr>
                <w:rFonts w:ascii="Arial"/>
                <w:color w:val="auto"/>
                <w:highlight w:val="none"/>
              </w:rPr>
            </w:pPr>
          </w:p>
        </w:tc>
      </w:tr>
      <w:tr w14:paraId="55138C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90" w:type="dxa"/>
          </w:tcPr>
          <w:p w14:paraId="6BDECFF7">
            <w:pPr>
              <w:pStyle w:val="185"/>
              <w:spacing w:before="136" w:line="332" w:lineRule="exact"/>
              <w:ind w:left="203"/>
              <w:rPr>
                <w:color w:val="auto"/>
                <w:highlight w:val="none"/>
              </w:rPr>
            </w:pPr>
            <w:r>
              <w:rPr>
                <w:color w:val="auto"/>
                <w:spacing w:val="-10"/>
                <w:position w:val="2"/>
                <w:highlight w:val="none"/>
              </w:rPr>
              <w:t>……</w:t>
            </w:r>
          </w:p>
        </w:tc>
        <w:tc>
          <w:tcPr>
            <w:tcW w:w="1792" w:type="dxa"/>
          </w:tcPr>
          <w:p w14:paraId="0F963775">
            <w:pPr>
              <w:rPr>
                <w:rFonts w:ascii="Arial"/>
                <w:color w:val="auto"/>
                <w:highlight w:val="none"/>
              </w:rPr>
            </w:pPr>
          </w:p>
        </w:tc>
        <w:tc>
          <w:tcPr>
            <w:tcW w:w="1342" w:type="dxa"/>
          </w:tcPr>
          <w:p w14:paraId="13E2E780">
            <w:pPr>
              <w:rPr>
                <w:rFonts w:ascii="Arial"/>
                <w:color w:val="auto"/>
                <w:highlight w:val="none"/>
              </w:rPr>
            </w:pPr>
          </w:p>
        </w:tc>
        <w:tc>
          <w:tcPr>
            <w:tcW w:w="1343" w:type="dxa"/>
          </w:tcPr>
          <w:p w14:paraId="35B9BBA3">
            <w:pPr>
              <w:rPr>
                <w:rFonts w:ascii="Arial"/>
                <w:color w:val="auto"/>
                <w:highlight w:val="none"/>
              </w:rPr>
            </w:pPr>
          </w:p>
        </w:tc>
        <w:tc>
          <w:tcPr>
            <w:tcW w:w="1341" w:type="dxa"/>
          </w:tcPr>
          <w:p w14:paraId="2A5E3532">
            <w:pPr>
              <w:rPr>
                <w:rFonts w:ascii="Arial"/>
                <w:color w:val="auto"/>
                <w:highlight w:val="none"/>
              </w:rPr>
            </w:pPr>
          </w:p>
        </w:tc>
        <w:tc>
          <w:tcPr>
            <w:tcW w:w="1341" w:type="dxa"/>
          </w:tcPr>
          <w:p w14:paraId="23A9622F">
            <w:pPr>
              <w:rPr>
                <w:rFonts w:ascii="Arial"/>
                <w:color w:val="auto"/>
                <w:highlight w:val="none"/>
              </w:rPr>
            </w:pPr>
          </w:p>
        </w:tc>
        <w:tc>
          <w:tcPr>
            <w:tcW w:w="1344" w:type="dxa"/>
          </w:tcPr>
          <w:p w14:paraId="1A41A04B">
            <w:pPr>
              <w:rPr>
                <w:rFonts w:ascii="Arial"/>
                <w:color w:val="auto"/>
                <w:highlight w:val="none"/>
              </w:rPr>
            </w:pPr>
          </w:p>
        </w:tc>
        <w:tc>
          <w:tcPr>
            <w:tcW w:w="1344" w:type="dxa"/>
          </w:tcPr>
          <w:p w14:paraId="7E254D8D">
            <w:pPr>
              <w:rPr>
                <w:rFonts w:ascii="Arial"/>
                <w:color w:val="auto"/>
                <w:highlight w:val="none"/>
              </w:rPr>
            </w:pPr>
          </w:p>
        </w:tc>
        <w:tc>
          <w:tcPr>
            <w:tcW w:w="1353" w:type="dxa"/>
          </w:tcPr>
          <w:p w14:paraId="78252F3D">
            <w:pPr>
              <w:rPr>
                <w:rFonts w:ascii="Arial"/>
                <w:color w:val="auto"/>
                <w:highlight w:val="none"/>
              </w:rPr>
            </w:pPr>
          </w:p>
        </w:tc>
        <w:tc>
          <w:tcPr>
            <w:tcW w:w="2186" w:type="dxa"/>
          </w:tcPr>
          <w:p w14:paraId="5243E48A">
            <w:pPr>
              <w:rPr>
                <w:rFonts w:ascii="Arial"/>
                <w:color w:val="auto"/>
                <w:highlight w:val="none"/>
              </w:rPr>
            </w:pPr>
          </w:p>
        </w:tc>
      </w:tr>
      <w:tr w14:paraId="2A98D8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9" w:hRule="atLeast"/>
        </w:trPr>
        <w:tc>
          <w:tcPr>
            <w:tcW w:w="14176" w:type="dxa"/>
            <w:gridSpan w:val="10"/>
          </w:tcPr>
          <w:p w14:paraId="30C879E5">
            <w:pPr>
              <w:pStyle w:val="185"/>
              <w:spacing w:before="33" w:line="221" w:lineRule="auto"/>
              <w:ind w:left="116"/>
              <w:rPr>
                <w:color w:val="auto"/>
                <w:highlight w:val="none"/>
                <w:lang w:eastAsia="zh-CN"/>
              </w:rPr>
            </w:pPr>
            <w:r>
              <w:rPr>
                <w:color w:val="auto"/>
                <w:spacing w:val="-1"/>
                <w:highlight w:val="none"/>
                <w:lang w:eastAsia="zh-CN"/>
              </w:rPr>
              <w:t>承包人实施方案评委签名：</w:t>
            </w:r>
          </w:p>
        </w:tc>
      </w:tr>
    </w:tbl>
    <w:p w14:paraId="6480A755">
      <w:pPr>
        <w:spacing w:before="30" w:line="221" w:lineRule="auto"/>
        <w:ind w:left="10858"/>
        <w:rPr>
          <w:rFonts w:ascii="宋体" w:hAnsi="宋体" w:cs="宋体"/>
          <w:color w:val="auto"/>
          <w:spacing w:val="-11"/>
          <w:szCs w:val="21"/>
          <w:highlight w:val="none"/>
        </w:rPr>
      </w:pPr>
      <w:r>
        <w:rPr>
          <w:rFonts w:ascii="宋体" w:hAnsi="宋体" w:cs="宋体"/>
          <w:color w:val="auto"/>
          <w:spacing w:val="-11"/>
          <w:szCs w:val="21"/>
          <w:highlight w:val="none"/>
        </w:rPr>
        <w:t>日期：</w:t>
      </w:r>
      <w:r>
        <w:rPr>
          <w:rFonts w:hint="eastAsia" w:ascii="宋体" w:hAnsi="宋体" w:cs="宋体"/>
          <w:color w:val="auto"/>
          <w:spacing w:val="-11"/>
          <w:szCs w:val="21"/>
          <w:highlight w:val="none"/>
          <w:lang w:val="en-US" w:eastAsia="zh-CN"/>
        </w:rPr>
        <w:t xml:space="preserve">    </w:t>
      </w:r>
      <w:r>
        <w:rPr>
          <w:rFonts w:ascii="宋体" w:hAnsi="宋体" w:cs="宋体"/>
          <w:color w:val="auto"/>
          <w:spacing w:val="-11"/>
          <w:szCs w:val="21"/>
          <w:highlight w:val="none"/>
        </w:rPr>
        <w:t>年</w:t>
      </w:r>
      <w:r>
        <w:rPr>
          <w:rFonts w:hint="eastAsia" w:ascii="宋体" w:hAnsi="宋体" w:cs="宋体"/>
          <w:color w:val="auto"/>
          <w:spacing w:val="-11"/>
          <w:szCs w:val="21"/>
          <w:highlight w:val="none"/>
          <w:lang w:val="en-US" w:eastAsia="zh-CN"/>
        </w:rPr>
        <w:t xml:space="preserve">    </w:t>
      </w:r>
      <w:r>
        <w:rPr>
          <w:rFonts w:ascii="宋体" w:hAnsi="宋体" w:cs="宋体"/>
          <w:color w:val="auto"/>
          <w:spacing w:val="-11"/>
          <w:szCs w:val="21"/>
          <w:highlight w:val="none"/>
        </w:rPr>
        <w:t>月</w:t>
      </w:r>
      <w:r>
        <w:rPr>
          <w:rFonts w:hint="eastAsia" w:ascii="宋体" w:hAnsi="宋体" w:cs="宋体"/>
          <w:color w:val="auto"/>
          <w:spacing w:val="-11"/>
          <w:szCs w:val="21"/>
          <w:highlight w:val="none"/>
          <w:lang w:val="en-US" w:eastAsia="zh-CN"/>
        </w:rPr>
        <w:t xml:space="preserve">    </w:t>
      </w:r>
      <w:r>
        <w:rPr>
          <w:rFonts w:ascii="宋体" w:hAnsi="宋体" w:cs="宋体"/>
          <w:color w:val="auto"/>
          <w:spacing w:val="-11"/>
          <w:szCs w:val="21"/>
          <w:highlight w:val="none"/>
        </w:rPr>
        <w:t>日</w:t>
      </w:r>
    </w:p>
    <w:p w14:paraId="4BB59278">
      <w:pPr>
        <w:spacing w:before="30" w:line="221" w:lineRule="auto"/>
        <w:ind w:left="10858"/>
        <w:rPr>
          <w:rFonts w:ascii="宋体" w:hAnsi="宋体" w:cs="宋体"/>
          <w:color w:val="auto"/>
          <w:szCs w:val="21"/>
          <w:highlight w:val="none"/>
        </w:rPr>
      </w:pPr>
    </w:p>
    <w:p w14:paraId="25B0C27F">
      <w:pPr>
        <w:spacing w:line="221" w:lineRule="auto"/>
        <w:rPr>
          <w:rFonts w:ascii="宋体" w:hAnsi="宋体" w:cs="宋体"/>
          <w:color w:val="auto"/>
          <w:szCs w:val="21"/>
          <w:highlight w:val="none"/>
        </w:rPr>
        <w:sectPr>
          <w:footerReference r:id="rId33" w:type="default"/>
          <w:pgSz w:w="16839" w:h="11907"/>
          <w:pgMar w:top="400" w:right="1327" w:bottom="1170" w:left="1329" w:header="0" w:footer="939" w:gutter="0"/>
          <w:pgNumType w:fmt="decimal"/>
          <w:cols w:space="720" w:num="1"/>
        </w:sectPr>
      </w:pPr>
    </w:p>
    <w:p w14:paraId="69CF57EF">
      <w:pPr>
        <w:spacing w:before="64" w:line="218" w:lineRule="auto"/>
        <w:ind w:left="143"/>
        <w:rPr>
          <w:rFonts w:ascii="黑体" w:hAnsi="黑体" w:eastAsia="黑体" w:cs="黑体"/>
          <w:color w:val="auto"/>
          <w:spacing w:val="-3"/>
          <w:sz w:val="36"/>
          <w:szCs w:val="36"/>
          <w:highlight w:val="none"/>
        </w:rPr>
      </w:pPr>
      <w:bookmarkStart w:id="301" w:name="bookmark143"/>
      <w:bookmarkEnd w:id="301"/>
      <w:bookmarkStart w:id="302" w:name="_Toc1570"/>
      <w:r>
        <w:rPr>
          <w:rFonts w:ascii="黑体" w:hAnsi="黑体" w:eastAsia="黑体" w:cs="黑体"/>
          <w:color w:val="auto"/>
          <w:spacing w:val="-2"/>
          <w:sz w:val="24"/>
          <w:highlight w:val="none"/>
        </w:rPr>
        <w:t>附表A-13：</w:t>
      </w:r>
      <w:r>
        <w:rPr>
          <w:rFonts w:ascii="黑体" w:hAnsi="黑体" w:eastAsia="黑体" w:cs="黑体"/>
          <w:color w:val="auto"/>
          <w:spacing w:val="-2"/>
          <w:sz w:val="24"/>
          <w:highlight w:val="none"/>
          <w:lang w:val="en-US" w:eastAsia="zh-CN"/>
        </w:rPr>
        <w:t>技术标</w:t>
      </w:r>
      <w:r>
        <w:rPr>
          <w:rFonts w:ascii="黑体" w:hAnsi="黑体" w:eastAsia="黑体" w:cs="黑体"/>
          <w:color w:val="auto"/>
          <w:spacing w:val="-2"/>
          <w:sz w:val="24"/>
          <w:highlight w:val="none"/>
        </w:rPr>
        <w:t>评审记录表</w:t>
      </w:r>
      <w:r>
        <w:rPr>
          <w:rFonts w:ascii="黑体" w:hAnsi="黑体" w:eastAsia="黑体" w:cs="黑体"/>
          <w:color w:val="auto"/>
          <w:spacing w:val="-3"/>
          <w:sz w:val="24"/>
          <w:highlight w:val="none"/>
        </w:rPr>
        <w:t>（个人）</w:t>
      </w:r>
    </w:p>
    <w:p w14:paraId="28BD3636">
      <w:pPr>
        <w:spacing w:before="264" w:line="218" w:lineRule="auto"/>
        <w:ind w:left="4115"/>
        <w:outlineLvl w:val="9"/>
        <w:rPr>
          <w:rFonts w:ascii="黑体" w:hAnsi="黑体" w:eastAsia="黑体" w:cs="黑体"/>
          <w:color w:val="auto"/>
          <w:sz w:val="36"/>
          <w:szCs w:val="36"/>
          <w:highlight w:val="none"/>
        </w:rPr>
      </w:pPr>
      <w:r>
        <w:rPr>
          <w:rFonts w:hint="eastAsia" w:ascii="黑体" w:hAnsi="黑体" w:eastAsia="黑体" w:cs="黑体"/>
          <w:color w:val="auto"/>
          <w:spacing w:val="-3"/>
          <w:sz w:val="36"/>
          <w:szCs w:val="36"/>
          <w:highlight w:val="none"/>
          <w:lang w:val="en-US" w:eastAsia="zh-CN"/>
        </w:rPr>
        <w:t>技术标</w:t>
      </w:r>
      <w:r>
        <w:rPr>
          <w:rFonts w:ascii="黑体" w:hAnsi="黑体" w:eastAsia="黑体" w:cs="黑体"/>
          <w:color w:val="auto"/>
          <w:spacing w:val="-3"/>
          <w:sz w:val="36"/>
          <w:szCs w:val="36"/>
          <w:highlight w:val="none"/>
        </w:rPr>
        <w:t>评审记录表（个人）</w:t>
      </w:r>
      <w:bookmarkEnd w:id="302"/>
    </w:p>
    <w:p w14:paraId="075439D0">
      <w:pPr>
        <w:spacing w:before="242" w:line="221" w:lineRule="auto"/>
        <w:ind w:left="11"/>
        <w:rPr>
          <w:rFonts w:ascii="宋体" w:hAnsi="宋体" w:cs="宋体"/>
          <w:color w:val="auto"/>
          <w:szCs w:val="21"/>
          <w:highlight w:val="none"/>
        </w:rPr>
      </w:pPr>
      <w:r>
        <w:rPr>
          <w:rFonts w:ascii="宋体" w:hAnsi="宋体" w:cs="宋体"/>
          <w:color w:val="auto"/>
          <w:spacing w:val="-7"/>
          <w:szCs w:val="21"/>
          <w:highlight w:val="none"/>
        </w:rPr>
        <w:t>标段名称：</w:t>
      </w:r>
    </w:p>
    <w:p w14:paraId="4A2D9E0E">
      <w:pPr>
        <w:spacing w:before="19" w:line="214" w:lineRule="auto"/>
        <w:ind w:left="11"/>
        <w:rPr>
          <w:rFonts w:ascii="宋体" w:hAnsi="宋体" w:cs="宋体"/>
          <w:color w:val="auto"/>
          <w:szCs w:val="21"/>
          <w:highlight w:val="none"/>
        </w:rPr>
      </w:pPr>
      <w:r>
        <w:rPr>
          <w:rFonts w:ascii="宋体" w:hAnsi="宋体" w:cs="宋体"/>
          <w:color w:val="auto"/>
          <w:spacing w:val="-1"/>
          <w:szCs w:val="21"/>
          <w:highlight w:val="none"/>
        </w:rPr>
        <w:t>标段唯一标识码：</w:t>
      </w:r>
    </w:p>
    <w:tbl>
      <w:tblPr>
        <w:tblStyle w:val="42"/>
        <w:tblW w:w="1396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6"/>
        <w:gridCol w:w="2203"/>
        <w:gridCol w:w="1111"/>
        <w:gridCol w:w="1113"/>
        <w:gridCol w:w="1111"/>
        <w:gridCol w:w="1111"/>
        <w:gridCol w:w="1113"/>
        <w:gridCol w:w="1111"/>
        <w:gridCol w:w="1111"/>
        <w:gridCol w:w="1111"/>
        <w:gridCol w:w="1027"/>
        <w:gridCol w:w="1205"/>
      </w:tblGrid>
      <w:tr w14:paraId="682EFC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36" w:type="dxa"/>
            <w:vMerge w:val="restart"/>
            <w:tcBorders>
              <w:bottom w:val="nil"/>
            </w:tcBorders>
            <w:textDirection w:val="tbRlV"/>
          </w:tcPr>
          <w:p w14:paraId="75FE840B">
            <w:pPr>
              <w:pStyle w:val="185"/>
              <w:spacing w:before="210" w:line="211" w:lineRule="auto"/>
              <w:ind w:left="411"/>
              <w:rPr>
                <w:color w:val="auto"/>
                <w:highlight w:val="none"/>
              </w:rPr>
            </w:pPr>
            <w:r>
              <w:rPr>
                <w:b/>
                <w:bCs/>
                <w:color w:val="auto"/>
                <w:spacing w:val="-2"/>
                <w:highlight w:val="none"/>
              </w:rPr>
              <w:t>序号</w:t>
            </w:r>
          </w:p>
        </w:tc>
        <w:tc>
          <w:tcPr>
            <w:tcW w:w="2203" w:type="dxa"/>
            <w:vMerge w:val="restart"/>
            <w:tcBorders>
              <w:bottom w:val="nil"/>
            </w:tcBorders>
          </w:tcPr>
          <w:p w14:paraId="56EE45E2">
            <w:pPr>
              <w:spacing w:line="477" w:lineRule="auto"/>
              <w:rPr>
                <w:rFonts w:ascii="Arial"/>
                <w:color w:val="auto"/>
                <w:highlight w:val="none"/>
              </w:rPr>
            </w:pPr>
          </w:p>
          <w:p w14:paraId="595EE3CB">
            <w:pPr>
              <w:pStyle w:val="185"/>
              <w:spacing w:before="68" w:line="221" w:lineRule="auto"/>
              <w:ind w:left="579"/>
              <w:rPr>
                <w:color w:val="auto"/>
                <w:highlight w:val="none"/>
              </w:rPr>
            </w:pPr>
            <w:r>
              <w:rPr>
                <w:b/>
                <w:bCs/>
                <w:color w:val="auto"/>
                <w:spacing w:val="-3"/>
                <w:highlight w:val="none"/>
              </w:rPr>
              <w:t>投标人名称</w:t>
            </w:r>
          </w:p>
        </w:tc>
        <w:tc>
          <w:tcPr>
            <w:tcW w:w="9919" w:type="dxa"/>
            <w:gridSpan w:val="9"/>
          </w:tcPr>
          <w:p w14:paraId="3905078D">
            <w:pPr>
              <w:pStyle w:val="185"/>
              <w:spacing w:before="34" w:line="221" w:lineRule="auto"/>
              <w:ind w:left="4014"/>
              <w:rPr>
                <w:color w:val="auto"/>
                <w:highlight w:val="none"/>
              </w:rPr>
            </w:pPr>
            <w:r>
              <w:rPr>
                <w:b/>
                <w:bCs/>
                <w:color w:val="auto"/>
                <w:spacing w:val="-2"/>
                <w:highlight w:val="none"/>
              </w:rPr>
              <w:t>评审因素及评审得分</w:t>
            </w:r>
          </w:p>
        </w:tc>
        <w:tc>
          <w:tcPr>
            <w:tcW w:w="1205" w:type="dxa"/>
            <w:vMerge w:val="restart"/>
            <w:tcBorders>
              <w:bottom w:val="nil"/>
            </w:tcBorders>
          </w:tcPr>
          <w:p w14:paraId="0352F3A4">
            <w:pPr>
              <w:spacing w:line="341" w:lineRule="auto"/>
              <w:rPr>
                <w:rFonts w:ascii="Arial"/>
                <w:color w:val="auto"/>
                <w:highlight w:val="none"/>
              </w:rPr>
            </w:pPr>
          </w:p>
          <w:p w14:paraId="6BE27719">
            <w:pPr>
              <w:pStyle w:val="185"/>
              <w:spacing w:before="68" w:line="243" w:lineRule="auto"/>
              <w:ind w:left="132" w:right="141" w:firstLine="51"/>
              <w:jc w:val="center"/>
              <w:rPr>
                <w:color w:val="auto"/>
                <w:highlight w:val="none"/>
              </w:rPr>
            </w:pPr>
            <w:r>
              <w:rPr>
                <w:b/>
                <w:bCs/>
                <w:color w:val="auto"/>
                <w:spacing w:val="-4"/>
                <w:highlight w:val="none"/>
              </w:rPr>
              <w:t>得分</w:t>
            </w:r>
          </w:p>
        </w:tc>
      </w:tr>
      <w:tr w14:paraId="1EB551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36" w:type="dxa"/>
            <w:vMerge w:val="continue"/>
            <w:tcBorders>
              <w:top w:val="nil"/>
              <w:bottom w:val="nil"/>
            </w:tcBorders>
            <w:textDirection w:val="tbRlV"/>
          </w:tcPr>
          <w:p w14:paraId="6BE1617E">
            <w:pPr>
              <w:rPr>
                <w:rFonts w:ascii="Arial"/>
                <w:color w:val="auto"/>
                <w:highlight w:val="none"/>
              </w:rPr>
            </w:pPr>
          </w:p>
        </w:tc>
        <w:tc>
          <w:tcPr>
            <w:tcW w:w="2203" w:type="dxa"/>
            <w:vMerge w:val="continue"/>
            <w:tcBorders>
              <w:top w:val="nil"/>
              <w:bottom w:val="nil"/>
            </w:tcBorders>
          </w:tcPr>
          <w:p w14:paraId="4FCE41DD">
            <w:pPr>
              <w:rPr>
                <w:rFonts w:ascii="Arial"/>
                <w:color w:val="auto"/>
                <w:highlight w:val="none"/>
              </w:rPr>
            </w:pPr>
          </w:p>
        </w:tc>
        <w:tc>
          <w:tcPr>
            <w:tcW w:w="1111" w:type="dxa"/>
          </w:tcPr>
          <w:p w14:paraId="75432271">
            <w:pPr>
              <w:pStyle w:val="185"/>
              <w:spacing w:before="304" w:line="206" w:lineRule="auto"/>
              <w:ind w:left="144"/>
              <w:rPr>
                <w:color w:val="auto"/>
                <w:highlight w:val="none"/>
              </w:rPr>
            </w:pPr>
          </w:p>
        </w:tc>
        <w:tc>
          <w:tcPr>
            <w:tcW w:w="1113" w:type="dxa"/>
          </w:tcPr>
          <w:p w14:paraId="14965884">
            <w:pPr>
              <w:pStyle w:val="185"/>
              <w:spacing w:before="304" w:line="206" w:lineRule="auto"/>
              <w:ind w:left="145"/>
              <w:rPr>
                <w:color w:val="auto"/>
                <w:highlight w:val="none"/>
              </w:rPr>
            </w:pPr>
          </w:p>
        </w:tc>
        <w:tc>
          <w:tcPr>
            <w:tcW w:w="1111" w:type="dxa"/>
          </w:tcPr>
          <w:p w14:paraId="018597F7">
            <w:pPr>
              <w:rPr>
                <w:rFonts w:ascii="Arial"/>
                <w:color w:val="auto"/>
                <w:highlight w:val="none"/>
              </w:rPr>
            </w:pPr>
          </w:p>
        </w:tc>
        <w:tc>
          <w:tcPr>
            <w:tcW w:w="1111" w:type="dxa"/>
          </w:tcPr>
          <w:p w14:paraId="3A9FE4A9">
            <w:pPr>
              <w:rPr>
                <w:rFonts w:ascii="Arial"/>
                <w:color w:val="auto"/>
                <w:highlight w:val="none"/>
              </w:rPr>
            </w:pPr>
          </w:p>
        </w:tc>
        <w:tc>
          <w:tcPr>
            <w:tcW w:w="1113" w:type="dxa"/>
          </w:tcPr>
          <w:p w14:paraId="4CF5F4E8">
            <w:pPr>
              <w:rPr>
                <w:rFonts w:ascii="Arial"/>
                <w:color w:val="auto"/>
                <w:highlight w:val="none"/>
              </w:rPr>
            </w:pPr>
          </w:p>
        </w:tc>
        <w:tc>
          <w:tcPr>
            <w:tcW w:w="1111" w:type="dxa"/>
          </w:tcPr>
          <w:p w14:paraId="6ADC15C5">
            <w:pPr>
              <w:rPr>
                <w:rFonts w:ascii="Arial"/>
                <w:color w:val="auto"/>
                <w:highlight w:val="none"/>
              </w:rPr>
            </w:pPr>
          </w:p>
        </w:tc>
        <w:tc>
          <w:tcPr>
            <w:tcW w:w="1111" w:type="dxa"/>
          </w:tcPr>
          <w:p w14:paraId="6930CBE3">
            <w:pPr>
              <w:rPr>
                <w:rFonts w:ascii="Arial"/>
                <w:color w:val="auto"/>
                <w:highlight w:val="none"/>
              </w:rPr>
            </w:pPr>
          </w:p>
        </w:tc>
        <w:tc>
          <w:tcPr>
            <w:tcW w:w="1111" w:type="dxa"/>
          </w:tcPr>
          <w:p w14:paraId="3E625399">
            <w:pPr>
              <w:rPr>
                <w:rFonts w:ascii="Arial"/>
                <w:color w:val="auto"/>
                <w:highlight w:val="none"/>
              </w:rPr>
            </w:pPr>
          </w:p>
        </w:tc>
        <w:tc>
          <w:tcPr>
            <w:tcW w:w="1027" w:type="dxa"/>
          </w:tcPr>
          <w:p w14:paraId="10D3F26D">
            <w:pPr>
              <w:rPr>
                <w:rFonts w:ascii="Arial"/>
                <w:color w:val="auto"/>
                <w:highlight w:val="none"/>
              </w:rPr>
            </w:pPr>
          </w:p>
        </w:tc>
        <w:tc>
          <w:tcPr>
            <w:tcW w:w="1205" w:type="dxa"/>
            <w:vMerge w:val="continue"/>
            <w:tcBorders>
              <w:top w:val="nil"/>
              <w:bottom w:val="nil"/>
            </w:tcBorders>
          </w:tcPr>
          <w:p w14:paraId="7BB28E57">
            <w:pPr>
              <w:rPr>
                <w:rFonts w:ascii="Arial"/>
                <w:color w:val="auto"/>
                <w:highlight w:val="none"/>
              </w:rPr>
            </w:pPr>
          </w:p>
        </w:tc>
      </w:tr>
      <w:tr w14:paraId="2AF8D6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36" w:type="dxa"/>
            <w:vMerge w:val="continue"/>
            <w:tcBorders>
              <w:top w:val="nil"/>
            </w:tcBorders>
            <w:textDirection w:val="tbRlV"/>
          </w:tcPr>
          <w:p w14:paraId="3ED73F8D">
            <w:pPr>
              <w:rPr>
                <w:rFonts w:ascii="Arial"/>
                <w:color w:val="auto"/>
                <w:highlight w:val="none"/>
              </w:rPr>
            </w:pPr>
          </w:p>
        </w:tc>
        <w:tc>
          <w:tcPr>
            <w:tcW w:w="2203" w:type="dxa"/>
            <w:vMerge w:val="continue"/>
            <w:tcBorders>
              <w:top w:val="nil"/>
            </w:tcBorders>
          </w:tcPr>
          <w:p w14:paraId="6A15D246">
            <w:pPr>
              <w:rPr>
                <w:rFonts w:ascii="Arial"/>
                <w:color w:val="auto"/>
                <w:highlight w:val="none"/>
              </w:rPr>
            </w:pPr>
          </w:p>
        </w:tc>
        <w:tc>
          <w:tcPr>
            <w:tcW w:w="1111" w:type="dxa"/>
          </w:tcPr>
          <w:p w14:paraId="05A07378">
            <w:pPr>
              <w:pStyle w:val="185"/>
              <w:spacing w:before="52" w:line="221" w:lineRule="auto"/>
              <w:ind w:left="347"/>
              <w:rPr>
                <w:color w:val="auto"/>
                <w:highlight w:val="none"/>
              </w:rPr>
            </w:pPr>
            <w:r>
              <w:rPr>
                <w:b/>
                <w:bCs/>
                <w:color w:val="auto"/>
                <w:spacing w:val="-4"/>
                <w:highlight w:val="none"/>
              </w:rPr>
              <w:t>得分</w:t>
            </w:r>
          </w:p>
        </w:tc>
        <w:tc>
          <w:tcPr>
            <w:tcW w:w="1113" w:type="dxa"/>
          </w:tcPr>
          <w:p w14:paraId="2054CACE">
            <w:pPr>
              <w:pStyle w:val="185"/>
              <w:spacing w:before="52" w:line="221" w:lineRule="auto"/>
              <w:ind w:left="348"/>
              <w:rPr>
                <w:color w:val="auto"/>
                <w:highlight w:val="none"/>
              </w:rPr>
            </w:pPr>
            <w:r>
              <w:rPr>
                <w:b/>
                <w:bCs/>
                <w:color w:val="auto"/>
                <w:spacing w:val="-4"/>
                <w:highlight w:val="none"/>
              </w:rPr>
              <w:t>得分</w:t>
            </w:r>
          </w:p>
        </w:tc>
        <w:tc>
          <w:tcPr>
            <w:tcW w:w="1111" w:type="dxa"/>
          </w:tcPr>
          <w:p w14:paraId="157B77AA">
            <w:pPr>
              <w:pStyle w:val="185"/>
              <w:spacing w:before="52" w:line="221" w:lineRule="auto"/>
              <w:ind w:left="346"/>
              <w:rPr>
                <w:color w:val="auto"/>
                <w:highlight w:val="none"/>
              </w:rPr>
            </w:pPr>
            <w:r>
              <w:rPr>
                <w:b/>
                <w:bCs/>
                <w:color w:val="auto"/>
                <w:spacing w:val="-4"/>
                <w:highlight w:val="none"/>
              </w:rPr>
              <w:t>得分</w:t>
            </w:r>
          </w:p>
        </w:tc>
        <w:tc>
          <w:tcPr>
            <w:tcW w:w="1111" w:type="dxa"/>
          </w:tcPr>
          <w:p w14:paraId="1109F671">
            <w:pPr>
              <w:pStyle w:val="185"/>
              <w:spacing w:before="52" w:line="221" w:lineRule="auto"/>
              <w:ind w:left="347"/>
              <w:rPr>
                <w:color w:val="auto"/>
                <w:highlight w:val="none"/>
              </w:rPr>
            </w:pPr>
            <w:r>
              <w:rPr>
                <w:b/>
                <w:bCs/>
                <w:color w:val="auto"/>
                <w:spacing w:val="-4"/>
                <w:highlight w:val="none"/>
              </w:rPr>
              <w:t>得分</w:t>
            </w:r>
          </w:p>
        </w:tc>
        <w:tc>
          <w:tcPr>
            <w:tcW w:w="1113" w:type="dxa"/>
          </w:tcPr>
          <w:p w14:paraId="4FF1C783">
            <w:pPr>
              <w:pStyle w:val="185"/>
              <w:spacing w:before="52" w:line="221" w:lineRule="auto"/>
              <w:ind w:left="350"/>
              <w:rPr>
                <w:color w:val="auto"/>
                <w:highlight w:val="none"/>
              </w:rPr>
            </w:pPr>
            <w:r>
              <w:rPr>
                <w:b/>
                <w:bCs/>
                <w:color w:val="auto"/>
                <w:spacing w:val="-4"/>
                <w:highlight w:val="none"/>
              </w:rPr>
              <w:t>得分</w:t>
            </w:r>
          </w:p>
        </w:tc>
        <w:tc>
          <w:tcPr>
            <w:tcW w:w="1111" w:type="dxa"/>
          </w:tcPr>
          <w:p w14:paraId="55D34F7E">
            <w:pPr>
              <w:pStyle w:val="185"/>
              <w:spacing w:before="52" w:line="221" w:lineRule="auto"/>
              <w:ind w:left="348"/>
              <w:rPr>
                <w:color w:val="auto"/>
                <w:highlight w:val="none"/>
              </w:rPr>
            </w:pPr>
            <w:r>
              <w:rPr>
                <w:b/>
                <w:bCs/>
                <w:color w:val="auto"/>
                <w:spacing w:val="-4"/>
                <w:highlight w:val="none"/>
              </w:rPr>
              <w:t>得分</w:t>
            </w:r>
          </w:p>
        </w:tc>
        <w:tc>
          <w:tcPr>
            <w:tcW w:w="1111" w:type="dxa"/>
          </w:tcPr>
          <w:p w14:paraId="129FF623">
            <w:pPr>
              <w:pStyle w:val="185"/>
              <w:spacing w:before="52" w:line="221" w:lineRule="auto"/>
              <w:ind w:left="348"/>
              <w:rPr>
                <w:color w:val="auto"/>
                <w:highlight w:val="none"/>
              </w:rPr>
            </w:pPr>
            <w:r>
              <w:rPr>
                <w:b/>
                <w:bCs/>
                <w:color w:val="auto"/>
                <w:spacing w:val="-4"/>
                <w:highlight w:val="none"/>
              </w:rPr>
              <w:t>得分</w:t>
            </w:r>
          </w:p>
        </w:tc>
        <w:tc>
          <w:tcPr>
            <w:tcW w:w="1111" w:type="dxa"/>
          </w:tcPr>
          <w:p w14:paraId="4607B19C">
            <w:pPr>
              <w:pStyle w:val="185"/>
              <w:spacing w:before="52" w:line="221" w:lineRule="auto"/>
              <w:ind w:left="349"/>
              <w:rPr>
                <w:color w:val="auto"/>
                <w:highlight w:val="none"/>
              </w:rPr>
            </w:pPr>
            <w:r>
              <w:rPr>
                <w:b/>
                <w:bCs/>
                <w:color w:val="auto"/>
                <w:spacing w:val="-4"/>
                <w:highlight w:val="none"/>
              </w:rPr>
              <w:t>得分</w:t>
            </w:r>
          </w:p>
        </w:tc>
        <w:tc>
          <w:tcPr>
            <w:tcW w:w="1027" w:type="dxa"/>
          </w:tcPr>
          <w:p w14:paraId="37E899CD">
            <w:pPr>
              <w:pStyle w:val="185"/>
              <w:spacing w:before="52" w:line="221" w:lineRule="auto"/>
              <w:ind w:left="311"/>
              <w:rPr>
                <w:color w:val="auto"/>
                <w:highlight w:val="none"/>
              </w:rPr>
            </w:pPr>
            <w:r>
              <w:rPr>
                <w:b/>
                <w:bCs/>
                <w:color w:val="auto"/>
                <w:spacing w:val="-4"/>
                <w:highlight w:val="none"/>
              </w:rPr>
              <w:t>得分</w:t>
            </w:r>
          </w:p>
        </w:tc>
        <w:tc>
          <w:tcPr>
            <w:tcW w:w="1205" w:type="dxa"/>
            <w:vMerge w:val="continue"/>
            <w:tcBorders>
              <w:top w:val="nil"/>
            </w:tcBorders>
          </w:tcPr>
          <w:p w14:paraId="2895EB54">
            <w:pPr>
              <w:rPr>
                <w:rFonts w:ascii="Arial"/>
                <w:color w:val="auto"/>
                <w:highlight w:val="none"/>
              </w:rPr>
            </w:pPr>
          </w:p>
        </w:tc>
      </w:tr>
      <w:tr w14:paraId="7E1702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36" w:type="dxa"/>
          </w:tcPr>
          <w:p w14:paraId="37184D63">
            <w:pPr>
              <w:pStyle w:val="185"/>
              <w:spacing w:before="178" w:line="242" w:lineRule="auto"/>
              <w:ind w:left="285"/>
              <w:rPr>
                <w:color w:val="auto"/>
                <w:highlight w:val="none"/>
              </w:rPr>
            </w:pPr>
            <w:r>
              <w:rPr>
                <w:color w:val="auto"/>
                <w:highlight w:val="none"/>
              </w:rPr>
              <w:t>1</w:t>
            </w:r>
          </w:p>
        </w:tc>
        <w:tc>
          <w:tcPr>
            <w:tcW w:w="2203" w:type="dxa"/>
          </w:tcPr>
          <w:p w14:paraId="4B4AE786">
            <w:pPr>
              <w:rPr>
                <w:rFonts w:ascii="Arial"/>
                <w:color w:val="auto"/>
                <w:highlight w:val="none"/>
              </w:rPr>
            </w:pPr>
          </w:p>
        </w:tc>
        <w:tc>
          <w:tcPr>
            <w:tcW w:w="1111" w:type="dxa"/>
          </w:tcPr>
          <w:p w14:paraId="58CAC7E9">
            <w:pPr>
              <w:rPr>
                <w:rFonts w:ascii="Arial"/>
                <w:color w:val="auto"/>
                <w:highlight w:val="none"/>
              </w:rPr>
            </w:pPr>
          </w:p>
        </w:tc>
        <w:tc>
          <w:tcPr>
            <w:tcW w:w="1113" w:type="dxa"/>
          </w:tcPr>
          <w:p w14:paraId="52C2E93B">
            <w:pPr>
              <w:rPr>
                <w:rFonts w:ascii="Arial"/>
                <w:color w:val="auto"/>
                <w:highlight w:val="none"/>
              </w:rPr>
            </w:pPr>
          </w:p>
        </w:tc>
        <w:tc>
          <w:tcPr>
            <w:tcW w:w="1111" w:type="dxa"/>
          </w:tcPr>
          <w:p w14:paraId="2B7B0E7A">
            <w:pPr>
              <w:rPr>
                <w:rFonts w:ascii="Arial"/>
                <w:color w:val="auto"/>
                <w:highlight w:val="none"/>
              </w:rPr>
            </w:pPr>
          </w:p>
        </w:tc>
        <w:tc>
          <w:tcPr>
            <w:tcW w:w="1111" w:type="dxa"/>
          </w:tcPr>
          <w:p w14:paraId="4182A968">
            <w:pPr>
              <w:rPr>
                <w:rFonts w:ascii="Arial"/>
                <w:color w:val="auto"/>
                <w:highlight w:val="none"/>
              </w:rPr>
            </w:pPr>
          </w:p>
        </w:tc>
        <w:tc>
          <w:tcPr>
            <w:tcW w:w="1113" w:type="dxa"/>
          </w:tcPr>
          <w:p w14:paraId="0FE41125">
            <w:pPr>
              <w:rPr>
                <w:rFonts w:ascii="Arial"/>
                <w:color w:val="auto"/>
                <w:highlight w:val="none"/>
              </w:rPr>
            </w:pPr>
          </w:p>
        </w:tc>
        <w:tc>
          <w:tcPr>
            <w:tcW w:w="1111" w:type="dxa"/>
          </w:tcPr>
          <w:p w14:paraId="12B4892A">
            <w:pPr>
              <w:rPr>
                <w:rFonts w:ascii="Arial"/>
                <w:color w:val="auto"/>
                <w:highlight w:val="none"/>
              </w:rPr>
            </w:pPr>
          </w:p>
        </w:tc>
        <w:tc>
          <w:tcPr>
            <w:tcW w:w="1111" w:type="dxa"/>
          </w:tcPr>
          <w:p w14:paraId="395A7539">
            <w:pPr>
              <w:rPr>
                <w:rFonts w:ascii="Arial"/>
                <w:color w:val="auto"/>
                <w:highlight w:val="none"/>
              </w:rPr>
            </w:pPr>
          </w:p>
        </w:tc>
        <w:tc>
          <w:tcPr>
            <w:tcW w:w="1111" w:type="dxa"/>
          </w:tcPr>
          <w:p w14:paraId="4B75EDE4">
            <w:pPr>
              <w:rPr>
                <w:rFonts w:ascii="Arial"/>
                <w:color w:val="auto"/>
                <w:highlight w:val="none"/>
              </w:rPr>
            </w:pPr>
          </w:p>
        </w:tc>
        <w:tc>
          <w:tcPr>
            <w:tcW w:w="1027" w:type="dxa"/>
          </w:tcPr>
          <w:p w14:paraId="7D993258">
            <w:pPr>
              <w:rPr>
                <w:rFonts w:ascii="Arial"/>
                <w:color w:val="auto"/>
                <w:highlight w:val="none"/>
              </w:rPr>
            </w:pPr>
          </w:p>
        </w:tc>
        <w:tc>
          <w:tcPr>
            <w:tcW w:w="1205" w:type="dxa"/>
          </w:tcPr>
          <w:p w14:paraId="76D1465E">
            <w:pPr>
              <w:rPr>
                <w:rFonts w:ascii="Arial"/>
                <w:color w:val="auto"/>
                <w:highlight w:val="none"/>
              </w:rPr>
            </w:pPr>
          </w:p>
        </w:tc>
      </w:tr>
      <w:tr w14:paraId="38AFF0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3" w:hRule="atLeast"/>
        </w:trPr>
        <w:tc>
          <w:tcPr>
            <w:tcW w:w="636" w:type="dxa"/>
          </w:tcPr>
          <w:p w14:paraId="49B5EFD5">
            <w:pPr>
              <w:pStyle w:val="185"/>
              <w:spacing w:before="181" w:line="242" w:lineRule="auto"/>
              <w:ind w:left="272"/>
              <w:rPr>
                <w:color w:val="auto"/>
                <w:highlight w:val="none"/>
              </w:rPr>
            </w:pPr>
            <w:r>
              <w:rPr>
                <w:color w:val="auto"/>
                <w:highlight w:val="none"/>
              </w:rPr>
              <w:t>2</w:t>
            </w:r>
          </w:p>
        </w:tc>
        <w:tc>
          <w:tcPr>
            <w:tcW w:w="2203" w:type="dxa"/>
          </w:tcPr>
          <w:p w14:paraId="1583D6EC">
            <w:pPr>
              <w:rPr>
                <w:rFonts w:ascii="Arial"/>
                <w:color w:val="auto"/>
                <w:highlight w:val="none"/>
              </w:rPr>
            </w:pPr>
          </w:p>
        </w:tc>
        <w:tc>
          <w:tcPr>
            <w:tcW w:w="1111" w:type="dxa"/>
          </w:tcPr>
          <w:p w14:paraId="43AAE027">
            <w:pPr>
              <w:rPr>
                <w:rFonts w:ascii="Arial"/>
                <w:color w:val="auto"/>
                <w:highlight w:val="none"/>
              </w:rPr>
            </w:pPr>
          </w:p>
        </w:tc>
        <w:tc>
          <w:tcPr>
            <w:tcW w:w="1113" w:type="dxa"/>
          </w:tcPr>
          <w:p w14:paraId="4E95638B">
            <w:pPr>
              <w:rPr>
                <w:rFonts w:ascii="Arial"/>
                <w:color w:val="auto"/>
                <w:highlight w:val="none"/>
              </w:rPr>
            </w:pPr>
          </w:p>
        </w:tc>
        <w:tc>
          <w:tcPr>
            <w:tcW w:w="1111" w:type="dxa"/>
          </w:tcPr>
          <w:p w14:paraId="7E476EEE">
            <w:pPr>
              <w:rPr>
                <w:rFonts w:ascii="Arial"/>
                <w:color w:val="auto"/>
                <w:highlight w:val="none"/>
              </w:rPr>
            </w:pPr>
          </w:p>
        </w:tc>
        <w:tc>
          <w:tcPr>
            <w:tcW w:w="1111" w:type="dxa"/>
          </w:tcPr>
          <w:p w14:paraId="69FE8EA1">
            <w:pPr>
              <w:rPr>
                <w:rFonts w:ascii="Arial"/>
                <w:color w:val="auto"/>
                <w:highlight w:val="none"/>
              </w:rPr>
            </w:pPr>
          </w:p>
        </w:tc>
        <w:tc>
          <w:tcPr>
            <w:tcW w:w="1113" w:type="dxa"/>
          </w:tcPr>
          <w:p w14:paraId="477E55D4">
            <w:pPr>
              <w:rPr>
                <w:rFonts w:ascii="Arial"/>
                <w:color w:val="auto"/>
                <w:highlight w:val="none"/>
              </w:rPr>
            </w:pPr>
          </w:p>
        </w:tc>
        <w:tc>
          <w:tcPr>
            <w:tcW w:w="1111" w:type="dxa"/>
          </w:tcPr>
          <w:p w14:paraId="100029D1">
            <w:pPr>
              <w:rPr>
                <w:rFonts w:ascii="Arial"/>
                <w:color w:val="auto"/>
                <w:highlight w:val="none"/>
              </w:rPr>
            </w:pPr>
          </w:p>
        </w:tc>
        <w:tc>
          <w:tcPr>
            <w:tcW w:w="1111" w:type="dxa"/>
          </w:tcPr>
          <w:p w14:paraId="1B1BBD59">
            <w:pPr>
              <w:rPr>
                <w:rFonts w:ascii="Arial"/>
                <w:color w:val="auto"/>
                <w:highlight w:val="none"/>
              </w:rPr>
            </w:pPr>
          </w:p>
        </w:tc>
        <w:tc>
          <w:tcPr>
            <w:tcW w:w="1111" w:type="dxa"/>
          </w:tcPr>
          <w:p w14:paraId="5BBB5709">
            <w:pPr>
              <w:rPr>
                <w:rFonts w:ascii="Arial"/>
                <w:color w:val="auto"/>
                <w:highlight w:val="none"/>
              </w:rPr>
            </w:pPr>
          </w:p>
        </w:tc>
        <w:tc>
          <w:tcPr>
            <w:tcW w:w="1027" w:type="dxa"/>
          </w:tcPr>
          <w:p w14:paraId="023C4AEE">
            <w:pPr>
              <w:rPr>
                <w:rFonts w:ascii="Arial"/>
                <w:color w:val="auto"/>
                <w:highlight w:val="none"/>
              </w:rPr>
            </w:pPr>
          </w:p>
        </w:tc>
        <w:tc>
          <w:tcPr>
            <w:tcW w:w="1205" w:type="dxa"/>
          </w:tcPr>
          <w:p w14:paraId="2E4C9E84">
            <w:pPr>
              <w:rPr>
                <w:rFonts w:ascii="Arial"/>
                <w:color w:val="auto"/>
                <w:highlight w:val="none"/>
              </w:rPr>
            </w:pPr>
          </w:p>
        </w:tc>
      </w:tr>
      <w:tr w14:paraId="1BFBAF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36" w:type="dxa"/>
          </w:tcPr>
          <w:p w14:paraId="38F2E26F">
            <w:pPr>
              <w:pStyle w:val="185"/>
              <w:spacing w:before="179" w:line="241" w:lineRule="auto"/>
              <w:ind w:left="274"/>
              <w:rPr>
                <w:color w:val="auto"/>
                <w:highlight w:val="none"/>
              </w:rPr>
            </w:pPr>
            <w:r>
              <w:rPr>
                <w:color w:val="auto"/>
                <w:highlight w:val="none"/>
              </w:rPr>
              <w:t>3</w:t>
            </w:r>
          </w:p>
        </w:tc>
        <w:tc>
          <w:tcPr>
            <w:tcW w:w="2203" w:type="dxa"/>
          </w:tcPr>
          <w:p w14:paraId="416D6962">
            <w:pPr>
              <w:rPr>
                <w:rFonts w:ascii="Arial"/>
                <w:color w:val="auto"/>
                <w:highlight w:val="none"/>
              </w:rPr>
            </w:pPr>
          </w:p>
        </w:tc>
        <w:tc>
          <w:tcPr>
            <w:tcW w:w="1111" w:type="dxa"/>
          </w:tcPr>
          <w:p w14:paraId="0093D9DD">
            <w:pPr>
              <w:rPr>
                <w:rFonts w:ascii="Arial"/>
                <w:color w:val="auto"/>
                <w:highlight w:val="none"/>
              </w:rPr>
            </w:pPr>
          </w:p>
        </w:tc>
        <w:tc>
          <w:tcPr>
            <w:tcW w:w="1113" w:type="dxa"/>
          </w:tcPr>
          <w:p w14:paraId="6FDD71F2">
            <w:pPr>
              <w:rPr>
                <w:rFonts w:ascii="Arial"/>
                <w:color w:val="auto"/>
                <w:highlight w:val="none"/>
              </w:rPr>
            </w:pPr>
          </w:p>
        </w:tc>
        <w:tc>
          <w:tcPr>
            <w:tcW w:w="1111" w:type="dxa"/>
          </w:tcPr>
          <w:p w14:paraId="3BB51BF0">
            <w:pPr>
              <w:rPr>
                <w:rFonts w:ascii="Arial"/>
                <w:color w:val="auto"/>
                <w:highlight w:val="none"/>
              </w:rPr>
            </w:pPr>
          </w:p>
        </w:tc>
        <w:tc>
          <w:tcPr>
            <w:tcW w:w="1111" w:type="dxa"/>
          </w:tcPr>
          <w:p w14:paraId="5DE9601C">
            <w:pPr>
              <w:rPr>
                <w:rFonts w:ascii="Arial"/>
                <w:color w:val="auto"/>
                <w:highlight w:val="none"/>
              </w:rPr>
            </w:pPr>
          </w:p>
        </w:tc>
        <w:tc>
          <w:tcPr>
            <w:tcW w:w="1113" w:type="dxa"/>
          </w:tcPr>
          <w:p w14:paraId="4BAB1DD9">
            <w:pPr>
              <w:rPr>
                <w:rFonts w:ascii="Arial"/>
                <w:color w:val="auto"/>
                <w:highlight w:val="none"/>
              </w:rPr>
            </w:pPr>
          </w:p>
        </w:tc>
        <w:tc>
          <w:tcPr>
            <w:tcW w:w="1111" w:type="dxa"/>
          </w:tcPr>
          <w:p w14:paraId="63038CA6">
            <w:pPr>
              <w:rPr>
                <w:rFonts w:ascii="Arial"/>
                <w:color w:val="auto"/>
                <w:highlight w:val="none"/>
              </w:rPr>
            </w:pPr>
          </w:p>
        </w:tc>
        <w:tc>
          <w:tcPr>
            <w:tcW w:w="1111" w:type="dxa"/>
          </w:tcPr>
          <w:p w14:paraId="4F33ABDF">
            <w:pPr>
              <w:rPr>
                <w:rFonts w:ascii="Arial"/>
                <w:color w:val="auto"/>
                <w:highlight w:val="none"/>
              </w:rPr>
            </w:pPr>
          </w:p>
        </w:tc>
        <w:tc>
          <w:tcPr>
            <w:tcW w:w="1111" w:type="dxa"/>
          </w:tcPr>
          <w:p w14:paraId="3B63B0B2">
            <w:pPr>
              <w:rPr>
                <w:rFonts w:ascii="Arial"/>
                <w:color w:val="auto"/>
                <w:highlight w:val="none"/>
              </w:rPr>
            </w:pPr>
          </w:p>
        </w:tc>
        <w:tc>
          <w:tcPr>
            <w:tcW w:w="1027" w:type="dxa"/>
          </w:tcPr>
          <w:p w14:paraId="4C35C4BF">
            <w:pPr>
              <w:rPr>
                <w:rFonts w:ascii="Arial"/>
                <w:color w:val="auto"/>
                <w:highlight w:val="none"/>
              </w:rPr>
            </w:pPr>
          </w:p>
        </w:tc>
        <w:tc>
          <w:tcPr>
            <w:tcW w:w="1205" w:type="dxa"/>
          </w:tcPr>
          <w:p w14:paraId="57B0111D">
            <w:pPr>
              <w:rPr>
                <w:rFonts w:ascii="Arial"/>
                <w:color w:val="auto"/>
                <w:highlight w:val="none"/>
              </w:rPr>
            </w:pPr>
          </w:p>
        </w:tc>
      </w:tr>
      <w:tr w14:paraId="25391E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36" w:type="dxa"/>
          </w:tcPr>
          <w:p w14:paraId="6AEE0E01">
            <w:pPr>
              <w:pStyle w:val="185"/>
              <w:spacing w:before="182" w:line="242" w:lineRule="auto"/>
              <w:ind w:left="269"/>
              <w:rPr>
                <w:color w:val="auto"/>
                <w:highlight w:val="none"/>
              </w:rPr>
            </w:pPr>
            <w:r>
              <w:rPr>
                <w:color w:val="auto"/>
                <w:highlight w:val="none"/>
              </w:rPr>
              <w:t>4</w:t>
            </w:r>
          </w:p>
        </w:tc>
        <w:tc>
          <w:tcPr>
            <w:tcW w:w="2203" w:type="dxa"/>
          </w:tcPr>
          <w:p w14:paraId="731F09C9">
            <w:pPr>
              <w:rPr>
                <w:rFonts w:ascii="Arial"/>
                <w:color w:val="auto"/>
                <w:highlight w:val="none"/>
              </w:rPr>
            </w:pPr>
          </w:p>
        </w:tc>
        <w:tc>
          <w:tcPr>
            <w:tcW w:w="1111" w:type="dxa"/>
          </w:tcPr>
          <w:p w14:paraId="76FB9A94">
            <w:pPr>
              <w:rPr>
                <w:rFonts w:ascii="Arial"/>
                <w:color w:val="auto"/>
                <w:highlight w:val="none"/>
              </w:rPr>
            </w:pPr>
          </w:p>
        </w:tc>
        <w:tc>
          <w:tcPr>
            <w:tcW w:w="1113" w:type="dxa"/>
          </w:tcPr>
          <w:p w14:paraId="00905A6B">
            <w:pPr>
              <w:rPr>
                <w:rFonts w:ascii="Arial"/>
                <w:color w:val="auto"/>
                <w:highlight w:val="none"/>
              </w:rPr>
            </w:pPr>
          </w:p>
        </w:tc>
        <w:tc>
          <w:tcPr>
            <w:tcW w:w="1111" w:type="dxa"/>
          </w:tcPr>
          <w:p w14:paraId="0BE8335E">
            <w:pPr>
              <w:rPr>
                <w:rFonts w:ascii="Arial"/>
                <w:color w:val="auto"/>
                <w:highlight w:val="none"/>
              </w:rPr>
            </w:pPr>
          </w:p>
        </w:tc>
        <w:tc>
          <w:tcPr>
            <w:tcW w:w="1111" w:type="dxa"/>
          </w:tcPr>
          <w:p w14:paraId="191AC7AC">
            <w:pPr>
              <w:rPr>
                <w:rFonts w:ascii="Arial"/>
                <w:color w:val="auto"/>
                <w:highlight w:val="none"/>
              </w:rPr>
            </w:pPr>
          </w:p>
        </w:tc>
        <w:tc>
          <w:tcPr>
            <w:tcW w:w="1113" w:type="dxa"/>
          </w:tcPr>
          <w:p w14:paraId="4C614F8D">
            <w:pPr>
              <w:rPr>
                <w:rFonts w:ascii="Arial"/>
                <w:color w:val="auto"/>
                <w:highlight w:val="none"/>
              </w:rPr>
            </w:pPr>
          </w:p>
        </w:tc>
        <w:tc>
          <w:tcPr>
            <w:tcW w:w="1111" w:type="dxa"/>
          </w:tcPr>
          <w:p w14:paraId="281A44FB">
            <w:pPr>
              <w:rPr>
                <w:rFonts w:ascii="Arial"/>
                <w:color w:val="auto"/>
                <w:highlight w:val="none"/>
              </w:rPr>
            </w:pPr>
          </w:p>
        </w:tc>
        <w:tc>
          <w:tcPr>
            <w:tcW w:w="1111" w:type="dxa"/>
          </w:tcPr>
          <w:p w14:paraId="638312D8">
            <w:pPr>
              <w:rPr>
                <w:rFonts w:ascii="Arial"/>
                <w:color w:val="auto"/>
                <w:highlight w:val="none"/>
              </w:rPr>
            </w:pPr>
          </w:p>
        </w:tc>
        <w:tc>
          <w:tcPr>
            <w:tcW w:w="1111" w:type="dxa"/>
          </w:tcPr>
          <w:p w14:paraId="6CC4E75B">
            <w:pPr>
              <w:rPr>
                <w:rFonts w:ascii="Arial"/>
                <w:color w:val="auto"/>
                <w:highlight w:val="none"/>
              </w:rPr>
            </w:pPr>
          </w:p>
        </w:tc>
        <w:tc>
          <w:tcPr>
            <w:tcW w:w="1027" w:type="dxa"/>
          </w:tcPr>
          <w:p w14:paraId="63B6AE18">
            <w:pPr>
              <w:rPr>
                <w:rFonts w:ascii="Arial"/>
                <w:color w:val="auto"/>
                <w:highlight w:val="none"/>
              </w:rPr>
            </w:pPr>
          </w:p>
        </w:tc>
        <w:tc>
          <w:tcPr>
            <w:tcW w:w="1205" w:type="dxa"/>
          </w:tcPr>
          <w:p w14:paraId="41C4E13B">
            <w:pPr>
              <w:rPr>
                <w:rFonts w:ascii="Arial"/>
                <w:color w:val="auto"/>
                <w:highlight w:val="none"/>
              </w:rPr>
            </w:pPr>
          </w:p>
        </w:tc>
      </w:tr>
      <w:tr w14:paraId="01B1E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636" w:type="dxa"/>
          </w:tcPr>
          <w:p w14:paraId="4CE6ED28">
            <w:pPr>
              <w:pStyle w:val="185"/>
              <w:spacing w:before="182" w:line="241" w:lineRule="auto"/>
              <w:ind w:left="274"/>
              <w:rPr>
                <w:color w:val="auto"/>
                <w:highlight w:val="none"/>
              </w:rPr>
            </w:pPr>
            <w:r>
              <w:rPr>
                <w:color w:val="auto"/>
                <w:highlight w:val="none"/>
              </w:rPr>
              <w:t>5</w:t>
            </w:r>
          </w:p>
        </w:tc>
        <w:tc>
          <w:tcPr>
            <w:tcW w:w="2203" w:type="dxa"/>
          </w:tcPr>
          <w:p w14:paraId="7D17512D">
            <w:pPr>
              <w:rPr>
                <w:rFonts w:ascii="Arial"/>
                <w:color w:val="auto"/>
                <w:highlight w:val="none"/>
              </w:rPr>
            </w:pPr>
          </w:p>
        </w:tc>
        <w:tc>
          <w:tcPr>
            <w:tcW w:w="1111" w:type="dxa"/>
          </w:tcPr>
          <w:p w14:paraId="551434F5">
            <w:pPr>
              <w:rPr>
                <w:rFonts w:ascii="Arial"/>
                <w:color w:val="auto"/>
                <w:highlight w:val="none"/>
              </w:rPr>
            </w:pPr>
          </w:p>
        </w:tc>
        <w:tc>
          <w:tcPr>
            <w:tcW w:w="1113" w:type="dxa"/>
          </w:tcPr>
          <w:p w14:paraId="59FD83BC">
            <w:pPr>
              <w:rPr>
                <w:rFonts w:ascii="Arial"/>
                <w:color w:val="auto"/>
                <w:highlight w:val="none"/>
              </w:rPr>
            </w:pPr>
          </w:p>
        </w:tc>
        <w:tc>
          <w:tcPr>
            <w:tcW w:w="1111" w:type="dxa"/>
          </w:tcPr>
          <w:p w14:paraId="5E27ACAC">
            <w:pPr>
              <w:rPr>
                <w:rFonts w:ascii="Arial"/>
                <w:color w:val="auto"/>
                <w:highlight w:val="none"/>
              </w:rPr>
            </w:pPr>
          </w:p>
        </w:tc>
        <w:tc>
          <w:tcPr>
            <w:tcW w:w="1111" w:type="dxa"/>
          </w:tcPr>
          <w:p w14:paraId="6CD75237">
            <w:pPr>
              <w:rPr>
                <w:rFonts w:ascii="Arial"/>
                <w:color w:val="auto"/>
                <w:highlight w:val="none"/>
              </w:rPr>
            </w:pPr>
          </w:p>
        </w:tc>
        <w:tc>
          <w:tcPr>
            <w:tcW w:w="1113" w:type="dxa"/>
          </w:tcPr>
          <w:p w14:paraId="1B528B1D">
            <w:pPr>
              <w:rPr>
                <w:rFonts w:ascii="Arial"/>
                <w:color w:val="auto"/>
                <w:highlight w:val="none"/>
              </w:rPr>
            </w:pPr>
          </w:p>
        </w:tc>
        <w:tc>
          <w:tcPr>
            <w:tcW w:w="1111" w:type="dxa"/>
          </w:tcPr>
          <w:p w14:paraId="0D4A7024">
            <w:pPr>
              <w:rPr>
                <w:rFonts w:ascii="Arial"/>
                <w:color w:val="auto"/>
                <w:highlight w:val="none"/>
              </w:rPr>
            </w:pPr>
          </w:p>
        </w:tc>
        <w:tc>
          <w:tcPr>
            <w:tcW w:w="1111" w:type="dxa"/>
          </w:tcPr>
          <w:p w14:paraId="664A4B27">
            <w:pPr>
              <w:rPr>
                <w:rFonts w:ascii="Arial"/>
                <w:color w:val="auto"/>
                <w:highlight w:val="none"/>
              </w:rPr>
            </w:pPr>
          </w:p>
        </w:tc>
        <w:tc>
          <w:tcPr>
            <w:tcW w:w="1111" w:type="dxa"/>
          </w:tcPr>
          <w:p w14:paraId="294C0E32">
            <w:pPr>
              <w:rPr>
                <w:rFonts w:ascii="Arial"/>
                <w:color w:val="auto"/>
                <w:highlight w:val="none"/>
              </w:rPr>
            </w:pPr>
          </w:p>
        </w:tc>
        <w:tc>
          <w:tcPr>
            <w:tcW w:w="1027" w:type="dxa"/>
          </w:tcPr>
          <w:p w14:paraId="5313957A">
            <w:pPr>
              <w:rPr>
                <w:rFonts w:ascii="Arial"/>
                <w:color w:val="auto"/>
                <w:highlight w:val="none"/>
              </w:rPr>
            </w:pPr>
          </w:p>
        </w:tc>
        <w:tc>
          <w:tcPr>
            <w:tcW w:w="1205" w:type="dxa"/>
          </w:tcPr>
          <w:p w14:paraId="571DD8BD">
            <w:pPr>
              <w:rPr>
                <w:rFonts w:ascii="Arial"/>
                <w:color w:val="auto"/>
                <w:highlight w:val="none"/>
              </w:rPr>
            </w:pPr>
          </w:p>
        </w:tc>
      </w:tr>
      <w:tr w14:paraId="2E7B23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5" w:hRule="atLeast"/>
        </w:trPr>
        <w:tc>
          <w:tcPr>
            <w:tcW w:w="636" w:type="dxa"/>
          </w:tcPr>
          <w:p w14:paraId="72BACCE6">
            <w:pPr>
              <w:pStyle w:val="185"/>
              <w:spacing w:before="180" w:line="333" w:lineRule="exact"/>
              <w:ind w:left="230"/>
              <w:rPr>
                <w:color w:val="auto"/>
                <w:highlight w:val="none"/>
              </w:rPr>
            </w:pPr>
            <w:r>
              <w:rPr>
                <w:color w:val="auto"/>
                <w:position w:val="2"/>
                <w:highlight w:val="none"/>
              </w:rPr>
              <w:t>…</w:t>
            </w:r>
          </w:p>
        </w:tc>
        <w:tc>
          <w:tcPr>
            <w:tcW w:w="2203" w:type="dxa"/>
          </w:tcPr>
          <w:p w14:paraId="794C6156">
            <w:pPr>
              <w:rPr>
                <w:rFonts w:ascii="Arial"/>
                <w:color w:val="auto"/>
                <w:highlight w:val="none"/>
              </w:rPr>
            </w:pPr>
          </w:p>
        </w:tc>
        <w:tc>
          <w:tcPr>
            <w:tcW w:w="1111" w:type="dxa"/>
          </w:tcPr>
          <w:p w14:paraId="1A3FEE10">
            <w:pPr>
              <w:rPr>
                <w:rFonts w:ascii="Arial"/>
                <w:color w:val="auto"/>
                <w:highlight w:val="none"/>
              </w:rPr>
            </w:pPr>
          </w:p>
        </w:tc>
        <w:tc>
          <w:tcPr>
            <w:tcW w:w="1113" w:type="dxa"/>
          </w:tcPr>
          <w:p w14:paraId="7F121D67">
            <w:pPr>
              <w:rPr>
                <w:rFonts w:ascii="Arial"/>
                <w:color w:val="auto"/>
                <w:highlight w:val="none"/>
              </w:rPr>
            </w:pPr>
          </w:p>
        </w:tc>
        <w:tc>
          <w:tcPr>
            <w:tcW w:w="1111" w:type="dxa"/>
          </w:tcPr>
          <w:p w14:paraId="5AFC227C">
            <w:pPr>
              <w:rPr>
                <w:rFonts w:ascii="Arial"/>
                <w:color w:val="auto"/>
                <w:highlight w:val="none"/>
              </w:rPr>
            </w:pPr>
          </w:p>
        </w:tc>
        <w:tc>
          <w:tcPr>
            <w:tcW w:w="1111" w:type="dxa"/>
          </w:tcPr>
          <w:p w14:paraId="33E9627F">
            <w:pPr>
              <w:rPr>
                <w:rFonts w:ascii="Arial"/>
                <w:color w:val="auto"/>
                <w:highlight w:val="none"/>
              </w:rPr>
            </w:pPr>
          </w:p>
        </w:tc>
        <w:tc>
          <w:tcPr>
            <w:tcW w:w="1113" w:type="dxa"/>
          </w:tcPr>
          <w:p w14:paraId="75621270">
            <w:pPr>
              <w:rPr>
                <w:rFonts w:ascii="Arial"/>
                <w:color w:val="auto"/>
                <w:highlight w:val="none"/>
              </w:rPr>
            </w:pPr>
          </w:p>
        </w:tc>
        <w:tc>
          <w:tcPr>
            <w:tcW w:w="1111" w:type="dxa"/>
          </w:tcPr>
          <w:p w14:paraId="5E9622D1">
            <w:pPr>
              <w:rPr>
                <w:rFonts w:ascii="Arial"/>
                <w:color w:val="auto"/>
                <w:highlight w:val="none"/>
              </w:rPr>
            </w:pPr>
          </w:p>
        </w:tc>
        <w:tc>
          <w:tcPr>
            <w:tcW w:w="1111" w:type="dxa"/>
          </w:tcPr>
          <w:p w14:paraId="47C38060">
            <w:pPr>
              <w:rPr>
                <w:rFonts w:ascii="Arial"/>
                <w:color w:val="auto"/>
                <w:highlight w:val="none"/>
              </w:rPr>
            </w:pPr>
          </w:p>
        </w:tc>
        <w:tc>
          <w:tcPr>
            <w:tcW w:w="1111" w:type="dxa"/>
          </w:tcPr>
          <w:p w14:paraId="63DEC08A">
            <w:pPr>
              <w:rPr>
                <w:rFonts w:ascii="Arial"/>
                <w:color w:val="auto"/>
                <w:highlight w:val="none"/>
              </w:rPr>
            </w:pPr>
          </w:p>
        </w:tc>
        <w:tc>
          <w:tcPr>
            <w:tcW w:w="1027" w:type="dxa"/>
          </w:tcPr>
          <w:p w14:paraId="63EB1F64">
            <w:pPr>
              <w:rPr>
                <w:rFonts w:ascii="Arial"/>
                <w:color w:val="auto"/>
                <w:highlight w:val="none"/>
              </w:rPr>
            </w:pPr>
          </w:p>
        </w:tc>
        <w:tc>
          <w:tcPr>
            <w:tcW w:w="1205" w:type="dxa"/>
          </w:tcPr>
          <w:p w14:paraId="2F142609">
            <w:pPr>
              <w:rPr>
                <w:rFonts w:ascii="Arial"/>
                <w:color w:val="auto"/>
                <w:highlight w:val="none"/>
              </w:rPr>
            </w:pPr>
          </w:p>
        </w:tc>
      </w:tr>
    </w:tbl>
    <w:p w14:paraId="1230316E">
      <w:pPr>
        <w:spacing w:before="272" w:line="221" w:lineRule="auto"/>
        <w:ind w:left="11"/>
        <w:rPr>
          <w:rFonts w:ascii="宋体" w:hAnsi="宋体" w:cs="宋体"/>
          <w:color w:val="auto"/>
          <w:szCs w:val="21"/>
          <w:highlight w:val="none"/>
        </w:rPr>
      </w:pPr>
      <w:r>
        <w:rPr>
          <w:rFonts w:ascii="宋体" w:hAnsi="宋体" w:cs="宋体"/>
          <w:color w:val="auto"/>
          <w:spacing w:val="-2"/>
          <w:szCs w:val="21"/>
          <w:highlight w:val="none"/>
        </w:rPr>
        <w:t xml:space="preserve">技术标评委签名：                                                                    </w:t>
      </w:r>
      <w:r>
        <w:rPr>
          <w:rFonts w:ascii="宋体" w:hAnsi="宋体" w:cs="宋体"/>
          <w:color w:val="auto"/>
          <w:spacing w:val="-3"/>
          <w:szCs w:val="21"/>
          <w:highlight w:val="none"/>
        </w:rPr>
        <w:t xml:space="preserve">                    日期：        年     月    日</w:t>
      </w:r>
    </w:p>
    <w:p w14:paraId="39013219">
      <w:pPr>
        <w:spacing w:line="221" w:lineRule="auto"/>
        <w:rPr>
          <w:rFonts w:ascii="宋体" w:hAnsi="宋体" w:cs="宋体"/>
          <w:color w:val="auto"/>
          <w:szCs w:val="21"/>
          <w:highlight w:val="none"/>
        </w:rPr>
        <w:sectPr>
          <w:headerReference r:id="rId34" w:type="default"/>
          <w:footerReference r:id="rId35" w:type="default"/>
          <w:pgSz w:w="16839" w:h="11907"/>
          <w:pgMar w:top="2215" w:right="1432" w:bottom="1170" w:left="1437" w:header="1846" w:footer="939" w:gutter="0"/>
          <w:pgNumType w:fmt="decimal"/>
          <w:cols w:space="720" w:num="1"/>
        </w:sectPr>
      </w:pPr>
    </w:p>
    <w:p w14:paraId="6571535B">
      <w:pPr>
        <w:pStyle w:val="17"/>
        <w:spacing w:line="243" w:lineRule="auto"/>
        <w:rPr>
          <w:color w:val="auto"/>
          <w:highlight w:val="none"/>
        </w:rPr>
      </w:pPr>
    </w:p>
    <w:p w14:paraId="41B06CBC">
      <w:pPr>
        <w:spacing w:before="78" w:line="219" w:lineRule="auto"/>
        <w:ind w:left="181"/>
        <w:outlineLvl w:val="2"/>
        <w:rPr>
          <w:rFonts w:ascii="黑体" w:hAnsi="黑体" w:eastAsia="黑体" w:cs="黑体"/>
          <w:color w:val="auto"/>
          <w:sz w:val="24"/>
          <w:highlight w:val="none"/>
        </w:rPr>
      </w:pPr>
      <w:bookmarkStart w:id="303" w:name="bookmark420"/>
      <w:bookmarkEnd w:id="303"/>
      <w:bookmarkStart w:id="304" w:name="_Toc8597"/>
      <w:r>
        <w:rPr>
          <w:rFonts w:ascii="黑体" w:hAnsi="黑体" w:eastAsia="黑体" w:cs="黑体"/>
          <w:color w:val="auto"/>
          <w:spacing w:val="-3"/>
          <w:sz w:val="24"/>
          <w:highlight w:val="none"/>
        </w:rPr>
        <w:t>附表A-14：资信业绩评审记录表</w:t>
      </w:r>
      <w:bookmarkEnd w:id="304"/>
    </w:p>
    <w:p w14:paraId="51EE292F">
      <w:pPr>
        <w:spacing w:before="284" w:line="219" w:lineRule="auto"/>
        <w:ind w:left="5427"/>
        <w:rPr>
          <w:rFonts w:ascii="黑体" w:hAnsi="黑体" w:eastAsia="黑体" w:cs="黑体"/>
          <w:color w:val="auto"/>
          <w:sz w:val="36"/>
          <w:szCs w:val="36"/>
          <w:highlight w:val="none"/>
        </w:rPr>
      </w:pPr>
      <w:bookmarkStart w:id="305" w:name="bookmark144"/>
      <w:bookmarkEnd w:id="305"/>
      <w:r>
        <w:rPr>
          <w:rFonts w:ascii="黑体" w:hAnsi="黑体" w:eastAsia="黑体" w:cs="黑体"/>
          <w:color w:val="auto"/>
          <w:spacing w:val="-3"/>
          <w:sz w:val="36"/>
          <w:szCs w:val="36"/>
          <w:highlight w:val="none"/>
        </w:rPr>
        <w:t>资信业绩评审记录表</w:t>
      </w:r>
    </w:p>
    <w:p w14:paraId="6445D621">
      <w:pPr>
        <w:spacing w:before="239" w:line="221" w:lineRule="auto"/>
        <w:ind w:left="49"/>
        <w:rPr>
          <w:rFonts w:ascii="宋体" w:hAnsi="宋体" w:cs="宋体"/>
          <w:color w:val="auto"/>
          <w:szCs w:val="21"/>
          <w:highlight w:val="none"/>
        </w:rPr>
      </w:pPr>
      <w:r>
        <w:rPr>
          <w:rFonts w:ascii="宋体" w:hAnsi="宋体" w:cs="宋体"/>
          <w:color w:val="auto"/>
          <w:spacing w:val="-7"/>
          <w:szCs w:val="21"/>
          <w:highlight w:val="none"/>
        </w:rPr>
        <w:t>标段名称：</w:t>
      </w:r>
    </w:p>
    <w:p w14:paraId="45BBD3FE">
      <w:pPr>
        <w:spacing w:before="22" w:line="212" w:lineRule="auto"/>
        <w:ind w:left="49"/>
        <w:rPr>
          <w:rFonts w:ascii="宋体" w:hAnsi="宋体" w:cs="宋体"/>
          <w:color w:val="auto"/>
          <w:szCs w:val="21"/>
          <w:highlight w:val="none"/>
        </w:rPr>
      </w:pPr>
      <w:r>
        <w:rPr>
          <w:rFonts w:ascii="宋体" w:hAnsi="宋体" w:cs="宋体"/>
          <w:color w:val="auto"/>
          <w:spacing w:val="-1"/>
          <w:szCs w:val="21"/>
          <w:highlight w:val="none"/>
        </w:rPr>
        <w:t>标段唯一标识码：</w:t>
      </w:r>
    </w:p>
    <w:tbl>
      <w:tblPr>
        <w:tblStyle w:val="42"/>
        <w:tblW w:w="1403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4"/>
        <w:gridCol w:w="1804"/>
        <w:gridCol w:w="1349"/>
        <w:gridCol w:w="1353"/>
        <w:gridCol w:w="1351"/>
        <w:gridCol w:w="1351"/>
        <w:gridCol w:w="1351"/>
        <w:gridCol w:w="1354"/>
        <w:gridCol w:w="1358"/>
        <w:gridCol w:w="1972"/>
      </w:tblGrid>
      <w:tr w14:paraId="20024B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794" w:type="dxa"/>
            <w:vMerge w:val="restart"/>
            <w:tcBorders>
              <w:bottom w:val="nil"/>
            </w:tcBorders>
          </w:tcPr>
          <w:p w14:paraId="4F9484BE">
            <w:pPr>
              <w:pStyle w:val="185"/>
              <w:spacing w:before="269" w:line="222" w:lineRule="auto"/>
              <w:ind w:left="190"/>
              <w:rPr>
                <w:color w:val="auto"/>
                <w:highlight w:val="none"/>
              </w:rPr>
            </w:pPr>
            <w:r>
              <w:rPr>
                <w:b/>
                <w:bCs/>
                <w:color w:val="auto"/>
                <w:spacing w:val="-4"/>
                <w:highlight w:val="none"/>
              </w:rPr>
              <w:t>序号</w:t>
            </w:r>
          </w:p>
        </w:tc>
        <w:tc>
          <w:tcPr>
            <w:tcW w:w="1804" w:type="dxa"/>
            <w:vMerge w:val="restart"/>
            <w:tcBorders>
              <w:bottom w:val="nil"/>
            </w:tcBorders>
          </w:tcPr>
          <w:p w14:paraId="0D33CC72">
            <w:pPr>
              <w:pStyle w:val="185"/>
              <w:spacing w:before="269" w:line="221" w:lineRule="auto"/>
              <w:ind w:left="380"/>
              <w:rPr>
                <w:color w:val="auto"/>
                <w:highlight w:val="none"/>
              </w:rPr>
            </w:pPr>
            <w:r>
              <w:rPr>
                <w:b/>
                <w:bCs/>
                <w:color w:val="auto"/>
                <w:spacing w:val="-3"/>
                <w:highlight w:val="none"/>
              </w:rPr>
              <w:t>投标人名称</w:t>
            </w:r>
          </w:p>
        </w:tc>
        <w:tc>
          <w:tcPr>
            <w:tcW w:w="9467" w:type="dxa"/>
            <w:gridSpan w:val="7"/>
          </w:tcPr>
          <w:p w14:paraId="68EF07CD">
            <w:pPr>
              <w:pStyle w:val="185"/>
              <w:spacing w:before="81" w:line="221" w:lineRule="auto"/>
              <w:ind w:left="4000"/>
              <w:rPr>
                <w:color w:val="auto"/>
                <w:highlight w:val="none"/>
              </w:rPr>
            </w:pPr>
            <w:r>
              <w:rPr>
                <w:b/>
                <w:bCs/>
                <w:color w:val="auto"/>
                <w:spacing w:val="-3"/>
                <w:highlight w:val="none"/>
              </w:rPr>
              <w:t>评委姓名及得分</w:t>
            </w:r>
          </w:p>
        </w:tc>
        <w:tc>
          <w:tcPr>
            <w:tcW w:w="1972" w:type="dxa"/>
            <w:vMerge w:val="restart"/>
            <w:tcBorders>
              <w:bottom w:val="nil"/>
            </w:tcBorders>
          </w:tcPr>
          <w:p w14:paraId="2D55BE59">
            <w:pPr>
              <w:pStyle w:val="185"/>
              <w:spacing w:before="132" w:line="221" w:lineRule="auto"/>
              <w:ind w:left="155"/>
              <w:rPr>
                <w:color w:val="auto"/>
                <w:highlight w:val="none"/>
                <w:lang w:eastAsia="zh-CN"/>
              </w:rPr>
            </w:pPr>
            <w:r>
              <w:rPr>
                <w:b/>
                <w:bCs/>
                <w:color w:val="auto"/>
                <w:spacing w:val="-4"/>
                <w:highlight w:val="none"/>
                <w:lang w:eastAsia="zh-CN"/>
              </w:rPr>
              <w:t>资信业绩最终得分</w:t>
            </w:r>
          </w:p>
        </w:tc>
      </w:tr>
      <w:tr w14:paraId="223DD2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794" w:type="dxa"/>
            <w:vMerge w:val="continue"/>
            <w:tcBorders>
              <w:top w:val="nil"/>
            </w:tcBorders>
          </w:tcPr>
          <w:p w14:paraId="6C111940">
            <w:pPr>
              <w:rPr>
                <w:rFonts w:ascii="Arial"/>
                <w:color w:val="auto"/>
                <w:highlight w:val="none"/>
              </w:rPr>
            </w:pPr>
          </w:p>
        </w:tc>
        <w:tc>
          <w:tcPr>
            <w:tcW w:w="1804" w:type="dxa"/>
            <w:vMerge w:val="continue"/>
            <w:tcBorders>
              <w:top w:val="nil"/>
            </w:tcBorders>
          </w:tcPr>
          <w:p w14:paraId="595731CF">
            <w:pPr>
              <w:rPr>
                <w:rFonts w:ascii="Arial"/>
                <w:color w:val="auto"/>
                <w:highlight w:val="none"/>
              </w:rPr>
            </w:pPr>
          </w:p>
        </w:tc>
        <w:tc>
          <w:tcPr>
            <w:tcW w:w="1349" w:type="dxa"/>
          </w:tcPr>
          <w:p w14:paraId="42AD8DE0">
            <w:pPr>
              <w:pStyle w:val="185"/>
              <w:spacing w:before="78" w:line="221" w:lineRule="auto"/>
              <w:ind w:left="387"/>
              <w:rPr>
                <w:color w:val="auto"/>
                <w:highlight w:val="none"/>
              </w:rPr>
            </w:pPr>
            <w:r>
              <w:rPr>
                <w:b/>
                <w:bCs/>
                <w:color w:val="auto"/>
                <w:spacing w:val="-4"/>
                <w:highlight w:val="none"/>
              </w:rPr>
              <w:t>评委1</w:t>
            </w:r>
          </w:p>
        </w:tc>
        <w:tc>
          <w:tcPr>
            <w:tcW w:w="1353" w:type="dxa"/>
          </w:tcPr>
          <w:p w14:paraId="021FAF19">
            <w:pPr>
              <w:pStyle w:val="185"/>
              <w:spacing w:before="78" w:line="221" w:lineRule="auto"/>
              <w:ind w:left="390"/>
              <w:rPr>
                <w:color w:val="auto"/>
                <w:highlight w:val="none"/>
              </w:rPr>
            </w:pPr>
            <w:r>
              <w:rPr>
                <w:b/>
                <w:bCs/>
                <w:color w:val="auto"/>
                <w:spacing w:val="-4"/>
                <w:highlight w:val="none"/>
              </w:rPr>
              <w:t>评委2</w:t>
            </w:r>
          </w:p>
        </w:tc>
        <w:tc>
          <w:tcPr>
            <w:tcW w:w="1351" w:type="dxa"/>
          </w:tcPr>
          <w:p w14:paraId="15ACEB07">
            <w:pPr>
              <w:pStyle w:val="185"/>
              <w:spacing w:before="78" w:line="282" w:lineRule="exact"/>
              <w:ind w:left="482"/>
              <w:rPr>
                <w:color w:val="auto"/>
                <w:highlight w:val="none"/>
              </w:rPr>
            </w:pPr>
            <w:r>
              <w:rPr>
                <w:b/>
                <w:bCs/>
                <w:color w:val="auto"/>
                <w:spacing w:val="-12"/>
                <w:position w:val="1"/>
                <w:highlight w:val="none"/>
              </w:rPr>
              <w:t>……</w:t>
            </w:r>
          </w:p>
        </w:tc>
        <w:tc>
          <w:tcPr>
            <w:tcW w:w="1351" w:type="dxa"/>
          </w:tcPr>
          <w:p w14:paraId="1AB624F5">
            <w:pPr>
              <w:rPr>
                <w:rFonts w:ascii="Arial"/>
                <w:color w:val="auto"/>
                <w:highlight w:val="none"/>
              </w:rPr>
            </w:pPr>
          </w:p>
        </w:tc>
        <w:tc>
          <w:tcPr>
            <w:tcW w:w="1351" w:type="dxa"/>
          </w:tcPr>
          <w:p w14:paraId="5D8021A1">
            <w:pPr>
              <w:rPr>
                <w:rFonts w:ascii="Arial"/>
                <w:color w:val="auto"/>
                <w:highlight w:val="none"/>
              </w:rPr>
            </w:pPr>
          </w:p>
        </w:tc>
        <w:tc>
          <w:tcPr>
            <w:tcW w:w="1354" w:type="dxa"/>
          </w:tcPr>
          <w:p w14:paraId="0C941D5D">
            <w:pPr>
              <w:rPr>
                <w:rFonts w:ascii="Arial"/>
                <w:color w:val="auto"/>
                <w:highlight w:val="none"/>
              </w:rPr>
            </w:pPr>
          </w:p>
        </w:tc>
        <w:tc>
          <w:tcPr>
            <w:tcW w:w="1358" w:type="dxa"/>
          </w:tcPr>
          <w:p w14:paraId="2D70DAA8">
            <w:pPr>
              <w:rPr>
                <w:rFonts w:ascii="Arial"/>
                <w:color w:val="auto"/>
                <w:highlight w:val="none"/>
              </w:rPr>
            </w:pPr>
          </w:p>
        </w:tc>
        <w:tc>
          <w:tcPr>
            <w:tcW w:w="1972" w:type="dxa"/>
            <w:vMerge w:val="continue"/>
            <w:tcBorders>
              <w:top w:val="nil"/>
            </w:tcBorders>
          </w:tcPr>
          <w:p w14:paraId="7A9F2854">
            <w:pPr>
              <w:rPr>
                <w:rFonts w:ascii="Arial"/>
                <w:color w:val="auto"/>
                <w:highlight w:val="none"/>
              </w:rPr>
            </w:pPr>
          </w:p>
        </w:tc>
      </w:tr>
      <w:tr w14:paraId="1DAFB0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794" w:type="dxa"/>
          </w:tcPr>
          <w:p w14:paraId="5959CBD8">
            <w:pPr>
              <w:pStyle w:val="185"/>
              <w:spacing w:before="141" w:line="242" w:lineRule="auto"/>
              <w:ind w:left="364"/>
              <w:rPr>
                <w:color w:val="auto"/>
                <w:highlight w:val="none"/>
              </w:rPr>
            </w:pPr>
            <w:r>
              <w:rPr>
                <w:color w:val="auto"/>
                <w:highlight w:val="none"/>
              </w:rPr>
              <w:t>1</w:t>
            </w:r>
          </w:p>
        </w:tc>
        <w:tc>
          <w:tcPr>
            <w:tcW w:w="1804" w:type="dxa"/>
          </w:tcPr>
          <w:p w14:paraId="5FC15C64">
            <w:pPr>
              <w:rPr>
                <w:rFonts w:ascii="Arial"/>
                <w:color w:val="auto"/>
                <w:highlight w:val="none"/>
              </w:rPr>
            </w:pPr>
          </w:p>
        </w:tc>
        <w:tc>
          <w:tcPr>
            <w:tcW w:w="1349" w:type="dxa"/>
          </w:tcPr>
          <w:p w14:paraId="06B9B69F">
            <w:pPr>
              <w:rPr>
                <w:rFonts w:ascii="Arial"/>
                <w:color w:val="auto"/>
                <w:highlight w:val="none"/>
              </w:rPr>
            </w:pPr>
          </w:p>
        </w:tc>
        <w:tc>
          <w:tcPr>
            <w:tcW w:w="1353" w:type="dxa"/>
          </w:tcPr>
          <w:p w14:paraId="7B2FDE8E">
            <w:pPr>
              <w:rPr>
                <w:rFonts w:ascii="Arial"/>
                <w:color w:val="auto"/>
                <w:highlight w:val="none"/>
              </w:rPr>
            </w:pPr>
          </w:p>
        </w:tc>
        <w:tc>
          <w:tcPr>
            <w:tcW w:w="1351" w:type="dxa"/>
          </w:tcPr>
          <w:p w14:paraId="1FFA6A4B">
            <w:pPr>
              <w:rPr>
                <w:rFonts w:ascii="Arial"/>
                <w:color w:val="auto"/>
                <w:highlight w:val="none"/>
              </w:rPr>
            </w:pPr>
          </w:p>
        </w:tc>
        <w:tc>
          <w:tcPr>
            <w:tcW w:w="1351" w:type="dxa"/>
          </w:tcPr>
          <w:p w14:paraId="650A8720">
            <w:pPr>
              <w:rPr>
                <w:rFonts w:ascii="Arial"/>
                <w:color w:val="auto"/>
                <w:highlight w:val="none"/>
              </w:rPr>
            </w:pPr>
          </w:p>
        </w:tc>
        <w:tc>
          <w:tcPr>
            <w:tcW w:w="1351" w:type="dxa"/>
          </w:tcPr>
          <w:p w14:paraId="49F6F13A">
            <w:pPr>
              <w:rPr>
                <w:rFonts w:ascii="Arial"/>
                <w:color w:val="auto"/>
                <w:highlight w:val="none"/>
              </w:rPr>
            </w:pPr>
          </w:p>
        </w:tc>
        <w:tc>
          <w:tcPr>
            <w:tcW w:w="1354" w:type="dxa"/>
          </w:tcPr>
          <w:p w14:paraId="759F98B3">
            <w:pPr>
              <w:rPr>
                <w:rFonts w:ascii="Arial"/>
                <w:color w:val="auto"/>
                <w:highlight w:val="none"/>
              </w:rPr>
            </w:pPr>
          </w:p>
        </w:tc>
        <w:tc>
          <w:tcPr>
            <w:tcW w:w="1358" w:type="dxa"/>
          </w:tcPr>
          <w:p w14:paraId="0F7E9910">
            <w:pPr>
              <w:rPr>
                <w:rFonts w:ascii="Arial"/>
                <w:color w:val="auto"/>
                <w:highlight w:val="none"/>
              </w:rPr>
            </w:pPr>
          </w:p>
        </w:tc>
        <w:tc>
          <w:tcPr>
            <w:tcW w:w="1972" w:type="dxa"/>
          </w:tcPr>
          <w:p w14:paraId="3AF1063E">
            <w:pPr>
              <w:rPr>
                <w:rFonts w:ascii="Arial"/>
                <w:color w:val="auto"/>
                <w:highlight w:val="none"/>
              </w:rPr>
            </w:pPr>
          </w:p>
        </w:tc>
      </w:tr>
      <w:tr w14:paraId="5F282D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794" w:type="dxa"/>
          </w:tcPr>
          <w:p w14:paraId="1B6C1D0A">
            <w:pPr>
              <w:pStyle w:val="185"/>
              <w:spacing w:before="142" w:line="242" w:lineRule="auto"/>
              <w:ind w:left="351"/>
              <w:rPr>
                <w:color w:val="auto"/>
                <w:highlight w:val="none"/>
              </w:rPr>
            </w:pPr>
            <w:r>
              <w:rPr>
                <w:color w:val="auto"/>
                <w:highlight w:val="none"/>
              </w:rPr>
              <w:t>2</w:t>
            </w:r>
          </w:p>
        </w:tc>
        <w:tc>
          <w:tcPr>
            <w:tcW w:w="1804" w:type="dxa"/>
          </w:tcPr>
          <w:p w14:paraId="49BA16A6">
            <w:pPr>
              <w:rPr>
                <w:rFonts w:ascii="Arial"/>
                <w:color w:val="auto"/>
                <w:highlight w:val="none"/>
              </w:rPr>
            </w:pPr>
          </w:p>
        </w:tc>
        <w:tc>
          <w:tcPr>
            <w:tcW w:w="1349" w:type="dxa"/>
          </w:tcPr>
          <w:p w14:paraId="59129332">
            <w:pPr>
              <w:rPr>
                <w:rFonts w:ascii="Arial"/>
                <w:color w:val="auto"/>
                <w:highlight w:val="none"/>
              </w:rPr>
            </w:pPr>
          </w:p>
        </w:tc>
        <w:tc>
          <w:tcPr>
            <w:tcW w:w="1353" w:type="dxa"/>
          </w:tcPr>
          <w:p w14:paraId="14AF9A64">
            <w:pPr>
              <w:rPr>
                <w:rFonts w:ascii="Arial"/>
                <w:color w:val="auto"/>
                <w:highlight w:val="none"/>
              </w:rPr>
            </w:pPr>
          </w:p>
        </w:tc>
        <w:tc>
          <w:tcPr>
            <w:tcW w:w="1351" w:type="dxa"/>
          </w:tcPr>
          <w:p w14:paraId="1E6953E9">
            <w:pPr>
              <w:rPr>
                <w:rFonts w:ascii="Arial"/>
                <w:color w:val="auto"/>
                <w:highlight w:val="none"/>
              </w:rPr>
            </w:pPr>
          </w:p>
        </w:tc>
        <w:tc>
          <w:tcPr>
            <w:tcW w:w="1351" w:type="dxa"/>
          </w:tcPr>
          <w:p w14:paraId="185AE204">
            <w:pPr>
              <w:rPr>
                <w:rFonts w:ascii="Arial"/>
                <w:color w:val="auto"/>
                <w:highlight w:val="none"/>
              </w:rPr>
            </w:pPr>
          </w:p>
        </w:tc>
        <w:tc>
          <w:tcPr>
            <w:tcW w:w="1351" w:type="dxa"/>
          </w:tcPr>
          <w:p w14:paraId="0FFFEC2D">
            <w:pPr>
              <w:rPr>
                <w:rFonts w:ascii="Arial"/>
                <w:color w:val="auto"/>
                <w:highlight w:val="none"/>
              </w:rPr>
            </w:pPr>
          </w:p>
        </w:tc>
        <w:tc>
          <w:tcPr>
            <w:tcW w:w="1354" w:type="dxa"/>
          </w:tcPr>
          <w:p w14:paraId="5B0703CE">
            <w:pPr>
              <w:rPr>
                <w:rFonts w:ascii="Arial"/>
                <w:color w:val="auto"/>
                <w:highlight w:val="none"/>
              </w:rPr>
            </w:pPr>
          </w:p>
        </w:tc>
        <w:tc>
          <w:tcPr>
            <w:tcW w:w="1358" w:type="dxa"/>
          </w:tcPr>
          <w:p w14:paraId="787A1BEF">
            <w:pPr>
              <w:rPr>
                <w:rFonts w:ascii="Arial"/>
                <w:color w:val="auto"/>
                <w:highlight w:val="none"/>
              </w:rPr>
            </w:pPr>
          </w:p>
        </w:tc>
        <w:tc>
          <w:tcPr>
            <w:tcW w:w="1972" w:type="dxa"/>
          </w:tcPr>
          <w:p w14:paraId="60479A50">
            <w:pPr>
              <w:rPr>
                <w:rFonts w:ascii="Arial"/>
                <w:color w:val="auto"/>
                <w:highlight w:val="none"/>
              </w:rPr>
            </w:pPr>
          </w:p>
        </w:tc>
      </w:tr>
      <w:tr w14:paraId="16D506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794" w:type="dxa"/>
          </w:tcPr>
          <w:p w14:paraId="1C8359C8">
            <w:pPr>
              <w:pStyle w:val="185"/>
              <w:spacing w:before="144" w:line="241" w:lineRule="auto"/>
              <w:ind w:left="353"/>
              <w:rPr>
                <w:color w:val="auto"/>
                <w:highlight w:val="none"/>
              </w:rPr>
            </w:pPr>
            <w:r>
              <w:rPr>
                <w:color w:val="auto"/>
                <w:highlight w:val="none"/>
              </w:rPr>
              <w:t>3</w:t>
            </w:r>
          </w:p>
        </w:tc>
        <w:tc>
          <w:tcPr>
            <w:tcW w:w="1804" w:type="dxa"/>
          </w:tcPr>
          <w:p w14:paraId="5A5EFB30">
            <w:pPr>
              <w:rPr>
                <w:rFonts w:ascii="Arial"/>
                <w:color w:val="auto"/>
                <w:highlight w:val="none"/>
              </w:rPr>
            </w:pPr>
          </w:p>
        </w:tc>
        <w:tc>
          <w:tcPr>
            <w:tcW w:w="1349" w:type="dxa"/>
          </w:tcPr>
          <w:p w14:paraId="2064CCB1">
            <w:pPr>
              <w:rPr>
                <w:rFonts w:ascii="Arial"/>
                <w:color w:val="auto"/>
                <w:highlight w:val="none"/>
              </w:rPr>
            </w:pPr>
          </w:p>
        </w:tc>
        <w:tc>
          <w:tcPr>
            <w:tcW w:w="1353" w:type="dxa"/>
          </w:tcPr>
          <w:p w14:paraId="5476B41C">
            <w:pPr>
              <w:rPr>
                <w:rFonts w:ascii="Arial"/>
                <w:color w:val="auto"/>
                <w:highlight w:val="none"/>
              </w:rPr>
            </w:pPr>
          </w:p>
        </w:tc>
        <w:tc>
          <w:tcPr>
            <w:tcW w:w="1351" w:type="dxa"/>
          </w:tcPr>
          <w:p w14:paraId="3EA268CC">
            <w:pPr>
              <w:rPr>
                <w:rFonts w:ascii="Arial"/>
                <w:color w:val="auto"/>
                <w:highlight w:val="none"/>
              </w:rPr>
            </w:pPr>
          </w:p>
        </w:tc>
        <w:tc>
          <w:tcPr>
            <w:tcW w:w="1351" w:type="dxa"/>
          </w:tcPr>
          <w:p w14:paraId="13C7562C">
            <w:pPr>
              <w:rPr>
                <w:rFonts w:ascii="Arial"/>
                <w:color w:val="auto"/>
                <w:highlight w:val="none"/>
              </w:rPr>
            </w:pPr>
          </w:p>
        </w:tc>
        <w:tc>
          <w:tcPr>
            <w:tcW w:w="1351" w:type="dxa"/>
          </w:tcPr>
          <w:p w14:paraId="6702C974">
            <w:pPr>
              <w:rPr>
                <w:rFonts w:ascii="Arial"/>
                <w:color w:val="auto"/>
                <w:highlight w:val="none"/>
              </w:rPr>
            </w:pPr>
          </w:p>
        </w:tc>
        <w:tc>
          <w:tcPr>
            <w:tcW w:w="1354" w:type="dxa"/>
          </w:tcPr>
          <w:p w14:paraId="1D8CA1E8">
            <w:pPr>
              <w:rPr>
                <w:rFonts w:ascii="Arial"/>
                <w:color w:val="auto"/>
                <w:highlight w:val="none"/>
              </w:rPr>
            </w:pPr>
          </w:p>
        </w:tc>
        <w:tc>
          <w:tcPr>
            <w:tcW w:w="1358" w:type="dxa"/>
          </w:tcPr>
          <w:p w14:paraId="7A7EAA6A">
            <w:pPr>
              <w:rPr>
                <w:rFonts w:ascii="Arial"/>
                <w:color w:val="auto"/>
                <w:highlight w:val="none"/>
              </w:rPr>
            </w:pPr>
          </w:p>
        </w:tc>
        <w:tc>
          <w:tcPr>
            <w:tcW w:w="1972" w:type="dxa"/>
          </w:tcPr>
          <w:p w14:paraId="54FDCC78">
            <w:pPr>
              <w:rPr>
                <w:rFonts w:ascii="Arial"/>
                <w:color w:val="auto"/>
                <w:highlight w:val="none"/>
              </w:rPr>
            </w:pPr>
          </w:p>
        </w:tc>
      </w:tr>
      <w:tr w14:paraId="4DDE4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794" w:type="dxa"/>
          </w:tcPr>
          <w:p w14:paraId="6EAF107F">
            <w:pPr>
              <w:pStyle w:val="185"/>
              <w:spacing w:before="143" w:line="242" w:lineRule="auto"/>
              <w:ind w:left="348"/>
              <w:rPr>
                <w:color w:val="auto"/>
                <w:highlight w:val="none"/>
              </w:rPr>
            </w:pPr>
            <w:r>
              <w:rPr>
                <w:color w:val="auto"/>
                <w:highlight w:val="none"/>
              </w:rPr>
              <w:t>4</w:t>
            </w:r>
          </w:p>
        </w:tc>
        <w:tc>
          <w:tcPr>
            <w:tcW w:w="1804" w:type="dxa"/>
          </w:tcPr>
          <w:p w14:paraId="5D9DA54D">
            <w:pPr>
              <w:rPr>
                <w:rFonts w:ascii="Arial"/>
                <w:color w:val="auto"/>
                <w:highlight w:val="none"/>
              </w:rPr>
            </w:pPr>
          </w:p>
        </w:tc>
        <w:tc>
          <w:tcPr>
            <w:tcW w:w="1349" w:type="dxa"/>
          </w:tcPr>
          <w:p w14:paraId="5199F493">
            <w:pPr>
              <w:rPr>
                <w:rFonts w:ascii="Arial"/>
                <w:color w:val="auto"/>
                <w:highlight w:val="none"/>
              </w:rPr>
            </w:pPr>
          </w:p>
        </w:tc>
        <w:tc>
          <w:tcPr>
            <w:tcW w:w="1353" w:type="dxa"/>
          </w:tcPr>
          <w:p w14:paraId="55ECEB76">
            <w:pPr>
              <w:rPr>
                <w:rFonts w:ascii="Arial"/>
                <w:color w:val="auto"/>
                <w:highlight w:val="none"/>
              </w:rPr>
            </w:pPr>
          </w:p>
        </w:tc>
        <w:tc>
          <w:tcPr>
            <w:tcW w:w="1351" w:type="dxa"/>
          </w:tcPr>
          <w:p w14:paraId="092D76A3">
            <w:pPr>
              <w:rPr>
                <w:rFonts w:ascii="Arial"/>
                <w:color w:val="auto"/>
                <w:highlight w:val="none"/>
              </w:rPr>
            </w:pPr>
          </w:p>
        </w:tc>
        <w:tc>
          <w:tcPr>
            <w:tcW w:w="1351" w:type="dxa"/>
          </w:tcPr>
          <w:p w14:paraId="2C85CBB2">
            <w:pPr>
              <w:rPr>
                <w:rFonts w:ascii="Arial"/>
                <w:color w:val="auto"/>
                <w:highlight w:val="none"/>
              </w:rPr>
            </w:pPr>
          </w:p>
        </w:tc>
        <w:tc>
          <w:tcPr>
            <w:tcW w:w="1351" w:type="dxa"/>
          </w:tcPr>
          <w:p w14:paraId="4299DDA2">
            <w:pPr>
              <w:rPr>
                <w:rFonts w:ascii="Arial"/>
                <w:color w:val="auto"/>
                <w:highlight w:val="none"/>
              </w:rPr>
            </w:pPr>
          </w:p>
        </w:tc>
        <w:tc>
          <w:tcPr>
            <w:tcW w:w="1354" w:type="dxa"/>
          </w:tcPr>
          <w:p w14:paraId="038CBDFA">
            <w:pPr>
              <w:rPr>
                <w:rFonts w:ascii="Arial"/>
                <w:color w:val="auto"/>
                <w:highlight w:val="none"/>
              </w:rPr>
            </w:pPr>
          </w:p>
        </w:tc>
        <w:tc>
          <w:tcPr>
            <w:tcW w:w="1358" w:type="dxa"/>
          </w:tcPr>
          <w:p w14:paraId="2B6A2F63">
            <w:pPr>
              <w:rPr>
                <w:rFonts w:ascii="Arial"/>
                <w:color w:val="auto"/>
                <w:highlight w:val="none"/>
              </w:rPr>
            </w:pPr>
          </w:p>
        </w:tc>
        <w:tc>
          <w:tcPr>
            <w:tcW w:w="1972" w:type="dxa"/>
          </w:tcPr>
          <w:p w14:paraId="64D683F1">
            <w:pPr>
              <w:rPr>
                <w:rFonts w:ascii="Arial"/>
                <w:color w:val="auto"/>
                <w:highlight w:val="none"/>
              </w:rPr>
            </w:pPr>
          </w:p>
        </w:tc>
      </w:tr>
      <w:tr w14:paraId="5FFE25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794" w:type="dxa"/>
          </w:tcPr>
          <w:p w14:paraId="409DA3C1">
            <w:pPr>
              <w:pStyle w:val="185"/>
              <w:spacing w:before="145" w:line="241" w:lineRule="auto"/>
              <w:ind w:left="353"/>
              <w:rPr>
                <w:color w:val="auto"/>
                <w:highlight w:val="none"/>
              </w:rPr>
            </w:pPr>
            <w:r>
              <w:rPr>
                <w:color w:val="auto"/>
                <w:highlight w:val="none"/>
              </w:rPr>
              <w:t>5</w:t>
            </w:r>
          </w:p>
        </w:tc>
        <w:tc>
          <w:tcPr>
            <w:tcW w:w="1804" w:type="dxa"/>
          </w:tcPr>
          <w:p w14:paraId="4247B746">
            <w:pPr>
              <w:rPr>
                <w:rFonts w:ascii="Arial"/>
                <w:color w:val="auto"/>
                <w:highlight w:val="none"/>
              </w:rPr>
            </w:pPr>
          </w:p>
        </w:tc>
        <w:tc>
          <w:tcPr>
            <w:tcW w:w="1349" w:type="dxa"/>
          </w:tcPr>
          <w:p w14:paraId="58B580BA">
            <w:pPr>
              <w:rPr>
                <w:rFonts w:ascii="Arial"/>
                <w:color w:val="auto"/>
                <w:highlight w:val="none"/>
              </w:rPr>
            </w:pPr>
          </w:p>
        </w:tc>
        <w:tc>
          <w:tcPr>
            <w:tcW w:w="1353" w:type="dxa"/>
          </w:tcPr>
          <w:p w14:paraId="19C5CABB">
            <w:pPr>
              <w:rPr>
                <w:rFonts w:ascii="Arial"/>
                <w:color w:val="auto"/>
                <w:highlight w:val="none"/>
              </w:rPr>
            </w:pPr>
          </w:p>
        </w:tc>
        <w:tc>
          <w:tcPr>
            <w:tcW w:w="1351" w:type="dxa"/>
          </w:tcPr>
          <w:p w14:paraId="74A38B20">
            <w:pPr>
              <w:rPr>
                <w:rFonts w:ascii="Arial"/>
                <w:color w:val="auto"/>
                <w:highlight w:val="none"/>
              </w:rPr>
            </w:pPr>
          </w:p>
        </w:tc>
        <w:tc>
          <w:tcPr>
            <w:tcW w:w="1351" w:type="dxa"/>
          </w:tcPr>
          <w:p w14:paraId="45D39077">
            <w:pPr>
              <w:rPr>
                <w:rFonts w:ascii="Arial"/>
                <w:color w:val="auto"/>
                <w:highlight w:val="none"/>
              </w:rPr>
            </w:pPr>
          </w:p>
        </w:tc>
        <w:tc>
          <w:tcPr>
            <w:tcW w:w="1351" w:type="dxa"/>
          </w:tcPr>
          <w:p w14:paraId="45F26681">
            <w:pPr>
              <w:rPr>
                <w:rFonts w:ascii="Arial"/>
                <w:color w:val="auto"/>
                <w:highlight w:val="none"/>
              </w:rPr>
            </w:pPr>
          </w:p>
        </w:tc>
        <w:tc>
          <w:tcPr>
            <w:tcW w:w="1354" w:type="dxa"/>
          </w:tcPr>
          <w:p w14:paraId="343B6E59">
            <w:pPr>
              <w:rPr>
                <w:rFonts w:ascii="Arial"/>
                <w:color w:val="auto"/>
                <w:highlight w:val="none"/>
              </w:rPr>
            </w:pPr>
          </w:p>
        </w:tc>
        <w:tc>
          <w:tcPr>
            <w:tcW w:w="1358" w:type="dxa"/>
          </w:tcPr>
          <w:p w14:paraId="45BDCDAC">
            <w:pPr>
              <w:rPr>
                <w:rFonts w:ascii="Arial"/>
                <w:color w:val="auto"/>
                <w:highlight w:val="none"/>
              </w:rPr>
            </w:pPr>
          </w:p>
        </w:tc>
        <w:tc>
          <w:tcPr>
            <w:tcW w:w="1972" w:type="dxa"/>
          </w:tcPr>
          <w:p w14:paraId="4CCC9907">
            <w:pPr>
              <w:rPr>
                <w:rFonts w:ascii="Arial"/>
                <w:color w:val="auto"/>
                <w:highlight w:val="none"/>
              </w:rPr>
            </w:pPr>
          </w:p>
        </w:tc>
      </w:tr>
      <w:tr w14:paraId="6CFA8A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794" w:type="dxa"/>
          </w:tcPr>
          <w:p w14:paraId="55E9234C">
            <w:pPr>
              <w:pStyle w:val="185"/>
              <w:spacing w:before="143" w:line="241" w:lineRule="auto"/>
              <w:ind w:left="351"/>
              <w:rPr>
                <w:color w:val="auto"/>
                <w:highlight w:val="none"/>
              </w:rPr>
            </w:pPr>
            <w:r>
              <w:rPr>
                <w:color w:val="auto"/>
                <w:highlight w:val="none"/>
              </w:rPr>
              <w:t>6</w:t>
            </w:r>
          </w:p>
        </w:tc>
        <w:tc>
          <w:tcPr>
            <w:tcW w:w="1804" w:type="dxa"/>
          </w:tcPr>
          <w:p w14:paraId="30B81E63">
            <w:pPr>
              <w:rPr>
                <w:rFonts w:ascii="Arial"/>
                <w:color w:val="auto"/>
                <w:highlight w:val="none"/>
              </w:rPr>
            </w:pPr>
          </w:p>
        </w:tc>
        <w:tc>
          <w:tcPr>
            <w:tcW w:w="1349" w:type="dxa"/>
          </w:tcPr>
          <w:p w14:paraId="36C79FDF">
            <w:pPr>
              <w:rPr>
                <w:rFonts w:ascii="Arial"/>
                <w:color w:val="auto"/>
                <w:highlight w:val="none"/>
              </w:rPr>
            </w:pPr>
          </w:p>
        </w:tc>
        <w:tc>
          <w:tcPr>
            <w:tcW w:w="1353" w:type="dxa"/>
          </w:tcPr>
          <w:p w14:paraId="1AF1C496">
            <w:pPr>
              <w:rPr>
                <w:rFonts w:ascii="Arial"/>
                <w:color w:val="auto"/>
                <w:highlight w:val="none"/>
              </w:rPr>
            </w:pPr>
          </w:p>
        </w:tc>
        <w:tc>
          <w:tcPr>
            <w:tcW w:w="1351" w:type="dxa"/>
          </w:tcPr>
          <w:p w14:paraId="5E68241D">
            <w:pPr>
              <w:rPr>
                <w:rFonts w:ascii="Arial"/>
                <w:color w:val="auto"/>
                <w:highlight w:val="none"/>
              </w:rPr>
            </w:pPr>
          </w:p>
        </w:tc>
        <w:tc>
          <w:tcPr>
            <w:tcW w:w="1351" w:type="dxa"/>
          </w:tcPr>
          <w:p w14:paraId="5F18877A">
            <w:pPr>
              <w:rPr>
                <w:rFonts w:ascii="Arial"/>
                <w:color w:val="auto"/>
                <w:highlight w:val="none"/>
              </w:rPr>
            </w:pPr>
          </w:p>
        </w:tc>
        <w:tc>
          <w:tcPr>
            <w:tcW w:w="1351" w:type="dxa"/>
          </w:tcPr>
          <w:p w14:paraId="45D1E490">
            <w:pPr>
              <w:rPr>
                <w:rFonts w:ascii="Arial"/>
                <w:color w:val="auto"/>
                <w:highlight w:val="none"/>
              </w:rPr>
            </w:pPr>
          </w:p>
        </w:tc>
        <w:tc>
          <w:tcPr>
            <w:tcW w:w="1354" w:type="dxa"/>
          </w:tcPr>
          <w:p w14:paraId="59B4A9A9">
            <w:pPr>
              <w:rPr>
                <w:rFonts w:ascii="Arial"/>
                <w:color w:val="auto"/>
                <w:highlight w:val="none"/>
              </w:rPr>
            </w:pPr>
          </w:p>
        </w:tc>
        <w:tc>
          <w:tcPr>
            <w:tcW w:w="1358" w:type="dxa"/>
          </w:tcPr>
          <w:p w14:paraId="53319473">
            <w:pPr>
              <w:rPr>
                <w:rFonts w:ascii="Arial"/>
                <w:color w:val="auto"/>
                <w:highlight w:val="none"/>
              </w:rPr>
            </w:pPr>
          </w:p>
        </w:tc>
        <w:tc>
          <w:tcPr>
            <w:tcW w:w="1972" w:type="dxa"/>
          </w:tcPr>
          <w:p w14:paraId="27EA1B12">
            <w:pPr>
              <w:rPr>
                <w:rFonts w:ascii="Arial"/>
                <w:color w:val="auto"/>
                <w:highlight w:val="none"/>
              </w:rPr>
            </w:pPr>
          </w:p>
        </w:tc>
      </w:tr>
      <w:tr w14:paraId="434C9C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794" w:type="dxa"/>
          </w:tcPr>
          <w:p w14:paraId="6D925DE1">
            <w:pPr>
              <w:pStyle w:val="185"/>
              <w:spacing w:before="145" w:line="333" w:lineRule="exact"/>
              <w:ind w:left="206"/>
              <w:rPr>
                <w:color w:val="auto"/>
                <w:highlight w:val="none"/>
              </w:rPr>
            </w:pPr>
            <w:r>
              <w:rPr>
                <w:color w:val="auto"/>
                <w:spacing w:val="-10"/>
                <w:position w:val="2"/>
                <w:highlight w:val="none"/>
              </w:rPr>
              <w:t>……</w:t>
            </w:r>
          </w:p>
        </w:tc>
        <w:tc>
          <w:tcPr>
            <w:tcW w:w="1804" w:type="dxa"/>
          </w:tcPr>
          <w:p w14:paraId="658DB32D">
            <w:pPr>
              <w:rPr>
                <w:rFonts w:ascii="Arial"/>
                <w:color w:val="auto"/>
                <w:highlight w:val="none"/>
              </w:rPr>
            </w:pPr>
          </w:p>
        </w:tc>
        <w:tc>
          <w:tcPr>
            <w:tcW w:w="1349" w:type="dxa"/>
          </w:tcPr>
          <w:p w14:paraId="6A93E816">
            <w:pPr>
              <w:rPr>
                <w:rFonts w:ascii="Arial"/>
                <w:color w:val="auto"/>
                <w:highlight w:val="none"/>
              </w:rPr>
            </w:pPr>
          </w:p>
        </w:tc>
        <w:tc>
          <w:tcPr>
            <w:tcW w:w="1353" w:type="dxa"/>
          </w:tcPr>
          <w:p w14:paraId="3F759B30">
            <w:pPr>
              <w:rPr>
                <w:rFonts w:ascii="Arial"/>
                <w:color w:val="auto"/>
                <w:highlight w:val="none"/>
              </w:rPr>
            </w:pPr>
          </w:p>
        </w:tc>
        <w:tc>
          <w:tcPr>
            <w:tcW w:w="1351" w:type="dxa"/>
          </w:tcPr>
          <w:p w14:paraId="6B60DEBB">
            <w:pPr>
              <w:rPr>
                <w:rFonts w:ascii="Arial"/>
                <w:color w:val="auto"/>
                <w:highlight w:val="none"/>
              </w:rPr>
            </w:pPr>
          </w:p>
        </w:tc>
        <w:tc>
          <w:tcPr>
            <w:tcW w:w="1351" w:type="dxa"/>
          </w:tcPr>
          <w:p w14:paraId="33F92860">
            <w:pPr>
              <w:rPr>
                <w:rFonts w:ascii="Arial"/>
                <w:color w:val="auto"/>
                <w:highlight w:val="none"/>
              </w:rPr>
            </w:pPr>
          </w:p>
        </w:tc>
        <w:tc>
          <w:tcPr>
            <w:tcW w:w="1351" w:type="dxa"/>
          </w:tcPr>
          <w:p w14:paraId="2EFCBF53">
            <w:pPr>
              <w:rPr>
                <w:rFonts w:ascii="Arial"/>
                <w:color w:val="auto"/>
                <w:highlight w:val="none"/>
              </w:rPr>
            </w:pPr>
          </w:p>
        </w:tc>
        <w:tc>
          <w:tcPr>
            <w:tcW w:w="1354" w:type="dxa"/>
          </w:tcPr>
          <w:p w14:paraId="2C1AF7F8">
            <w:pPr>
              <w:rPr>
                <w:rFonts w:ascii="Arial"/>
                <w:color w:val="auto"/>
                <w:highlight w:val="none"/>
              </w:rPr>
            </w:pPr>
          </w:p>
        </w:tc>
        <w:tc>
          <w:tcPr>
            <w:tcW w:w="1358" w:type="dxa"/>
          </w:tcPr>
          <w:p w14:paraId="0FDE9BAE">
            <w:pPr>
              <w:rPr>
                <w:rFonts w:ascii="Arial"/>
                <w:color w:val="auto"/>
                <w:highlight w:val="none"/>
              </w:rPr>
            </w:pPr>
          </w:p>
        </w:tc>
        <w:tc>
          <w:tcPr>
            <w:tcW w:w="1972" w:type="dxa"/>
          </w:tcPr>
          <w:p w14:paraId="03D918D9">
            <w:pPr>
              <w:rPr>
                <w:rFonts w:ascii="Arial"/>
                <w:color w:val="auto"/>
                <w:highlight w:val="none"/>
              </w:rPr>
            </w:pPr>
          </w:p>
        </w:tc>
      </w:tr>
      <w:tr w14:paraId="0E911C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0" w:hRule="atLeast"/>
        </w:trPr>
        <w:tc>
          <w:tcPr>
            <w:tcW w:w="14037" w:type="dxa"/>
            <w:gridSpan w:val="10"/>
          </w:tcPr>
          <w:p w14:paraId="7D76868A">
            <w:pPr>
              <w:pStyle w:val="185"/>
              <w:spacing w:before="36" w:line="221" w:lineRule="auto"/>
              <w:ind w:left="125"/>
              <w:rPr>
                <w:color w:val="auto"/>
                <w:highlight w:val="none"/>
              </w:rPr>
            </w:pPr>
            <w:r>
              <w:rPr>
                <w:color w:val="auto"/>
                <w:spacing w:val="-5"/>
                <w:highlight w:val="none"/>
              </w:rPr>
              <w:t>资信业绩评委签名：</w:t>
            </w:r>
          </w:p>
        </w:tc>
      </w:tr>
    </w:tbl>
    <w:p w14:paraId="64A9B5B7">
      <w:pPr>
        <w:spacing w:before="300" w:line="221" w:lineRule="auto"/>
        <w:jc w:val="right"/>
        <w:rPr>
          <w:rFonts w:ascii="宋体" w:hAnsi="宋体" w:cs="宋体"/>
          <w:color w:val="auto"/>
          <w:szCs w:val="21"/>
          <w:highlight w:val="none"/>
        </w:rPr>
      </w:pPr>
      <w:r>
        <w:rPr>
          <w:rFonts w:ascii="宋体" w:hAnsi="宋体" w:cs="宋体"/>
          <w:color w:val="auto"/>
          <w:spacing w:val="-18"/>
          <w:szCs w:val="21"/>
          <w:highlight w:val="none"/>
        </w:rPr>
        <w:t>日期：</w:t>
      </w:r>
      <w:r>
        <w:rPr>
          <w:rFonts w:ascii="宋体" w:hAnsi="宋体" w:cs="宋体"/>
          <w:color w:val="auto"/>
          <w:spacing w:val="-3"/>
          <w:szCs w:val="21"/>
          <w:highlight w:val="none"/>
        </w:rPr>
        <w:t xml:space="preserve">        年     月    日</w:t>
      </w:r>
    </w:p>
    <w:p w14:paraId="4C4D8021">
      <w:pPr>
        <w:spacing w:line="221" w:lineRule="auto"/>
        <w:rPr>
          <w:rFonts w:ascii="宋体" w:hAnsi="宋体" w:cs="宋体"/>
          <w:color w:val="auto"/>
          <w:szCs w:val="21"/>
          <w:highlight w:val="none"/>
        </w:rPr>
        <w:sectPr>
          <w:headerReference r:id="rId36" w:type="default"/>
          <w:footerReference r:id="rId37" w:type="default"/>
          <w:pgSz w:w="16839" w:h="11907"/>
          <w:pgMar w:top="400" w:right="1396" w:bottom="1170" w:left="1399" w:header="0" w:footer="939" w:gutter="0"/>
          <w:pgNumType w:fmt="decimal"/>
          <w:cols w:space="720" w:num="1"/>
        </w:sectPr>
      </w:pPr>
    </w:p>
    <w:p w14:paraId="14CD120F">
      <w:pPr>
        <w:pStyle w:val="17"/>
        <w:spacing w:line="277" w:lineRule="auto"/>
        <w:rPr>
          <w:color w:val="auto"/>
          <w:highlight w:val="none"/>
        </w:rPr>
      </w:pPr>
    </w:p>
    <w:p w14:paraId="52043A76">
      <w:pPr>
        <w:pStyle w:val="17"/>
        <w:spacing w:line="278" w:lineRule="auto"/>
        <w:rPr>
          <w:color w:val="auto"/>
          <w:highlight w:val="none"/>
        </w:rPr>
      </w:pPr>
    </w:p>
    <w:p w14:paraId="5B3FE0B9">
      <w:pPr>
        <w:spacing w:before="78" w:line="219" w:lineRule="auto"/>
        <w:outlineLvl w:val="2"/>
        <w:rPr>
          <w:rFonts w:ascii="黑体" w:hAnsi="黑体" w:eastAsia="黑体" w:cs="黑体"/>
          <w:color w:val="auto"/>
          <w:sz w:val="24"/>
          <w:highlight w:val="none"/>
        </w:rPr>
      </w:pPr>
      <w:bookmarkStart w:id="306" w:name="bookmark421"/>
      <w:bookmarkEnd w:id="306"/>
      <w:bookmarkStart w:id="307" w:name="_Toc11549"/>
      <w:r>
        <w:rPr>
          <w:rFonts w:ascii="黑体" w:hAnsi="黑体" w:eastAsia="黑体" w:cs="黑体"/>
          <w:color w:val="auto"/>
          <w:spacing w:val="-3"/>
          <w:sz w:val="24"/>
          <w:highlight w:val="none"/>
        </w:rPr>
        <w:t>附表A-15：其他因素评审记录表</w:t>
      </w:r>
      <w:bookmarkEnd w:id="307"/>
    </w:p>
    <w:p w14:paraId="76B432C7">
      <w:pPr>
        <w:spacing w:before="284" w:line="219" w:lineRule="auto"/>
        <w:ind w:left="5237"/>
        <w:rPr>
          <w:rFonts w:ascii="黑体" w:hAnsi="黑体" w:eastAsia="黑体" w:cs="黑体"/>
          <w:color w:val="auto"/>
          <w:sz w:val="36"/>
          <w:szCs w:val="36"/>
          <w:highlight w:val="none"/>
        </w:rPr>
      </w:pPr>
      <w:bookmarkStart w:id="308" w:name="bookmark145"/>
      <w:bookmarkEnd w:id="308"/>
      <w:r>
        <w:rPr>
          <w:rFonts w:ascii="黑体" w:hAnsi="黑体" w:eastAsia="黑体" w:cs="黑体"/>
          <w:color w:val="auto"/>
          <w:spacing w:val="-2"/>
          <w:sz w:val="36"/>
          <w:szCs w:val="36"/>
          <w:highlight w:val="none"/>
        </w:rPr>
        <w:t>其他因素评审记录表</w:t>
      </w:r>
    </w:p>
    <w:p w14:paraId="470FBF7C">
      <w:pPr>
        <w:spacing w:before="239" w:line="221" w:lineRule="auto"/>
        <w:ind w:left="80"/>
        <w:rPr>
          <w:rFonts w:ascii="宋体" w:hAnsi="宋体" w:cs="宋体"/>
          <w:color w:val="auto"/>
          <w:szCs w:val="21"/>
          <w:highlight w:val="none"/>
        </w:rPr>
      </w:pPr>
      <w:r>
        <w:rPr>
          <w:rFonts w:ascii="宋体" w:hAnsi="宋体" w:cs="宋体"/>
          <w:color w:val="auto"/>
          <w:spacing w:val="-7"/>
          <w:szCs w:val="21"/>
          <w:highlight w:val="none"/>
        </w:rPr>
        <w:t>标段名称：</w:t>
      </w:r>
    </w:p>
    <w:p w14:paraId="3416A08B">
      <w:pPr>
        <w:spacing w:before="22" w:line="212" w:lineRule="auto"/>
        <w:ind w:left="80"/>
        <w:rPr>
          <w:rFonts w:ascii="宋体" w:hAnsi="宋体" w:cs="宋体"/>
          <w:color w:val="auto"/>
          <w:szCs w:val="21"/>
          <w:highlight w:val="none"/>
        </w:rPr>
      </w:pPr>
      <w:r>
        <w:rPr>
          <w:rFonts w:ascii="宋体" w:hAnsi="宋体" w:cs="宋体"/>
          <w:color w:val="auto"/>
          <w:spacing w:val="-1"/>
          <w:szCs w:val="21"/>
          <w:highlight w:val="none"/>
        </w:rPr>
        <w:t>标段唯一标识码：</w:t>
      </w:r>
    </w:p>
    <w:tbl>
      <w:tblPr>
        <w:tblStyle w:val="42"/>
        <w:tblW w:w="13609" w:type="dxa"/>
        <w:tblInd w:w="3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5"/>
        <w:gridCol w:w="1751"/>
        <w:gridCol w:w="1313"/>
        <w:gridCol w:w="1315"/>
        <w:gridCol w:w="1312"/>
        <w:gridCol w:w="1312"/>
        <w:gridCol w:w="1315"/>
        <w:gridCol w:w="1313"/>
        <w:gridCol w:w="1324"/>
        <w:gridCol w:w="1879"/>
      </w:tblGrid>
      <w:tr w14:paraId="42A9F4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775" w:type="dxa"/>
            <w:vMerge w:val="restart"/>
            <w:tcBorders>
              <w:bottom w:val="nil"/>
            </w:tcBorders>
          </w:tcPr>
          <w:p w14:paraId="6E476E1E">
            <w:pPr>
              <w:spacing w:line="266" w:lineRule="auto"/>
              <w:rPr>
                <w:rFonts w:ascii="Arial"/>
                <w:color w:val="auto"/>
                <w:highlight w:val="none"/>
              </w:rPr>
            </w:pPr>
          </w:p>
          <w:p w14:paraId="6C2BEB45">
            <w:pPr>
              <w:pStyle w:val="185"/>
              <w:spacing w:before="69" w:line="222" w:lineRule="auto"/>
              <w:ind w:left="179"/>
              <w:rPr>
                <w:color w:val="auto"/>
                <w:highlight w:val="none"/>
              </w:rPr>
            </w:pPr>
            <w:r>
              <w:rPr>
                <w:b/>
                <w:bCs/>
                <w:color w:val="auto"/>
                <w:spacing w:val="-4"/>
                <w:highlight w:val="none"/>
              </w:rPr>
              <w:t>序号</w:t>
            </w:r>
          </w:p>
        </w:tc>
        <w:tc>
          <w:tcPr>
            <w:tcW w:w="1751" w:type="dxa"/>
            <w:vMerge w:val="restart"/>
            <w:tcBorders>
              <w:bottom w:val="nil"/>
            </w:tcBorders>
          </w:tcPr>
          <w:p w14:paraId="68CE757C">
            <w:pPr>
              <w:spacing w:line="267" w:lineRule="auto"/>
              <w:rPr>
                <w:rFonts w:ascii="Arial"/>
                <w:color w:val="auto"/>
                <w:highlight w:val="none"/>
              </w:rPr>
            </w:pPr>
          </w:p>
          <w:p w14:paraId="2C5FD0F8">
            <w:pPr>
              <w:pStyle w:val="185"/>
              <w:spacing w:before="68" w:line="221" w:lineRule="auto"/>
              <w:ind w:left="351"/>
              <w:rPr>
                <w:color w:val="auto"/>
                <w:highlight w:val="none"/>
              </w:rPr>
            </w:pPr>
            <w:r>
              <w:rPr>
                <w:b/>
                <w:bCs/>
                <w:color w:val="auto"/>
                <w:spacing w:val="-3"/>
                <w:highlight w:val="none"/>
              </w:rPr>
              <w:t>投标人名称</w:t>
            </w:r>
          </w:p>
        </w:tc>
        <w:tc>
          <w:tcPr>
            <w:tcW w:w="9204" w:type="dxa"/>
            <w:gridSpan w:val="7"/>
          </w:tcPr>
          <w:p w14:paraId="0AD76131">
            <w:pPr>
              <w:pStyle w:val="185"/>
              <w:spacing w:before="115" w:line="221" w:lineRule="auto"/>
              <w:ind w:left="3868"/>
              <w:rPr>
                <w:color w:val="auto"/>
                <w:highlight w:val="none"/>
              </w:rPr>
            </w:pPr>
            <w:r>
              <w:rPr>
                <w:b/>
                <w:bCs/>
                <w:color w:val="auto"/>
                <w:spacing w:val="-3"/>
                <w:highlight w:val="none"/>
              </w:rPr>
              <w:t>评委姓名及得分</w:t>
            </w:r>
          </w:p>
        </w:tc>
        <w:tc>
          <w:tcPr>
            <w:tcW w:w="1879" w:type="dxa"/>
            <w:vMerge w:val="restart"/>
            <w:tcBorders>
              <w:bottom w:val="nil"/>
            </w:tcBorders>
          </w:tcPr>
          <w:p w14:paraId="196208D1">
            <w:pPr>
              <w:pStyle w:val="185"/>
              <w:spacing w:before="203"/>
              <w:ind w:left="157" w:right="157" w:firstLine="51"/>
              <w:jc w:val="center"/>
              <w:rPr>
                <w:color w:val="auto"/>
                <w:highlight w:val="none"/>
                <w:lang w:eastAsia="zh-CN"/>
              </w:rPr>
            </w:pPr>
            <w:r>
              <w:rPr>
                <w:b/>
                <w:bCs/>
                <w:color w:val="auto"/>
                <w:spacing w:val="-3"/>
                <w:highlight w:val="none"/>
                <w:lang w:eastAsia="zh-CN"/>
              </w:rPr>
              <w:t>其他因素最终得</w:t>
            </w:r>
            <w:r>
              <w:rPr>
                <w:b/>
                <w:bCs/>
                <w:color w:val="auto"/>
                <w:spacing w:val="-8"/>
                <w:highlight w:val="none"/>
                <w:lang w:eastAsia="zh-CN"/>
              </w:rPr>
              <w:t>分</w:t>
            </w:r>
          </w:p>
        </w:tc>
      </w:tr>
      <w:tr w14:paraId="74B75E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775" w:type="dxa"/>
            <w:vMerge w:val="continue"/>
            <w:tcBorders>
              <w:top w:val="nil"/>
            </w:tcBorders>
          </w:tcPr>
          <w:p w14:paraId="69D730A8">
            <w:pPr>
              <w:rPr>
                <w:rFonts w:ascii="Arial"/>
                <w:color w:val="auto"/>
                <w:highlight w:val="none"/>
              </w:rPr>
            </w:pPr>
          </w:p>
        </w:tc>
        <w:tc>
          <w:tcPr>
            <w:tcW w:w="1751" w:type="dxa"/>
            <w:vMerge w:val="continue"/>
            <w:tcBorders>
              <w:top w:val="nil"/>
            </w:tcBorders>
          </w:tcPr>
          <w:p w14:paraId="0BA1BBD9">
            <w:pPr>
              <w:rPr>
                <w:rFonts w:ascii="Arial"/>
                <w:color w:val="auto"/>
                <w:highlight w:val="none"/>
              </w:rPr>
            </w:pPr>
          </w:p>
        </w:tc>
        <w:tc>
          <w:tcPr>
            <w:tcW w:w="1313" w:type="dxa"/>
          </w:tcPr>
          <w:p w14:paraId="364DF7D4">
            <w:pPr>
              <w:pStyle w:val="185"/>
              <w:spacing w:before="112" w:line="221" w:lineRule="auto"/>
              <w:ind w:left="368"/>
              <w:rPr>
                <w:color w:val="auto"/>
                <w:highlight w:val="none"/>
              </w:rPr>
            </w:pPr>
            <w:r>
              <w:rPr>
                <w:b/>
                <w:bCs/>
                <w:color w:val="auto"/>
                <w:spacing w:val="-4"/>
                <w:highlight w:val="none"/>
              </w:rPr>
              <w:t>评委1</w:t>
            </w:r>
          </w:p>
        </w:tc>
        <w:tc>
          <w:tcPr>
            <w:tcW w:w="1315" w:type="dxa"/>
          </w:tcPr>
          <w:p w14:paraId="12B111EE">
            <w:pPr>
              <w:pStyle w:val="185"/>
              <w:spacing w:before="112" w:line="221" w:lineRule="auto"/>
              <w:ind w:left="368"/>
              <w:rPr>
                <w:color w:val="auto"/>
                <w:highlight w:val="none"/>
              </w:rPr>
            </w:pPr>
            <w:r>
              <w:rPr>
                <w:b/>
                <w:bCs/>
                <w:color w:val="auto"/>
                <w:spacing w:val="-4"/>
                <w:highlight w:val="none"/>
              </w:rPr>
              <w:t>评委2</w:t>
            </w:r>
          </w:p>
        </w:tc>
        <w:tc>
          <w:tcPr>
            <w:tcW w:w="1312" w:type="dxa"/>
          </w:tcPr>
          <w:p w14:paraId="6882E17D">
            <w:pPr>
              <w:pStyle w:val="185"/>
              <w:spacing w:before="111" w:line="314" w:lineRule="exact"/>
              <w:ind w:left="459"/>
              <w:rPr>
                <w:color w:val="auto"/>
                <w:highlight w:val="none"/>
              </w:rPr>
            </w:pPr>
            <w:r>
              <w:rPr>
                <w:b/>
                <w:bCs/>
                <w:color w:val="auto"/>
                <w:spacing w:val="-7"/>
                <w:position w:val="2"/>
                <w:highlight w:val="none"/>
              </w:rPr>
              <w:t>……</w:t>
            </w:r>
          </w:p>
        </w:tc>
        <w:tc>
          <w:tcPr>
            <w:tcW w:w="1312" w:type="dxa"/>
          </w:tcPr>
          <w:p w14:paraId="09B24709">
            <w:pPr>
              <w:rPr>
                <w:rFonts w:ascii="Arial"/>
                <w:color w:val="auto"/>
                <w:highlight w:val="none"/>
              </w:rPr>
            </w:pPr>
          </w:p>
        </w:tc>
        <w:tc>
          <w:tcPr>
            <w:tcW w:w="1315" w:type="dxa"/>
          </w:tcPr>
          <w:p w14:paraId="2FFB9AEE">
            <w:pPr>
              <w:rPr>
                <w:rFonts w:ascii="Arial"/>
                <w:color w:val="auto"/>
                <w:highlight w:val="none"/>
              </w:rPr>
            </w:pPr>
          </w:p>
        </w:tc>
        <w:tc>
          <w:tcPr>
            <w:tcW w:w="1313" w:type="dxa"/>
          </w:tcPr>
          <w:p w14:paraId="094B6664">
            <w:pPr>
              <w:rPr>
                <w:rFonts w:ascii="Arial"/>
                <w:color w:val="auto"/>
                <w:highlight w:val="none"/>
              </w:rPr>
            </w:pPr>
          </w:p>
        </w:tc>
        <w:tc>
          <w:tcPr>
            <w:tcW w:w="1324" w:type="dxa"/>
          </w:tcPr>
          <w:p w14:paraId="34832D41">
            <w:pPr>
              <w:rPr>
                <w:rFonts w:ascii="Arial"/>
                <w:color w:val="auto"/>
                <w:highlight w:val="none"/>
              </w:rPr>
            </w:pPr>
          </w:p>
        </w:tc>
        <w:tc>
          <w:tcPr>
            <w:tcW w:w="1879" w:type="dxa"/>
            <w:vMerge w:val="continue"/>
            <w:tcBorders>
              <w:top w:val="nil"/>
            </w:tcBorders>
          </w:tcPr>
          <w:p w14:paraId="67E2ABCB">
            <w:pPr>
              <w:rPr>
                <w:rFonts w:ascii="Arial"/>
                <w:color w:val="auto"/>
                <w:highlight w:val="none"/>
              </w:rPr>
            </w:pPr>
          </w:p>
        </w:tc>
      </w:tr>
      <w:tr w14:paraId="04B857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775" w:type="dxa"/>
          </w:tcPr>
          <w:p w14:paraId="215C3FA2">
            <w:pPr>
              <w:pStyle w:val="185"/>
              <w:spacing w:before="189" w:line="242" w:lineRule="auto"/>
              <w:ind w:left="354"/>
              <w:rPr>
                <w:color w:val="auto"/>
                <w:highlight w:val="none"/>
              </w:rPr>
            </w:pPr>
            <w:r>
              <w:rPr>
                <w:color w:val="auto"/>
                <w:highlight w:val="none"/>
              </w:rPr>
              <w:t>1</w:t>
            </w:r>
          </w:p>
        </w:tc>
        <w:tc>
          <w:tcPr>
            <w:tcW w:w="1751" w:type="dxa"/>
          </w:tcPr>
          <w:p w14:paraId="30C0911A">
            <w:pPr>
              <w:rPr>
                <w:rFonts w:ascii="Arial"/>
                <w:color w:val="auto"/>
                <w:highlight w:val="none"/>
              </w:rPr>
            </w:pPr>
          </w:p>
        </w:tc>
        <w:tc>
          <w:tcPr>
            <w:tcW w:w="1313" w:type="dxa"/>
          </w:tcPr>
          <w:p w14:paraId="1EA7E41C">
            <w:pPr>
              <w:rPr>
                <w:rFonts w:ascii="Arial"/>
                <w:color w:val="auto"/>
                <w:highlight w:val="none"/>
              </w:rPr>
            </w:pPr>
          </w:p>
        </w:tc>
        <w:tc>
          <w:tcPr>
            <w:tcW w:w="1315" w:type="dxa"/>
          </w:tcPr>
          <w:p w14:paraId="63DB4E9B">
            <w:pPr>
              <w:rPr>
                <w:rFonts w:ascii="Arial"/>
                <w:color w:val="auto"/>
                <w:highlight w:val="none"/>
              </w:rPr>
            </w:pPr>
          </w:p>
        </w:tc>
        <w:tc>
          <w:tcPr>
            <w:tcW w:w="1312" w:type="dxa"/>
          </w:tcPr>
          <w:p w14:paraId="26115899">
            <w:pPr>
              <w:rPr>
                <w:rFonts w:ascii="Arial"/>
                <w:color w:val="auto"/>
                <w:highlight w:val="none"/>
              </w:rPr>
            </w:pPr>
          </w:p>
        </w:tc>
        <w:tc>
          <w:tcPr>
            <w:tcW w:w="1312" w:type="dxa"/>
          </w:tcPr>
          <w:p w14:paraId="4CDEB03F">
            <w:pPr>
              <w:rPr>
                <w:rFonts w:ascii="Arial"/>
                <w:color w:val="auto"/>
                <w:highlight w:val="none"/>
              </w:rPr>
            </w:pPr>
          </w:p>
        </w:tc>
        <w:tc>
          <w:tcPr>
            <w:tcW w:w="1315" w:type="dxa"/>
          </w:tcPr>
          <w:p w14:paraId="3D6EBF15">
            <w:pPr>
              <w:rPr>
                <w:rFonts w:ascii="Arial"/>
                <w:color w:val="auto"/>
                <w:highlight w:val="none"/>
              </w:rPr>
            </w:pPr>
          </w:p>
        </w:tc>
        <w:tc>
          <w:tcPr>
            <w:tcW w:w="1313" w:type="dxa"/>
          </w:tcPr>
          <w:p w14:paraId="50EA8E76">
            <w:pPr>
              <w:rPr>
                <w:rFonts w:ascii="Arial"/>
                <w:color w:val="auto"/>
                <w:highlight w:val="none"/>
              </w:rPr>
            </w:pPr>
          </w:p>
        </w:tc>
        <w:tc>
          <w:tcPr>
            <w:tcW w:w="1324" w:type="dxa"/>
          </w:tcPr>
          <w:p w14:paraId="3B67E679">
            <w:pPr>
              <w:rPr>
                <w:rFonts w:ascii="Arial"/>
                <w:color w:val="auto"/>
                <w:highlight w:val="none"/>
              </w:rPr>
            </w:pPr>
          </w:p>
        </w:tc>
        <w:tc>
          <w:tcPr>
            <w:tcW w:w="1879" w:type="dxa"/>
          </w:tcPr>
          <w:p w14:paraId="740F7A7C">
            <w:pPr>
              <w:rPr>
                <w:rFonts w:ascii="Arial"/>
                <w:color w:val="auto"/>
                <w:highlight w:val="none"/>
              </w:rPr>
            </w:pPr>
          </w:p>
        </w:tc>
      </w:tr>
      <w:tr w14:paraId="1CAA29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775" w:type="dxa"/>
          </w:tcPr>
          <w:p w14:paraId="4807EA04">
            <w:pPr>
              <w:pStyle w:val="185"/>
              <w:spacing w:before="187" w:line="242" w:lineRule="auto"/>
              <w:ind w:left="341"/>
              <w:rPr>
                <w:color w:val="auto"/>
                <w:highlight w:val="none"/>
              </w:rPr>
            </w:pPr>
            <w:r>
              <w:rPr>
                <w:color w:val="auto"/>
                <w:highlight w:val="none"/>
              </w:rPr>
              <w:t>2</w:t>
            </w:r>
          </w:p>
        </w:tc>
        <w:tc>
          <w:tcPr>
            <w:tcW w:w="1751" w:type="dxa"/>
          </w:tcPr>
          <w:p w14:paraId="1C28706F">
            <w:pPr>
              <w:rPr>
                <w:rFonts w:ascii="Arial"/>
                <w:color w:val="auto"/>
                <w:highlight w:val="none"/>
              </w:rPr>
            </w:pPr>
          </w:p>
        </w:tc>
        <w:tc>
          <w:tcPr>
            <w:tcW w:w="1313" w:type="dxa"/>
          </w:tcPr>
          <w:p w14:paraId="5E084216">
            <w:pPr>
              <w:rPr>
                <w:rFonts w:ascii="Arial"/>
                <w:color w:val="auto"/>
                <w:highlight w:val="none"/>
              </w:rPr>
            </w:pPr>
          </w:p>
        </w:tc>
        <w:tc>
          <w:tcPr>
            <w:tcW w:w="1315" w:type="dxa"/>
          </w:tcPr>
          <w:p w14:paraId="7EC0014B">
            <w:pPr>
              <w:rPr>
                <w:rFonts w:ascii="Arial"/>
                <w:color w:val="auto"/>
                <w:highlight w:val="none"/>
              </w:rPr>
            </w:pPr>
          </w:p>
        </w:tc>
        <w:tc>
          <w:tcPr>
            <w:tcW w:w="1312" w:type="dxa"/>
          </w:tcPr>
          <w:p w14:paraId="6B7C35B9">
            <w:pPr>
              <w:rPr>
                <w:rFonts w:ascii="Arial"/>
                <w:color w:val="auto"/>
                <w:highlight w:val="none"/>
              </w:rPr>
            </w:pPr>
          </w:p>
        </w:tc>
        <w:tc>
          <w:tcPr>
            <w:tcW w:w="1312" w:type="dxa"/>
          </w:tcPr>
          <w:p w14:paraId="084EDAA0">
            <w:pPr>
              <w:rPr>
                <w:rFonts w:ascii="Arial"/>
                <w:color w:val="auto"/>
                <w:highlight w:val="none"/>
              </w:rPr>
            </w:pPr>
          </w:p>
        </w:tc>
        <w:tc>
          <w:tcPr>
            <w:tcW w:w="1315" w:type="dxa"/>
          </w:tcPr>
          <w:p w14:paraId="334B8AFF">
            <w:pPr>
              <w:rPr>
                <w:rFonts w:ascii="Arial"/>
                <w:color w:val="auto"/>
                <w:highlight w:val="none"/>
              </w:rPr>
            </w:pPr>
          </w:p>
        </w:tc>
        <w:tc>
          <w:tcPr>
            <w:tcW w:w="1313" w:type="dxa"/>
          </w:tcPr>
          <w:p w14:paraId="4E79C8D9">
            <w:pPr>
              <w:rPr>
                <w:rFonts w:ascii="Arial"/>
                <w:color w:val="auto"/>
                <w:highlight w:val="none"/>
              </w:rPr>
            </w:pPr>
          </w:p>
        </w:tc>
        <w:tc>
          <w:tcPr>
            <w:tcW w:w="1324" w:type="dxa"/>
          </w:tcPr>
          <w:p w14:paraId="70AE3260">
            <w:pPr>
              <w:rPr>
                <w:rFonts w:ascii="Arial"/>
                <w:color w:val="auto"/>
                <w:highlight w:val="none"/>
              </w:rPr>
            </w:pPr>
          </w:p>
        </w:tc>
        <w:tc>
          <w:tcPr>
            <w:tcW w:w="1879" w:type="dxa"/>
          </w:tcPr>
          <w:p w14:paraId="4963C28D">
            <w:pPr>
              <w:rPr>
                <w:rFonts w:ascii="Arial"/>
                <w:color w:val="auto"/>
                <w:highlight w:val="none"/>
              </w:rPr>
            </w:pPr>
          </w:p>
        </w:tc>
      </w:tr>
      <w:tr w14:paraId="2CB006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775" w:type="dxa"/>
          </w:tcPr>
          <w:p w14:paraId="0F8053A3">
            <w:pPr>
              <w:pStyle w:val="185"/>
              <w:spacing w:before="190" w:line="241" w:lineRule="auto"/>
              <w:ind w:left="343"/>
              <w:rPr>
                <w:color w:val="auto"/>
                <w:highlight w:val="none"/>
              </w:rPr>
            </w:pPr>
            <w:r>
              <w:rPr>
                <w:color w:val="auto"/>
                <w:highlight w:val="none"/>
              </w:rPr>
              <w:t>3</w:t>
            </w:r>
          </w:p>
        </w:tc>
        <w:tc>
          <w:tcPr>
            <w:tcW w:w="1751" w:type="dxa"/>
          </w:tcPr>
          <w:p w14:paraId="49071172">
            <w:pPr>
              <w:rPr>
                <w:rFonts w:ascii="Arial"/>
                <w:color w:val="auto"/>
                <w:highlight w:val="none"/>
              </w:rPr>
            </w:pPr>
          </w:p>
        </w:tc>
        <w:tc>
          <w:tcPr>
            <w:tcW w:w="1313" w:type="dxa"/>
          </w:tcPr>
          <w:p w14:paraId="5F4529B8">
            <w:pPr>
              <w:rPr>
                <w:rFonts w:ascii="Arial"/>
                <w:color w:val="auto"/>
                <w:highlight w:val="none"/>
              </w:rPr>
            </w:pPr>
          </w:p>
        </w:tc>
        <w:tc>
          <w:tcPr>
            <w:tcW w:w="1315" w:type="dxa"/>
          </w:tcPr>
          <w:p w14:paraId="289267FF">
            <w:pPr>
              <w:rPr>
                <w:rFonts w:ascii="Arial"/>
                <w:color w:val="auto"/>
                <w:highlight w:val="none"/>
              </w:rPr>
            </w:pPr>
          </w:p>
        </w:tc>
        <w:tc>
          <w:tcPr>
            <w:tcW w:w="1312" w:type="dxa"/>
          </w:tcPr>
          <w:p w14:paraId="58DCED33">
            <w:pPr>
              <w:rPr>
                <w:rFonts w:ascii="Arial"/>
                <w:color w:val="auto"/>
                <w:highlight w:val="none"/>
              </w:rPr>
            </w:pPr>
          </w:p>
        </w:tc>
        <w:tc>
          <w:tcPr>
            <w:tcW w:w="1312" w:type="dxa"/>
          </w:tcPr>
          <w:p w14:paraId="72A9E3A9">
            <w:pPr>
              <w:rPr>
                <w:rFonts w:ascii="Arial"/>
                <w:color w:val="auto"/>
                <w:highlight w:val="none"/>
              </w:rPr>
            </w:pPr>
          </w:p>
        </w:tc>
        <w:tc>
          <w:tcPr>
            <w:tcW w:w="1315" w:type="dxa"/>
          </w:tcPr>
          <w:p w14:paraId="4757CA7A">
            <w:pPr>
              <w:rPr>
                <w:rFonts w:ascii="Arial"/>
                <w:color w:val="auto"/>
                <w:highlight w:val="none"/>
              </w:rPr>
            </w:pPr>
          </w:p>
        </w:tc>
        <w:tc>
          <w:tcPr>
            <w:tcW w:w="1313" w:type="dxa"/>
          </w:tcPr>
          <w:p w14:paraId="7E2361D2">
            <w:pPr>
              <w:rPr>
                <w:rFonts w:ascii="Arial"/>
                <w:color w:val="auto"/>
                <w:highlight w:val="none"/>
              </w:rPr>
            </w:pPr>
          </w:p>
        </w:tc>
        <w:tc>
          <w:tcPr>
            <w:tcW w:w="1324" w:type="dxa"/>
          </w:tcPr>
          <w:p w14:paraId="255C66DF">
            <w:pPr>
              <w:rPr>
                <w:rFonts w:ascii="Arial"/>
                <w:color w:val="auto"/>
                <w:highlight w:val="none"/>
              </w:rPr>
            </w:pPr>
          </w:p>
        </w:tc>
        <w:tc>
          <w:tcPr>
            <w:tcW w:w="1879" w:type="dxa"/>
          </w:tcPr>
          <w:p w14:paraId="4E621566">
            <w:pPr>
              <w:rPr>
                <w:rFonts w:ascii="Arial"/>
                <w:color w:val="auto"/>
                <w:highlight w:val="none"/>
              </w:rPr>
            </w:pPr>
          </w:p>
        </w:tc>
      </w:tr>
      <w:tr w14:paraId="66DCC0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775" w:type="dxa"/>
          </w:tcPr>
          <w:p w14:paraId="7B6CD441">
            <w:pPr>
              <w:pStyle w:val="185"/>
              <w:spacing w:before="188" w:line="242" w:lineRule="auto"/>
              <w:ind w:left="338"/>
              <w:rPr>
                <w:color w:val="auto"/>
                <w:highlight w:val="none"/>
              </w:rPr>
            </w:pPr>
            <w:r>
              <w:rPr>
                <w:color w:val="auto"/>
                <w:highlight w:val="none"/>
              </w:rPr>
              <w:t>4</w:t>
            </w:r>
          </w:p>
        </w:tc>
        <w:tc>
          <w:tcPr>
            <w:tcW w:w="1751" w:type="dxa"/>
          </w:tcPr>
          <w:p w14:paraId="35D7287D">
            <w:pPr>
              <w:rPr>
                <w:rFonts w:ascii="Arial"/>
                <w:color w:val="auto"/>
                <w:highlight w:val="none"/>
              </w:rPr>
            </w:pPr>
          </w:p>
        </w:tc>
        <w:tc>
          <w:tcPr>
            <w:tcW w:w="1313" w:type="dxa"/>
          </w:tcPr>
          <w:p w14:paraId="5592153B">
            <w:pPr>
              <w:rPr>
                <w:rFonts w:ascii="Arial"/>
                <w:color w:val="auto"/>
                <w:highlight w:val="none"/>
              </w:rPr>
            </w:pPr>
          </w:p>
        </w:tc>
        <w:tc>
          <w:tcPr>
            <w:tcW w:w="1315" w:type="dxa"/>
          </w:tcPr>
          <w:p w14:paraId="54CA8554">
            <w:pPr>
              <w:rPr>
                <w:rFonts w:ascii="Arial"/>
                <w:color w:val="auto"/>
                <w:highlight w:val="none"/>
              </w:rPr>
            </w:pPr>
          </w:p>
        </w:tc>
        <w:tc>
          <w:tcPr>
            <w:tcW w:w="1312" w:type="dxa"/>
          </w:tcPr>
          <w:p w14:paraId="23EE19C5">
            <w:pPr>
              <w:rPr>
                <w:rFonts w:ascii="Arial"/>
                <w:color w:val="auto"/>
                <w:highlight w:val="none"/>
              </w:rPr>
            </w:pPr>
          </w:p>
        </w:tc>
        <w:tc>
          <w:tcPr>
            <w:tcW w:w="1312" w:type="dxa"/>
          </w:tcPr>
          <w:p w14:paraId="546CD73E">
            <w:pPr>
              <w:rPr>
                <w:rFonts w:ascii="Arial"/>
                <w:color w:val="auto"/>
                <w:highlight w:val="none"/>
              </w:rPr>
            </w:pPr>
          </w:p>
        </w:tc>
        <w:tc>
          <w:tcPr>
            <w:tcW w:w="1315" w:type="dxa"/>
          </w:tcPr>
          <w:p w14:paraId="65E3ED41">
            <w:pPr>
              <w:rPr>
                <w:rFonts w:ascii="Arial"/>
                <w:color w:val="auto"/>
                <w:highlight w:val="none"/>
              </w:rPr>
            </w:pPr>
          </w:p>
        </w:tc>
        <w:tc>
          <w:tcPr>
            <w:tcW w:w="1313" w:type="dxa"/>
          </w:tcPr>
          <w:p w14:paraId="1F855C83">
            <w:pPr>
              <w:rPr>
                <w:rFonts w:ascii="Arial"/>
                <w:color w:val="auto"/>
                <w:highlight w:val="none"/>
              </w:rPr>
            </w:pPr>
          </w:p>
        </w:tc>
        <w:tc>
          <w:tcPr>
            <w:tcW w:w="1324" w:type="dxa"/>
          </w:tcPr>
          <w:p w14:paraId="6EDCC81F">
            <w:pPr>
              <w:rPr>
                <w:rFonts w:ascii="Arial"/>
                <w:color w:val="auto"/>
                <w:highlight w:val="none"/>
              </w:rPr>
            </w:pPr>
          </w:p>
        </w:tc>
        <w:tc>
          <w:tcPr>
            <w:tcW w:w="1879" w:type="dxa"/>
          </w:tcPr>
          <w:p w14:paraId="5942844A">
            <w:pPr>
              <w:rPr>
                <w:rFonts w:ascii="Arial"/>
                <w:color w:val="auto"/>
                <w:highlight w:val="none"/>
              </w:rPr>
            </w:pPr>
          </w:p>
        </w:tc>
      </w:tr>
      <w:tr w14:paraId="12AD3D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775" w:type="dxa"/>
          </w:tcPr>
          <w:p w14:paraId="6C10067F">
            <w:pPr>
              <w:pStyle w:val="185"/>
              <w:spacing w:before="191" w:line="241" w:lineRule="auto"/>
              <w:ind w:left="343"/>
              <w:rPr>
                <w:color w:val="auto"/>
                <w:highlight w:val="none"/>
              </w:rPr>
            </w:pPr>
            <w:r>
              <w:rPr>
                <w:color w:val="auto"/>
                <w:highlight w:val="none"/>
              </w:rPr>
              <w:t>5</w:t>
            </w:r>
          </w:p>
        </w:tc>
        <w:tc>
          <w:tcPr>
            <w:tcW w:w="1751" w:type="dxa"/>
          </w:tcPr>
          <w:p w14:paraId="19A68A99">
            <w:pPr>
              <w:rPr>
                <w:rFonts w:ascii="Arial"/>
                <w:color w:val="auto"/>
                <w:highlight w:val="none"/>
              </w:rPr>
            </w:pPr>
          </w:p>
        </w:tc>
        <w:tc>
          <w:tcPr>
            <w:tcW w:w="1313" w:type="dxa"/>
          </w:tcPr>
          <w:p w14:paraId="3474A097">
            <w:pPr>
              <w:rPr>
                <w:rFonts w:ascii="Arial"/>
                <w:color w:val="auto"/>
                <w:highlight w:val="none"/>
              </w:rPr>
            </w:pPr>
          </w:p>
        </w:tc>
        <w:tc>
          <w:tcPr>
            <w:tcW w:w="1315" w:type="dxa"/>
          </w:tcPr>
          <w:p w14:paraId="212F28F6">
            <w:pPr>
              <w:rPr>
                <w:rFonts w:ascii="Arial"/>
                <w:color w:val="auto"/>
                <w:highlight w:val="none"/>
              </w:rPr>
            </w:pPr>
          </w:p>
        </w:tc>
        <w:tc>
          <w:tcPr>
            <w:tcW w:w="1312" w:type="dxa"/>
          </w:tcPr>
          <w:p w14:paraId="09D9818C">
            <w:pPr>
              <w:rPr>
                <w:rFonts w:ascii="Arial"/>
                <w:color w:val="auto"/>
                <w:highlight w:val="none"/>
              </w:rPr>
            </w:pPr>
          </w:p>
        </w:tc>
        <w:tc>
          <w:tcPr>
            <w:tcW w:w="1312" w:type="dxa"/>
          </w:tcPr>
          <w:p w14:paraId="48A41B14">
            <w:pPr>
              <w:rPr>
                <w:rFonts w:ascii="Arial"/>
                <w:color w:val="auto"/>
                <w:highlight w:val="none"/>
              </w:rPr>
            </w:pPr>
          </w:p>
        </w:tc>
        <w:tc>
          <w:tcPr>
            <w:tcW w:w="1315" w:type="dxa"/>
          </w:tcPr>
          <w:p w14:paraId="32C1A3BE">
            <w:pPr>
              <w:rPr>
                <w:rFonts w:ascii="Arial"/>
                <w:color w:val="auto"/>
                <w:highlight w:val="none"/>
              </w:rPr>
            </w:pPr>
          </w:p>
        </w:tc>
        <w:tc>
          <w:tcPr>
            <w:tcW w:w="1313" w:type="dxa"/>
          </w:tcPr>
          <w:p w14:paraId="022189D4">
            <w:pPr>
              <w:rPr>
                <w:rFonts w:ascii="Arial"/>
                <w:color w:val="auto"/>
                <w:highlight w:val="none"/>
              </w:rPr>
            </w:pPr>
          </w:p>
        </w:tc>
        <w:tc>
          <w:tcPr>
            <w:tcW w:w="1324" w:type="dxa"/>
          </w:tcPr>
          <w:p w14:paraId="2DB227A6">
            <w:pPr>
              <w:rPr>
                <w:rFonts w:ascii="Arial"/>
                <w:color w:val="auto"/>
                <w:highlight w:val="none"/>
              </w:rPr>
            </w:pPr>
          </w:p>
        </w:tc>
        <w:tc>
          <w:tcPr>
            <w:tcW w:w="1879" w:type="dxa"/>
          </w:tcPr>
          <w:p w14:paraId="1F86B18C">
            <w:pPr>
              <w:rPr>
                <w:rFonts w:ascii="Arial"/>
                <w:color w:val="auto"/>
                <w:highlight w:val="none"/>
              </w:rPr>
            </w:pPr>
          </w:p>
        </w:tc>
      </w:tr>
      <w:tr w14:paraId="66229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775" w:type="dxa"/>
          </w:tcPr>
          <w:p w14:paraId="56DB1730">
            <w:pPr>
              <w:pStyle w:val="185"/>
              <w:spacing w:before="189" w:line="332" w:lineRule="exact"/>
              <w:ind w:left="194"/>
              <w:rPr>
                <w:color w:val="auto"/>
                <w:highlight w:val="none"/>
              </w:rPr>
            </w:pPr>
            <w:r>
              <w:rPr>
                <w:color w:val="auto"/>
                <w:spacing w:val="-10"/>
                <w:position w:val="2"/>
                <w:highlight w:val="none"/>
              </w:rPr>
              <w:t>……</w:t>
            </w:r>
          </w:p>
        </w:tc>
        <w:tc>
          <w:tcPr>
            <w:tcW w:w="1751" w:type="dxa"/>
          </w:tcPr>
          <w:p w14:paraId="3F153FED">
            <w:pPr>
              <w:rPr>
                <w:rFonts w:ascii="Arial"/>
                <w:color w:val="auto"/>
                <w:highlight w:val="none"/>
              </w:rPr>
            </w:pPr>
          </w:p>
        </w:tc>
        <w:tc>
          <w:tcPr>
            <w:tcW w:w="1313" w:type="dxa"/>
          </w:tcPr>
          <w:p w14:paraId="3898027A">
            <w:pPr>
              <w:rPr>
                <w:rFonts w:ascii="Arial"/>
                <w:color w:val="auto"/>
                <w:highlight w:val="none"/>
              </w:rPr>
            </w:pPr>
          </w:p>
        </w:tc>
        <w:tc>
          <w:tcPr>
            <w:tcW w:w="1315" w:type="dxa"/>
          </w:tcPr>
          <w:p w14:paraId="10B77BCF">
            <w:pPr>
              <w:rPr>
                <w:rFonts w:ascii="Arial"/>
                <w:color w:val="auto"/>
                <w:highlight w:val="none"/>
              </w:rPr>
            </w:pPr>
          </w:p>
        </w:tc>
        <w:tc>
          <w:tcPr>
            <w:tcW w:w="1312" w:type="dxa"/>
          </w:tcPr>
          <w:p w14:paraId="1D3CF1B6">
            <w:pPr>
              <w:rPr>
                <w:rFonts w:ascii="Arial"/>
                <w:color w:val="auto"/>
                <w:highlight w:val="none"/>
              </w:rPr>
            </w:pPr>
          </w:p>
        </w:tc>
        <w:tc>
          <w:tcPr>
            <w:tcW w:w="1312" w:type="dxa"/>
          </w:tcPr>
          <w:p w14:paraId="10951321">
            <w:pPr>
              <w:rPr>
                <w:rFonts w:ascii="Arial"/>
                <w:color w:val="auto"/>
                <w:highlight w:val="none"/>
              </w:rPr>
            </w:pPr>
          </w:p>
        </w:tc>
        <w:tc>
          <w:tcPr>
            <w:tcW w:w="1315" w:type="dxa"/>
          </w:tcPr>
          <w:p w14:paraId="32DA6980">
            <w:pPr>
              <w:rPr>
                <w:rFonts w:ascii="Arial"/>
                <w:color w:val="auto"/>
                <w:highlight w:val="none"/>
              </w:rPr>
            </w:pPr>
          </w:p>
        </w:tc>
        <w:tc>
          <w:tcPr>
            <w:tcW w:w="1313" w:type="dxa"/>
          </w:tcPr>
          <w:p w14:paraId="0858B07C">
            <w:pPr>
              <w:rPr>
                <w:rFonts w:ascii="Arial"/>
                <w:color w:val="auto"/>
                <w:highlight w:val="none"/>
              </w:rPr>
            </w:pPr>
          </w:p>
        </w:tc>
        <w:tc>
          <w:tcPr>
            <w:tcW w:w="1324" w:type="dxa"/>
          </w:tcPr>
          <w:p w14:paraId="2A188E26">
            <w:pPr>
              <w:rPr>
                <w:rFonts w:ascii="Arial"/>
                <w:color w:val="auto"/>
                <w:highlight w:val="none"/>
              </w:rPr>
            </w:pPr>
          </w:p>
        </w:tc>
        <w:tc>
          <w:tcPr>
            <w:tcW w:w="1879" w:type="dxa"/>
          </w:tcPr>
          <w:p w14:paraId="66B8C1A1">
            <w:pPr>
              <w:rPr>
                <w:rFonts w:ascii="Arial"/>
                <w:color w:val="auto"/>
                <w:highlight w:val="none"/>
              </w:rPr>
            </w:pPr>
          </w:p>
        </w:tc>
      </w:tr>
      <w:tr w14:paraId="104C21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1" w:hRule="atLeast"/>
        </w:trPr>
        <w:tc>
          <w:tcPr>
            <w:tcW w:w="13609" w:type="dxa"/>
            <w:gridSpan w:val="10"/>
          </w:tcPr>
          <w:p w14:paraId="529AD42B">
            <w:pPr>
              <w:pStyle w:val="185"/>
              <w:spacing w:before="36" w:line="220" w:lineRule="auto"/>
              <w:ind w:left="115"/>
              <w:rPr>
                <w:color w:val="auto"/>
                <w:highlight w:val="none"/>
                <w:lang w:eastAsia="zh-CN"/>
              </w:rPr>
            </w:pPr>
            <w:r>
              <w:rPr>
                <w:color w:val="auto"/>
                <w:spacing w:val="-1"/>
                <w:highlight w:val="none"/>
                <w:lang w:eastAsia="zh-CN"/>
              </w:rPr>
              <w:t>评标委员会全体成员签名：</w:t>
            </w:r>
          </w:p>
        </w:tc>
      </w:tr>
    </w:tbl>
    <w:p w14:paraId="380223EC">
      <w:pPr>
        <w:spacing w:before="29" w:line="221" w:lineRule="auto"/>
        <w:ind w:left="10511"/>
        <w:rPr>
          <w:rFonts w:ascii="宋体" w:hAnsi="宋体" w:cs="宋体"/>
          <w:color w:val="auto"/>
          <w:szCs w:val="21"/>
          <w:highlight w:val="none"/>
        </w:rPr>
      </w:pPr>
      <w:r>
        <w:rPr>
          <w:rFonts w:ascii="宋体" w:hAnsi="宋体" w:cs="宋体"/>
          <w:color w:val="auto"/>
          <w:spacing w:val="-11"/>
          <w:szCs w:val="21"/>
          <w:highlight w:val="none"/>
        </w:rPr>
        <w:t>日期：</w:t>
      </w:r>
      <w:r>
        <w:rPr>
          <w:rFonts w:ascii="宋体" w:hAnsi="宋体" w:cs="宋体"/>
          <w:color w:val="auto"/>
          <w:spacing w:val="-3"/>
          <w:szCs w:val="21"/>
          <w:highlight w:val="none"/>
        </w:rPr>
        <w:t xml:space="preserve">        年     月    日</w:t>
      </w:r>
    </w:p>
    <w:p w14:paraId="3F66E9D7">
      <w:pPr>
        <w:spacing w:line="221" w:lineRule="auto"/>
        <w:rPr>
          <w:rFonts w:ascii="宋体" w:hAnsi="宋体" w:cs="宋体"/>
          <w:color w:val="auto"/>
          <w:szCs w:val="21"/>
          <w:highlight w:val="none"/>
        </w:rPr>
        <w:sectPr>
          <w:headerReference r:id="rId38" w:type="default"/>
          <w:footerReference r:id="rId39" w:type="default"/>
          <w:pgSz w:w="16839" w:h="11907"/>
          <w:pgMar w:top="400" w:right="1610" w:bottom="1170" w:left="1580" w:header="0" w:footer="939" w:gutter="0"/>
          <w:pgNumType w:fmt="decimal"/>
          <w:cols w:space="720" w:num="1"/>
        </w:sectPr>
      </w:pPr>
    </w:p>
    <w:p w14:paraId="4DB1F58F">
      <w:pPr>
        <w:pStyle w:val="17"/>
        <w:spacing w:line="277" w:lineRule="auto"/>
        <w:rPr>
          <w:color w:val="auto"/>
          <w:highlight w:val="none"/>
        </w:rPr>
      </w:pPr>
    </w:p>
    <w:p w14:paraId="7826D56B">
      <w:pPr>
        <w:spacing w:before="78" w:line="219" w:lineRule="auto"/>
        <w:ind w:left="191"/>
        <w:outlineLvl w:val="2"/>
        <w:rPr>
          <w:rFonts w:ascii="黑体" w:hAnsi="黑体" w:eastAsia="黑体" w:cs="黑体"/>
          <w:color w:val="auto"/>
          <w:sz w:val="24"/>
          <w:highlight w:val="none"/>
        </w:rPr>
      </w:pPr>
      <w:bookmarkStart w:id="309" w:name="bookmark422"/>
      <w:bookmarkEnd w:id="309"/>
      <w:bookmarkStart w:id="310" w:name="_Toc8205"/>
      <w:r>
        <w:rPr>
          <w:rFonts w:ascii="黑体" w:hAnsi="黑体" w:eastAsia="黑体" w:cs="黑体"/>
          <w:color w:val="auto"/>
          <w:spacing w:val="-3"/>
          <w:sz w:val="24"/>
          <w:highlight w:val="none"/>
        </w:rPr>
        <w:t>附表A-16：详细评审评分汇总表</w:t>
      </w:r>
      <w:bookmarkEnd w:id="310"/>
    </w:p>
    <w:p w14:paraId="55273BA4">
      <w:pPr>
        <w:spacing w:before="284" w:line="219" w:lineRule="auto"/>
        <w:ind w:left="5423"/>
        <w:rPr>
          <w:rFonts w:ascii="黑体" w:hAnsi="黑体" w:eastAsia="黑体" w:cs="黑体"/>
          <w:color w:val="auto"/>
          <w:sz w:val="36"/>
          <w:szCs w:val="36"/>
          <w:highlight w:val="none"/>
        </w:rPr>
      </w:pPr>
      <w:bookmarkStart w:id="311" w:name="bookmark146"/>
      <w:bookmarkEnd w:id="311"/>
      <w:r>
        <w:rPr>
          <w:rFonts w:ascii="黑体" w:hAnsi="黑体" w:eastAsia="黑体" w:cs="黑体"/>
          <w:color w:val="auto"/>
          <w:spacing w:val="-2"/>
          <w:sz w:val="36"/>
          <w:szCs w:val="36"/>
          <w:highlight w:val="none"/>
        </w:rPr>
        <w:t>详细评审评分汇总表</w:t>
      </w:r>
    </w:p>
    <w:p w14:paraId="40D6C0A6">
      <w:pPr>
        <w:spacing w:before="239" w:line="221" w:lineRule="auto"/>
        <w:ind w:left="59"/>
        <w:rPr>
          <w:rFonts w:ascii="宋体" w:hAnsi="宋体" w:cs="宋体"/>
          <w:color w:val="auto"/>
          <w:szCs w:val="21"/>
          <w:highlight w:val="none"/>
        </w:rPr>
      </w:pPr>
      <w:r>
        <w:rPr>
          <w:rFonts w:ascii="宋体" w:hAnsi="宋体" w:cs="宋体"/>
          <w:color w:val="auto"/>
          <w:spacing w:val="-7"/>
          <w:szCs w:val="21"/>
          <w:highlight w:val="none"/>
        </w:rPr>
        <w:t>标段名称：</w:t>
      </w:r>
    </w:p>
    <w:p w14:paraId="34EE2288">
      <w:pPr>
        <w:spacing w:before="22" w:line="212" w:lineRule="auto"/>
        <w:ind w:left="59"/>
        <w:rPr>
          <w:rFonts w:ascii="宋体" w:hAnsi="宋体" w:cs="宋体"/>
          <w:color w:val="auto"/>
          <w:szCs w:val="21"/>
          <w:highlight w:val="none"/>
        </w:rPr>
      </w:pPr>
      <w:r>
        <w:rPr>
          <w:rFonts w:ascii="宋体" w:hAnsi="宋体" w:cs="宋体"/>
          <w:color w:val="auto"/>
          <w:spacing w:val="-1"/>
          <w:szCs w:val="21"/>
          <w:highlight w:val="none"/>
        </w:rPr>
        <w:t>标段唯一标识码：</w:t>
      </w:r>
    </w:p>
    <w:tbl>
      <w:tblPr>
        <w:tblStyle w:val="42"/>
        <w:tblW w:w="1405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6"/>
        <w:gridCol w:w="2964"/>
        <w:gridCol w:w="1843"/>
        <w:gridCol w:w="1418"/>
        <w:gridCol w:w="1415"/>
        <w:gridCol w:w="1276"/>
        <w:gridCol w:w="1613"/>
        <w:gridCol w:w="1221"/>
        <w:gridCol w:w="1303"/>
      </w:tblGrid>
      <w:tr w14:paraId="3BC9A8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7" w:hRule="atLeast"/>
        </w:trPr>
        <w:tc>
          <w:tcPr>
            <w:tcW w:w="1006" w:type="dxa"/>
            <w:vMerge w:val="restart"/>
            <w:tcBorders>
              <w:bottom w:val="nil"/>
            </w:tcBorders>
          </w:tcPr>
          <w:p w14:paraId="5B50A22C">
            <w:pPr>
              <w:spacing w:line="250" w:lineRule="auto"/>
              <w:rPr>
                <w:rFonts w:ascii="Arial"/>
                <w:color w:val="auto"/>
                <w:highlight w:val="none"/>
              </w:rPr>
            </w:pPr>
          </w:p>
          <w:p w14:paraId="30A05171">
            <w:pPr>
              <w:pStyle w:val="185"/>
              <w:spacing w:before="68" w:line="222" w:lineRule="auto"/>
              <w:ind w:left="295"/>
              <w:rPr>
                <w:color w:val="auto"/>
                <w:highlight w:val="none"/>
              </w:rPr>
            </w:pPr>
            <w:r>
              <w:rPr>
                <w:b/>
                <w:bCs/>
                <w:color w:val="auto"/>
                <w:spacing w:val="-4"/>
                <w:highlight w:val="none"/>
              </w:rPr>
              <w:t>序号</w:t>
            </w:r>
          </w:p>
        </w:tc>
        <w:tc>
          <w:tcPr>
            <w:tcW w:w="2964" w:type="dxa"/>
            <w:vMerge w:val="restart"/>
            <w:tcBorders>
              <w:bottom w:val="nil"/>
            </w:tcBorders>
          </w:tcPr>
          <w:p w14:paraId="3AE1A505">
            <w:pPr>
              <w:spacing w:line="250" w:lineRule="auto"/>
              <w:rPr>
                <w:rFonts w:ascii="Arial"/>
                <w:color w:val="auto"/>
                <w:highlight w:val="none"/>
              </w:rPr>
            </w:pPr>
          </w:p>
          <w:p w14:paraId="3B598E43">
            <w:pPr>
              <w:pStyle w:val="185"/>
              <w:spacing w:before="68" w:line="221" w:lineRule="auto"/>
              <w:ind w:left="960"/>
              <w:rPr>
                <w:color w:val="auto"/>
                <w:highlight w:val="none"/>
              </w:rPr>
            </w:pPr>
            <w:r>
              <w:rPr>
                <w:b/>
                <w:bCs/>
                <w:color w:val="auto"/>
                <w:spacing w:val="-3"/>
                <w:highlight w:val="none"/>
              </w:rPr>
              <w:t>投标人名称</w:t>
            </w:r>
          </w:p>
        </w:tc>
        <w:tc>
          <w:tcPr>
            <w:tcW w:w="7565" w:type="dxa"/>
            <w:gridSpan w:val="5"/>
          </w:tcPr>
          <w:p w14:paraId="2E89A704">
            <w:pPr>
              <w:pStyle w:val="185"/>
              <w:spacing w:before="41" w:line="216" w:lineRule="auto"/>
              <w:ind w:left="2940"/>
              <w:rPr>
                <w:color w:val="auto"/>
                <w:highlight w:val="none"/>
              </w:rPr>
            </w:pPr>
            <w:r>
              <w:rPr>
                <w:b/>
                <w:bCs/>
                <w:color w:val="auto"/>
                <w:spacing w:val="-2"/>
                <w:highlight w:val="none"/>
              </w:rPr>
              <w:t>评审类别评审得分</w:t>
            </w:r>
          </w:p>
        </w:tc>
        <w:tc>
          <w:tcPr>
            <w:tcW w:w="1221" w:type="dxa"/>
            <w:vMerge w:val="restart"/>
            <w:tcBorders>
              <w:bottom w:val="nil"/>
            </w:tcBorders>
          </w:tcPr>
          <w:p w14:paraId="6901FE09">
            <w:pPr>
              <w:pStyle w:val="185"/>
              <w:spacing w:before="184" w:line="245" w:lineRule="auto"/>
              <w:ind w:left="404" w:right="182" w:hanging="209"/>
              <w:rPr>
                <w:color w:val="auto"/>
                <w:highlight w:val="none"/>
              </w:rPr>
            </w:pPr>
            <w:r>
              <w:rPr>
                <w:b/>
                <w:bCs/>
                <w:color w:val="auto"/>
                <w:spacing w:val="-3"/>
                <w:highlight w:val="none"/>
              </w:rPr>
              <w:t>评审得分</w:t>
            </w:r>
            <w:r>
              <w:rPr>
                <w:b/>
                <w:bCs/>
                <w:color w:val="auto"/>
                <w:spacing w:val="-4"/>
                <w:highlight w:val="none"/>
              </w:rPr>
              <w:t>汇总</w:t>
            </w:r>
          </w:p>
        </w:tc>
        <w:tc>
          <w:tcPr>
            <w:tcW w:w="1303" w:type="dxa"/>
            <w:vMerge w:val="restart"/>
            <w:tcBorders>
              <w:bottom w:val="nil"/>
            </w:tcBorders>
          </w:tcPr>
          <w:p w14:paraId="3380829C">
            <w:pPr>
              <w:spacing w:line="250" w:lineRule="auto"/>
              <w:rPr>
                <w:rFonts w:ascii="Arial"/>
                <w:color w:val="auto"/>
                <w:highlight w:val="none"/>
              </w:rPr>
            </w:pPr>
          </w:p>
          <w:p w14:paraId="4BF326D2">
            <w:pPr>
              <w:pStyle w:val="185"/>
              <w:spacing w:before="68" w:line="221" w:lineRule="auto"/>
              <w:ind w:left="130"/>
              <w:rPr>
                <w:color w:val="auto"/>
                <w:highlight w:val="none"/>
              </w:rPr>
            </w:pPr>
            <w:r>
              <w:rPr>
                <w:b/>
                <w:bCs/>
                <w:color w:val="auto"/>
                <w:spacing w:val="-3"/>
                <w:highlight w:val="none"/>
              </w:rPr>
              <w:t>投标人排名</w:t>
            </w:r>
          </w:p>
        </w:tc>
      </w:tr>
      <w:tr w14:paraId="17F593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006" w:type="dxa"/>
            <w:vMerge w:val="continue"/>
            <w:tcBorders>
              <w:top w:val="nil"/>
            </w:tcBorders>
          </w:tcPr>
          <w:p w14:paraId="65531C44">
            <w:pPr>
              <w:rPr>
                <w:rFonts w:ascii="Arial"/>
                <w:color w:val="auto"/>
                <w:highlight w:val="none"/>
              </w:rPr>
            </w:pPr>
          </w:p>
        </w:tc>
        <w:tc>
          <w:tcPr>
            <w:tcW w:w="2964" w:type="dxa"/>
            <w:vMerge w:val="continue"/>
            <w:tcBorders>
              <w:top w:val="nil"/>
            </w:tcBorders>
          </w:tcPr>
          <w:p w14:paraId="451B85B1">
            <w:pPr>
              <w:rPr>
                <w:rFonts w:ascii="Arial"/>
                <w:color w:val="auto"/>
                <w:highlight w:val="none"/>
              </w:rPr>
            </w:pPr>
          </w:p>
        </w:tc>
        <w:tc>
          <w:tcPr>
            <w:tcW w:w="1843" w:type="dxa"/>
          </w:tcPr>
          <w:p w14:paraId="0754FD1B">
            <w:pPr>
              <w:pStyle w:val="185"/>
              <w:spacing w:before="166" w:line="219" w:lineRule="auto"/>
              <w:ind w:left="503"/>
              <w:rPr>
                <w:color w:val="auto"/>
                <w:highlight w:val="none"/>
              </w:rPr>
            </w:pPr>
            <w:r>
              <w:rPr>
                <w:b/>
                <w:bCs/>
                <w:color w:val="auto"/>
                <w:spacing w:val="-4"/>
                <w:highlight w:val="none"/>
              </w:rPr>
              <w:t>投标报价</w:t>
            </w:r>
          </w:p>
        </w:tc>
        <w:tc>
          <w:tcPr>
            <w:tcW w:w="1418" w:type="dxa"/>
          </w:tcPr>
          <w:p w14:paraId="298E4D01">
            <w:pPr>
              <w:pStyle w:val="185"/>
              <w:spacing w:before="29" w:line="221" w:lineRule="auto"/>
              <w:ind w:left="184"/>
              <w:rPr>
                <w:color w:val="auto"/>
                <w:highlight w:val="none"/>
              </w:rPr>
            </w:pPr>
            <w:r>
              <w:rPr>
                <w:b/>
                <w:bCs/>
                <w:color w:val="auto"/>
                <w:spacing w:val="-3"/>
                <w:highlight w:val="none"/>
              </w:rPr>
              <w:t>承包人建议</w:t>
            </w:r>
          </w:p>
          <w:p w14:paraId="15E5D39C">
            <w:pPr>
              <w:pStyle w:val="185"/>
              <w:spacing w:before="20" w:line="209" w:lineRule="auto"/>
              <w:ind w:left="608"/>
              <w:rPr>
                <w:color w:val="auto"/>
                <w:highlight w:val="none"/>
              </w:rPr>
            </w:pPr>
            <w:r>
              <w:rPr>
                <w:b/>
                <w:bCs/>
                <w:color w:val="auto"/>
                <w:spacing w:val="-3"/>
                <w:highlight w:val="none"/>
              </w:rPr>
              <w:t>书</w:t>
            </w:r>
          </w:p>
        </w:tc>
        <w:tc>
          <w:tcPr>
            <w:tcW w:w="1415" w:type="dxa"/>
          </w:tcPr>
          <w:p w14:paraId="175FE888">
            <w:pPr>
              <w:pStyle w:val="185"/>
              <w:spacing w:before="29" w:line="221" w:lineRule="auto"/>
              <w:ind w:left="182"/>
              <w:rPr>
                <w:color w:val="auto"/>
                <w:highlight w:val="none"/>
              </w:rPr>
            </w:pPr>
            <w:r>
              <w:rPr>
                <w:b/>
                <w:bCs/>
                <w:color w:val="auto"/>
                <w:spacing w:val="-3"/>
                <w:highlight w:val="none"/>
              </w:rPr>
              <w:t>承包人实施</w:t>
            </w:r>
          </w:p>
          <w:p w14:paraId="485F3DF2">
            <w:pPr>
              <w:pStyle w:val="185"/>
              <w:spacing w:before="20" w:line="209" w:lineRule="auto"/>
              <w:ind w:left="500"/>
              <w:rPr>
                <w:color w:val="auto"/>
                <w:highlight w:val="none"/>
              </w:rPr>
            </w:pPr>
            <w:r>
              <w:rPr>
                <w:b/>
                <w:bCs/>
                <w:color w:val="auto"/>
                <w:spacing w:val="-4"/>
                <w:highlight w:val="none"/>
              </w:rPr>
              <w:t>方案</w:t>
            </w:r>
          </w:p>
        </w:tc>
        <w:tc>
          <w:tcPr>
            <w:tcW w:w="1276" w:type="dxa"/>
          </w:tcPr>
          <w:p w14:paraId="6CBD6B02">
            <w:pPr>
              <w:pStyle w:val="185"/>
              <w:spacing w:before="166" w:line="221" w:lineRule="auto"/>
              <w:ind w:left="228"/>
              <w:rPr>
                <w:color w:val="auto"/>
                <w:highlight w:val="none"/>
              </w:rPr>
            </w:pPr>
            <w:r>
              <w:rPr>
                <w:b/>
                <w:bCs/>
                <w:color w:val="auto"/>
                <w:spacing w:val="-5"/>
                <w:highlight w:val="none"/>
              </w:rPr>
              <w:t>资信业绩</w:t>
            </w:r>
          </w:p>
        </w:tc>
        <w:tc>
          <w:tcPr>
            <w:tcW w:w="1613" w:type="dxa"/>
          </w:tcPr>
          <w:p w14:paraId="4402DC0E">
            <w:pPr>
              <w:pStyle w:val="185"/>
              <w:spacing w:before="166" w:line="221" w:lineRule="auto"/>
              <w:ind w:left="389"/>
              <w:rPr>
                <w:color w:val="auto"/>
                <w:highlight w:val="none"/>
              </w:rPr>
            </w:pPr>
            <w:r>
              <w:rPr>
                <w:b/>
                <w:bCs/>
                <w:color w:val="auto"/>
                <w:spacing w:val="-4"/>
                <w:highlight w:val="none"/>
              </w:rPr>
              <w:t>其他因素</w:t>
            </w:r>
          </w:p>
        </w:tc>
        <w:tc>
          <w:tcPr>
            <w:tcW w:w="1221" w:type="dxa"/>
            <w:vMerge w:val="continue"/>
            <w:tcBorders>
              <w:top w:val="nil"/>
            </w:tcBorders>
          </w:tcPr>
          <w:p w14:paraId="2E2DF9BB">
            <w:pPr>
              <w:rPr>
                <w:rFonts w:ascii="Arial"/>
                <w:color w:val="auto"/>
                <w:highlight w:val="none"/>
              </w:rPr>
            </w:pPr>
          </w:p>
        </w:tc>
        <w:tc>
          <w:tcPr>
            <w:tcW w:w="1303" w:type="dxa"/>
            <w:vMerge w:val="continue"/>
            <w:tcBorders>
              <w:top w:val="nil"/>
            </w:tcBorders>
          </w:tcPr>
          <w:p w14:paraId="19C92FF0">
            <w:pPr>
              <w:rPr>
                <w:rFonts w:ascii="Arial"/>
                <w:color w:val="auto"/>
                <w:highlight w:val="none"/>
              </w:rPr>
            </w:pPr>
          </w:p>
        </w:tc>
      </w:tr>
      <w:tr w14:paraId="6BF9A7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006" w:type="dxa"/>
          </w:tcPr>
          <w:p w14:paraId="1A51EF9A">
            <w:pPr>
              <w:pStyle w:val="185"/>
              <w:spacing w:before="88" w:line="242" w:lineRule="auto"/>
              <w:ind w:left="470"/>
              <w:rPr>
                <w:color w:val="auto"/>
                <w:highlight w:val="none"/>
              </w:rPr>
            </w:pPr>
            <w:r>
              <w:rPr>
                <w:color w:val="auto"/>
                <w:highlight w:val="none"/>
              </w:rPr>
              <w:t>1</w:t>
            </w:r>
          </w:p>
        </w:tc>
        <w:tc>
          <w:tcPr>
            <w:tcW w:w="2964" w:type="dxa"/>
          </w:tcPr>
          <w:p w14:paraId="2F433901">
            <w:pPr>
              <w:rPr>
                <w:rFonts w:ascii="Arial"/>
                <w:color w:val="auto"/>
                <w:highlight w:val="none"/>
              </w:rPr>
            </w:pPr>
          </w:p>
        </w:tc>
        <w:tc>
          <w:tcPr>
            <w:tcW w:w="1843" w:type="dxa"/>
          </w:tcPr>
          <w:p w14:paraId="0FF04996">
            <w:pPr>
              <w:rPr>
                <w:rFonts w:ascii="Arial"/>
                <w:color w:val="auto"/>
                <w:highlight w:val="none"/>
              </w:rPr>
            </w:pPr>
          </w:p>
        </w:tc>
        <w:tc>
          <w:tcPr>
            <w:tcW w:w="1418" w:type="dxa"/>
          </w:tcPr>
          <w:p w14:paraId="752241E4">
            <w:pPr>
              <w:rPr>
                <w:rFonts w:ascii="Arial"/>
                <w:color w:val="auto"/>
                <w:highlight w:val="none"/>
              </w:rPr>
            </w:pPr>
          </w:p>
        </w:tc>
        <w:tc>
          <w:tcPr>
            <w:tcW w:w="1415" w:type="dxa"/>
          </w:tcPr>
          <w:p w14:paraId="488687EE">
            <w:pPr>
              <w:rPr>
                <w:rFonts w:ascii="Arial"/>
                <w:color w:val="auto"/>
                <w:highlight w:val="none"/>
              </w:rPr>
            </w:pPr>
          </w:p>
        </w:tc>
        <w:tc>
          <w:tcPr>
            <w:tcW w:w="1276" w:type="dxa"/>
          </w:tcPr>
          <w:p w14:paraId="43374361">
            <w:pPr>
              <w:rPr>
                <w:rFonts w:ascii="Arial"/>
                <w:color w:val="auto"/>
                <w:highlight w:val="none"/>
              </w:rPr>
            </w:pPr>
          </w:p>
        </w:tc>
        <w:tc>
          <w:tcPr>
            <w:tcW w:w="1613" w:type="dxa"/>
          </w:tcPr>
          <w:p w14:paraId="5C0816C9">
            <w:pPr>
              <w:rPr>
                <w:rFonts w:ascii="Arial"/>
                <w:color w:val="auto"/>
                <w:highlight w:val="none"/>
              </w:rPr>
            </w:pPr>
          </w:p>
        </w:tc>
        <w:tc>
          <w:tcPr>
            <w:tcW w:w="1221" w:type="dxa"/>
          </w:tcPr>
          <w:p w14:paraId="6804612A">
            <w:pPr>
              <w:rPr>
                <w:rFonts w:ascii="Arial"/>
                <w:color w:val="auto"/>
                <w:highlight w:val="none"/>
              </w:rPr>
            </w:pPr>
          </w:p>
        </w:tc>
        <w:tc>
          <w:tcPr>
            <w:tcW w:w="1303" w:type="dxa"/>
          </w:tcPr>
          <w:p w14:paraId="298E4392">
            <w:pPr>
              <w:rPr>
                <w:rFonts w:ascii="Arial"/>
                <w:color w:val="auto"/>
                <w:highlight w:val="none"/>
              </w:rPr>
            </w:pPr>
          </w:p>
        </w:tc>
      </w:tr>
      <w:tr w14:paraId="341C1A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006" w:type="dxa"/>
          </w:tcPr>
          <w:p w14:paraId="69CF98FD">
            <w:pPr>
              <w:pStyle w:val="185"/>
              <w:spacing w:before="89" w:line="242" w:lineRule="auto"/>
              <w:ind w:left="457"/>
              <w:rPr>
                <w:color w:val="auto"/>
                <w:highlight w:val="none"/>
              </w:rPr>
            </w:pPr>
            <w:r>
              <w:rPr>
                <w:color w:val="auto"/>
                <w:highlight w:val="none"/>
              </w:rPr>
              <w:t>2</w:t>
            </w:r>
          </w:p>
        </w:tc>
        <w:tc>
          <w:tcPr>
            <w:tcW w:w="2964" w:type="dxa"/>
          </w:tcPr>
          <w:p w14:paraId="39A1521D">
            <w:pPr>
              <w:rPr>
                <w:rFonts w:ascii="Arial"/>
                <w:color w:val="auto"/>
                <w:highlight w:val="none"/>
              </w:rPr>
            </w:pPr>
          </w:p>
        </w:tc>
        <w:tc>
          <w:tcPr>
            <w:tcW w:w="1843" w:type="dxa"/>
          </w:tcPr>
          <w:p w14:paraId="08EFA4CE">
            <w:pPr>
              <w:rPr>
                <w:rFonts w:ascii="Arial"/>
                <w:color w:val="auto"/>
                <w:highlight w:val="none"/>
              </w:rPr>
            </w:pPr>
          </w:p>
        </w:tc>
        <w:tc>
          <w:tcPr>
            <w:tcW w:w="1418" w:type="dxa"/>
          </w:tcPr>
          <w:p w14:paraId="668C2BA9">
            <w:pPr>
              <w:rPr>
                <w:rFonts w:ascii="Arial"/>
                <w:color w:val="auto"/>
                <w:highlight w:val="none"/>
              </w:rPr>
            </w:pPr>
          </w:p>
        </w:tc>
        <w:tc>
          <w:tcPr>
            <w:tcW w:w="1415" w:type="dxa"/>
          </w:tcPr>
          <w:p w14:paraId="5F14BAA2">
            <w:pPr>
              <w:rPr>
                <w:rFonts w:ascii="Arial"/>
                <w:color w:val="auto"/>
                <w:highlight w:val="none"/>
              </w:rPr>
            </w:pPr>
          </w:p>
        </w:tc>
        <w:tc>
          <w:tcPr>
            <w:tcW w:w="1276" w:type="dxa"/>
          </w:tcPr>
          <w:p w14:paraId="070985BC">
            <w:pPr>
              <w:rPr>
                <w:rFonts w:ascii="Arial"/>
                <w:color w:val="auto"/>
                <w:highlight w:val="none"/>
              </w:rPr>
            </w:pPr>
          </w:p>
        </w:tc>
        <w:tc>
          <w:tcPr>
            <w:tcW w:w="1613" w:type="dxa"/>
          </w:tcPr>
          <w:p w14:paraId="0CD02738">
            <w:pPr>
              <w:rPr>
                <w:rFonts w:ascii="Arial"/>
                <w:color w:val="auto"/>
                <w:highlight w:val="none"/>
              </w:rPr>
            </w:pPr>
          </w:p>
        </w:tc>
        <w:tc>
          <w:tcPr>
            <w:tcW w:w="1221" w:type="dxa"/>
          </w:tcPr>
          <w:p w14:paraId="78B509AA">
            <w:pPr>
              <w:rPr>
                <w:rFonts w:ascii="Arial"/>
                <w:color w:val="auto"/>
                <w:highlight w:val="none"/>
              </w:rPr>
            </w:pPr>
          </w:p>
        </w:tc>
        <w:tc>
          <w:tcPr>
            <w:tcW w:w="1303" w:type="dxa"/>
          </w:tcPr>
          <w:p w14:paraId="39C2B4AC">
            <w:pPr>
              <w:rPr>
                <w:rFonts w:ascii="Arial"/>
                <w:color w:val="auto"/>
                <w:highlight w:val="none"/>
              </w:rPr>
            </w:pPr>
          </w:p>
        </w:tc>
      </w:tr>
      <w:tr w14:paraId="3FE9A1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006" w:type="dxa"/>
          </w:tcPr>
          <w:p w14:paraId="32527558">
            <w:pPr>
              <w:pStyle w:val="185"/>
              <w:spacing w:before="89" w:line="241" w:lineRule="auto"/>
              <w:ind w:left="459"/>
              <w:rPr>
                <w:color w:val="auto"/>
                <w:highlight w:val="none"/>
              </w:rPr>
            </w:pPr>
            <w:r>
              <w:rPr>
                <w:color w:val="auto"/>
                <w:highlight w:val="none"/>
              </w:rPr>
              <w:t>3</w:t>
            </w:r>
          </w:p>
        </w:tc>
        <w:tc>
          <w:tcPr>
            <w:tcW w:w="2964" w:type="dxa"/>
          </w:tcPr>
          <w:p w14:paraId="31BB5DFF">
            <w:pPr>
              <w:rPr>
                <w:rFonts w:ascii="Arial"/>
                <w:color w:val="auto"/>
                <w:highlight w:val="none"/>
              </w:rPr>
            </w:pPr>
          </w:p>
        </w:tc>
        <w:tc>
          <w:tcPr>
            <w:tcW w:w="1843" w:type="dxa"/>
          </w:tcPr>
          <w:p w14:paraId="1EB0EB52">
            <w:pPr>
              <w:rPr>
                <w:rFonts w:ascii="Arial"/>
                <w:color w:val="auto"/>
                <w:highlight w:val="none"/>
              </w:rPr>
            </w:pPr>
          </w:p>
        </w:tc>
        <w:tc>
          <w:tcPr>
            <w:tcW w:w="1418" w:type="dxa"/>
          </w:tcPr>
          <w:p w14:paraId="67A0FECD">
            <w:pPr>
              <w:rPr>
                <w:rFonts w:ascii="Arial"/>
                <w:color w:val="auto"/>
                <w:highlight w:val="none"/>
              </w:rPr>
            </w:pPr>
          </w:p>
        </w:tc>
        <w:tc>
          <w:tcPr>
            <w:tcW w:w="1415" w:type="dxa"/>
          </w:tcPr>
          <w:p w14:paraId="757AC9E6">
            <w:pPr>
              <w:rPr>
                <w:rFonts w:ascii="Arial"/>
                <w:color w:val="auto"/>
                <w:highlight w:val="none"/>
              </w:rPr>
            </w:pPr>
          </w:p>
        </w:tc>
        <w:tc>
          <w:tcPr>
            <w:tcW w:w="1276" w:type="dxa"/>
          </w:tcPr>
          <w:p w14:paraId="30516A9E">
            <w:pPr>
              <w:rPr>
                <w:rFonts w:ascii="Arial"/>
                <w:color w:val="auto"/>
                <w:highlight w:val="none"/>
              </w:rPr>
            </w:pPr>
          </w:p>
        </w:tc>
        <w:tc>
          <w:tcPr>
            <w:tcW w:w="1613" w:type="dxa"/>
          </w:tcPr>
          <w:p w14:paraId="63CB654A">
            <w:pPr>
              <w:rPr>
                <w:rFonts w:ascii="Arial"/>
                <w:color w:val="auto"/>
                <w:highlight w:val="none"/>
              </w:rPr>
            </w:pPr>
          </w:p>
        </w:tc>
        <w:tc>
          <w:tcPr>
            <w:tcW w:w="1221" w:type="dxa"/>
          </w:tcPr>
          <w:p w14:paraId="4D05BDCA">
            <w:pPr>
              <w:rPr>
                <w:rFonts w:ascii="Arial"/>
                <w:color w:val="auto"/>
                <w:highlight w:val="none"/>
              </w:rPr>
            </w:pPr>
          </w:p>
        </w:tc>
        <w:tc>
          <w:tcPr>
            <w:tcW w:w="1303" w:type="dxa"/>
          </w:tcPr>
          <w:p w14:paraId="5C202E29">
            <w:pPr>
              <w:rPr>
                <w:rFonts w:ascii="Arial"/>
                <w:color w:val="auto"/>
                <w:highlight w:val="none"/>
              </w:rPr>
            </w:pPr>
          </w:p>
        </w:tc>
      </w:tr>
      <w:tr w14:paraId="5E95D5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006" w:type="dxa"/>
          </w:tcPr>
          <w:p w14:paraId="7CBD4CE5">
            <w:pPr>
              <w:pStyle w:val="185"/>
              <w:spacing w:before="89" w:line="242" w:lineRule="auto"/>
              <w:ind w:left="454"/>
              <w:rPr>
                <w:color w:val="auto"/>
                <w:highlight w:val="none"/>
              </w:rPr>
            </w:pPr>
            <w:r>
              <w:rPr>
                <w:color w:val="auto"/>
                <w:highlight w:val="none"/>
              </w:rPr>
              <w:t>4</w:t>
            </w:r>
          </w:p>
        </w:tc>
        <w:tc>
          <w:tcPr>
            <w:tcW w:w="2964" w:type="dxa"/>
          </w:tcPr>
          <w:p w14:paraId="58B63BC5">
            <w:pPr>
              <w:rPr>
                <w:rFonts w:ascii="Arial"/>
                <w:color w:val="auto"/>
                <w:highlight w:val="none"/>
              </w:rPr>
            </w:pPr>
          </w:p>
        </w:tc>
        <w:tc>
          <w:tcPr>
            <w:tcW w:w="1843" w:type="dxa"/>
          </w:tcPr>
          <w:p w14:paraId="028D0EB7">
            <w:pPr>
              <w:rPr>
                <w:rFonts w:ascii="Arial"/>
                <w:color w:val="auto"/>
                <w:highlight w:val="none"/>
              </w:rPr>
            </w:pPr>
          </w:p>
        </w:tc>
        <w:tc>
          <w:tcPr>
            <w:tcW w:w="1418" w:type="dxa"/>
          </w:tcPr>
          <w:p w14:paraId="36E8ECF5">
            <w:pPr>
              <w:rPr>
                <w:rFonts w:ascii="Arial"/>
                <w:color w:val="auto"/>
                <w:highlight w:val="none"/>
              </w:rPr>
            </w:pPr>
          </w:p>
        </w:tc>
        <w:tc>
          <w:tcPr>
            <w:tcW w:w="1415" w:type="dxa"/>
          </w:tcPr>
          <w:p w14:paraId="0515F599">
            <w:pPr>
              <w:rPr>
                <w:rFonts w:ascii="Arial"/>
                <w:color w:val="auto"/>
                <w:highlight w:val="none"/>
              </w:rPr>
            </w:pPr>
          </w:p>
        </w:tc>
        <w:tc>
          <w:tcPr>
            <w:tcW w:w="1276" w:type="dxa"/>
          </w:tcPr>
          <w:p w14:paraId="27F19F5C">
            <w:pPr>
              <w:rPr>
                <w:rFonts w:ascii="Arial"/>
                <w:color w:val="auto"/>
                <w:highlight w:val="none"/>
              </w:rPr>
            </w:pPr>
          </w:p>
        </w:tc>
        <w:tc>
          <w:tcPr>
            <w:tcW w:w="1613" w:type="dxa"/>
          </w:tcPr>
          <w:p w14:paraId="09FB7C94">
            <w:pPr>
              <w:rPr>
                <w:rFonts w:ascii="Arial"/>
                <w:color w:val="auto"/>
                <w:highlight w:val="none"/>
              </w:rPr>
            </w:pPr>
          </w:p>
        </w:tc>
        <w:tc>
          <w:tcPr>
            <w:tcW w:w="1221" w:type="dxa"/>
          </w:tcPr>
          <w:p w14:paraId="17973C0E">
            <w:pPr>
              <w:rPr>
                <w:rFonts w:ascii="Arial"/>
                <w:color w:val="auto"/>
                <w:highlight w:val="none"/>
              </w:rPr>
            </w:pPr>
          </w:p>
        </w:tc>
        <w:tc>
          <w:tcPr>
            <w:tcW w:w="1303" w:type="dxa"/>
          </w:tcPr>
          <w:p w14:paraId="62079786">
            <w:pPr>
              <w:rPr>
                <w:rFonts w:ascii="Arial"/>
                <w:color w:val="auto"/>
                <w:highlight w:val="none"/>
              </w:rPr>
            </w:pPr>
          </w:p>
        </w:tc>
      </w:tr>
      <w:tr w14:paraId="3915E5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006" w:type="dxa"/>
          </w:tcPr>
          <w:p w14:paraId="629C1542">
            <w:pPr>
              <w:pStyle w:val="185"/>
              <w:spacing w:before="89" w:line="241" w:lineRule="auto"/>
              <w:ind w:left="459"/>
              <w:rPr>
                <w:color w:val="auto"/>
                <w:highlight w:val="none"/>
              </w:rPr>
            </w:pPr>
            <w:r>
              <w:rPr>
                <w:color w:val="auto"/>
                <w:highlight w:val="none"/>
              </w:rPr>
              <w:t>5</w:t>
            </w:r>
          </w:p>
        </w:tc>
        <w:tc>
          <w:tcPr>
            <w:tcW w:w="2964" w:type="dxa"/>
          </w:tcPr>
          <w:p w14:paraId="1CFB6866">
            <w:pPr>
              <w:rPr>
                <w:rFonts w:ascii="Arial"/>
                <w:color w:val="auto"/>
                <w:highlight w:val="none"/>
              </w:rPr>
            </w:pPr>
          </w:p>
        </w:tc>
        <w:tc>
          <w:tcPr>
            <w:tcW w:w="1843" w:type="dxa"/>
          </w:tcPr>
          <w:p w14:paraId="4CEC0B04">
            <w:pPr>
              <w:rPr>
                <w:rFonts w:ascii="Arial"/>
                <w:color w:val="auto"/>
                <w:highlight w:val="none"/>
              </w:rPr>
            </w:pPr>
          </w:p>
        </w:tc>
        <w:tc>
          <w:tcPr>
            <w:tcW w:w="1418" w:type="dxa"/>
          </w:tcPr>
          <w:p w14:paraId="10DB44E7">
            <w:pPr>
              <w:rPr>
                <w:rFonts w:ascii="Arial"/>
                <w:color w:val="auto"/>
                <w:highlight w:val="none"/>
              </w:rPr>
            </w:pPr>
          </w:p>
        </w:tc>
        <w:tc>
          <w:tcPr>
            <w:tcW w:w="1415" w:type="dxa"/>
          </w:tcPr>
          <w:p w14:paraId="13A13FF9">
            <w:pPr>
              <w:rPr>
                <w:rFonts w:ascii="Arial"/>
                <w:color w:val="auto"/>
                <w:highlight w:val="none"/>
              </w:rPr>
            </w:pPr>
          </w:p>
        </w:tc>
        <w:tc>
          <w:tcPr>
            <w:tcW w:w="1276" w:type="dxa"/>
          </w:tcPr>
          <w:p w14:paraId="0DC5A538">
            <w:pPr>
              <w:rPr>
                <w:rFonts w:ascii="Arial"/>
                <w:color w:val="auto"/>
                <w:highlight w:val="none"/>
              </w:rPr>
            </w:pPr>
          </w:p>
        </w:tc>
        <w:tc>
          <w:tcPr>
            <w:tcW w:w="1613" w:type="dxa"/>
          </w:tcPr>
          <w:p w14:paraId="1D4DE198">
            <w:pPr>
              <w:rPr>
                <w:rFonts w:ascii="Arial"/>
                <w:color w:val="auto"/>
                <w:highlight w:val="none"/>
              </w:rPr>
            </w:pPr>
          </w:p>
        </w:tc>
        <w:tc>
          <w:tcPr>
            <w:tcW w:w="1221" w:type="dxa"/>
          </w:tcPr>
          <w:p w14:paraId="37941AB0">
            <w:pPr>
              <w:rPr>
                <w:rFonts w:ascii="Arial"/>
                <w:color w:val="auto"/>
                <w:highlight w:val="none"/>
              </w:rPr>
            </w:pPr>
          </w:p>
        </w:tc>
        <w:tc>
          <w:tcPr>
            <w:tcW w:w="1303" w:type="dxa"/>
          </w:tcPr>
          <w:p w14:paraId="0E5F3E7B">
            <w:pPr>
              <w:rPr>
                <w:rFonts w:ascii="Arial"/>
                <w:color w:val="auto"/>
                <w:highlight w:val="none"/>
              </w:rPr>
            </w:pPr>
          </w:p>
        </w:tc>
      </w:tr>
      <w:tr w14:paraId="0725DB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006" w:type="dxa"/>
          </w:tcPr>
          <w:p w14:paraId="6401B9BE">
            <w:pPr>
              <w:pStyle w:val="185"/>
              <w:spacing w:before="90" w:line="291" w:lineRule="exact"/>
              <w:ind w:left="415"/>
              <w:rPr>
                <w:color w:val="auto"/>
                <w:highlight w:val="none"/>
              </w:rPr>
            </w:pPr>
            <w:r>
              <w:rPr>
                <w:color w:val="auto"/>
                <w:position w:val="1"/>
                <w:highlight w:val="none"/>
              </w:rPr>
              <w:t>…</w:t>
            </w:r>
          </w:p>
        </w:tc>
        <w:tc>
          <w:tcPr>
            <w:tcW w:w="2964" w:type="dxa"/>
          </w:tcPr>
          <w:p w14:paraId="4447E527">
            <w:pPr>
              <w:rPr>
                <w:rFonts w:ascii="Arial"/>
                <w:color w:val="auto"/>
                <w:highlight w:val="none"/>
              </w:rPr>
            </w:pPr>
          </w:p>
        </w:tc>
        <w:tc>
          <w:tcPr>
            <w:tcW w:w="1843" w:type="dxa"/>
          </w:tcPr>
          <w:p w14:paraId="3D3E677A">
            <w:pPr>
              <w:rPr>
                <w:rFonts w:ascii="Arial"/>
                <w:color w:val="auto"/>
                <w:highlight w:val="none"/>
              </w:rPr>
            </w:pPr>
          </w:p>
        </w:tc>
        <w:tc>
          <w:tcPr>
            <w:tcW w:w="1418" w:type="dxa"/>
          </w:tcPr>
          <w:p w14:paraId="4981A11A">
            <w:pPr>
              <w:rPr>
                <w:rFonts w:ascii="Arial"/>
                <w:color w:val="auto"/>
                <w:highlight w:val="none"/>
              </w:rPr>
            </w:pPr>
          </w:p>
        </w:tc>
        <w:tc>
          <w:tcPr>
            <w:tcW w:w="1415" w:type="dxa"/>
          </w:tcPr>
          <w:p w14:paraId="4EE981DF">
            <w:pPr>
              <w:rPr>
                <w:rFonts w:ascii="Arial"/>
                <w:color w:val="auto"/>
                <w:highlight w:val="none"/>
              </w:rPr>
            </w:pPr>
          </w:p>
        </w:tc>
        <w:tc>
          <w:tcPr>
            <w:tcW w:w="1276" w:type="dxa"/>
          </w:tcPr>
          <w:p w14:paraId="722920DF">
            <w:pPr>
              <w:rPr>
                <w:rFonts w:ascii="Arial"/>
                <w:color w:val="auto"/>
                <w:highlight w:val="none"/>
              </w:rPr>
            </w:pPr>
          </w:p>
        </w:tc>
        <w:tc>
          <w:tcPr>
            <w:tcW w:w="1613" w:type="dxa"/>
          </w:tcPr>
          <w:p w14:paraId="0F5070C6">
            <w:pPr>
              <w:rPr>
                <w:rFonts w:ascii="Arial"/>
                <w:color w:val="auto"/>
                <w:highlight w:val="none"/>
              </w:rPr>
            </w:pPr>
          </w:p>
        </w:tc>
        <w:tc>
          <w:tcPr>
            <w:tcW w:w="1221" w:type="dxa"/>
          </w:tcPr>
          <w:p w14:paraId="593D234E">
            <w:pPr>
              <w:rPr>
                <w:rFonts w:ascii="Arial"/>
                <w:color w:val="auto"/>
                <w:highlight w:val="none"/>
              </w:rPr>
            </w:pPr>
          </w:p>
        </w:tc>
        <w:tc>
          <w:tcPr>
            <w:tcW w:w="1303" w:type="dxa"/>
          </w:tcPr>
          <w:p w14:paraId="521D7D25">
            <w:pPr>
              <w:rPr>
                <w:rFonts w:ascii="Arial"/>
                <w:color w:val="auto"/>
                <w:highlight w:val="none"/>
              </w:rPr>
            </w:pPr>
          </w:p>
        </w:tc>
      </w:tr>
      <w:tr w14:paraId="22FE4D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8" w:hRule="atLeast"/>
        </w:trPr>
        <w:tc>
          <w:tcPr>
            <w:tcW w:w="14059" w:type="dxa"/>
            <w:gridSpan w:val="9"/>
          </w:tcPr>
          <w:p w14:paraId="3DFFD79B">
            <w:pPr>
              <w:pStyle w:val="185"/>
              <w:spacing w:before="32" w:line="220" w:lineRule="auto"/>
              <w:ind w:left="115"/>
              <w:rPr>
                <w:color w:val="auto"/>
                <w:highlight w:val="none"/>
                <w:lang w:eastAsia="zh-CN"/>
              </w:rPr>
            </w:pPr>
            <w:r>
              <w:rPr>
                <w:color w:val="auto"/>
                <w:spacing w:val="-1"/>
                <w:highlight w:val="none"/>
                <w:lang w:eastAsia="zh-CN"/>
              </w:rPr>
              <w:t>评标委员会全体成员签名：</w:t>
            </w:r>
          </w:p>
        </w:tc>
      </w:tr>
    </w:tbl>
    <w:p w14:paraId="534983C0">
      <w:pPr>
        <w:spacing w:before="269" w:line="221" w:lineRule="auto"/>
        <w:ind w:right="7"/>
        <w:jc w:val="right"/>
        <w:rPr>
          <w:rFonts w:ascii="宋体" w:hAnsi="宋体" w:cs="宋体"/>
          <w:color w:val="auto"/>
          <w:szCs w:val="21"/>
          <w:highlight w:val="none"/>
        </w:rPr>
      </w:pPr>
      <w:r>
        <w:rPr>
          <w:rFonts w:ascii="宋体" w:hAnsi="宋体" w:cs="宋体"/>
          <w:color w:val="auto"/>
          <w:spacing w:val="-11"/>
          <w:szCs w:val="21"/>
          <w:highlight w:val="none"/>
        </w:rPr>
        <w:t>日期：</w:t>
      </w:r>
      <w:r>
        <w:rPr>
          <w:rFonts w:ascii="宋体" w:hAnsi="宋体" w:cs="宋体"/>
          <w:color w:val="auto"/>
          <w:spacing w:val="-3"/>
          <w:szCs w:val="21"/>
          <w:highlight w:val="none"/>
        </w:rPr>
        <w:t xml:space="preserve">        年     月    日</w:t>
      </w:r>
    </w:p>
    <w:p w14:paraId="337855D3">
      <w:pPr>
        <w:spacing w:line="221" w:lineRule="auto"/>
        <w:rPr>
          <w:rFonts w:ascii="宋体" w:hAnsi="宋体" w:cs="宋体"/>
          <w:color w:val="auto"/>
          <w:szCs w:val="21"/>
          <w:highlight w:val="none"/>
        </w:rPr>
        <w:sectPr>
          <w:footerReference r:id="rId40" w:type="default"/>
          <w:pgSz w:w="16839" w:h="11907"/>
          <w:pgMar w:top="400" w:right="1384" w:bottom="1170" w:left="1389" w:header="0" w:footer="939" w:gutter="0"/>
          <w:pgNumType w:fmt="decimal"/>
          <w:cols w:space="720" w:num="1"/>
        </w:sectPr>
      </w:pPr>
    </w:p>
    <w:p w14:paraId="10799844">
      <w:pPr>
        <w:keepNext w:val="0"/>
        <w:keepLines w:val="0"/>
        <w:widowControl/>
        <w:suppressLineNumbers w:val="0"/>
        <w:jc w:val="left"/>
        <w:rPr>
          <w:color w:val="auto"/>
          <w:highlight w:val="none"/>
        </w:rPr>
      </w:pPr>
      <w:r>
        <w:rPr>
          <w:rFonts w:ascii="黑体" w:hAnsi="宋体" w:eastAsia="黑体" w:cs="黑体"/>
          <w:color w:val="auto"/>
          <w:kern w:val="0"/>
          <w:sz w:val="24"/>
          <w:szCs w:val="24"/>
          <w:highlight w:val="none"/>
          <w:lang w:val="en-US" w:eastAsia="zh-CN" w:bidi="ar"/>
        </w:rPr>
        <w:t>附表 A-17：评标结果汇总表</w:t>
      </w:r>
    </w:p>
    <w:p w14:paraId="15E339F0">
      <w:pPr>
        <w:pStyle w:val="17"/>
        <w:spacing w:line="262" w:lineRule="auto"/>
        <w:rPr>
          <w:color w:val="auto"/>
          <w:highlight w:val="none"/>
        </w:rPr>
      </w:pPr>
    </w:p>
    <w:p w14:paraId="3FADD316">
      <w:pPr>
        <w:pStyle w:val="17"/>
        <w:spacing w:line="262" w:lineRule="auto"/>
        <w:rPr>
          <w:color w:val="auto"/>
          <w:highlight w:val="none"/>
        </w:rPr>
      </w:pPr>
    </w:p>
    <w:p w14:paraId="1DF76BAF">
      <w:pPr>
        <w:keepNext w:val="0"/>
        <w:keepLines w:val="0"/>
        <w:widowControl/>
        <w:suppressLineNumbers w:val="0"/>
        <w:jc w:val="center"/>
        <w:rPr>
          <w:rFonts w:ascii="黑体" w:hAnsi="宋体" w:eastAsia="黑体" w:cs="黑体"/>
          <w:color w:val="auto"/>
          <w:kern w:val="0"/>
          <w:sz w:val="36"/>
          <w:szCs w:val="36"/>
          <w:highlight w:val="none"/>
          <w:lang w:val="en-US" w:eastAsia="zh-CN" w:bidi="ar"/>
        </w:rPr>
      </w:pPr>
      <w:r>
        <w:rPr>
          <w:rFonts w:ascii="黑体" w:hAnsi="宋体" w:eastAsia="黑体" w:cs="黑体"/>
          <w:color w:val="auto"/>
          <w:kern w:val="0"/>
          <w:sz w:val="36"/>
          <w:szCs w:val="36"/>
          <w:highlight w:val="none"/>
          <w:lang w:val="en-US" w:eastAsia="zh-CN" w:bidi="ar"/>
        </w:rPr>
        <w:t>评标结果汇总表</w:t>
      </w:r>
    </w:p>
    <w:p w14:paraId="0ED6434A">
      <w:pPr>
        <w:keepNext w:val="0"/>
        <w:keepLines w:val="0"/>
        <w:widowControl/>
        <w:suppressLineNumbers w:val="0"/>
        <w:jc w:val="center"/>
        <w:rPr>
          <w:rFonts w:ascii="黑体" w:hAnsi="宋体" w:eastAsia="黑体" w:cs="黑体"/>
          <w:color w:val="auto"/>
          <w:kern w:val="0"/>
          <w:sz w:val="36"/>
          <w:szCs w:val="36"/>
          <w:highlight w:val="none"/>
          <w:lang w:val="en-US" w:eastAsia="zh-CN" w:bidi="ar"/>
        </w:rPr>
      </w:pPr>
      <w:r>
        <w:rPr>
          <w:rFonts w:ascii="黑体" w:hAnsi="宋体" w:eastAsia="黑体" w:cs="黑体"/>
          <w:color w:val="auto"/>
          <w:kern w:val="0"/>
          <w:sz w:val="36"/>
          <w:szCs w:val="36"/>
          <w:highlight w:val="none"/>
          <w:lang w:val="en-US" w:eastAsia="zh-CN" w:bidi="ar"/>
        </w:rPr>
        <w:t>（适用于经评审的最低投标价法）</w:t>
      </w:r>
    </w:p>
    <w:p w14:paraId="7A6F6596">
      <w:pPr>
        <w:spacing w:before="237" w:line="221" w:lineRule="auto"/>
        <w:ind w:left="21"/>
        <w:rPr>
          <w:rFonts w:ascii="宋体" w:hAnsi="宋体" w:cs="宋体"/>
          <w:color w:val="auto"/>
          <w:szCs w:val="21"/>
          <w:highlight w:val="none"/>
        </w:rPr>
      </w:pPr>
      <w:r>
        <w:rPr>
          <w:rFonts w:ascii="宋体" w:hAnsi="宋体" w:cs="宋体"/>
          <w:color w:val="auto"/>
          <w:spacing w:val="-7"/>
          <w:szCs w:val="21"/>
          <w:highlight w:val="none"/>
        </w:rPr>
        <w:t>标段名称：</w:t>
      </w:r>
    </w:p>
    <w:p w14:paraId="6838DD62">
      <w:pPr>
        <w:spacing w:before="22" w:line="212" w:lineRule="auto"/>
        <w:ind w:left="21"/>
        <w:rPr>
          <w:rFonts w:ascii="宋体" w:hAnsi="宋体" w:cs="宋体"/>
          <w:color w:val="auto"/>
          <w:szCs w:val="21"/>
          <w:highlight w:val="none"/>
        </w:rPr>
      </w:pPr>
      <w:r>
        <w:rPr>
          <w:rFonts w:ascii="宋体" w:hAnsi="宋体" w:cs="宋体"/>
          <w:color w:val="auto"/>
          <w:szCs w:val="21"/>
          <w:highlight w:val="none"/>
        </w:rPr>
        <w:t>标段唯一标识码：                                                单</w:t>
      </w:r>
      <w:r>
        <w:rPr>
          <w:rFonts w:ascii="宋体" w:hAnsi="宋体" w:cs="宋体"/>
          <w:color w:val="auto"/>
          <w:spacing w:val="-1"/>
          <w:szCs w:val="21"/>
          <w:highlight w:val="none"/>
        </w:rPr>
        <w:t>位：人民币元</w:t>
      </w:r>
    </w:p>
    <w:tbl>
      <w:tblPr>
        <w:tblStyle w:val="42"/>
        <w:tblW w:w="9552" w:type="dxa"/>
        <w:tblInd w:w="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5"/>
        <w:gridCol w:w="1244"/>
        <w:gridCol w:w="1389"/>
        <w:gridCol w:w="1434"/>
        <w:gridCol w:w="1850"/>
        <w:gridCol w:w="1245"/>
        <w:gridCol w:w="1245"/>
      </w:tblGrid>
      <w:tr w14:paraId="71F711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1145" w:type="dxa"/>
            <w:vMerge w:val="restart"/>
            <w:vAlign w:val="center"/>
          </w:tcPr>
          <w:p w14:paraId="16559763">
            <w:pPr>
              <w:spacing w:before="265" w:line="236" w:lineRule="auto"/>
              <w:jc w:val="center"/>
              <w:rPr>
                <w:rFonts w:eastAsia="Times New Roman"/>
                <w:color w:val="auto"/>
                <w:szCs w:val="21"/>
                <w:highlight w:val="none"/>
              </w:rPr>
            </w:pPr>
            <w:r>
              <w:rPr>
                <w:b/>
                <w:bCs/>
                <w:color w:val="auto"/>
                <w:spacing w:val="-3"/>
                <w:highlight w:val="none"/>
              </w:rPr>
              <w:t>投标人名称</w:t>
            </w:r>
          </w:p>
        </w:tc>
        <w:tc>
          <w:tcPr>
            <w:tcW w:w="8407" w:type="dxa"/>
            <w:gridSpan w:val="6"/>
            <w:vAlign w:val="center"/>
          </w:tcPr>
          <w:p w14:paraId="2CF8955D">
            <w:pPr>
              <w:keepNext w:val="0"/>
              <w:keepLines w:val="0"/>
              <w:widowControl/>
              <w:suppressLineNumbers w:val="0"/>
              <w:jc w:val="center"/>
              <w:rPr>
                <w:b/>
                <w:bCs/>
                <w:color w:val="auto"/>
                <w:spacing w:val="-3"/>
                <w:highlight w:val="none"/>
              </w:rPr>
            </w:pPr>
            <w:r>
              <w:rPr>
                <w:rFonts w:hint="eastAsia" w:ascii="宋体" w:hAnsi="宋体" w:eastAsia="宋体" w:cs="宋体"/>
                <w:b/>
                <w:bCs/>
                <w:color w:val="auto"/>
                <w:kern w:val="0"/>
                <w:sz w:val="21"/>
                <w:szCs w:val="21"/>
                <w:highlight w:val="none"/>
                <w:lang w:val="en-US" w:eastAsia="zh-CN" w:bidi="ar"/>
              </w:rPr>
              <w:t>评审项目</w:t>
            </w:r>
          </w:p>
        </w:tc>
      </w:tr>
      <w:tr w14:paraId="70236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trPr>
        <w:tc>
          <w:tcPr>
            <w:tcW w:w="1145" w:type="dxa"/>
            <w:vMerge w:val="continue"/>
            <w:vAlign w:val="center"/>
          </w:tcPr>
          <w:p w14:paraId="7AED02F8">
            <w:pPr>
              <w:spacing w:before="265" w:line="236" w:lineRule="auto"/>
              <w:jc w:val="center"/>
              <w:rPr>
                <w:rFonts w:eastAsia="Times New Roman"/>
                <w:color w:val="auto"/>
                <w:szCs w:val="21"/>
                <w:highlight w:val="none"/>
              </w:rPr>
            </w:pPr>
          </w:p>
        </w:tc>
        <w:tc>
          <w:tcPr>
            <w:tcW w:w="1244" w:type="dxa"/>
            <w:vAlign w:val="center"/>
          </w:tcPr>
          <w:p w14:paraId="6187F433">
            <w:pPr>
              <w:jc w:val="center"/>
              <w:rPr>
                <w:rFonts w:ascii="Arial"/>
                <w:color w:val="auto"/>
                <w:highlight w:val="none"/>
              </w:rPr>
            </w:pPr>
            <w:r>
              <w:rPr>
                <w:b/>
                <w:bCs/>
                <w:color w:val="auto"/>
                <w:spacing w:val="-4"/>
                <w:highlight w:val="none"/>
              </w:rPr>
              <w:t>投标报价</w:t>
            </w:r>
          </w:p>
        </w:tc>
        <w:tc>
          <w:tcPr>
            <w:tcW w:w="1389" w:type="dxa"/>
            <w:vAlign w:val="center"/>
          </w:tcPr>
          <w:p w14:paraId="5BA134F0">
            <w:pPr>
              <w:keepNext w:val="0"/>
              <w:keepLines w:val="0"/>
              <w:widowControl/>
              <w:suppressLineNumbers w:val="0"/>
              <w:jc w:val="center"/>
              <w:rPr>
                <w:color w:val="auto"/>
                <w:highlight w:val="none"/>
              </w:rPr>
            </w:pPr>
            <w:r>
              <w:rPr>
                <w:rFonts w:hint="eastAsia" w:ascii="宋体" w:hAnsi="宋体" w:eastAsia="宋体" w:cs="宋体"/>
                <w:b/>
                <w:bCs/>
                <w:color w:val="auto"/>
                <w:kern w:val="0"/>
                <w:sz w:val="21"/>
                <w:szCs w:val="21"/>
                <w:highlight w:val="none"/>
                <w:lang w:val="en-US" w:eastAsia="zh-CN" w:bidi="ar"/>
              </w:rPr>
              <w:t>修正后投标报</w:t>
            </w:r>
          </w:p>
          <w:p w14:paraId="5E53D97F">
            <w:pPr>
              <w:keepNext w:val="0"/>
              <w:keepLines w:val="0"/>
              <w:widowControl/>
              <w:suppressLineNumbers w:val="0"/>
              <w:jc w:val="center"/>
              <w:rPr>
                <w:rFonts w:ascii="Arial"/>
                <w:color w:val="auto"/>
                <w:highlight w:val="none"/>
              </w:rPr>
            </w:pPr>
            <w:r>
              <w:rPr>
                <w:rFonts w:hint="eastAsia" w:ascii="宋体" w:hAnsi="宋体" w:eastAsia="宋体" w:cs="宋体"/>
                <w:b/>
                <w:bCs/>
                <w:color w:val="auto"/>
                <w:kern w:val="0"/>
                <w:sz w:val="21"/>
                <w:szCs w:val="21"/>
                <w:highlight w:val="none"/>
                <w:lang w:val="en-US" w:eastAsia="zh-CN" w:bidi="ar"/>
              </w:rPr>
              <w:t>价（如有）</w:t>
            </w:r>
          </w:p>
        </w:tc>
        <w:tc>
          <w:tcPr>
            <w:tcW w:w="1434" w:type="dxa"/>
            <w:vAlign w:val="center"/>
          </w:tcPr>
          <w:p w14:paraId="04217348">
            <w:pPr>
              <w:jc w:val="center"/>
              <w:rPr>
                <w:rFonts w:ascii="Arial"/>
                <w:color w:val="auto"/>
                <w:highlight w:val="none"/>
              </w:rPr>
            </w:pPr>
            <w:r>
              <w:rPr>
                <w:b/>
                <w:bCs/>
                <w:color w:val="auto"/>
                <w:spacing w:val="-6"/>
                <w:highlight w:val="none"/>
              </w:rPr>
              <w:t>评标价</w:t>
            </w:r>
          </w:p>
        </w:tc>
        <w:tc>
          <w:tcPr>
            <w:tcW w:w="1850" w:type="dxa"/>
            <w:vAlign w:val="center"/>
          </w:tcPr>
          <w:p w14:paraId="467217AC">
            <w:pPr>
              <w:keepNext w:val="0"/>
              <w:keepLines w:val="0"/>
              <w:widowControl/>
              <w:suppressLineNumbers w:val="0"/>
              <w:jc w:val="center"/>
              <w:rPr>
                <w:color w:val="auto"/>
                <w:highlight w:val="none"/>
              </w:rPr>
            </w:pPr>
            <w:r>
              <w:rPr>
                <w:rFonts w:hint="eastAsia" w:ascii="宋体" w:hAnsi="宋体" w:eastAsia="宋体" w:cs="宋体"/>
                <w:b/>
                <w:bCs/>
                <w:color w:val="auto"/>
                <w:kern w:val="0"/>
                <w:sz w:val="21"/>
                <w:szCs w:val="21"/>
                <w:highlight w:val="none"/>
                <w:lang w:val="en-US" w:eastAsia="zh-CN" w:bidi="ar"/>
              </w:rPr>
              <w:t>最高投</w:t>
            </w:r>
          </w:p>
          <w:p w14:paraId="445D9F2B">
            <w:pPr>
              <w:keepNext w:val="0"/>
              <w:keepLines w:val="0"/>
              <w:widowControl/>
              <w:suppressLineNumbers w:val="0"/>
              <w:jc w:val="center"/>
              <w:rPr>
                <w:rFonts w:ascii="Arial"/>
                <w:color w:val="auto"/>
                <w:highlight w:val="none"/>
              </w:rPr>
            </w:pPr>
            <w:r>
              <w:rPr>
                <w:rFonts w:hint="eastAsia" w:ascii="宋体" w:hAnsi="宋体" w:eastAsia="宋体" w:cs="宋体"/>
                <w:b/>
                <w:bCs/>
                <w:color w:val="auto"/>
                <w:kern w:val="0"/>
                <w:sz w:val="21"/>
                <w:szCs w:val="21"/>
                <w:highlight w:val="none"/>
                <w:lang w:val="en-US" w:eastAsia="zh-CN" w:bidi="ar"/>
              </w:rPr>
              <w:t>标限价</w:t>
            </w:r>
          </w:p>
        </w:tc>
        <w:tc>
          <w:tcPr>
            <w:tcW w:w="1245" w:type="dxa"/>
            <w:vAlign w:val="center"/>
          </w:tcPr>
          <w:p w14:paraId="2F4E0AD3">
            <w:pPr>
              <w:keepNext w:val="0"/>
              <w:keepLines w:val="0"/>
              <w:widowControl/>
              <w:suppressLineNumbers w:val="0"/>
              <w:jc w:val="center"/>
              <w:rPr>
                <w:color w:val="auto"/>
                <w:highlight w:val="none"/>
              </w:rPr>
            </w:pPr>
            <w:r>
              <w:rPr>
                <w:rFonts w:hint="eastAsia" w:ascii="宋体" w:hAnsi="宋体" w:eastAsia="宋体" w:cs="宋体"/>
                <w:b/>
                <w:bCs/>
                <w:color w:val="auto"/>
                <w:kern w:val="0"/>
                <w:sz w:val="21"/>
                <w:szCs w:val="21"/>
                <w:highlight w:val="none"/>
                <w:lang w:val="en-US" w:eastAsia="zh-CN" w:bidi="ar"/>
              </w:rPr>
              <w:t>确定有效</w:t>
            </w:r>
          </w:p>
          <w:p w14:paraId="62D1BB8D">
            <w:pPr>
              <w:keepNext w:val="0"/>
              <w:keepLines w:val="0"/>
              <w:widowControl/>
              <w:suppressLineNumbers w:val="0"/>
              <w:jc w:val="center"/>
              <w:rPr>
                <w:rFonts w:ascii="Arial"/>
                <w:color w:val="auto"/>
                <w:highlight w:val="none"/>
              </w:rPr>
            </w:pPr>
            <w:r>
              <w:rPr>
                <w:rFonts w:hint="eastAsia" w:ascii="宋体" w:hAnsi="宋体" w:eastAsia="宋体" w:cs="宋体"/>
                <w:b/>
                <w:bCs/>
                <w:color w:val="auto"/>
                <w:kern w:val="0"/>
                <w:sz w:val="21"/>
                <w:szCs w:val="21"/>
                <w:highlight w:val="none"/>
                <w:lang w:val="en-US" w:eastAsia="zh-CN" w:bidi="ar"/>
              </w:rPr>
              <w:t>评标价</w:t>
            </w:r>
          </w:p>
        </w:tc>
        <w:tc>
          <w:tcPr>
            <w:tcW w:w="1245" w:type="dxa"/>
            <w:vAlign w:val="center"/>
          </w:tcPr>
          <w:p w14:paraId="1F52B48C">
            <w:pPr>
              <w:keepNext w:val="0"/>
              <w:keepLines w:val="0"/>
              <w:widowControl/>
              <w:suppressLineNumbers w:val="0"/>
              <w:jc w:val="center"/>
              <w:rPr>
                <w:color w:val="auto"/>
                <w:highlight w:val="none"/>
              </w:rPr>
            </w:pPr>
            <w:r>
              <w:rPr>
                <w:rFonts w:hint="eastAsia" w:ascii="宋体" w:hAnsi="宋体" w:eastAsia="宋体" w:cs="宋体"/>
                <w:b/>
                <w:bCs/>
                <w:color w:val="auto"/>
                <w:kern w:val="0"/>
                <w:sz w:val="21"/>
                <w:szCs w:val="21"/>
                <w:highlight w:val="none"/>
                <w:lang w:val="en-US" w:eastAsia="zh-CN" w:bidi="ar"/>
              </w:rPr>
              <w:t>有效评标价</w:t>
            </w:r>
          </w:p>
          <w:p w14:paraId="7BEA5A76">
            <w:pPr>
              <w:keepNext w:val="0"/>
              <w:keepLines w:val="0"/>
              <w:widowControl/>
              <w:suppressLineNumbers w:val="0"/>
              <w:jc w:val="center"/>
              <w:rPr>
                <w:rFonts w:ascii="Arial"/>
                <w:color w:val="auto"/>
                <w:highlight w:val="none"/>
              </w:rPr>
            </w:pPr>
            <w:r>
              <w:rPr>
                <w:rFonts w:hint="eastAsia" w:ascii="宋体" w:hAnsi="宋体" w:eastAsia="宋体" w:cs="宋体"/>
                <w:b/>
                <w:bCs/>
                <w:color w:val="auto"/>
                <w:kern w:val="0"/>
                <w:sz w:val="21"/>
                <w:szCs w:val="21"/>
                <w:highlight w:val="none"/>
                <w:lang w:val="en-US" w:eastAsia="zh-CN" w:bidi="ar"/>
              </w:rPr>
              <w:t>排序</w:t>
            </w:r>
          </w:p>
        </w:tc>
      </w:tr>
      <w:tr w14:paraId="06E638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1145" w:type="dxa"/>
          </w:tcPr>
          <w:p w14:paraId="08C9EC1B">
            <w:pPr>
              <w:spacing w:before="267" w:line="236" w:lineRule="auto"/>
              <w:ind w:left="376"/>
              <w:rPr>
                <w:rFonts w:eastAsia="Times New Roman"/>
                <w:color w:val="auto"/>
                <w:szCs w:val="21"/>
                <w:highlight w:val="none"/>
              </w:rPr>
            </w:pPr>
          </w:p>
        </w:tc>
        <w:tc>
          <w:tcPr>
            <w:tcW w:w="1244" w:type="dxa"/>
          </w:tcPr>
          <w:p w14:paraId="3784F1F4">
            <w:pPr>
              <w:rPr>
                <w:rFonts w:ascii="Arial"/>
                <w:color w:val="auto"/>
                <w:highlight w:val="none"/>
              </w:rPr>
            </w:pPr>
          </w:p>
        </w:tc>
        <w:tc>
          <w:tcPr>
            <w:tcW w:w="1389" w:type="dxa"/>
          </w:tcPr>
          <w:p w14:paraId="0AB32FDA">
            <w:pPr>
              <w:rPr>
                <w:rFonts w:ascii="Arial"/>
                <w:color w:val="auto"/>
                <w:highlight w:val="none"/>
              </w:rPr>
            </w:pPr>
          </w:p>
        </w:tc>
        <w:tc>
          <w:tcPr>
            <w:tcW w:w="1434" w:type="dxa"/>
          </w:tcPr>
          <w:p w14:paraId="124C502F">
            <w:pPr>
              <w:rPr>
                <w:rFonts w:ascii="Arial"/>
                <w:color w:val="auto"/>
                <w:highlight w:val="none"/>
              </w:rPr>
            </w:pPr>
          </w:p>
        </w:tc>
        <w:tc>
          <w:tcPr>
            <w:tcW w:w="1850" w:type="dxa"/>
          </w:tcPr>
          <w:p w14:paraId="591C3544">
            <w:pPr>
              <w:rPr>
                <w:rFonts w:ascii="Arial"/>
                <w:color w:val="auto"/>
                <w:highlight w:val="none"/>
              </w:rPr>
            </w:pPr>
          </w:p>
        </w:tc>
        <w:tc>
          <w:tcPr>
            <w:tcW w:w="1245" w:type="dxa"/>
          </w:tcPr>
          <w:p w14:paraId="04F89E23">
            <w:pPr>
              <w:rPr>
                <w:rFonts w:ascii="Arial"/>
                <w:color w:val="auto"/>
                <w:highlight w:val="none"/>
              </w:rPr>
            </w:pPr>
          </w:p>
        </w:tc>
        <w:tc>
          <w:tcPr>
            <w:tcW w:w="1245" w:type="dxa"/>
          </w:tcPr>
          <w:p w14:paraId="4B4FA09A">
            <w:pPr>
              <w:rPr>
                <w:rFonts w:ascii="Arial"/>
                <w:color w:val="auto"/>
                <w:highlight w:val="none"/>
              </w:rPr>
            </w:pPr>
          </w:p>
        </w:tc>
      </w:tr>
      <w:tr w14:paraId="10D254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1145" w:type="dxa"/>
          </w:tcPr>
          <w:p w14:paraId="4E5FC992">
            <w:pPr>
              <w:spacing w:before="267" w:line="234" w:lineRule="auto"/>
              <w:ind w:left="380"/>
              <w:rPr>
                <w:rFonts w:eastAsia="Times New Roman"/>
                <w:color w:val="auto"/>
                <w:szCs w:val="21"/>
                <w:highlight w:val="none"/>
              </w:rPr>
            </w:pPr>
          </w:p>
        </w:tc>
        <w:tc>
          <w:tcPr>
            <w:tcW w:w="1244" w:type="dxa"/>
          </w:tcPr>
          <w:p w14:paraId="7BB32146">
            <w:pPr>
              <w:rPr>
                <w:rFonts w:ascii="Arial"/>
                <w:color w:val="auto"/>
                <w:highlight w:val="none"/>
              </w:rPr>
            </w:pPr>
          </w:p>
        </w:tc>
        <w:tc>
          <w:tcPr>
            <w:tcW w:w="1389" w:type="dxa"/>
          </w:tcPr>
          <w:p w14:paraId="142F115A">
            <w:pPr>
              <w:rPr>
                <w:rFonts w:ascii="Arial"/>
                <w:color w:val="auto"/>
                <w:highlight w:val="none"/>
              </w:rPr>
            </w:pPr>
          </w:p>
        </w:tc>
        <w:tc>
          <w:tcPr>
            <w:tcW w:w="1434" w:type="dxa"/>
          </w:tcPr>
          <w:p w14:paraId="1663F197">
            <w:pPr>
              <w:rPr>
                <w:rFonts w:ascii="Arial"/>
                <w:color w:val="auto"/>
                <w:highlight w:val="none"/>
              </w:rPr>
            </w:pPr>
          </w:p>
        </w:tc>
        <w:tc>
          <w:tcPr>
            <w:tcW w:w="1850" w:type="dxa"/>
          </w:tcPr>
          <w:p w14:paraId="3E5AF9BC">
            <w:pPr>
              <w:rPr>
                <w:rFonts w:ascii="Arial"/>
                <w:color w:val="auto"/>
                <w:highlight w:val="none"/>
              </w:rPr>
            </w:pPr>
          </w:p>
        </w:tc>
        <w:tc>
          <w:tcPr>
            <w:tcW w:w="1245" w:type="dxa"/>
          </w:tcPr>
          <w:p w14:paraId="59CB239C">
            <w:pPr>
              <w:rPr>
                <w:rFonts w:ascii="Arial"/>
                <w:color w:val="auto"/>
                <w:highlight w:val="none"/>
              </w:rPr>
            </w:pPr>
          </w:p>
        </w:tc>
        <w:tc>
          <w:tcPr>
            <w:tcW w:w="1245" w:type="dxa"/>
          </w:tcPr>
          <w:p w14:paraId="25309314">
            <w:pPr>
              <w:rPr>
                <w:rFonts w:ascii="Arial"/>
                <w:color w:val="auto"/>
                <w:highlight w:val="none"/>
              </w:rPr>
            </w:pPr>
          </w:p>
        </w:tc>
      </w:tr>
      <w:tr w14:paraId="66A9EE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1145" w:type="dxa"/>
          </w:tcPr>
          <w:p w14:paraId="57B4FDC5">
            <w:pPr>
              <w:spacing w:before="268" w:line="236" w:lineRule="auto"/>
              <w:ind w:left="375"/>
              <w:rPr>
                <w:rFonts w:eastAsia="Times New Roman"/>
                <w:color w:val="auto"/>
                <w:szCs w:val="21"/>
                <w:highlight w:val="none"/>
              </w:rPr>
            </w:pPr>
          </w:p>
        </w:tc>
        <w:tc>
          <w:tcPr>
            <w:tcW w:w="1244" w:type="dxa"/>
          </w:tcPr>
          <w:p w14:paraId="47ECCF95">
            <w:pPr>
              <w:rPr>
                <w:rFonts w:ascii="Arial"/>
                <w:color w:val="auto"/>
                <w:highlight w:val="none"/>
              </w:rPr>
            </w:pPr>
          </w:p>
        </w:tc>
        <w:tc>
          <w:tcPr>
            <w:tcW w:w="1389" w:type="dxa"/>
          </w:tcPr>
          <w:p w14:paraId="2DFC8FD3">
            <w:pPr>
              <w:rPr>
                <w:rFonts w:ascii="Arial"/>
                <w:color w:val="auto"/>
                <w:highlight w:val="none"/>
              </w:rPr>
            </w:pPr>
          </w:p>
        </w:tc>
        <w:tc>
          <w:tcPr>
            <w:tcW w:w="1434" w:type="dxa"/>
          </w:tcPr>
          <w:p w14:paraId="2EF56573">
            <w:pPr>
              <w:rPr>
                <w:rFonts w:ascii="Arial"/>
                <w:color w:val="auto"/>
                <w:highlight w:val="none"/>
              </w:rPr>
            </w:pPr>
          </w:p>
        </w:tc>
        <w:tc>
          <w:tcPr>
            <w:tcW w:w="1850" w:type="dxa"/>
          </w:tcPr>
          <w:p w14:paraId="042D7A93">
            <w:pPr>
              <w:rPr>
                <w:rFonts w:ascii="Arial"/>
                <w:color w:val="auto"/>
                <w:highlight w:val="none"/>
              </w:rPr>
            </w:pPr>
          </w:p>
        </w:tc>
        <w:tc>
          <w:tcPr>
            <w:tcW w:w="1245" w:type="dxa"/>
          </w:tcPr>
          <w:p w14:paraId="4AE8B27A">
            <w:pPr>
              <w:rPr>
                <w:rFonts w:ascii="Arial"/>
                <w:color w:val="auto"/>
                <w:highlight w:val="none"/>
              </w:rPr>
            </w:pPr>
          </w:p>
        </w:tc>
        <w:tc>
          <w:tcPr>
            <w:tcW w:w="1245" w:type="dxa"/>
          </w:tcPr>
          <w:p w14:paraId="793E5860">
            <w:pPr>
              <w:rPr>
                <w:rFonts w:ascii="Arial"/>
                <w:color w:val="auto"/>
                <w:highlight w:val="none"/>
              </w:rPr>
            </w:pPr>
          </w:p>
        </w:tc>
      </w:tr>
      <w:tr w14:paraId="32B0FB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1145" w:type="dxa"/>
          </w:tcPr>
          <w:p w14:paraId="0E5BB493">
            <w:pPr>
              <w:spacing w:before="268" w:line="234" w:lineRule="auto"/>
              <w:ind w:left="381"/>
              <w:rPr>
                <w:rFonts w:eastAsia="Times New Roman"/>
                <w:color w:val="auto"/>
                <w:szCs w:val="21"/>
                <w:highlight w:val="none"/>
              </w:rPr>
            </w:pPr>
          </w:p>
        </w:tc>
        <w:tc>
          <w:tcPr>
            <w:tcW w:w="1244" w:type="dxa"/>
          </w:tcPr>
          <w:p w14:paraId="54F9D6C2">
            <w:pPr>
              <w:rPr>
                <w:rFonts w:ascii="Arial"/>
                <w:color w:val="auto"/>
                <w:highlight w:val="none"/>
              </w:rPr>
            </w:pPr>
          </w:p>
        </w:tc>
        <w:tc>
          <w:tcPr>
            <w:tcW w:w="1389" w:type="dxa"/>
          </w:tcPr>
          <w:p w14:paraId="19E50DD0">
            <w:pPr>
              <w:rPr>
                <w:rFonts w:ascii="Arial"/>
                <w:color w:val="auto"/>
                <w:highlight w:val="none"/>
              </w:rPr>
            </w:pPr>
          </w:p>
        </w:tc>
        <w:tc>
          <w:tcPr>
            <w:tcW w:w="1434" w:type="dxa"/>
          </w:tcPr>
          <w:p w14:paraId="35C14840">
            <w:pPr>
              <w:rPr>
                <w:rFonts w:ascii="Arial"/>
                <w:color w:val="auto"/>
                <w:highlight w:val="none"/>
              </w:rPr>
            </w:pPr>
          </w:p>
        </w:tc>
        <w:tc>
          <w:tcPr>
            <w:tcW w:w="1850" w:type="dxa"/>
          </w:tcPr>
          <w:p w14:paraId="14EA5C37">
            <w:pPr>
              <w:rPr>
                <w:rFonts w:ascii="Arial"/>
                <w:color w:val="auto"/>
                <w:highlight w:val="none"/>
              </w:rPr>
            </w:pPr>
          </w:p>
        </w:tc>
        <w:tc>
          <w:tcPr>
            <w:tcW w:w="1245" w:type="dxa"/>
          </w:tcPr>
          <w:p w14:paraId="7280FC3B">
            <w:pPr>
              <w:rPr>
                <w:rFonts w:ascii="Arial"/>
                <w:color w:val="auto"/>
                <w:highlight w:val="none"/>
              </w:rPr>
            </w:pPr>
          </w:p>
        </w:tc>
        <w:tc>
          <w:tcPr>
            <w:tcW w:w="1245" w:type="dxa"/>
          </w:tcPr>
          <w:p w14:paraId="363A2019">
            <w:pPr>
              <w:rPr>
                <w:rFonts w:ascii="Arial"/>
                <w:color w:val="auto"/>
                <w:highlight w:val="none"/>
              </w:rPr>
            </w:pPr>
          </w:p>
        </w:tc>
      </w:tr>
      <w:tr w14:paraId="250205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1145" w:type="dxa"/>
          </w:tcPr>
          <w:p w14:paraId="7563B788">
            <w:pPr>
              <w:pStyle w:val="185"/>
              <w:spacing w:before="231" w:line="332" w:lineRule="exact"/>
              <w:rPr>
                <w:color w:val="auto"/>
                <w:highlight w:val="none"/>
              </w:rPr>
            </w:pPr>
          </w:p>
        </w:tc>
        <w:tc>
          <w:tcPr>
            <w:tcW w:w="1244" w:type="dxa"/>
          </w:tcPr>
          <w:p w14:paraId="34D79C54">
            <w:pPr>
              <w:rPr>
                <w:rFonts w:ascii="Arial"/>
                <w:color w:val="auto"/>
                <w:highlight w:val="none"/>
              </w:rPr>
            </w:pPr>
          </w:p>
        </w:tc>
        <w:tc>
          <w:tcPr>
            <w:tcW w:w="1389" w:type="dxa"/>
          </w:tcPr>
          <w:p w14:paraId="44B5ABD0">
            <w:pPr>
              <w:rPr>
                <w:rFonts w:ascii="Arial"/>
                <w:color w:val="auto"/>
                <w:highlight w:val="none"/>
              </w:rPr>
            </w:pPr>
          </w:p>
        </w:tc>
        <w:tc>
          <w:tcPr>
            <w:tcW w:w="1434" w:type="dxa"/>
          </w:tcPr>
          <w:p w14:paraId="53174818">
            <w:pPr>
              <w:rPr>
                <w:rFonts w:ascii="Arial"/>
                <w:color w:val="auto"/>
                <w:highlight w:val="none"/>
              </w:rPr>
            </w:pPr>
          </w:p>
        </w:tc>
        <w:tc>
          <w:tcPr>
            <w:tcW w:w="1850" w:type="dxa"/>
          </w:tcPr>
          <w:p w14:paraId="2EA0751F">
            <w:pPr>
              <w:rPr>
                <w:rFonts w:ascii="Arial"/>
                <w:color w:val="auto"/>
                <w:highlight w:val="none"/>
              </w:rPr>
            </w:pPr>
          </w:p>
        </w:tc>
        <w:tc>
          <w:tcPr>
            <w:tcW w:w="1245" w:type="dxa"/>
          </w:tcPr>
          <w:p w14:paraId="2C65DA6B">
            <w:pPr>
              <w:rPr>
                <w:rFonts w:ascii="Arial"/>
                <w:color w:val="auto"/>
                <w:highlight w:val="none"/>
              </w:rPr>
            </w:pPr>
          </w:p>
        </w:tc>
        <w:tc>
          <w:tcPr>
            <w:tcW w:w="1245" w:type="dxa"/>
          </w:tcPr>
          <w:p w14:paraId="52981716">
            <w:pPr>
              <w:rPr>
                <w:rFonts w:ascii="Arial"/>
                <w:color w:val="auto"/>
                <w:highlight w:val="none"/>
              </w:rPr>
            </w:pPr>
          </w:p>
        </w:tc>
      </w:tr>
      <w:tr w14:paraId="47F678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4" w:hRule="atLeast"/>
        </w:trPr>
        <w:tc>
          <w:tcPr>
            <w:tcW w:w="9552" w:type="dxa"/>
            <w:gridSpan w:val="7"/>
          </w:tcPr>
          <w:p w14:paraId="6ED3AEC2">
            <w:pPr>
              <w:pStyle w:val="185"/>
              <w:spacing w:before="196" w:line="220" w:lineRule="auto"/>
              <w:ind w:left="115"/>
              <w:rPr>
                <w:color w:val="auto"/>
                <w:spacing w:val="-1"/>
                <w:highlight w:val="none"/>
                <w:lang w:eastAsia="zh-CN"/>
              </w:rPr>
            </w:pPr>
            <w:r>
              <w:rPr>
                <w:color w:val="auto"/>
                <w:spacing w:val="-1"/>
                <w:highlight w:val="none"/>
                <w:lang w:eastAsia="zh-CN"/>
              </w:rPr>
              <w:t>评标委员会全体成员签名：</w:t>
            </w:r>
          </w:p>
        </w:tc>
      </w:tr>
    </w:tbl>
    <w:p w14:paraId="257E9672">
      <w:pPr>
        <w:spacing w:before="161" w:line="221" w:lineRule="auto"/>
        <w:jc w:val="right"/>
        <w:rPr>
          <w:rFonts w:ascii="宋体" w:hAnsi="宋体" w:cs="宋体"/>
          <w:color w:val="auto"/>
          <w:szCs w:val="21"/>
          <w:highlight w:val="none"/>
        </w:rPr>
      </w:pPr>
      <w:r>
        <w:rPr>
          <w:rFonts w:ascii="宋体" w:hAnsi="宋体" w:cs="宋体"/>
          <w:color w:val="auto"/>
          <w:spacing w:val="-18"/>
          <w:szCs w:val="21"/>
          <w:highlight w:val="none"/>
        </w:rPr>
        <w:t>日期：</w:t>
      </w:r>
      <w:r>
        <w:rPr>
          <w:rFonts w:ascii="宋体" w:hAnsi="宋体" w:cs="宋体"/>
          <w:color w:val="auto"/>
          <w:spacing w:val="-3"/>
          <w:szCs w:val="21"/>
          <w:highlight w:val="none"/>
        </w:rPr>
        <w:t xml:space="preserve">    年     月    日</w:t>
      </w:r>
    </w:p>
    <w:p w14:paraId="1A8E3B13">
      <w:pPr>
        <w:pStyle w:val="17"/>
        <w:spacing w:line="262" w:lineRule="auto"/>
        <w:rPr>
          <w:color w:val="auto"/>
          <w:highlight w:val="none"/>
        </w:rPr>
      </w:pPr>
    </w:p>
    <w:p w14:paraId="766145F4">
      <w:pPr>
        <w:pStyle w:val="17"/>
        <w:spacing w:line="262" w:lineRule="auto"/>
        <w:rPr>
          <w:color w:val="auto"/>
          <w:highlight w:val="none"/>
        </w:rPr>
      </w:pPr>
    </w:p>
    <w:p w14:paraId="71BEDA6A">
      <w:pPr>
        <w:pStyle w:val="17"/>
        <w:spacing w:line="262" w:lineRule="auto"/>
        <w:rPr>
          <w:color w:val="auto"/>
          <w:highlight w:val="none"/>
        </w:rPr>
      </w:pPr>
    </w:p>
    <w:p w14:paraId="31D3274B">
      <w:pPr>
        <w:pStyle w:val="17"/>
        <w:spacing w:line="262" w:lineRule="auto"/>
        <w:rPr>
          <w:color w:val="auto"/>
          <w:highlight w:val="none"/>
        </w:rPr>
      </w:pPr>
    </w:p>
    <w:p w14:paraId="7D92853A">
      <w:pPr>
        <w:pStyle w:val="17"/>
        <w:spacing w:line="262" w:lineRule="auto"/>
        <w:rPr>
          <w:color w:val="auto"/>
          <w:highlight w:val="none"/>
        </w:rPr>
      </w:pPr>
    </w:p>
    <w:p w14:paraId="79AA29C3">
      <w:pPr>
        <w:pStyle w:val="17"/>
        <w:spacing w:line="262" w:lineRule="auto"/>
        <w:rPr>
          <w:color w:val="auto"/>
          <w:highlight w:val="none"/>
        </w:rPr>
      </w:pPr>
    </w:p>
    <w:p w14:paraId="72950E91">
      <w:pPr>
        <w:pStyle w:val="17"/>
        <w:spacing w:line="262" w:lineRule="auto"/>
        <w:rPr>
          <w:color w:val="auto"/>
          <w:highlight w:val="none"/>
        </w:rPr>
      </w:pPr>
    </w:p>
    <w:p w14:paraId="3D2AE561">
      <w:pPr>
        <w:pStyle w:val="17"/>
        <w:spacing w:line="262" w:lineRule="auto"/>
        <w:rPr>
          <w:color w:val="auto"/>
          <w:highlight w:val="none"/>
        </w:rPr>
      </w:pPr>
    </w:p>
    <w:p w14:paraId="2AA9DCD6">
      <w:pPr>
        <w:pStyle w:val="17"/>
        <w:spacing w:line="262" w:lineRule="auto"/>
        <w:rPr>
          <w:color w:val="auto"/>
          <w:highlight w:val="none"/>
        </w:rPr>
      </w:pPr>
    </w:p>
    <w:p w14:paraId="6DAC0D80">
      <w:pPr>
        <w:pStyle w:val="17"/>
        <w:spacing w:line="262" w:lineRule="auto"/>
        <w:rPr>
          <w:color w:val="auto"/>
          <w:highlight w:val="none"/>
        </w:rPr>
      </w:pPr>
    </w:p>
    <w:p w14:paraId="23E08A20">
      <w:pPr>
        <w:pStyle w:val="17"/>
        <w:spacing w:line="262" w:lineRule="auto"/>
        <w:rPr>
          <w:color w:val="auto"/>
          <w:highlight w:val="none"/>
        </w:rPr>
      </w:pPr>
    </w:p>
    <w:p w14:paraId="3B551AED">
      <w:pPr>
        <w:pStyle w:val="17"/>
        <w:spacing w:line="262" w:lineRule="auto"/>
        <w:rPr>
          <w:color w:val="auto"/>
          <w:highlight w:val="none"/>
        </w:rPr>
      </w:pPr>
    </w:p>
    <w:p w14:paraId="71979005">
      <w:pPr>
        <w:spacing w:before="78" w:line="220" w:lineRule="auto"/>
        <w:ind w:left="152"/>
        <w:outlineLvl w:val="2"/>
        <w:rPr>
          <w:rFonts w:ascii="黑体" w:hAnsi="黑体" w:eastAsia="黑体" w:cs="黑体"/>
          <w:color w:val="auto"/>
          <w:sz w:val="24"/>
          <w:highlight w:val="none"/>
        </w:rPr>
      </w:pPr>
      <w:bookmarkStart w:id="312" w:name="bookmark424"/>
      <w:bookmarkEnd w:id="312"/>
      <w:bookmarkStart w:id="313" w:name="_Toc14609"/>
      <w:r>
        <w:rPr>
          <w:rFonts w:ascii="黑体" w:hAnsi="黑体" w:eastAsia="黑体" w:cs="黑体"/>
          <w:color w:val="auto"/>
          <w:spacing w:val="-2"/>
          <w:sz w:val="24"/>
          <w:highlight w:val="none"/>
        </w:rPr>
        <w:t>附表A-18：推荐中标候选人一览表</w:t>
      </w:r>
      <w:bookmarkEnd w:id="313"/>
    </w:p>
    <w:p w14:paraId="50C961A9">
      <w:pPr>
        <w:pStyle w:val="17"/>
        <w:spacing w:line="314" w:lineRule="auto"/>
        <w:rPr>
          <w:color w:val="auto"/>
          <w:highlight w:val="none"/>
        </w:rPr>
      </w:pPr>
    </w:p>
    <w:p w14:paraId="4F36EE74">
      <w:pPr>
        <w:pStyle w:val="17"/>
        <w:spacing w:line="315" w:lineRule="auto"/>
        <w:rPr>
          <w:color w:val="auto"/>
          <w:highlight w:val="none"/>
        </w:rPr>
      </w:pPr>
    </w:p>
    <w:p w14:paraId="509CD723">
      <w:pPr>
        <w:spacing w:before="117" w:line="220" w:lineRule="auto"/>
        <w:ind w:left="2378"/>
        <w:rPr>
          <w:rFonts w:ascii="黑体" w:hAnsi="黑体" w:eastAsia="黑体" w:cs="黑体"/>
          <w:color w:val="auto"/>
          <w:sz w:val="36"/>
          <w:szCs w:val="36"/>
          <w:highlight w:val="none"/>
        </w:rPr>
      </w:pPr>
      <w:bookmarkStart w:id="314" w:name="bookmark148"/>
      <w:bookmarkEnd w:id="314"/>
      <w:r>
        <w:rPr>
          <w:rFonts w:ascii="黑体" w:hAnsi="黑体" w:eastAsia="黑体" w:cs="黑体"/>
          <w:color w:val="auto"/>
          <w:spacing w:val="-2"/>
          <w:sz w:val="36"/>
          <w:szCs w:val="36"/>
          <w:highlight w:val="none"/>
        </w:rPr>
        <w:t>推荐中标候选人一览表</w:t>
      </w:r>
    </w:p>
    <w:p w14:paraId="19726DB7">
      <w:pPr>
        <w:spacing w:before="237" w:line="221" w:lineRule="auto"/>
        <w:ind w:left="21"/>
        <w:rPr>
          <w:rFonts w:ascii="宋体" w:hAnsi="宋体" w:cs="宋体"/>
          <w:color w:val="auto"/>
          <w:szCs w:val="21"/>
          <w:highlight w:val="none"/>
        </w:rPr>
      </w:pPr>
      <w:r>
        <w:rPr>
          <w:rFonts w:ascii="宋体" w:hAnsi="宋体" w:cs="宋体"/>
          <w:color w:val="auto"/>
          <w:spacing w:val="-7"/>
          <w:szCs w:val="21"/>
          <w:highlight w:val="none"/>
        </w:rPr>
        <w:t>标段名称：</w:t>
      </w:r>
    </w:p>
    <w:p w14:paraId="364B3098">
      <w:pPr>
        <w:spacing w:before="22" w:line="212" w:lineRule="auto"/>
        <w:ind w:left="21"/>
        <w:rPr>
          <w:rFonts w:ascii="宋体" w:hAnsi="宋体" w:cs="宋体"/>
          <w:color w:val="auto"/>
          <w:szCs w:val="21"/>
          <w:highlight w:val="none"/>
        </w:rPr>
      </w:pPr>
      <w:r>
        <w:rPr>
          <w:rFonts w:ascii="宋体" w:hAnsi="宋体" w:cs="宋体"/>
          <w:color w:val="auto"/>
          <w:szCs w:val="21"/>
          <w:highlight w:val="none"/>
        </w:rPr>
        <w:t>标段唯一标识码：                                                单</w:t>
      </w:r>
      <w:r>
        <w:rPr>
          <w:rFonts w:ascii="宋体" w:hAnsi="宋体" w:cs="宋体"/>
          <w:color w:val="auto"/>
          <w:spacing w:val="-1"/>
          <w:szCs w:val="21"/>
          <w:highlight w:val="none"/>
        </w:rPr>
        <w:t>位：人民币元</w:t>
      </w:r>
    </w:p>
    <w:tbl>
      <w:tblPr>
        <w:tblStyle w:val="42"/>
        <w:tblW w:w="8307" w:type="dxa"/>
        <w:tblInd w:w="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1535"/>
        <w:gridCol w:w="1389"/>
        <w:gridCol w:w="1434"/>
        <w:gridCol w:w="1850"/>
        <w:gridCol w:w="1245"/>
      </w:tblGrid>
      <w:tr w14:paraId="2B9A78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854" w:type="dxa"/>
          </w:tcPr>
          <w:p w14:paraId="2C13D4F0">
            <w:pPr>
              <w:pStyle w:val="185"/>
              <w:spacing w:before="235" w:line="223" w:lineRule="auto"/>
              <w:ind w:left="221"/>
              <w:rPr>
                <w:color w:val="auto"/>
                <w:highlight w:val="none"/>
              </w:rPr>
            </w:pPr>
            <w:r>
              <w:rPr>
                <w:b/>
                <w:bCs/>
                <w:color w:val="auto"/>
                <w:spacing w:val="-4"/>
                <w:highlight w:val="none"/>
              </w:rPr>
              <w:t>排名</w:t>
            </w:r>
          </w:p>
        </w:tc>
        <w:tc>
          <w:tcPr>
            <w:tcW w:w="1535" w:type="dxa"/>
          </w:tcPr>
          <w:p w14:paraId="112B7A40">
            <w:pPr>
              <w:pStyle w:val="185"/>
              <w:spacing w:before="236" w:line="221" w:lineRule="auto"/>
              <w:ind w:left="246"/>
              <w:rPr>
                <w:color w:val="auto"/>
                <w:highlight w:val="none"/>
              </w:rPr>
            </w:pPr>
            <w:r>
              <w:rPr>
                <w:b/>
                <w:bCs/>
                <w:color w:val="auto"/>
                <w:spacing w:val="-3"/>
                <w:highlight w:val="none"/>
              </w:rPr>
              <w:t>投标人名称</w:t>
            </w:r>
          </w:p>
        </w:tc>
        <w:tc>
          <w:tcPr>
            <w:tcW w:w="1389" w:type="dxa"/>
          </w:tcPr>
          <w:p w14:paraId="64DCFFC2">
            <w:pPr>
              <w:pStyle w:val="185"/>
              <w:spacing w:before="236" w:line="219" w:lineRule="auto"/>
              <w:ind w:left="281"/>
              <w:rPr>
                <w:color w:val="auto"/>
                <w:highlight w:val="none"/>
              </w:rPr>
            </w:pPr>
            <w:r>
              <w:rPr>
                <w:b/>
                <w:bCs/>
                <w:color w:val="auto"/>
                <w:spacing w:val="-4"/>
                <w:highlight w:val="none"/>
              </w:rPr>
              <w:t>投标报价</w:t>
            </w:r>
          </w:p>
        </w:tc>
        <w:tc>
          <w:tcPr>
            <w:tcW w:w="1434" w:type="dxa"/>
          </w:tcPr>
          <w:p w14:paraId="5DF4C397">
            <w:pPr>
              <w:pStyle w:val="185"/>
              <w:spacing w:before="98" w:line="221" w:lineRule="auto"/>
              <w:ind w:left="300"/>
              <w:rPr>
                <w:color w:val="auto"/>
                <w:highlight w:val="none"/>
              </w:rPr>
            </w:pPr>
            <w:r>
              <w:rPr>
                <w:b/>
                <w:bCs/>
                <w:color w:val="auto"/>
                <w:spacing w:val="-3"/>
                <w:highlight w:val="none"/>
              </w:rPr>
              <w:t>评审得分</w:t>
            </w:r>
          </w:p>
          <w:p w14:paraId="6F0C6039">
            <w:pPr>
              <w:pStyle w:val="185"/>
              <w:spacing w:before="20" w:line="219" w:lineRule="auto"/>
              <w:ind w:left="201"/>
              <w:rPr>
                <w:color w:val="auto"/>
                <w:highlight w:val="none"/>
              </w:rPr>
            </w:pPr>
            <w:r>
              <w:rPr>
                <w:b/>
                <w:bCs/>
                <w:color w:val="auto"/>
                <w:spacing w:val="-6"/>
                <w:highlight w:val="none"/>
              </w:rPr>
              <w:t>（评标价）</w:t>
            </w:r>
          </w:p>
        </w:tc>
        <w:tc>
          <w:tcPr>
            <w:tcW w:w="1850" w:type="dxa"/>
          </w:tcPr>
          <w:p w14:paraId="79E5A53C">
            <w:pPr>
              <w:pStyle w:val="185"/>
              <w:spacing w:before="100"/>
              <w:ind w:left="509" w:right="182" w:hanging="314"/>
              <w:rPr>
                <w:color w:val="auto"/>
                <w:highlight w:val="none"/>
                <w:lang w:eastAsia="zh-CN"/>
              </w:rPr>
            </w:pPr>
            <w:r>
              <w:rPr>
                <w:b/>
                <w:bCs/>
                <w:color w:val="auto"/>
                <w:spacing w:val="-3"/>
                <w:highlight w:val="none"/>
                <w:lang w:eastAsia="zh-CN"/>
              </w:rPr>
              <w:t>是否被推荐为中</w:t>
            </w:r>
            <w:r>
              <w:rPr>
                <w:b/>
                <w:bCs/>
                <w:color w:val="auto"/>
                <w:spacing w:val="-4"/>
                <w:highlight w:val="none"/>
                <w:lang w:eastAsia="zh-CN"/>
              </w:rPr>
              <w:t>标候选人</w:t>
            </w:r>
          </w:p>
        </w:tc>
        <w:tc>
          <w:tcPr>
            <w:tcW w:w="1245" w:type="dxa"/>
          </w:tcPr>
          <w:p w14:paraId="462507A5">
            <w:pPr>
              <w:pStyle w:val="185"/>
              <w:spacing w:before="235" w:line="220" w:lineRule="auto"/>
              <w:ind w:left="207"/>
              <w:rPr>
                <w:color w:val="auto"/>
                <w:highlight w:val="none"/>
              </w:rPr>
            </w:pPr>
            <w:r>
              <w:rPr>
                <w:b/>
                <w:bCs/>
                <w:color w:val="auto"/>
                <w:spacing w:val="-3"/>
                <w:highlight w:val="none"/>
              </w:rPr>
              <w:t>推荐理由</w:t>
            </w:r>
          </w:p>
        </w:tc>
      </w:tr>
      <w:tr w14:paraId="0999E5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trPr>
        <w:tc>
          <w:tcPr>
            <w:tcW w:w="854" w:type="dxa"/>
          </w:tcPr>
          <w:p w14:paraId="4C4FCA99">
            <w:pPr>
              <w:spacing w:before="265" w:line="236" w:lineRule="auto"/>
              <w:ind w:left="396"/>
              <w:rPr>
                <w:rFonts w:eastAsia="Times New Roman"/>
                <w:color w:val="auto"/>
                <w:szCs w:val="21"/>
                <w:highlight w:val="none"/>
              </w:rPr>
            </w:pPr>
            <w:r>
              <w:rPr>
                <w:rFonts w:eastAsia="Times New Roman"/>
                <w:color w:val="auto"/>
                <w:szCs w:val="21"/>
                <w:highlight w:val="none"/>
              </w:rPr>
              <w:t>1</w:t>
            </w:r>
          </w:p>
        </w:tc>
        <w:tc>
          <w:tcPr>
            <w:tcW w:w="1535" w:type="dxa"/>
          </w:tcPr>
          <w:p w14:paraId="03AA5F56">
            <w:pPr>
              <w:rPr>
                <w:rFonts w:ascii="Arial"/>
                <w:color w:val="auto"/>
                <w:highlight w:val="none"/>
              </w:rPr>
            </w:pPr>
          </w:p>
        </w:tc>
        <w:tc>
          <w:tcPr>
            <w:tcW w:w="1389" w:type="dxa"/>
          </w:tcPr>
          <w:p w14:paraId="21536491">
            <w:pPr>
              <w:rPr>
                <w:rFonts w:ascii="Arial"/>
                <w:color w:val="auto"/>
                <w:highlight w:val="none"/>
              </w:rPr>
            </w:pPr>
          </w:p>
        </w:tc>
        <w:tc>
          <w:tcPr>
            <w:tcW w:w="1434" w:type="dxa"/>
          </w:tcPr>
          <w:p w14:paraId="3102074B">
            <w:pPr>
              <w:rPr>
                <w:rFonts w:ascii="Arial"/>
                <w:color w:val="auto"/>
                <w:highlight w:val="none"/>
              </w:rPr>
            </w:pPr>
          </w:p>
        </w:tc>
        <w:tc>
          <w:tcPr>
            <w:tcW w:w="1850" w:type="dxa"/>
          </w:tcPr>
          <w:p w14:paraId="11448A08">
            <w:pPr>
              <w:rPr>
                <w:rFonts w:ascii="Arial"/>
                <w:color w:val="auto"/>
                <w:highlight w:val="none"/>
              </w:rPr>
            </w:pPr>
          </w:p>
        </w:tc>
        <w:tc>
          <w:tcPr>
            <w:tcW w:w="1245" w:type="dxa"/>
          </w:tcPr>
          <w:p w14:paraId="53ED6F0D">
            <w:pPr>
              <w:rPr>
                <w:rFonts w:ascii="Arial"/>
                <w:color w:val="auto"/>
                <w:highlight w:val="none"/>
              </w:rPr>
            </w:pPr>
          </w:p>
        </w:tc>
      </w:tr>
      <w:tr w14:paraId="057F1E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854" w:type="dxa"/>
          </w:tcPr>
          <w:p w14:paraId="0C37D27F">
            <w:pPr>
              <w:spacing w:before="267" w:line="236" w:lineRule="auto"/>
              <w:ind w:left="376"/>
              <w:rPr>
                <w:rFonts w:eastAsia="Times New Roman"/>
                <w:color w:val="auto"/>
                <w:szCs w:val="21"/>
                <w:highlight w:val="none"/>
              </w:rPr>
            </w:pPr>
            <w:r>
              <w:rPr>
                <w:rFonts w:eastAsia="Times New Roman"/>
                <w:color w:val="auto"/>
                <w:szCs w:val="21"/>
                <w:highlight w:val="none"/>
              </w:rPr>
              <w:t>2</w:t>
            </w:r>
          </w:p>
        </w:tc>
        <w:tc>
          <w:tcPr>
            <w:tcW w:w="1535" w:type="dxa"/>
          </w:tcPr>
          <w:p w14:paraId="3399B694">
            <w:pPr>
              <w:rPr>
                <w:rFonts w:ascii="Arial"/>
                <w:color w:val="auto"/>
                <w:highlight w:val="none"/>
              </w:rPr>
            </w:pPr>
          </w:p>
        </w:tc>
        <w:tc>
          <w:tcPr>
            <w:tcW w:w="1389" w:type="dxa"/>
          </w:tcPr>
          <w:p w14:paraId="6104B330">
            <w:pPr>
              <w:rPr>
                <w:rFonts w:ascii="Arial"/>
                <w:color w:val="auto"/>
                <w:highlight w:val="none"/>
              </w:rPr>
            </w:pPr>
          </w:p>
        </w:tc>
        <w:tc>
          <w:tcPr>
            <w:tcW w:w="1434" w:type="dxa"/>
          </w:tcPr>
          <w:p w14:paraId="26151AC4">
            <w:pPr>
              <w:rPr>
                <w:rFonts w:ascii="Arial"/>
                <w:color w:val="auto"/>
                <w:highlight w:val="none"/>
              </w:rPr>
            </w:pPr>
          </w:p>
        </w:tc>
        <w:tc>
          <w:tcPr>
            <w:tcW w:w="1850" w:type="dxa"/>
          </w:tcPr>
          <w:p w14:paraId="30E46DA0">
            <w:pPr>
              <w:rPr>
                <w:rFonts w:ascii="Arial"/>
                <w:color w:val="auto"/>
                <w:highlight w:val="none"/>
              </w:rPr>
            </w:pPr>
          </w:p>
        </w:tc>
        <w:tc>
          <w:tcPr>
            <w:tcW w:w="1245" w:type="dxa"/>
          </w:tcPr>
          <w:p w14:paraId="2F6399D8">
            <w:pPr>
              <w:rPr>
                <w:rFonts w:ascii="Arial"/>
                <w:color w:val="auto"/>
                <w:highlight w:val="none"/>
              </w:rPr>
            </w:pPr>
          </w:p>
        </w:tc>
      </w:tr>
      <w:tr w14:paraId="2B70C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854" w:type="dxa"/>
          </w:tcPr>
          <w:p w14:paraId="071B2422">
            <w:pPr>
              <w:spacing w:before="267" w:line="234" w:lineRule="auto"/>
              <w:ind w:left="380"/>
              <w:rPr>
                <w:rFonts w:eastAsia="Times New Roman"/>
                <w:color w:val="auto"/>
                <w:szCs w:val="21"/>
                <w:highlight w:val="none"/>
              </w:rPr>
            </w:pPr>
            <w:r>
              <w:rPr>
                <w:rFonts w:eastAsia="Times New Roman"/>
                <w:color w:val="auto"/>
                <w:szCs w:val="21"/>
                <w:highlight w:val="none"/>
              </w:rPr>
              <w:t>3</w:t>
            </w:r>
          </w:p>
        </w:tc>
        <w:tc>
          <w:tcPr>
            <w:tcW w:w="1535" w:type="dxa"/>
          </w:tcPr>
          <w:p w14:paraId="0D72E410">
            <w:pPr>
              <w:rPr>
                <w:rFonts w:ascii="Arial"/>
                <w:color w:val="auto"/>
                <w:highlight w:val="none"/>
              </w:rPr>
            </w:pPr>
          </w:p>
        </w:tc>
        <w:tc>
          <w:tcPr>
            <w:tcW w:w="1389" w:type="dxa"/>
          </w:tcPr>
          <w:p w14:paraId="37A252F9">
            <w:pPr>
              <w:rPr>
                <w:rFonts w:ascii="Arial"/>
                <w:color w:val="auto"/>
                <w:highlight w:val="none"/>
              </w:rPr>
            </w:pPr>
          </w:p>
        </w:tc>
        <w:tc>
          <w:tcPr>
            <w:tcW w:w="1434" w:type="dxa"/>
          </w:tcPr>
          <w:p w14:paraId="66D3E8B8">
            <w:pPr>
              <w:rPr>
                <w:rFonts w:ascii="Arial"/>
                <w:color w:val="auto"/>
                <w:highlight w:val="none"/>
              </w:rPr>
            </w:pPr>
          </w:p>
        </w:tc>
        <w:tc>
          <w:tcPr>
            <w:tcW w:w="1850" w:type="dxa"/>
          </w:tcPr>
          <w:p w14:paraId="7C4241E9">
            <w:pPr>
              <w:rPr>
                <w:rFonts w:ascii="Arial"/>
                <w:color w:val="auto"/>
                <w:highlight w:val="none"/>
              </w:rPr>
            </w:pPr>
          </w:p>
        </w:tc>
        <w:tc>
          <w:tcPr>
            <w:tcW w:w="1245" w:type="dxa"/>
          </w:tcPr>
          <w:p w14:paraId="0436314D">
            <w:pPr>
              <w:rPr>
                <w:rFonts w:ascii="Arial"/>
                <w:color w:val="auto"/>
                <w:highlight w:val="none"/>
              </w:rPr>
            </w:pPr>
          </w:p>
        </w:tc>
      </w:tr>
      <w:tr w14:paraId="00644C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854" w:type="dxa"/>
          </w:tcPr>
          <w:p w14:paraId="02DD5F90">
            <w:pPr>
              <w:spacing w:before="268" w:line="236" w:lineRule="auto"/>
              <w:ind w:left="375"/>
              <w:rPr>
                <w:rFonts w:eastAsia="Times New Roman"/>
                <w:color w:val="auto"/>
                <w:szCs w:val="21"/>
                <w:highlight w:val="none"/>
              </w:rPr>
            </w:pPr>
            <w:r>
              <w:rPr>
                <w:rFonts w:eastAsia="Times New Roman"/>
                <w:color w:val="auto"/>
                <w:szCs w:val="21"/>
                <w:highlight w:val="none"/>
              </w:rPr>
              <w:t>4</w:t>
            </w:r>
          </w:p>
        </w:tc>
        <w:tc>
          <w:tcPr>
            <w:tcW w:w="1535" w:type="dxa"/>
          </w:tcPr>
          <w:p w14:paraId="20411C93">
            <w:pPr>
              <w:rPr>
                <w:rFonts w:ascii="Arial"/>
                <w:color w:val="auto"/>
                <w:highlight w:val="none"/>
              </w:rPr>
            </w:pPr>
          </w:p>
        </w:tc>
        <w:tc>
          <w:tcPr>
            <w:tcW w:w="1389" w:type="dxa"/>
          </w:tcPr>
          <w:p w14:paraId="05570F01">
            <w:pPr>
              <w:rPr>
                <w:rFonts w:ascii="Arial"/>
                <w:color w:val="auto"/>
                <w:highlight w:val="none"/>
              </w:rPr>
            </w:pPr>
          </w:p>
        </w:tc>
        <w:tc>
          <w:tcPr>
            <w:tcW w:w="1434" w:type="dxa"/>
          </w:tcPr>
          <w:p w14:paraId="634815B4">
            <w:pPr>
              <w:rPr>
                <w:rFonts w:ascii="Arial"/>
                <w:color w:val="auto"/>
                <w:highlight w:val="none"/>
              </w:rPr>
            </w:pPr>
          </w:p>
        </w:tc>
        <w:tc>
          <w:tcPr>
            <w:tcW w:w="1850" w:type="dxa"/>
          </w:tcPr>
          <w:p w14:paraId="540D76E5">
            <w:pPr>
              <w:rPr>
                <w:rFonts w:ascii="Arial"/>
                <w:color w:val="auto"/>
                <w:highlight w:val="none"/>
              </w:rPr>
            </w:pPr>
          </w:p>
        </w:tc>
        <w:tc>
          <w:tcPr>
            <w:tcW w:w="1245" w:type="dxa"/>
          </w:tcPr>
          <w:p w14:paraId="3B5FE251">
            <w:pPr>
              <w:rPr>
                <w:rFonts w:ascii="Arial"/>
                <w:color w:val="auto"/>
                <w:highlight w:val="none"/>
              </w:rPr>
            </w:pPr>
          </w:p>
        </w:tc>
      </w:tr>
      <w:tr w14:paraId="3C202D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854" w:type="dxa"/>
          </w:tcPr>
          <w:p w14:paraId="312CA4CA">
            <w:pPr>
              <w:spacing w:before="268" w:line="234" w:lineRule="auto"/>
              <w:ind w:left="381"/>
              <w:rPr>
                <w:rFonts w:eastAsia="Times New Roman"/>
                <w:color w:val="auto"/>
                <w:szCs w:val="21"/>
                <w:highlight w:val="none"/>
              </w:rPr>
            </w:pPr>
            <w:r>
              <w:rPr>
                <w:rFonts w:eastAsia="Times New Roman"/>
                <w:color w:val="auto"/>
                <w:szCs w:val="21"/>
                <w:highlight w:val="none"/>
              </w:rPr>
              <w:t>5</w:t>
            </w:r>
          </w:p>
        </w:tc>
        <w:tc>
          <w:tcPr>
            <w:tcW w:w="1535" w:type="dxa"/>
          </w:tcPr>
          <w:p w14:paraId="42D1C0CA">
            <w:pPr>
              <w:rPr>
                <w:rFonts w:ascii="Arial"/>
                <w:color w:val="auto"/>
                <w:highlight w:val="none"/>
              </w:rPr>
            </w:pPr>
          </w:p>
        </w:tc>
        <w:tc>
          <w:tcPr>
            <w:tcW w:w="1389" w:type="dxa"/>
          </w:tcPr>
          <w:p w14:paraId="19E8EA1B">
            <w:pPr>
              <w:rPr>
                <w:rFonts w:ascii="Arial"/>
                <w:color w:val="auto"/>
                <w:highlight w:val="none"/>
              </w:rPr>
            </w:pPr>
          </w:p>
        </w:tc>
        <w:tc>
          <w:tcPr>
            <w:tcW w:w="1434" w:type="dxa"/>
          </w:tcPr>
          <w:p w14:paraId="4349E979">
            <w:pPr>
              <w:rPr>
                <w:rFonts w:ascii="Arial"/>
                <w:color w:val="auto"/>
                <w:highlight w:val="none"/>
              </w:rPr>
            </w:pPr>
          </w:p>
        </w:tc>
        <w:tc>
          <w:tcPr>
            <w:tcW w:w="1850" w:type="dxa"/>
          </w:tcPr>
          <w:p w14:paraId="3647F8F2">
            <w:pPr>
              <w:rPr>
                <w:rFonts w:ascii="Arial"/>
                <w:color w:val="auto"/>
                <w:highlight w:val="none"/>
              </w:rPr>
            </w:pPr>
          </w:p>
        </w:tc>
        <w:tc>
          <w:tcPr>
            <w:tcW w:w="1245" w:type="dxa"/>
          </w:tcPr>
          <w:p w14:paraId="12CDAF93">
            <w:pPr>
              <w:rPr>
                <w:rFonts w:ascii="Arial"/>
                <w:color w:val="auto"/>
                <w:highlight w:val="none"/>
              </w:rPr>
            </w:pPr>
          </w:p>
        </w:tc>
      </w:tr>
      <w:tr w14:paraId="54106A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854" w:type="dxa"/>
          </w:tcPr>
          <w:p w14:paraId="0B0D812F">
            <w:pPr>
              <w:pStyle w:val="185"/>
              <w:spacing w:before="231" w:line="332" w:lineRule="exact"/>
              <w:ind w:left="340"/>
              <w:rPr>
                <w:color w:val="auto"/>
                <w:highlight w:val="none"/>
              </w:rPr>
            </w:pPr>
            <w:r>
              <w:rPr>
                <w:color w:val="auto"/>
                <w:position w:val="2"/>
                <w:highlight w:val="none"/>
              </w:rPr>
              <w:t>…</w:t>
            </w:r>
          </w:p>
        </w:tc>
        <w:tc>
          <w:tcPr>
            <w:tcW w:w="1535" w:type="dxa"/>
          </w:tcPr>
          <w:p w14:paraId="56DE6BEF">
            <w:pPr>
              <w:rPr>
                <w:rFonts w:ascii="Arial"/>
                <w:color w:val="auto"/>
                <w:highlight w:val="none"/>
              </w:rPr>
            </w:pPr>
          </w:p>
        </w:tc>
        <w:tc>
          <w:tcPr>
            <w:tcW w:w="1389" w:type="dxa"/>
          </w:tcPr>
          <w:p w14:paraId="58AAC1A0">
            <w:pPr>
              <w:rPr>
                <w:rFonts w:ascii="Arial"/>
                <w:color w:val="auto"/>
                <w:highlight w:val="none"/>
              </w:rPr>
            </w:pPr>
          </w:p>
        </w:tc>
        <w:tc>
          <w:tcPr>
            <w:tcW w:w="1434" w:type="dxa"/>
          </w:tcPr>
          <w:p w14:paraId="3B182FFA">
            <w:pPr>
              <w:rPr>
                <w:rFonts w:ascii="Arial"/>
                <w:color w:val="auto"/>
                <w:highlight w:val="none"/>
              </w:rPr>
            </w:pPr>
          </w:p>
        </w:tc>
        <w:tc>
          <w:tcPr>
            <w:tcW w:w="1850" w:type="dxa"/>
          </w:tcPr>
          <w:p w14:paraId="5A05B2C3">
            <w:pPr>
              <w:rPr>
                <w:rFonts w:ascii="Arial"/>
                <w:color w:val="auto"/>
                <w:highlight w:val="none"/>
              </w:rPr>
            </w:pPr>
          </w:p>
        </w:tc>
        <w:tc>
          <w:tcPr>
            <w:tcW w:w="1245" w:type="dxa"/>
          </w:tcPr>
          <w:p w14:paraId="14692075">
            <w:pPr>
              <w:rPr>
                <w:rFonts w:ascii="Arial"/>
                <w:color w:val="auto"/>
                <w:highlight w:val="none"/>
              </w:rPr>
            </w:pPr>
          </w:p>
        </w:tc>
      </w:tr>
      <w:tr w14:paraId="2589F7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4" w:hRule="atLeast"/>
        </w:trPr>
        <w:tc>
          <w:tcPr>
            <w:tcW w:w="8307" w:type="dxa"/>
            <w:gridSpan w:val="6"/>
          </w:tcPr>
          <w:p w14:paraId="5F50F504">
            <w:pPr>
              <w:pStyle w:val="185"/>
              <w:spacing w:before="196" w:line="220" w:lineRule="auto"/>
              <w:ind w:left="115"/>
              <w:rPr>
                <w:color w:val="auto"/>
                <w:highlight w:val="none"/>
                <w:lang w:eastAsia="zh-CN"/>
              </w:rPr>
            </w:pPr>
            <w:r>
              <w:rPr>
                <w:color w:val="auto"/>
                <w:spacing w:val="-1"/>
                <w:highlight w:val="none"/>
                <w:lang w:eastAsia="zh-CN"/>
              </w:rPr>
              <w:t>评标委员会全体成员签名：</w:t>
            </w:r>
          </w:p>
        </w:tc>
      </w:tr>
    </w:tbl>
    <w:p w14:paraId="7D8A1261">
      <w:pPr>
        <w:spacing w:before="161" w:line="221" w:lineRule="auto"/>
        <w:jc w:val="right"/>
        <w:rPr>
          <w:rFonts w:ascii="宋体" w:hAnsi="宋体" w:cs="宋体"/>
          <w:color w:val="auto"/>
          <w:szCs w:val="21"/>
          <w:highlight w:val="none"/>
        </w:rPr>
      </w:pPr>
      <w:r>
        <w:rPr>
          <w:rFonts w:ascii="宋体" w:hAnsi="宋体" w:cs="宋体"/>
          <w:color w:val="auto"/>
          <w:spacing w:val="-18"/>
          <w:szCs w:val="21"/>
          <w:highlight w:val="none"/>
        </w:rPr>
        <w:t>日期：</w:t>
      </w:r>
      <w:r>
        <w:rPr>
          <w:rFonts w:ascii="宋体" w:hAnsi="宋体" w:cs="宋体"/>
          <w:color w:val="auto"/>
          <w:spacing w:val="-3"/>
          <w:szCs w:val="21"/>
          <w:highlight w:val="none"/>
        </w:rPr>
        <w:t xml:space="preserve">    年     月    日</w:t>
      </w:r>
    </w:p>
    <w:p w14:paraId="4087EFE2">
      <w:pPr>
        <w:spacing w:line="221" w:lineRule="auto"/>
        <w:rPr>
          <w:rFonts w:ascii="宋体" w:hAnsi="宋体" w:cs="宋体"/>
          <w:color w:val="auto"/>
          <w:szCs w:val="21"/>
          <w:highlight w:val="none"/>
        </w:rPr>
        <w:sectPr>
          <w:footerReference r:id="rId41" w:type="default"/>
          <w:pgSz w:w="11907" w:h="16839"/>
          <w:pgMar w:top="400" w:right="1785" w:bottom="1169" w:left="1785" w:header="0" w:footer="938" w:gutter="0"/>
          <w:pgNumType w:fmt="decimal"/>
          <w:cols w:space="720" w:num="1"/>
        </w:sectPr>
      </w:pPr>
    </w:p>
    <w:p w14:paraId="181E6038">
      <w:pPr>
        <w:rPr>
          <w:color w:val="auto"/>
          <w:highlight w:val="none"/>
        </w:rPr>
      </w:pPr>
    </w:p>
    <w:p w14:paraId="4E84D5CE">
      <w:pPr>
        <w:rPr>
          <w:color w:val="auto"/>
          <w:highlight w:val="none"/>
        </w:rPr>
      </w:pPr>
    </w:p>
    <w:p w14:paraId="2A733322">
      <w:pPr>
        <w:spacing w:before="78" w:line="220" w:lineRule="auto"/>
        <w:ind w:left="152"/>
        <w:outlineLvl w:val="2"/>
        <w:rPr>
          <w:rFonts w:ascii="黑体" w:hAnsi="黑体" w:eastAsia="黑体" w:cs="黑体"/>
          <w:color w:val="auto"/>
          <w:spacing w:val="-2"/>
          <w:sz w:val="24"/>
          <w:highlight w:val="none"/>
          <w:lang w:val="en-US" w:eastAsia="zh-CN"/>
        </w:rPr>
      </w:pPr>
      <w:bookmarkStart w:id="315" w:name="_Toc247527634"/>
      <w:bookmarkStart w:id="316" w:name="_Toc16702"/>
      <w:bookmarkStart w:id="317" w:name="_Toc247514033"/>
      <w:bookmarkStart w:id="318" w:name="_Toc144974577"/>
      <w:bookmarkStart w:id="319" w:name="_Toc152045609"/>
      <w:bookmarkStart w:id="320" w:name="_Toc152042387"/>
      <w:r>
        <w:rPr>
          <w:rFonts w:ascii="黑体" w:hAnsi="黑体" w:eastAsia="黑体" w:cs="黑体"/>
          <w:color w:val="auto"/>
          <w:spacing w:val="-2"/>
          <w:sz w:val="24"/>
          <w:highlight w:val="none"/>
          <w:lang w:val="en-US" w:eastAsia="zh-CN"/>
        </w:rPr>
        <w:t>附表 C-1：成本评审结论记录表</w:t>
      </w:r>
    </w:p>
    <w:p w14:paraId="6266225F">
      <w:pPr>
        <w:spacing w:before="117" w:line="220" w:lineRule="auto"/>
        <w:ind w:left="2378"/>
        <w:rPr>
          <w:rFonts w:ascii="黑体" w:hAnsi="黑体" w:eastAsia="黑体" w:cs="黑体"/>
          <w:color w:val="auto"/>
          <w:spacing w:val="-2"/>
          <w:sz w:val="36"/>
          <w:szCs w:val="36"/>
          <w:highlight w:val="none"/>
        </w:rPr>
      </w:pPr>
      <w:r>
        <w:rPr>
          <w:rFonts w:ascii="黑体" w:hAnsi="黑体" w:eastAsia="黑体" w:cs="黑体"/>
          <w:color w:val="auto"/>
          <w:spacing w:val="-2"/>
          <w:sz w:val="36"/>
          <w:szCs w:val="36"/>
          <w:highlight w:val="none"/>
          <w:lang w:val="en-US" w:eastAsia="zh-CN"/>
        </w:rPr>
        <w:t>成本评审结论记录表</w:t>
      </w:r>
    </w:p>
    <w:p w14:paraId="59C1179E">
      <w:pPr>
        <w:keepNext w:val="0"/>
        <w:keepLines w:val="0"/>
        <w:widowControl/>
        <w:suppressLineNumbers w:val="0"/>
        <w:jc w:val="left"/>
        <w:rPr>
          <w:color w:val="auto"/>
          <w:highlight w:val="none"/>
        </w:rPr>
      </w:pPr>
      <w:r>
        <w:rPr>
          <w:rFonts w:hint="eastAsia" w:ascii="宋体" w:hAnsi="宋体" w:eastAsia="宋体" w:cs="宋体"/>
          <w:color w:val="auto"/>
          <w:kern w:val="0"/>
          <w:sz w:val="21"/>
          <w:szCs w:val="21"/>
          <w:highlight w:val="none"/>
          <w:lang w:val="en-US" w:eastAsia="zh-CN" w:bidi="ar"/>
        </w:rPr>
        <w:t>投标人名称：</w:t>
      </w:r>
    </w:p>
    <w:tbl>
      <w:tblPr>
        <w:tblStyle w:val="43"/>
        <w:tblW w:w="8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7088"/>
      </w:tblGrid>
      <w:tr w14:paraId="4A264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3" w:hRule="atLeast"/>
        </w:trPr>
        <w:tc>
          <w:tcPr>
            <w:tcW w:w="8480" w:type="dxa"/>
            <w:gridSpan w:val="2"/>
          </w:tcPr>
          <w:p w14:paraId="183DF5C3">
            <w:pPr>
              <w:keepNext w:val="0"/>
              <w:keepLines w:val="0"/>
              <w:widowControl/>
              <w:suppressLineNumbers w:val="0"/>
              <w:jc w:val="left"/>
              <w:rPr>
                <w:color w:val="auto"/>
                <w:highlight w:val="none"/>
              </w:rPr>
            </w:pPr>
            <w:r>
              <w:rPr>
                <w:rFonts w:hint="eastAsia" w:ascii="宋体" w:hAnsi="宋体" w:eastAsia="宋体" w:cs="宋体"/>
                <w:color w:val="auto"/>
                <w:kern w:val="0"/>
                <w:sz w:val="21"/>
                <w:szCs w:val="21"/>
                <w:highlight w:val="none"/>
                <w:lang w:val="en-US" w:eastAsia="zh-CN" w:bidi="ar"/>
              </w:rPr>
              <w:t>需投标人澄清和说明的主要事项概要：</w:t>
            </w:r>
          </w:p>
          <w:p w14:paraId="73503005">
            <w:pPr>
              <w:keepNext w:val="0"/>
              <w:keepLines w:val="0"/>
              <w:widowControl/>
              <w:suppressLineNumbers w:val="0"/>
              <w:jc w:val="left"/>
              <w:rPr>
                <w:rFonts w:ascii="黑体" w:hAnsi="宋体" w:eastAsia="黑体" w:cs="黑体"/>
                <w:color w:val="auto"/>
                <w:kern w:val="0"/>
                <w:sz w:val="24"/>
                <w:szCs w:val="24"/>
                <w:highlight w:val="none"/>
                <w:vertAlign w:val="baseline"/>
                <w:lang w:val="en-US" w:eastAsia="zh-CN" w:bidi="ar"/>
              </w:rPr>
            </w:pPr>
          </w:p>
        </w:tc>
      </w:tr>
      <w:tr w14:paraId="7AC91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3" w:hRule="atLeast"/>
        </w:trPr>
        <w:tc>
          <w:tcPr>
            <w:tcW w:w="8480" w:type="dxa"/>
            <w:gridSpan w:val="2"/>
          </w:tcPr>
          <w:p w14:paraId="408B9883">
            <w:pPr>
              <w:keepNext w:val="0"/>
              <w:keepLines w:val="0"/>
              <w:widowControl/>
              <w:suppressLineNumbers w:val="0"/>
              <w:jc w:val="left"/>
              <w:rPr>
                <w:color w:val="auto"/>
                <w:highlight w:val="none"/>
              </w:rPr>
            </w:pPr>
            <w:r>
              <w:rPr>
                <w:rFonts w:hint="eastAsia" w:ascii="宋体" w:hAnsi="宋体" w:eastAsia="宋体" w:cs="宋体"/>
                <w:color w:val="auto"/>
                <w:kern w:val="0"/>
                <w:sz w:val="21"/>
                <w:szCs w:val="21"/>
                <w:highlight w:val="none"/>
                <w:lang w:val="en-US" w:eastAsia="zh-CN" w:bidi="ar"/>
              </w:rPr>
              <w:t>投标人澄清、说明、补正和提供证明材料的情况说明：</w:t>
            </w:r>
          </w:p>
          <w:p w14:paraId="7FBF0368">
            <w:pPr>
              <w:keepNext w:val="0"/>
              <w:keepLines w:val="0"/>
              <w:widowControl/>
              <w:suppressLineNumbers w:val="0"/>
              <w:jc w:val="left"/>
              <w:rPr>
                <w:rFonts w:ascii="黑体" w:hAnsi="宋体" w:eastAsia="黑体" w:cs="黑体"/>
                <w:color w:val="auto"/>
                <w:kern w:val="0"/>
                <w:sz w:val="24"/>
                <w:szCs w:val="24"/>
                <w:highlight w:val="none"/>
                <w:vertAlign w:val="baseline"/>
                <w:lang w:val="en-US" w:eastAsia="zh-CN" w:bidi="ar"/>
              </w:rPr>
            </w:pPr>
          </w:p>
        </w:tc>
      </w:tr>
      <w:tr w14:paraId="1B92B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trPr>
        <w:tc>
          <w:tcPr>
            <w:tcW w:w="1392" w:type="dxa"/>
            <w:vAlign w:val="center"/>
          </w:tcPr>
          <w:p w14:paraId="6F2A8F13">
            <w:pPr>
              <w:keepNext w:val="0"/>
              <w:keepLines w:val="0"/>
              <w:widowControl/>
              <w:suppressLineNumbers w:val="0"/>
              <w:jc w:val="both"/>
              <w:rPr>
                <w:rFonts w:ascii="黑体" w:hAnsi="宋体" w:eastAsia="黑体" w:cs="黑体"/>
                <w:color w:val="auto"/>
                <w:kern w:val="0"/>
                <w:sz w:val="24"/>
                <w:szCs w:val="24"/>
                <w:highlight w:val="none"/>
                <w:vertAlign w:val="baseline"/>
                <w:lang w:val="en-US" w:eastAsia="zh-CN" w:bidi="ar"/>
              </w:rPr>
            </w:pPr>
            <w:r>
              <w:rPr>
                <w:rFonts w:hint="eastAsia" w:ascii="宋体" w:hAnsi="宋体" w:eastAsia="宋体" w:cs="宋体"/>
                <w:color w:val="auto"/>
                <w:kern w:val="0"/>
                <w:sz w:val="21"/>
                <w:szCs w:val="21"/>
                <w:highlight w:val="none"/>
                <w:lang w:val="en-US" w:eastAsia="zh-CN" w:bidi="ar"/>
              </w:rPr>
              <w:t>评审结论</w:t>
            </w:r>
          </w:p>
        </w:tc>
        <w:tc>
          <w:tcPr>
            <w:tcW w:w="7088" w:type="dxa"/>
            <w:vAlign w:val="center"/>
          </w:tcPr>
          <w:p w14:paraId="0F5A5DE2">
            <w:pPr>
              <w:keepNext w:val="0"/>
              <w:keepLines w:val="0"/>
              <w:widowControl/>
              <w:suppressLineNumbers w:val="0"/>
              <w:jc w:val="both"/>
              <w:rPr>
                <w:rFonts w:ascii="黑体" w:hAnsi="宋体" w:eastAsia="黑体" w:cs="黑体"/>
                <w:color w:val="auto"/>
                <w:kern w:val="0"/>
                <w:sz w:val="24"/>
                <w:szCs w:val="24"/>
                <w:highlight w:val="none"/>
                <w:vertAlign w:val="baseline"/>
                <w:lang w:val="en-US" w:eastAsia="zh-CN" w:bidi="ar"/>
              </w:rPr>
            </w:pPr>
            <w:r>
              <w:rPr>
                <w:rFonts w:hint="eastAsia" w:ascii="宋体" w:hAnsi="宋体" w:eastAsia="宋体" w:cs="宋体"/>
                <w:color w:val="auto"/>
                <w:kern w:val="0"/>
                <w:sz w:val="21"/>
                <w:szCs w:val="21"/>
                <w:highlight w:val="none"/>
                <w:lang w:val="en-US" w:eastAsia="zh-CN" w:bidi="ar"/>
              </w:rPr>
              <w:t>□低于成本 □不低于成本</w:t>
            </w:r>
          </w:p>
        </w:tc>
      </w:tr>
      <w:tr w14:paraId="46031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1" w:hRule="atLeast"/>
        </w:trPr>
        <w:tc>
          <w:tcPr>
            <w:tcW w:w="1392" w:type="dxa"/>
          </w:tcPr>
          <w:p w14:paraId="04C090C0">
            <w:pPr>
              <w:keepNext w:val="0"/>
              <w:keepLines w:val="0"/>
              <w:widowControl/>
              <w:suppressLineNumbers w:val="0"/>
              <w:jc w:val="left"/>
              <w:rPr>
                <w:color w:val="auto"/>
                <w:highlight w:val="none"/>
              </w:rPr>
            </w:pPr>
            <w:r>
              <w:rPr>
                <w:rFonts w:hint="eastAsia" w:ascii="宋体" w:hAnsi="宋体" w:eastAsia="宋体" w:cs="宋体"/>
                <w:color w:val="auto"/>
                <w:kern w:val="0"/>
                <w:sz w:val="21"/>
                <w:szCs w:val="21"/>
                <w:highlight w:val="none"/>
                <w:lang w:val="en-US" w:eastAsia="zh-CN" w:bidi="ar"/>
              </w:rPr>
              <w:t xml:space="preserve">评 </w:t>
            </w:r>
          </w:p>
          <w:p w14:paraId="1ED14AEE">
            <w:pPr>
              <w:keepNext w:val="0"/>
              <w:keepLines w:val="0"/>
              <w:widowControl/>
              <w:suppressLineNumbers w:val="0"/>
              <w:jc w:val="left"/>
              <w:rPr>
                <w:color w:val="auto"/>
                <w:highlight w:val="none"/>
              </w:rPr>
            </w:pPr>
            <w:r>
              <w:rPr>
                <w:rFonts w:hint="eastAsia" w:ascii="宋体" w:hAnsi="宋体" w:eastAsia="宋体" w:cs="宋体"/>
                <w:color w:val="auto"/>
                <w:kern w:val="0"/>
                <w:sz w:val="21"/>
                <w:szCs w:val="21"/>
                <w:highlight w:val="none"/>
                <w:lang w:val="en-US" w:eastAsia="zh-CN" w:bidi="ar"/>
              </w:rPr>
              <w:t xml:space="preserve">审 </w:t>
            </w:r>
          </w:p>
          <w:p w14:paraId="1DF5312F">
            <w:pPr>
              <w:keepNext w:val="0"/>
              <w:keepLines w:val="0"/>
              <w:widowControl/>
              <w:suppressLineNumbers w:val="0"/>
              <w:jc w:val="left"/>
              <w:rPr>
                <w:color w:val="auto"/>
                <w:highlight w:val="none"/>
              </w:rPr>
            </w:pPr>
            <w:r>
              <w:rPr>
                <w:rFonts w:hint="eastAsia" w:ascii="宋体" w:hAnsi="宋体" w:eastAsia="宋体" w:cs="宋体"/>
                <w:color w:val="auto"/>
                <w:kern w:val="0"/>
                <w:sz w:val="21"/>
                <w:szCs w:val="21"/>
                <w:highlight w:val="none"/>
                <w:lang w:val="en-US" w:eastAsia="zh-CN" w:bidi="ar"/>
              </w:rPr>
              <w:t xml:space="preserve">意 </w:t>
            </w:r>
          </w:p>
          <w:p w14:paraId="0033519C">
            <w:pPr>
              <w:keepNext w:val="0"/>
              <w:keepLines w:val="0"/>
              <w:widowControl/>
              <w:suppressLineNumbers w:val="0"/>
              <w:jc w:val="left"/>
              <w:rPr>
                <w:color w:val="auto"/>
                <w:highlight w:val="none"/>
              </w:rPr>
            </w:pPr>
            <w:r>
              <w:rPr>
                <w:rFonts w:hint="eastAsia" w:ascii="宋体" w:hAnsi="宋体" w:eastAsia="宋体" w:cs="宋体"/>
                <w:color w:val="auto"/>
                <w:kern w:val="0"/>
                <w:sz w:val="21"/>
                <w:szCs w:val="21"/>
                <w:highlight w:val="none"/>
                <w:lang w:val="en-US" w:eastAsia="zh-CN" w:bidi="ar"/>
              </w:rPr>
              <w:t xml:space="preserve">见 </w:t>
            </w:r>
          </w:p>
          <w:p w14:paraId="28CBF1B7">
            <w:pPr>
              <w:keepNext w:val="0"/>
              <w:keepLines w:val="0"/>
              <w:widowControl/>
              <w:suppressLineNumbers w:val="0"/>
              <w:jc w:val="left"/>
              <w:rPr>
                <w:color w:val="auto"/>
                <w:highlight w:val="none"/>
              </w:rPr>
            </w:pPr>
            <w:r>
              <w:rPr>
                <w:rFonts w:hint="eastAsia" w:ascii="宋体" w:hAnsi="宋体" w:eastAsia="宋体" w:cs="宋体"/>
                <w:color w:val="auto"/>
                <w:kern w:val="0"/>
                <w:sz w:val="21"/>
                <w:szCs w:val="21"/>
                <w:highlight w:val="none"/>
                <w:lang w:val="en-US" w:eastAsia="zh-CN" w:bidi="ar"/>
              </w:rPr>
              <w:t xml:space="preserve">概 </w:t>
            </w:r>
          </w:p>
          <w:p w14:paraId="4E9B1F06">
            <w:pPr>
              <w:keepNext w:val="0"/>
              <w:keepLines w:val="0"/>
              <w:widowControl/>
              <w:suppressLineNumbers w:val="0"/>
              <w:jc w:val="left"/>
              <w:rPr>
                <w:color w:val="auto"/>
                <w:highlight w:val="none"/>
              </w:rPr>
            </w:pPr>
            <w:r>
              <w:rPr>
                <w:rFonts w:hint="eastAsia" w:ascii="宋体" w:hAnsi="宋体" w:eastAsia="宋体" w:cs="宋体"/>
                <w:color w:val="auto"/>
                <w:kern w:val="0"/>
                <w:sz w:val="21"/>
                <w:szCs w:val="21"/>
                <w:highlight w:val="none"/>
                <w:lang w:val="en-US" w:eastAsia="zh-CN" w:bidi="ar"/>
              </w:rPr>
              <w:t>要</w:t>
            </w:r>
          </w:p>
          <w:p w14:paraId="7A98E018">
            <w:pPr>
              <w:keepNext w:val="0"/>
              <w:keepLines w:val="0"/>
              <w:widowControl/>
              <w:suppressLineNumbers w:val="0"/>
              <w:jc w:val="left"/>
              <w:rPr>
                <w:rFonts w:ascii="黑体" w:hAnsi="宋体" w:eastAsia="黑体" w:cs="黑体"/>
                <w:color w:val="auto"/>
                <w:kern w:val="0"/>
                <w:sz w:val="24"/>
                <w:szCs w:val="24"/>
                <w:highlight w:val="none"/>
                <w:vertAlign w:val="baseline"/>
                <w:lang w:val="en-US" w:eastAsia="zh-CN" w:bidi="ar"/>
              </w:rPr>
            </w:pPr>
          </w:p>
        </w:tc>
        <w:tc>
          <w:tcPr>
            <w:tcW w:w="7088" w:type="dxa"/>
          </w:tcPr>
          <w:p w14:paraId="163A7257">
            <w:pPr>
              <w:keepNext w:val="0"/>
              <w:keepLines w:val="0"/>
              <w:widowControl/>
              <w:suppressLineNumbers w:val="0"/>
              <w:jc w:val="left"/>
              <w:rPr>
                <w:rFonts w:ascii="黑体" w:hAnsi="宋体" w:eastAsia="黑体" w:cs="黑体"/>
                <w:color w:val="auto"/>
                <w:kern w:val="0"/>
                <w:sz w:val="24"/>
                <w:szCs w:val="24"/>
                <w:highlight w:val="none"/>
                <w:vertAlign w:val="baseline"/>
                <w:lang w:val="en-US" w:eastAsia="zh-CN" w:bidi="ar"/>
              </w:rPr>
            </w:pPr>
          </w:p>
        </w:tc>
      </w:tr>
      <w:tr w14:paraId="5CC92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2" w:hRule="atLeast"/>
        </w:trPr>
        <w:tc>
          <w:tcPr>
            <w:tcW w:w="1392" w:type="dxa"/>
          </w:tcPr>
          <w:p w14:paraId="7D065FA2">
            <w:pPr>
              <w:keepNext w:val="0"/>
              <w:keepLines w:val="0"/>
              <w:widowControl/>
              <w:suppressLineNumbers w:val="0"/>
              <w:jc w:val="left"/>
              <w:rPr>
                <w:color w:val="auto"/>
                <w:highlight w:val="none"/>
              </w:rPr>
            </w:pPr>
            <w:r>
              <w:rPr>
                <w:rFonts w:hint="eastAsia" w:ascii="宋体" w:hAnsi="宋体" w:eastAsia="宋体" w:cs="宋体"/>
                <w:color w:val="auto"/>
                <w:kern w:val="0"/>
                <w:sz w:val="21"/>
                <w:szCs w:val="21"/>
                <w:highlight w:val="none"/>
                <w:lang w:val="en-US" w:eastAsia="zh-CN" w:bidi="ar"/>
              </w:rPr>
              <w:t xml:space="preserve">评 </w:t>
            </w:r>
          </w:p>
          <w:p w14:paraId="1F0809B9">
            <w:pPr>
              <w:keepNext w:val="0"/>
              <w:keepLines w:val="0"/>
              <w:widowControl/>
              <w:suppressLineNumbers w:val="0"/>
              <w:jc w:val="left"/>
              <w:rPr>
                <w:color w:val="auto"/>
                <w:highlight w:val="none"/>
              </w:rPr>
            </w:pPr>
            <w:r>
              <w:rPr>
                <w:rFonts w:hint="eastAsia" w:ascii="宋体" w:hAnsi="宋体" w:eastAsia="宋体" w:cs="宋体"/>
                <w:color w:val="auto"/>
                <w:kern w:val="0"/>
                <w:sz w:val="21"/>
                <w:szCs w:val="21"/>
                <w:highlight w:val="none"/>
                <w:lang w:val="en-US" w:eastAsia="zh-CN" w:bidi="ar"/>
              </w:rPr>
              <w:t xml:space="preserve">标 </w:t>
            </w:r>
          </w:p>
          <w:p w14:paraId="5C011B4D">
            <w:pPr>
              <w:keepNext w:val="0"/>
              <w:keepLines w:val="0"/>
              <w:widowControl/>
              <w:suppressLineNumbers w:val="0"/>
              <w:jc w:val="left"/>
              <w:rPr>
                <w:color w:val="auto"/>
                <w:highlight w:val="none"/>
              </w:rPr>
            </w:pPr>
            <w:r>
              <w:rPr>
                <w:rFonts w:hint="eastAsia" w:ascii="宋体" w:hAnsi="宋体" w:eastAsia="宋体" w:cs="宋体"/>
                <w:color w:val="auto"/>
                <w:kern w:val="0"/>
                <w:sz w:val="21"/>
                <w:szCs w:val="21"/>
                <w:highlight w:val="none"/>
                <w:lang w:val="en-US" w:eastAsia="zh-CN" w:bidi="ar"/>
              </w:rPr>
              <w:t xml:space="preserve">委 </w:t>
            </w:r>
          </w:p>
          <w:p w14:paraId="79FD8003">
            <w:pPr>
              <w:keepNext w:val="0"/>
              <w:keepLines w:val="0"/>
              <w:widowControl/>
              <w:suppressLineNumbers w:val="0"/>
              <w:jc w:val="left"/>
              <w:rPr>
                <w:color w:val="auto"/>
                <w:highlight w:val="none"/>
              </w:rPr>
            </w:pPr>
            <w:r>
              <w:rPr>
                <w:rFonts w:hint="eastAsia" w:ascii="宋体" w:hAnsi="宋体" w:eastAsia="宋体" w:cs="宋体"/>
                <w:color w:val="auto"/>
                <w:kern w:val="0"/>
                <w:sz w:val="21"/>
                <w:szCs w:val="21"/>
                <w:highlight w:val="none"/>
                <w:lang w:val="en-US" w:eastAsia="zh-CN" w:bidi="ar"/>
              </w:rPr>
              <w:t xml:space="preserve">员 </w:t>
            </w:r>
          </w:p>
          <w:p w14:paraId="579BBF22">
            <w:pPr>
              <w:keepNext w:val="0"/>
              <w:keepLines w:val="0"/>
              <w:widowControl/>
              <w:suppressLineNumbers w:val="0"/>
              <w:jc w:val="left"/>
              <w:rPr>
                <w:color w:val="auto"/>
                <w:highlight w:val="none"/>
              </w:rPr>
            </w:pPr>
            <w:r>
              <w:rPr>
                <w:rFonts w:hint="eastAsia" w:ascii="宋体" w:hAnsi="宋体" w:eastAsia="宋体" w:cs="宋体"/>
                <w:color w:val="auto"/>
                <w:kern w:val="0"/>
                <w:sz w:val="21"/>
                <w:szCs w:val="21"/>
                <w:highlight w:val="none"/>
                <w:lang w:val="en-US" w:eastAsia="zh-CN" w:bidi="ar"/>
              </w:rPr>
              <w:t xml:space="preserve">会 </w:t>
            </w:r>
          </w:p>
          <w:p w14:paraId="010BF33B">
            <w:pPr>
              <w:keepNext w:val="0"/>
              <w:keepLines w:val="0"/>
              <w:widowControl/>
              <w:suppressLineNumbers w:val="0"/>
              <w:jc w:val="left"/>
              <w:rPr>
                <w:color w:val="auto"/>
                <w:highlight w:val="none"/>
              </w:rPr>
            </w:pPr>
            <w:r>
              <w:rPr>
                <w:rFonts w:hint="eastAsia" w:ascii="宋体" w:hAnsi="宋体" w:eastAsia="宋体" w:cs="宋体"/>
                <w:color w:val="auto"/>
                <w:kern w:val="0"/>
                <w:sz w:val="21"/>
                <w:szCs w:val="21"/>
                <w:highlight w:val="none"/>
                <w:lang w:val="en-US" w:eastAsia="zh-CN" w:bidi="ar"/>
              </w:rPr>
              <w:t xml:space="preserve">全 </w:t>
            </w:r>
          </w:p>
          <w:p w14:paraId="64918FE2">
            <w:pPr>
              <w:keepNext w:val="0"/>
              <w:keepLines w:val="0"/>
              <w:widowControl/>
              <w:suppressLineNumbers w:val="0"/>
              <w:jc w:val="left"/>
              <w:rPr>
                <w:color w:val="auto"/>
                <w:highlight w:val="none"/>
              </w:rPr>
            </w:pPr>
            <w:r>
              <w:rPr>
                <w:rFonts w:hint="eastAsia" w:ascii="宋体" w:hAnsi="宋体" w:eastAsia="宋体" w:cs="宋体"/>
                <w:color w:val="auto"/>
                <w:kern w:val="0"/>
                <w:sz w:val="21"/>
                <w:szCs w:val="21"/>
                <w:highlight w:val="none"/>
                <w:lang w:val="en-US" w:eastAsia="zh-CN" w:bidi="ar"/>
              </w:rPr>
              <w:t xml:space="preserve">体 </w:t>
            </w:r>
          </w:p>
          <w:p w14:paraId="385451AD">
            <w:pPr>
              <w:keepNext w:val="0"/>
              <w:keepLines w:val="0"/>
              <w:widowControl/>
              <w:suppressLineNumbers w:val="0"/>
              <w:jc w:val="left"/>
              <w:rPr>
                <w:color w:val="auto"/>
                <w:highlight w:val="none"/>
              </w:rPr>
            </w:pPr>
            <w:r>
              <w:rPr>
                <w:rFonts w:hint="eastAsia" w:ascii="宋体" w:hAnsi="宋体" w:eastAsia="宋体" w:cs="宋体"/>
                <w:color w:val="auto"/>
                <w:kern w:val="0"/>
                <w:sz w:val="21"/>
                <w:szCs w:val="21"/>
                <w:highlight w:val="none"/>
                <w:lang w:val="en-US" w:eastAsia="zh-CN" w:bidi="ar"/>
              </w:rPr>
              <w:t xml:space="preserve">成 </w:t>
            </w:r>
          </w:p>
          <w:p w14:paraId="20DCF029">
            <w:pPr>
              <w:keepNext w:val="0"/>
              <w:keepLines w:val="0"/>
              <w:widowControl/>
              <w:suppressLineNumbers w:val="0"/>
              <w:jc w:val="left"/>
              <w:rPr>
                <w:color w:val="auto"/>
                <w:highlight w:val="none"/>
              </w:rPr>
            </w:pPr>
            <w:r>
              <w:rPr>
                <w:rFonts w:hint="eastAsia" w:ascii="宋体" w:hAnsi="宋体" w:eastAsia="宋体" w:cs="宋体"/>
                <w:color w:val="auto"/>
                <w:kern w:val="0"/>
                <w:sz w:val="21"/>
                <w:szCs w:val="21"/>
                <w:highlight w:val="none"/>
                <w:lang w:val="en-US" w:eastAsia="zh-CN" w:bidi="ar"/>
              </w:rPr>
              <w:t xml:space="preserve">员 </w:t>
            </w:r>
          </w:p>
          <w:p w14:paraId="2EC4FABB">
            <w:pPr>
              <w:keepNext w:val="0"/>
              <w:keepLines w:val="0"/>
              <w:widowControl/>
              <w:suppressLineNumbers w:val="0"/>
              <w:jc w:val="left"/>
              <w:rPr>
                <w:color w:val="auto"/>
                <w:highlight w:val="none"/>
              </w:rPr>
            </w:pPr>
            <w:r>
              <w:rPr>
                <w:rFonts w:hint="eastAsia" w:ascii="宋体" w:hAnsi="宋体" w:eastAsia="宋体" w:cs="宋体"/>
                <w:color w:val="auto"/>
                <w:kern w:val="0"/>
                <w:sz w:val="21"/>
                <w:szCs w:val="21"/>
                <w:highlight w:val="none"/>
                <w:lang w:val="en-US" w:eastAsia="zh-CN" w:bidi="ar"/>
              </w:rPr>
              <w:t xml:space="preserve">签 </w:t>
            </w:r>
          </w:p>
          <w:p w14:paraId="69E18259">
            <w:pPr>
              <w:keepNext w:val="0"/>
              <w:keepLines w:val="0"/>
              <w:widowControl/>
              <w:suppressLineNumbers w:val="0"/>
              <w:jc w:val="left"/>
              <w:rPr>
                <w:color w:val="auto"/>
                <w:highlight w:val="none"/>
              </w:rPr>
            </w:pPr>
            <w:r>
              <w:rPr>
                <w:rFonts w:hint="eastAsia" w:ascii="宋体" w:hAnsi="宋体" w:eastAsia="宋体" w:cs="宋体"/>
                <w:color w:val="auto"/>
                <w:kern w:val="0"/>
                <w:sz w:val="21"/>
                <w:szCs w:val="21"/>
                <w:highlight w:val="none"/>
                <w:lang w:val="en-US" w:eastAsia="zh-CN" w:bidi="ar"/>
              </w:rPr>
              <w:t>名</w:t>
            </w:r>
          </w:p>
          <w:p w14:paraId="67D9D8D6">
            <w:pPr>
              <w:keepNext w:val="0"/>
              <w:keepLines w:val="0"/>
              <w:widowControl/>
              <w:suppressLineNumbers w:val="0"/>
              <w:jc w:val="left"/>
              <w:rPr>
                <w:rFonts w:ascii="黑体" w:hAnsi="宋体" w:eastAsia="黑体" w:cs="黑体"/>
                <w:color w:val="auto"/>
                <w:kern w:val="0"/>
                <w:sz w:val="24"/>
                <w:szCs w:val="24"/>
                <w:highlight w:val="none"/>
                <w:vertAlign w:val="baseline"/>
                <w:lang w:val="en-US" w:eastAsia="zh-CN" w:bidi="ar"/>
              </w:rPr>
            </w:pPr>
          </w:p>
        </w:tc>
        <w:tc>
          <w:tcPr>
            <w:tcW w:w="7088" w:type="dxa"/>
          </w:tcPr>
          <w:p w14:paraId="620E0117">
            <w:pPr>
              <w:keepNext w:val="0"/>
              <w:keepLines w:val="0"/>
              <w:widowControl/>
              <w:suppressLineNumbers w:val="0"/>
              <w:jc w:val="left"/>
              <w:rPr>
                <w:rFonts w:hint="eastAsia" w:ascii="宋体" w:hAnsi="宋体" w:eastAsia="宋体" w:cs="宋体"/>
                <w:color w:val="auto"/>
                <w:kern w:val="0"/>
                <w:sz w:val="21"/>
                <w:szCs w:val="21"/>
                <w:highlight w:val="none"/>
                <w:lang w:val="en-US" w:eastAsia="zh-CN" w:bidi="ar"/>
              </w:rPr>
            </w:pPr>
          </w:p>
          <w:p w14:paraId="0E6BE163">
            <w:pPr>
              <w:keepNext w:val="0"/>
              <w:keepLines w:val="0"/>
              <w:widowControl/>
              <w:suppressLineNumbers w:val="0"/>
              <w:jc w:val="left"/>
              <w:rPr>
                <w:rFonts w:hint="eastAsia" w:ascii="宋体" w:hAnsi="宋体" w:eastAsia="宋体" w:cs="宋体"/>
                <w:color w:val="auto"/>
                <w:kern w:val="0"/>
                <w:sz w:val="21"/>
                <w:szCs w:val="21"/>
                <w:highlight w:val="none"/>
                <w:lang w:val="en-US" w:eastAsia="zh-CN" w:bidi="ar"/>
              </w:rPr>
            </w:pPr>
          </w:p>
          <w:p w14:paraId="4A18C7BD">
            <w:pPr>
              <w:keepNext w:val="0"/>
              <w:keepLines w:val="0"/>
              <w:widowControl/>
              <w:suppressLineNumbers w:val="0"/>
              <w:jc w:val="left"/>
              <w:rPr>
                <w:rFonts w:hint="eastAsia" w:ascii="宋体" w:hAnsi="宋体" w:eastAsia="宋体" w:cs="宋体"/>
                <w:color w:val="auto"/>
                <w:kern w:val="0"/>
                <w:sz w:val="21"/>
                <w:szCs w:val="21"/>
                <w:highlight w:val="none"/>
                <w:lang w:val="en-US" w:eastAsia="zh-CN" w:bidi="ar"/>
              </w:rPr>
            </w:pPr>
          </w:p>
          <w:p w14:paraId="4BC41BE3">
            <w:pPr>
              <w:keepNext w:val="0"/>
              <w:keepLines w:val="0"/>
              <w:widowControl/>
              <w:suppressLineNumbers w:val="0"/>
              <w:jc w:val="left"/>
              <w:rPr>
                <w:rFonts w:hint="eastAsia" w:ascii="宋体" w:hAnsi="宋体" w:eastAsia="宋体" w:cs="宋体"/>
                <w:color w:val="auto"/>
                <w:kern w:val="0"/>
                <w:sz w:val="21"/>
                <w:szCs w:val="21"/>
                <w:highlight w:val="none"/>
                <w:lang w:val="en-US" w:eastAsia="zh-CN" w:bidi="ar"/>
              </w:rPr>
            </w:pPr>
          </w:p>
          <w:p w14:paraId="4600E3E9">
            <w:pPr>
              <w:keepNext w:val="0"/>
              <w:keepLines w:val="0"/>
              <w:widowControl/>
              <w:suppressLineNumbers w:val="0"/>
              <w:jc w:val="left"/>
              <w:rPr>
                <w:rFonts w:hint="eastAsia" w:ascii="宋体" w:hAnsi="宋体" w:eastAsia="宋体" w:cs="宋体"/>
                <w:color w:val="auto"/>
                <w:kern w:val="0"/>
                <w:sz w:val="21"/>
                <w:szCs w:val="21"/>
                <w:highlight w:val="none"/>
                <w:lang w:val="en-US" w:eastAsia="zh-CN" w:bidi="ar"/>
              </w:rPr>
            </w:pPr>
          </w:p>
          <w:p w14:paraId="1D14BF3C">
            <w:pPr>
              <w:keepNext w:val="0"/>
              <w:keepLines w:val="0"/>
              <w:widowControl/>
              <w:suppressLineNumbers w:val="0"/>
              <w:jc w:val="left"/>
              <w:rPr>
                <w:rFonts w:hint="eastAsia" w:ascii="宋体" w:hAnsi="宋体" w:eastAsia="宋体" w:cs="宋体"/>
                <w:color w:val="auto"/>
                <w:kern w:val="0"/>
                <w:sz w:val="21"/>
                <w:szCs w:val="21"/>
                <w:highlight w:val="none"/>
                <w:lang w:val="en-US" w:eastAsia="zh-CN" w:bidi="ar"/>
              </w:rPr>
            </w:pPr>
          </w:p>
          <w:p w14:paraId="4AF0DCD4">
            <w:pPr>
              <w:keepNext w:val="0"/>
              <w:keepLines w:val="0"/>
              <w:widowControl/>
              <w:suppressLineNumbers w:val="0"/>
              <w:jc w:val="left"/>
              <w:rPr>
                <w:rFonts w:hint="eastAsia" w:ascii="宋体" w:hAnsi="宋体" w:eastAsia="宋体" w:cs="宋体"/>
                <w:color w:val="auto"/>
                <w:kern w:val="0"/>
                <w:sz w:val="21"/>
                <w:szCs w:val="21"/>
                <w:highlight w:val="none"/>
                <w:lang w:val="en-US" w:eastAsia="zh-CN" w:bidi="ar"/>
              </w:rPr>
            </w:pPr>
          </w:p>
          <w:p w14:paraId="1C693D0A">
            <w:pPr>
              <w:keepNext w:val="0"/>
              <w:keepLines w:val="0"/>
              <w:widowControl/>
              <w:suppressLineNumbers w:val="0"/>
              <w:jc w:val="left"/>
              <w:rPr>
                <w:rFonts w:hint="eastAsia" w:ascii="宋体" w:hAnsi="宋体" w:eastAsia="宋体" w:cs="宋体"/>
                <w:color w:val="auto"/>
                <w:kern w:val="0"/>
                <w:sz w:val="21"/>
                <w:szCs w:val="21"/>
                <w:highlight w:val="none"/>
                <w:lang w:val="en-US" w:eastAsia="zh-CN" w:bidi="ar"/>
              </w:rPr>
            </w:pPr>
          </w:p>
          <w:p w14:paraId="17026708">
            <w:pPr>
              <w:keepNext w:val="0"/>
              <w:keepLines w:val="0"/>
              <w:widowControl/>
              <w:suppressLineNumbers w:val="0"/>
              <w:jc w:val="left"/>
              <w:rPr>
                <w:rFonts w:hint="eastAsia" w:ascii="宋体" w:hAnsi="宋体" w:eastAsia="宋体" w:cs="宋体"/>
                <w:color w:val="auto"/>
                <w:kern w:val="0"/>
                <w:sz w:val="21"/>
                <w:szCs w:val="21"/>
                <w:highlight w:val="none"/>
                <w:lang w:val="en-US" w:eastAsia="zh-CN" w:bidi="ar"/>
              </w:rPr>
            </w:pPr>
          </w:p>
          <w:p w14:paraId="39C059A8">
            <w:pPr>
              <w:keepNext w:val="0"/>
              <w:keepLines w:val="0"/>
              <w:widowControl/>
              <w:suppressLineNumbers w:val="0"/>
              <w:jc w:val="left"/>
              <w:rPr>
                <w:rFonts w:hint="eastAsia" w:ascii="宋体" w:hAnsi="宋体" w:eastAsia="宋体" w:cs="宋体"/>
                <w:color w:val="auto"/>
                <w:kern w:val="0"/>
                <w:sz w:val="21"/>
                <w:szCs w:val="21"/>
                <w:highlight w:val="none"/>
                <w:lang w:val="en-US" w:eastAsia="zh-CN" w:bidi="ar"/>
              </w:rPr>
            </w:pPr>
          </w:p>
          <w:p w14:paraId="15806497">
            <w:pPr>
              <w:keepNext w:val="0"/>
              <w:keepLines w:val="0"/>
              <w:widowControl/>
              <w:suppressLineNumbers w:val="0"/>
              <w:jc w:val="left"/>
              <w:rPr>
                <w:rFonts w:hint="eastAsia" w:ascii="宋体" w:hAnsi="宋体" w:eastAsia="宋体" w:cs="宋体"/>
                <w:color w:val="auto"/>
                <w:kern w:val="0"/>
                <w:sz w:val="21"/>
                <w:szCs w:val="21"/>
                <w:highlight w:val="none"/>
                <w:lang w:val="en-US" w:eastAsia="zh-CN" w:bidi="ar"/>
              </w:rPr>
            </w:pPr>
          </w:p>
          <w:p w14:paraId="2C82FEAC">
            <w:pPr>
              <w:keepNext w:val="0"/>
              <w:keepLines w:val="0"/>
              <w:widowControl/>
              <w:suppressLineNumbers w:val="0"/>
              <w:ind w:firstLine="5040" w:firstLineChars="2400"/>
              <w:jc w:val="left"/>
              <w:rPr>
                <w:color w:val="auto"/>
                <w:highlight w:val="none"/>
              </w:rPr>
            </w:pPr>
            <w:r>
              <w:rPr>
                <w:rFonts w:hint="eastAsia" w:ascii="宋体" w:hAnsi="宋体" w:eastAsia="宋体" w:cs="宋体"/>
                <w:color w:val="auto"/>
                <w:kern w:val="0"/>
                <w:sz w:val="21"/>
                <w:szCs w:val="21"/>
                <w:highlight w:val="none"/>
                <w:lang w:val="en-US" w:eastAsia="zh-CN" w:bidi="ar"/>
              </w:rPr>
              <w:t>年   月   日</w:t>
            </w:r>
          </w:p>
          <w:p w14:paraId="3FB011C3">
            <w:pPr>
              <w:keepNext w:val="0"/>
              <w:keepLines w:val="0"/>
              <w:widowControl/>
              <w:suppressLineNumbers w:val="0"/>
              <w:jc w:val="left"/>
              <w:rPr>
                <w:rFonts w:ascii="黑体" w:hAnsi="宋体" w:eastAsia="黑体" w:cs="黑体"/>
                <w:color w:val="auto"/>
                <w:kern w:val="0"/>
                <w:sz w:val="24"/>
                <w:szCs w:val="24"/>
                <w:highlight w:val="none"/>
                <w:vertAlign w:val="baseline"/>
                <w:lang w:val="en-US" w:eastAsia="zh-CN" w:bidi="ar"/>
              </w:rPr>
            </w:pPr>
          </w:p>
        </w:tc>
      </w:tr>
    </w:tbl>
    <w:p w14:paraId="55C0439A">
      <w:pPr>
        <w:keepNext w:val="0"/>
        <w:keepLines w:val="0"/>
        <w:widowControl/>
        <w:suppressLineNumbers w:val="0"/>
        <w:jc w:val="left"/>
        <w:rPr>
          <w:rFonts w:ascii="黑体" w:hAnsi="宋体" w:eastAsia="黑体" w:cs="黑体"/>
          <w:color w:val="auto"/>
          <w:kern w:val="0"/>
          <w:sz w:val="24"/>
          <w:szCs w:val="24"/>
          <w:highlight w:val="none"/>
          <w:lang w:val="en-US" w:eastAsia="zh-CN" w:bidi="ar"/>
        </w:rPr>
      </w:pPr>
    </w:p>
    <w:p w14:paraId="19E3E367">
      <w:pPr>
        <w:keepNext w:val="0"/>
        <w:keepLines w:val="0"/>
        <w:widowControl/>
        <w:suppressLineNumbers w:val="0"/>
        <w:jc w:val="left"/>
        <w:rPr>
          <w:rFonts w:ascii="黑体" w:hAnsi="宋体" w:eastAsia="黑体" w:cs="黑体"/>
          <w:color w:val="auto"/>
          <w:kern w:val="0"/>
          <w:sz w:val="24"/>
          <w:szCs w:val="24"/>
          <w:highlight w:val="none"/>
          <w:lang w:val="en-US" w:eastAsia="zh-CN" w:bidi="ar"/>
        </w:rPr>
      </w:pPr>
    </w:p>
    <w:p w14:paraId="612F2047">
      <w:pPr>
        <w:keepNext w:val="0"/>
        <w:keepLines w:val="0"/>
        <w:widowControl/>
        <w:suppressLineNumbers w:val="0"/>
        <w:jc w:val="left"/>
        <w:rPr>
          <w:rFonts w:ascii="黑体" w:hAnsi="宋体" w:eastAsia="黑体" w:cs="黑体"/>
          <w:color w:val="auto"/>
          <w:kern w:val="0"/>
          <w:sz w:val="24"/>
          <w:szCs w:val="24"/>
          <w:highlight w:val="none"/>
          <w:lang w:val="en-US" w:eastAsia="zh-CN" w:bidi="ar"/>
        </w:rPr>
      </w:pPr>
    </w:p>
    <w:p w14:paraId="1712FC32">
      <w:pPr>
        <w:keepNext w:val="0"/>
        <w:keepLines w:val="0"/>
        <w:widowControl/>
        <w:suppressLineNumbers w:val="0"/>
        <w:jc w:val="left"/>
        <w:rPr>
          <w:rFonts w:ascii="黑体" w:hAnsi="宋体" w:eastAsia="黑体" w:cs="黑体"/>
          <w:color w:val="auto"/>
          <w:kern w:val="0"/>
          <w:sz w:val="24"/>
          <w:szCs w:val="24"/>
          <w:highlight w:val="none"/>
          <w:lang w:val="en-US" w:eastAsia="zh-CN" w:bidi="ar"/>
        </w:rPr>
      </w:pPr>
    </w:p>
    <w:p w14:paraId="32C360F8">
      <w:pPr>
        <w:keepNext w:val="0"/>
        <w:keepLines w:val="0"/>
        <w:widowControl/>
        <w:suppressLineNumbers w:val="0"/>
        <w:jc w:val="left"/>
        <w:rPr>
          <w:rFonts w:ascii="黑体" w:hAnsi="宋体" w:eastAsia="黑体" w:cs="黑体"/>
          <w:color w:val="auto"/>
          <w:kern w:val="0"/>
          <w:sz w:val="24"/>
          <w:szCs w:val="24"/>
          <w:highlight w:val="none"/>
          <w:lang w:val="en-US" w:eastAsia="zh-CN" w:bidi="ar"/>
        </w:rPr>
      </w:pPr>
    </w:p>
    <w:p w14:paraId="19E959DD">
      <w:pPr>
        <w:keepNext w:val="0"/>
        <w:keepLines w:val="0"/>
        <w:widowControl/>
        <w:suppressLineNumbers w:val="0"/>
        <w:jc w:val="left"/>
        <w:rPr>
          <w:rFonts w:ascii="黑体" w:hAnsi="宋体" w:eastAsia="黑体" w:cs="黑体"/>
          <w:color w:val="auto"/>
          <w:kern w:val="0"/>
          <w:sz w:val="24"/>
          <w:szCs w:val="24"/>
          <w:highlight w:val="none"/>
          <w:lang w:val="en-US" w:eastAsia="zh-CN" w:bidi="ar"/>
        </w:rPr>
      </w:pPr>
    </w:p>
    <w:p w14:paraId="791A2CC8">
      <w:pPr>
        <w:keepNext w:val="0"/>
        <w:keepLines w:val="0"/>
        <w:widowControl/>
        <w:suppressLineNumbers w:val="0"/>
        <w:jc w:val="left"/>
        <w:rPr>
          <w:rFonts w:ascii="黑体" w:hAnsi="宋体" w:eastAsia="黑体" w:cs="黑体"/>
          <w:color w:val="auto"/>
          <w:kern w:val="0"/>
          <w:sz w:val="24"/>
          <w:szCs w:val="24"/>
          <w:highlight w:val="none"/>
          <w:lang w:val="en-US" w:eastAsia="zh-CN" w:bidi="ar"/>
        </w:rPr>
      </w:pPr>
    </w:p>
    <w:p w14:paraId="20DC2D9A">
      <w:pPr>
        <w:keepNext w:val="0"/>
        <w:keepLines w:val="0"/>
        <w:widowControl/>
        <w:suppressLineNumbers w:val="0"/>
        <w:jc w:val="left"/>
        <w:rPr>
          <w:rFonts w:ascii="黑体" w:hAnsi="宋体" w:eastAsia="黑体" w:cs="黑体"/>
          <w:color w:val="auto"/>
          <w:kern w:val="0"/>
          <w:sz w:val="24"/>
          <w:szCs w:val="24"/>
          <w:highlight w:val="none"/>
          <w:lang w:val="en-US" w:eastAsia="zh-CN" w:bidi="ar"/>
        </w:rPr>
      </w:pPr>
    </w:p>
    <w:p w14:paraId="13BC8EF3">
      <w:pPr>
        <w:keepNext w:val="0"/>
        <w:keepLines w:val="0"/>
        <w:widowControl/>
        <w:suppressLineNumbers w:val="0"/>
        <w:jc w:val="left"/>
        <w:rPr>
          <w:rFonts w:ascii="黑体" w:hAnsi="宋体" w:eastAsia="黑体" w:cs="黑体"/>
          <w:color w:val="auto"/>
          <w:kern w:val="0"/>
          <w:sz w:val="24"/>
          <w:szCs w:val="24"/>
          <w:highlight w:val="none"/>
          <w:lang w:val="en-US" w:eastAsia="zh-CN" w:bidi="ar"/>
        </w:rPr>
      </w:pPr>
    </w:p>
    <w:p w14:paraId="681EC2AD">
      <w:pPr>
        <w:keepNext w:val="0"/>
        <w:keepLines w:val="0"/>
        <w:widowControl/>
        <w:suppressLineNumbers w:val="0"/>
        <w:jc w:val="left"/>
        <w:rPr>
          <w:rFonts w:ascii="黑体" w:hAnsi="宋体" w:eastAsia="黑体" w:cs="黑体"/>
          <w:color w:val="auto"/>
          <w:kern w:val="0"/>
          <w:sz w:val="24"/>
          <w:szCs w:val="24"/>
          <w:highlight w:val="none"/>
          <w:lang w:val="en-US" w:eastAsia="zh-CN" w:bidi="ar"/>
        </w:rPr>
      </w:pPr>
    </w:p>
    <w:p w14:paraId="73686842">
      <w:pPr>
        <w:keepNext w:val="0"/>
        <w:keepLines w:val="0"/>
        <w:widowControl/>
        <w:suppressLineNumbers w:val="0"/>
        <w:jc w:val="left"/>
        <w:rPr>
          <w:rFonts w:ascii="黑体" w:hAnsi="宋体" w:eastAsia="黑体" w:cs="黑体"/>
          <w:color w:val="auto"/>
          <w:kern w:val="0"/>
          <w:sz w:val="24"/>
          <w:szCs w:val="24"/>
          <w:highlight w:val="none"/>
          <w:lang w:val="en-US" w:eastAsia="zh-CN" w:bidi="ar"/>
        </w:rPr>
      </w:pPr>
    </w:p>
    <w:p w14:paraId="3D0DC1E9">
      <w:pPr>
        <w:keepNext w:val="0"/>
        <w:keepLines w:val="0"/>
        <w:widowControl/>
        <w:suppressLineNumbers w:val="0"/>
        <w:jc w:val="left"/>
        <w:rPr>
          <w:rFonts w:ascii="黑体" w:hAnsi="宋体" w:eastAsia="黑体" w:cs="黑体"/>
          <w:color w:val="auto"/>
          <w:kern w:val="0"/>
          <w:sz w:val="24"/>
          <w:szCs w:val="24"/>
          <w:highlight w:val="none"/>
          <w:lang w:val="en-US" w:eastAsia="zh-CN" w:bidi="ar"/>
        </w:rPr>
      </w:pPr>
    </w:p>
    <w:p w14:paraId="32A597EE">
      <w:pPr>
        <w:keepNext w:val="0"/>
        <w:keepLines w:val="0"/>
        <w:widowControl/>
        <w:suppressLineNumbers w:val="0"/>
        <w:jc w:val="left"/>
        <w:rPr>
          <w:rFonts w:ascii="黑体" w:hAnsi="宋体" w:eastAsia="黑体" w:cs="黑体"/>
          <w:color w:val="auto"/>
          <w:kern w:val="0"/>
          <w:sz w:val="24"/>
          <w:szCs w:val="24"/>
          <w:highlight w:val="none"/>
          <w:lang w:val="en-US" w:eastAsia="zh-CN" w:bidi="ar"/>
        </w:rPr>
      </w:pPr>
    </w:p>
    <w:p w14:paraId="5018BCDE">
      <w:pPr>
        <w:keepNext w:val="0"/>
        <w:keepLines w:val="0"/>
        <w:widowControl/>
        <w:suppressLineNumbers w:val="0"/>
        <w:jc w:val="left"/>
        <w:rPr>
          <w:rFonts w:ascii="黑体" w:hAnsi="宋体" w:eastAsia="黑体" w:cs="黑体"/>
          <w:color w:val="auto"/>
          <w:kern w:val="0"/>
          <w:sz w:val="24"/>
          <w:szCs w:val="24"/>
          <w:highlight w:val="none"/>
          <w:lang w:val="en-US" w:eastAsia="zh-CN" w:bidi="ar"/>
        </w:rPr>
      </w:pPr>
    </w:p>
    <w:p w14:paraId="3E456B9F">
      <w:pPr>
        <w:keepNext w:val="0"/>
        <w:keepLines w:val="0"/>
        <w:widowControl/>
        <w:suppressLineNumbers w:val="0"/>
        <w:jc w:val="left"/>
        <w:rPr>
          <w:rFonts w:ascii="黑体" w:hAnsi="宋体" w:eastAsia="黑体" w:cs="黑体"/>
          <w:color w:val="auto"/>
          <w:kern w:val="0"/>
          <w:sz w:val="24"/>
          <w:szCs w:val="24"/>
          <w:highlight w:val="none"/>
          <w:lang w:val="en-US" w:eastAsia="zh-CN" w:bidi="ar"/>
        </w:rPr>
      </w:pPr>
    </w:p>
    <w:p w14:paraId="42900583">
      <w:pPr>
        <w:keepNext w:val="0"/>
        <w:keepLines w:val="0"/>
        <w:widowControl/>
        <w:suppressLineNumbers w:val="0"/>
        <w:jc w:val="left"/>
        <w:rPr>
          <w:rFonts w:ascii="黑体" w:hAnsi="宋体" w:eastAsia="黑体" w:cs="黑体"/>
          <w:color w:val="auto"/>
          <w:kern w:val="0"/>
          <w:sz w:val="24"/>
          <w:szCs w:val="24"/>
          <w:highlight w:val="none"/>
          <w:lang w:val="en-US" w:eastAsia="zh-CN" w:bidi="ar"/>
        </w:rPr>
      </w:pPr>
    </w:p>
    <w:p w14:paraId="30E22B21">
      <w:pPr>
        <w:keepNext w:val="0"/>
        <w:keepLines w:val="0"/>
        <w:widowControl/>
        <w:suppressLineNumbers w:val="0"/>
        <w:jc w:val="left"/>
        <w:rPr>
          <w:rFonts w:ascii="黑体" w:hAnsi="宋体" w:eastAsia="黑体" w:cs="黑体"/>
          <w:color w:val="auto"/>
          <w:kern w:val="0"/>
          <w:sz w:val="24"/>
          <w:szCs w:val="24"/>
          <w:highlight w:val="none"/>
          <w:lang w:val="en-US" w:eastAsia="zh-CN" w:bidi="ar"/>
        </w:rPr>
      </w:pPr>
    </w:p>
    <w:p w14:paraId="0F7FE645">
      <w:pPr>
        <w:keepNext w:val="0"/>
        <w:keepLines w:val="0"/>
        <w:widowControl/>
        <w:suppressLineNumbers w:val="0"/>
        <w:jc w:val="left"/>
        <w:rPr>
          <w:rFonts w:ascii="黑体" w:hAnsi="宋体" w:eastAsia="黑体" w:cs="黑体"/>
          <w:color w:val="auto"/>
          <w:kern w:val="0"/>
          <w:sz w:val="24"/>
          <w:szCs w:val="24"/>
          <w:highlight w:val="none"/>
          <w:lang w:val="en-US" w:eastAsia="zh-CN" w:bidi="ar"/>
        </w:rPr>
      </w:pPr>
    </w:p>
    <w:p w14:paraId="279A9954">
      <w:pPr>
        <w:pStyle w:val="2"/>
        <w:jc w:val="center"/>
        <w:rPr>
          <w:color w:val="auto"/>
          <w:highlight w:val="none"/>
        </w:rPr>
      </w:pPr>
      <w:bookmarkStart w:id="321" w:name="_Toc32043"/>
      <w:r>
        <w:rPr>
          <w:rFonts w:hint="eastAsia"/>
          <w:color w:val="auto"/>
          <w:highlight w:val="none"/>
        </w:rPr>
        <w:t>第四章合同条款及格式</w:t>
      </w:r>
      <w:bookmarkEnd w:id="315"/>
      <w:bookmarkEnd w:id="316"/>
      <w:bookmarkEnd w:id="317"/>
      <w:bookmarkEnd w:id="318"/>
      <w:bookmarkEnd w:id="319"/>
      <w:bookmarkEnd w:id="320"/>
      <w:bookmarkEnd w:id="321"/>
      <w:bookmarkStart w:id="322" w:name="_Toc247514034"/>
      <w:bookmarkStart w:id="323" w:name="_Toc247527635"/>
      <w:bookmarkStart w:id="324" w:name="_Toc152045610"/>
      <w:bookmarkStart w:id="325" w:name="_Toc144974578"/>
      <w:bookmarkStart w:id="326" w:name="_Toc152042388"/>
      <w:bookmarkStart w:id="327" w:name="_Toc184635097"/>
    </w:p>
    <w:p w14:paraId="7BA77615">
      <w:pPr>
        <w:outlineLvl w:val="9"/>
        <w:rPr>
          <w:color w:val="auto"/>
          <w:highlight w:val="none"/>
        </w:rPr>
      </w:pPr>
      <w:r>
        <w:rPr>
          <w:color w:val="auto"/>
          <w:highlight w:val="none"/>
        </w:rPr>
        <w:br w:type="page"/>
      </w:r>
    </w:p>
    <w:bookmarkEnd w:id="322"/>
    <w:bookmarkEnd w:id="323"/>
    <w:bookmarkEnd w:id="324"/>
    <w:bookmarkEnd w:id="325"/>
    <w:bookmarkEnd w:id="326"/>
    <w:bookmarkEnd w:id="327"/>
    <w:p w14:paraId="09DEF018">
      <w:pPr>
        <w:outlineLvl w:val="9"/>
        <w:rPr>
          <w:rFonts w:ascii="宋体" w:hAnsi="宋体"/>
          <w:color w:val="auto"/>
          <w:highlight w:val="none"/>
        </w:rPr>
      </w:pPr>
    </w:p>
    <w:p w14:paraId="2D00B772">
      <w:pPr>
        <w:rPr>
          <w:rFonts w:ascii="宋体" w:hAnsi="宋体" w:cs="仿宋_GB2312"/>
          <w:color w:val="auto"/>
          <w:sz w:val="32"/>
          <w:szCs w:val="32"/>
          <w:highlight w:val="none"/>
        </w:rPr>
      </w:pPr>
      <w:r>
        <w:rPr>
          <w:rFonts w:hint="eastAsia" w:ascii="宋体" w:hAnsi="宋体" w:cs="仿宋_GB2312"/>
          <w:color w:val="auto"/>
          <w:sz w:val="32"/>
          <w:szCs w:val="32"/>
          <w:highlight w:val="none"/>
        </w:rPr>
        <w:t>GF-2020-0216</w:t>
      </w:r>
    </w:p>
    <w:p w14:paraId="7245A225">
      <w:pPr>
        <w:rPr>
          <w:rFonts w:ascii="宋体" w:hAnsi="宋体"/>
          <w:color w:val="auto"/>
          <w:highlight w:val="none"/>
        </w:rPr>
      </w:pPr>
    </w:p>
    <w:p w14:paraId="350F47B4">
      <w:pPr>
        <w:rPr>
          <w:rFonts w:ascii="宋体" w:hAnsi="宋体"/>
          <w:color w:val="auto"/>
          <w:highlight w:val="none"/>
        </w:rPr>
      </w:pPr>
    </w:p>
    <w:p w14:paraId="13221D98">
      <w:pPr>
        <w:rPr>
          <w:rFonts w:ascii="宋体" w:hAnsi="宋体"/>
          <w:color w:val="auto"/>
          <w:highlight w:val="none"/>
        </w:rPr>
      </w:pPr>
    </w:p>
    <w:p w14:paraId="64F470CB">
      <w:pPr>
        <w:rPr>
          <w:rFonts w:ascii="宋体" w:hAnsi="宋体"/>
          <w:color w:val="auto"/>
          <w:highlight w:val="none"/>
        </w:rPr>
      </w:pPr>
    </w:p>
    <w:p w14:paraId="29BF20B0">
      <w:pPr>
        <w:rPr>
          <w:rFonts w:ascii="宋体" w:hAnsi="宋体"/>
          <w:color w:val="auto"/>
          <w:highlight w:val="none"/>
        </w:rPr>
      </w:pPr>
    </w:p>
    <w:p w14:paraId="3572FDDB">
      <w:pPr>
        <w:pStyle w:val="180"/>
        <w:spacing w:after="120"/>
        <w:rPr>
          <w:rFonts w:ascii="宋体" w:hAnsi="宋体" w:eastAsia="宋体" w:cs="方正小标宋简体"/>
          <w:b w:val="0"/>
          <w:bCs/>
          <w:color w:val="auto"/>
          <w:sz w:val="52"/>
          <w:szCs w:val="52"/>
          <w:highlight w:val="none"/>
        </w:rPr>
      </w:pPr>
      <w:r>
        <w:rPr>
          <w:rFonts w:hint="eastAsia" w:ascii="宋体" w:hAnsi="宋体" w:eastAsia="宋体" w:cs="方正小标宋简体"/>
          <w:b w:val="0"/>
          <w:bCs/>
          <w:color w:val="auto"/>
          <w:sz w:val="72"/>
          <w:szCs w:val="72"/>
          <w:highlight w:val="none"/>
        </w:rPr>
        <w:t>建设项目工程总承包合同</w:t>
      </w:r>
    </w:p>
    <w:p w14:paraId="105D5F10">
      <w:pPr>
        <w:pStyle w:val="180"/>
        <w:spacing w:after="120"/>
        <w:rPr>
          <w:rFonts w:ascii="宋体" w:hAnsi="宋体" w:eastAsia="宋体"/>
          <w:b w:val="0"/>
          <w:bCs/>
          <w:color w:val="auto"/>
          <w:sz w:val="52"/>
          <w:szCs w:val="52"/>
          <w:highlight w:val="none"/>
        </w:rPr>
      </w:pPr>
      <w:r>
        <w:rPr>
          <w:rFonts w:hint="eastAsia" w:ascii="宋体" w:hAnsi="宋体" w:eastAsia="宋体" w:cs="方正小标宋简体"/>
          <w:b w:val="0"/>
          <w:bCs/>
          <w:color w:val="auto"/>
          <w:sz w:val="52"/>
          <w:szCs w:val="52"/>
          <w:highlight w:val="none"/>
        </w:rPr>
        <w:t>（示范文本）</w:t>
      </w:r>
    </w:p>
    <w:p w14:paraId="272273BF">
      <w:pPr>
        <w:pStyle w:val="180"/>
        <w:spacing w:after="120"/>
        <w:rPr>
          <w:rFonts w:ascii="宋体" w:hAnsi="宋体" w:eastAsia="宋体"/>
          <w:color w:val="auto"/>
          <w:sz w:val="40"/>
          <w:szCs w:val="40"/>
          <w:highlight w:val="none"/>
        </w:rPr>
      </w:pPr>
    </w:p>
    <w:p w14:paraId="6C4C69C9">
      <w:pPr>
        <w:pStyle w:val="180"/>
        <w:spacing w:after="120"/>
        <w:rPr>
          <w:rFonts w:ascii="宋体" w:hAnsi="宋体" w:eastAsia="宋体"/>
          <w:color w:val="auto"/>
          <w:sz w:val="40"/>
          <w:szCs w:val="40"/>
          <w:highlight w:val="none"/>
        </w:rPr>
      </w:pPr>
    </w:p>
    <w:p w14:paraId="18A8D22D">
      <w:pPr>
        <w:rPr>
          <w:rFonts w:ascii="宋体" w:hAnsi="宋体"/>
          <w:color w:val="auto"/>
          <w:sz w:val="40"/>
          <w:szCs w:val="40"/>
          <w:highlight w:val="none"/>
        </w:rPr>
      </w:pPr>
    </w:p>
    <w:p w14:paraId="6B3DE66C">
      <w:pPr>
        <w:rPr>
          <w:rFonts w:ascii="宋体" w:hAnsi="宋体"/>
          <w:color w:val="auto"/>
          <w:sz w:val="40"/>
          <w:szCs w:val="40"/>
          <w:highlight w:val="none"/>
        </w:rPr>
      </w:pPr>
    </w:p>
    <w:p w14:paraId="5E3D38DF">
      <w:pPr>
        <w:rPr>
          <w:rFonts w:ascii="宋体" w:hAnsi="宋体"/>
          <w:color w:val="auto"/>
          <w:highlight w:val="none"/>
        </w:rPr>
      </w:pPr>
    </w:p>
    <w:p w14:paraId="21D6FB4F">
      <w:pPr>
        <w:pStyle w:val="180"/>
        <w:spacing w:after="120"/>
        <w:rPr>
          <w:rFonts w:ascii="宋体" w:hAnsi="宋体" w:eastAsia="宋体"/>
          <w:color w:val="auto"/>
          <w:sz w:val="40"/>
          <w:szCs w:val="40"/>
          <w:highlight w:val="none"/>
        </w:rPr>
      </w:pPr>
    </w:p>
    <w:p w14:paraId="65F9A98C">
      <w:pPr>
        <w:rPr>
          <w:rFonts w:ascii="宋体" w:hAnsi="宋体"/>
          <w:color w:val="auto"/>
          <w:highlight w:val="none"/>
        </w:rPr>
      </w:pPr>
    </w:p>
    <w:p w14:paraId="13EFFF6D">
      <w:pPr>
        <w:pStyle w:val="180"/>
        <w:spacing w:after="120"/>
        <w:rPr>
          <w:rFonts w:ascii="宋体" w:hAnsi="宋体" w:eastAsia="宋体"/>
          <w:color w:val="auto"/>
          <w:sz w:val="32"/>
          <w:szCs w:val="32"/>
          <w:highlight w:val="none"/>
        </w:rPr>
      </w:pPr>
    </w:p>
    <w:p w14:paraId="27248896">
      <w:pPr>
        <w:ind w:right="2182" w:rightChars="1039"/>
        <w:jc w:val="distribute"/>
        <w:rPr>
          <w:rFonts w:ascii="宋体" w:hAnsi="宋体"/>
          <w:b/>
          <w:bCs/>
          <w:color w:val="auto"/>
          <w:sz w:val="32"/>
          <w:szCs w:val="32"/>
          <w:highlight w:val="none"/>
        </w:rPr>
      </w:pPr>
      <w:r>
        <w:rPr>
          <w:rFonts w:ascii="宋体" w:hAnsi="宋体"/>
          <w:b/>
          <w:bCs/>
          <w:color w:val="auto"/>
          <w:sz w:val="32"/>
          <w:szCs w:val="32"/>
          <w:highlight w:val="none"/>
        </w:rPr>
        <mc:AlternateContent>
          <mc:Choice Requires="wps">
            <w:drawing>
              <wp:anchor distT="0" distB="0" distL="114300" distR="114300" simplePos="0" relativeHeight="251659264" behindDoc="0" locked="0" layoutInCell="1" allowOverlap="1">
                <wp:simplePos x="0" y="0"/>
                <wp:positionH relativeFrom="column">
                  <wp:posOffset>3954780</wp:posOffset>
                </wp:positionH>
                <wp:positionV relativeFrom="paragraph">
                  <wp:posOffset>150495</wp:posOffset>
                </wp:positionV>
                <wp:extent cx="754380" cy="1772285"/>
                <wp:effectExtent l="0" t="0" r="7620" b="18415"/>
                <wp:wrapNone/>
                <wp:docPr id="1" name="文本框 2"/>
                <wp:cNvGraphicFramePr/>
                <a:graphic xmlns:a="http://schemas.openxmlformats.org/drawingml/2006/main">
                  <a:graphicData uri="http://schemas.microsoft.com/office/word/2010/wordprocessingShape">
                    <wps:wsp>
                      <wps:cNvSpPr txBox="1"/>
                      <wps:spPr>
                        <a:xfrm>
                          <a:off x="0" y="0"/>
                          <a:ext cx="754380" cy="1772285"/>
                        </a:xfrm>
                        <a:prstGeom prst="rect">
                          <a:avLst/>
                        </a:prstGeom>
                        <a:solidFill>
                          <a:srgbClr val="FFFFFF"/>
                        </a:solidFill>
                        <a:ln>
                          <a:noFill/>
                        </a:ln>
                        <a:effectLst/>
                      </wps:spPr>
                      <wps:txbx>
                        <w:txbxContent>
                          <w:p w14:paraId="75726BFB">
                            <w:pPr>
                              <w:jc w:val="center"/>
                              <w:rPr>
                                <w:b/>
                                <w:bCs/>
                                <w:sz w:val="32"/>
                                <w:szCs w:val="32"/>
                              </w:rPr>
                            </w:pPr>
                            <w:r>
                              <w:rPr>
                                <w:rFonts w:hint="eastAsia"/>
                                <w:b/>
                                <w:bCs/>
                                <w:sz w:val="32"/>
                                <w:szCs w:val="32"/>
                              </w:rPr>
                              <w:t>制定</w:t>
                            </w:r>
                          </w:p>
                        </w:txbxContent>
                      </wps:txbx>
                      <wps:bodyPr wrap="square" upright="1">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11.4pt;margin-top:11.85pt;height:139.55pt;width:59.4pt;z-index:251659264;mso-width-relative:page;mso-height-relative:margin;mso-height-percent:200;" fillcolor="#FFFFFF" filled="t" stroked="f" coordsize="21600,21600" o:gfxdata="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5Ew3gNgAAAAKAQAADwAAAAAA&#10;AAABACAAAAAiAAAAZHJzL2Rvd25yZXYueG1sUEsBAhQAFAAAAAgAh07iQLe2kIvaAQAArQMAAA4A&#10;AAAAAAAAAQAgAAAAJwEAAGRycy9lMm9Eb2MueG1sUEsFBgAAAAAGAAYAWQEAAHMFAAAAAA==&#10;">
                <v:fill on="t" focussize="0,0"/>
                <v:stroke on="f"/>
                <v:imagedata o:title=""/>
                <o:lock v:ext="edit" aspectratio="f"/>
                <v:textbox style="mso-fit-shape-to-text:t;">
                  <w:txbxContent>
                    <w:p w14:paraId="75726BFB">
                      <w:pPr>
                        <w:jc w:val="center"/>
                        <w:rPr>
                          <w:b/>
                          <w:bCs/>
                          <w:sz w:val="32"/>
                          <w:szCs w:val="32"/>
                        </w:rPr>
                      </w:pPr>
                      <w:r>
                        <w:rPr>
                          <w:rFonts w:hint="eastAsia"/>
                          <w:b/>
                          <w:bCs/>
                          <w:sz w:val="32"/>
                          <w:szCs w:val="32"/>
                        </w:rPr>
                        <w:t>制定</w:t>
                      </w:r>
                    </w:p>
                  </w:txbxContent>
                </v:textbox>
              </v:shape>
            </w:pict>
          </mc:Fallback>
        </mc:AlternateContent>
      </w:r>
      <w:r>
        <w:rPr>
          <w:rFonts w:hint="eastAsia" w:ascii="宋体" w:hAnsi="宋体"/>
          <w:b/>
          <w:bCs/>
          <w:color w:val="auto"/>
          <w:sz w:val="32"/>
          <w:szCs w:val="32"/>
          <w:highlight w:val="none"/>
        </w:rPr>
        <w:t>中华人民共和国</w:t>
      </w:r>
      <w:r>
        <w:rPr>
          <w:rFonts w:ascii="宋体" w:hAnsi="宋体"/>
          <w:b/>
          <w:bCs/>
          <w:color w:val="auto"/>
          <w:sz w:val="32"/>
          <w:szCs w:val="32"/>
          <w:highlight w:val="none"/>
        </w:rPr>
        <w:t>住房</w:t>
      </w:r>
      <w:r>
        <w:rPr>
          <w:rFonts w:hint="eastAsia" w:ascii="宋体" w:hAnsi="宋体"/>
          <w:b/>
          <w:bCs/>
          <w:color w:val="auto"/>
          <w:sz w:val="32"/>
          <w:szCs w:val="32"/>
          <w:highlight w:val="none"/>
        </w:rPr>
        <w:t>和</w:t>
      </w:r>
      <w:r>
        <w:rPr>
          <w:rFonts w:ascii="宋体" w:hAnsi="宋体"/>
          <w:b/>
          <w:bCs/>
          <w:color w:val="auto"/>
          <w:sz w:val="32"/>
          <w:szCs w:val="32"/>
          <w:highlight w:val="none"/>
        </w:rPr>
        <w:t>城乡建设部</w:t>
      </w:r>
    </w:p>
    <w:p w14:paraId="6320D6FC">
      <w:pPr>
        <w:ind w:right="2182" w:rightChars="1039"/>
        <w:jc w:val="distribute"/>
        <w:rPr>
          <w:rFonts w:ascii="宋体" w:hAnsi="宋体"/>
          <w:b/>
          <w:bCs/>
          <w:color w:val="auto"/>
          <w:sz w:val="32"/>
          <w:szCs w:val="32"/>
          <w:highlight w:val="none"/>
        </w:rPr>
        <w:sectPr>
          <w:footerReference r:id="rId42" w:type="default"/>
          <w:footerReference r:id="rId43" w:type="even"/>
          <w:pgSz w:w="11906" w:h="16838"/>
          <w:pgMar w:top="1440" w:right="1800" w:bottom="1440" w:left="1800" w:header="720" w:footer="998" w:gutter="0"/>
          <w:pgNumType w:fmt="decimal"/>
          <w:cols w:space="720" w:num="1"/>
          <w:titlePg/>
          <w:docGrid w:linePitch="326" w:charSpace="0"/>
        </w:sectPr>
      </w:pPr>
      <w:r>
        <w:rPr>
          <w:rFonts w:hint="eastAsia" w:ascii="宋体" w:hAnsi="宋体"/>
          <w:b/>
          <w:color w:val="auto"/>
          <w:sz w:val="32"/>
          <w:szCs w:val="28"/>
          <w:highlight w:val="none"/>
        </w:rPr>
        <w:t>国家</w:t>
      </w:r>
      <w:r>
        <w:rPr>
          <w:rFonts w:hint="eastAsia" w:ascii="宋体" w:hAnsi="宋体"/>
          <w:b/>
          <w:bCs/>
          <w:color w:val="auto"/>
          <w:sz w:val="32"/>
          <w:szCs w:val="32"/>
          <w:highlight w:val="none"/>
        </w:rPr>
        <w:t>市场监</w:t>
      </w:r>
      <w:r>
        <w:rPr>
          <w:rFonts w:hint="eastAsia" w:ascii="宋体" w:hAnsi="宋体"/>
          <w:b/>
          <w:color w:val="auto"/>
          <w:sz w:val="32"/>
          <w:szCs w:val="28"/>
          <w:highlight w:val="none"/>
        </w:rPr>
        <w:t>督</w:t>
      </w:r>
      <w:r>
        <w:rPr>
          <w:rFonts w:hint="eastAsia" w:ascii="宋体" w:hAnsi="宋体"/>
          <w:b/>
          <w:bCs/>
          <w:color w:val="auto"/>
          <w:sz w:val="32"/>
          <w:szCs w:val="32"/>
          <w:highlight w:val="none"/>
        </w:rPr>
        <w:t>管理</w:t>
      </w:r>
      <w:r>
        <w:rPr>
          <w:rFonts w:ascii="宋体" w:hAnsi="宋体"/>
          <w:b/>
          <w:bCs/>
          <w:color w:val="auto"/>
          <w:sz w:val="32"/>
          <w:szCs w:val="32"/>
          <w:highlight w:val="none"/>
        </w:rPr>
        <w:t>总局</w:t>
      </w:r>
    </w:p>
    <w:p w14:paraId="76336F06">
      <w:pPr>
        <w:pStyle w:val="180"/>
        <w:spacing w:afterLines="0"/>
        <w:rPr>
          <w:rFonts w:ascii="宋体" w:hAnsi="宋体" w:eastAsia="宋体"/>
          <w:color w:val="auto"/>
          <w:sz w:val="21"/>
          <w:szCs w:val="21"/>
          <w:highlight w:val="none"/>
        </w:rPr>
      </w:pPr>
      <w:bookmarkStart w:id="328" w:name="_Toc523410369"/>
    </w:p>
    <w:p w14:paraId="083148AF">
      <w:pPr>
        <w:pStyle w:val="180"/>
        <w:spacing w:afterLines="0"/>
        <w:rPr>
          <w:rFonts w:ascii="宋体" w:hAnsi="宋体" w:eastAsia="宋体"/>
          <w:color w:val="auto"/>
          <w:sz w:val="21"/>
          <w:szCs w:val="21"/>
          <w:highlight w:val="none"/>
        </w:rPr>
      </w:pPr>
    </w:p>
    <w:p w14:paraId="5A0A58DB">
      <w:pPr>
        <w:pStyle w:val="180"/>
        <w:spacing w:afterLines="0"/>
        <w:rPr>
          <w:rFonts w:ascii="宋体" w:hAnsi="宋体" w:eastAsia="宋体"/>
          <w:color w:val="auto"/>
          <w:sz w:val="21"/>
          <w:szCs w:val="21"/>
          <w:highlight w:val="none"/>
        </w:rPr>
      </w:pPr>
    </w:p>
    <w:p w14:paraId="59E6DB3D">
      <w:pPr>
        <w:rPr>
          <w:rFonts w:ascii="宋体" w:hAnsi="宋体"/>
          <w:color w:val="auto"/>
          <w:szCs w:val="21"/>
          <w:highlight w:val="none"/>
        </w:rPr>
      </w:pPr>
    </w:p>
    <w:p w14:paraId="5074E38C">
      <w:pPr>
        <w:rPr>
          <w:rFonts w:ascii="宋体" w:hAnsi="宋体"/>
          <w:color w:val="auto"/>
          <w:szCs w:val="21"/>
          <w:highlight w:val="none"/>
        </w:rPr>
      </w:pPr>
    </w:p>
    <w:bookmarkEnd w:id="328"/>
    <w:p w14:paraId="479985DD">
      <w:pPr>
        <w:ind w:firstLine="420"/>
        <w:jc w:val="center"/>
        <w:outlineLvl w:val="0"/>
        <w:rPr>
          <w:b/>
          <w:color w:val="auto"/>
          <w:szCs w:val="21"/>
          <w:highlight w:val="none"/>
        </w:rPr>
      </w:pPr>
      <w:bookmarkStart w:id="329" w:name="_Toc54862164"/>
      <w:r>
        <w:rPr>
          <w:rFonts w:ascii="宋体" w:hAnsi="宋体"/>
          <w:color w:val="auto"/>
          <w:szCs w:val="21"/>
          <w:highlight w:val="none"/>
        </w:rPr>
        <w:br w:type="page"/>
      </w:r>
      <w:bookmarkStart w:id="330" w:name="_Toc24833"/>
      <w:bookmarkStart w:id="331" w:name="_Toc29947"/>
      <w:r>
        <w:rPr>
          <w:rStyle w:val="170"/>
          <w:rFonts w:hint="eastAsia"/>
          <w:color w:val="auto"/>
          <w:highlight w:val="none"/>
        </w:rPr>
        <w:t>第一部分 合同协议书</w:t>
      </w:r>
      <w:bookmarkEnd w:id="329"/>
      <w:bookmarkEnd w:id="330"/>
      <w:bookmarkEnd w:id="331"/>
    </w:p>
    <w:p w14:paraId="495D34CE">
      <w:pPr>
        <w:spacing w:line="360" w:lineRule="auto"/>
        <w:ind w:firstLine="420"/>
        <w:rPr>
          <w:rFonts w:hint="eastAsia" w:ascii="宋体" w:hAnsi="宋体" w:eastAsia="宋体"/>
          <w:color w:val="auto"/>
          <w:szCs w:val="21"/>
          <w:highlight w:val="none"/>
          <w:u w:val="single"/>
          <w:lang w:eastAsia="zh-CN"/>
        </w:rPr>
      </w:pPr>
      <w:r>
        <w:rPr>
          <w:rFonts w:hint="eastAsia" w:ascii="宋体" w:hAnsi="宋体"/>
          <w:color w:val="auto"/>
          <w:szCs w:val="21"/>
          <w:highlight w:val="none"/>
        </w:rPr>
        <w:t>发包人（全称）：</w:t>
      </w:r>
      <w:r>
        <w:rPr>
          <w:rFonts w:hint="eastAsia" w:ascii="宋体" w:hAnsi="宋体"/>
          <w:color w:val="auto"/>
          <w:szCs w:val="21"/>
          <w:highlight w:val="none"/>
          <w:u w:val="single"/>
          <w:lang w:eastAsia="zh-CN"/>
        </w:rPr>
        <w:t>营口市鲅鱼圈区住房和城乡建设局</w:t>
      </w:r>
    </w:p>
    <w:p w14:paraId="25A8A89E">
      <w:pPr>
        <w:spacing w:line="360" w:lineRule="auto"/>
        <w:ind w:firstLine="420" w:firstLineChars="200"/>
        <w:rPr>
          <w:rFonts w:hint="default" w:ascii="宋体" w:hAnsi="宋体" w:eastAsia="宋体"/>
          <w:color w:val="auto"/>
          <w:szCs w:val="21"/>
          <w:highlight w:val="none"/>
          <w:u w:val="single"/>
          <w:lang w:val="en-US" w:eastAsia="zh-CN"/>
        </w:rPr>
      </w:pPr>
      <w:r>
        <w:rPr>
          <w:rFonts w:hint="eastAsia" w:ascii="宋体" w:hAnsi="宋体"/>
          <w:color w:val="auto"/>
          <w:szCs w:val="21"/>
          <w:highlight w:val="none"/>
        </w:rPr>
        <w:t>承包人（全称）：</w:t>
      </w:r>
      <w:r>
        <w:rPr>
          <w:rFonts w:hint="eastAsia" w:ascii="宋体" w:hAnsi="宋体"/>
          <w:color w:val="auto"/>
          <w:szCs w:val="21"/>
          <w:highlight w:val="none"/>
          <w:u w:val="single"/>
          <w:lang w:val="en-US" w:eastAsia="zh-CN"/>
        </w:rPr>
        <w:t xml:space="preserve">                              </w:t>
      </w:r>
    </w:p>
    <w:p w14:paraId="15070585">
      <w:pPr>
        <w:spacing w:line="360" w:lineRule="auto"/>
        <w:ind w:firstLine="420"/>
        <w:rPr>
          <w:rFonts w:ascii="宋体" w:hAnsi="宋体"/>
          <w:color w:val="auto"/>
          <w:szCs w:val="21"/>
          <w:highlight w:val="none"/>
        </w:rPr>
      </w:pPr>
      <w:r>
        <w:rPr>
          <w:rFonts w:hint="eastAsia" w:ascii="宋体" w:hAnsi="宋体"/>
          <w:color w:val="auto"/>
          <w:szCs w:val="21"/>
          <w:highlight w:val="none"/>
        </w:rPr>
        <w:t>根据《中华人民共和国民法典》、《中华人民共和国建筑法》及有关法律规定，遵循平等、自愿、公平和诚实信用的原则，双方就</w:t>
      </w:r>
      <w:r>
        <w:rPr>
          <w:rFonts w:hint="eastAsia" w:ascii="宋体" w:hAnsi="宋体"/>
          <w:color w:val="auto"/>
          <w:szCs w:val="21"/>
          <w:highlight w:val="none"/>
          <w:u w:val="single"/>
          <w:lang w:eastAsia="zh-CN"/>
        </w:rPr>
        <w:t>2025年营口市鲅鱼圈区集中供热二三网维修改造工程</w:t>
      </w:r>
      <w:r>
        <w:rPr>
          <w:rFonts w:hint="eastAsia" w:ascii="宋体" w:hAnsi="宋体"/>
          <w:color w:val="auto"/>
          <w:szCs w:val="21"/>
          <w:highlight w:val="none"/>
          <w:u w:val="single"/>
        </w:rPr>
        <w:t>EPC</w:t>
      </w:r>
      <w:r>
        <w:rPr>
          <w:rFonts w:hint="eastAsia" w:ascii="宋体" w:hAnsi="宋体"/>
          <w:color w:val="auto"/>
          <w:szCs w:val="21"/>
          <w:highlight w:val="none"/>
          <w:u w:val="single"/>
          <w:lang w:eastAsia="zh-CN"/>
        </w:rPr>
        <w:t>工程</w:t>
      </w:r>
      <w:r>
        <w:rPr>
          <w:rFonts w:hint="eastAsia" w:ascii="宋体" w:hAnsi="宋体"/>
          <w:color w:val="auto"/>
          <w:szCs w:val="21"/>
          <w:highlight w:val="none"/>
          <w:u w:val="single"/>
        </w:rPr>
        <w:t>总承包</w:t>
      </w:r>
      <w:r>
        <w:rPr>
          <w:rFonts w:hint="eastAsia" w:ascii="宋体" w:hAnsi="宋体"/>
          <w:color w:val="auto"/>
          <w:szCs w:val="21"/>
          <w:highlight w:val="none"/>
        </w:rPr>
        <w:t>及有关事项协商一致，共同达成如下协议：</w:t>
      </w:r>
    </w:p>
    <w:p w14:paraId="6EFF20D8">
      <w:pPr>
        <w:pStyle w:val="160"/>
        <w:numPr>
          <w:ilvl w:val="0"/>
          <w:numId w:val="0"/>
        </w:numPr>
        <w:wordWrap/>
        <w:topLinePunct w:val="0"/>
        <w:spacing w:after="120"/>
        <w:ind w:firstLine="422" w:firstLineChars="200"/>
        <w:rPr>
          <w:b/>
          <w:bCs w:val="0"/>
          <w:color w:val="auto"/>
          <w:sz w:val="21"/>
          <w:szCs w:val="21"/>
          <w:highlight w:val="none"/>
        </w:rPr>
      </w:pPr>
      <w:bookmarkStart w:id="332" w:name="_Toc29824"/>
      <w:bookmarkStart w:id="333" w:name="_Toc16035"/>
      <w:bookmarkStart w:id="334" w:name="_Toc509"/>
      <w:bookmarkStart w:id="335" w:name="_Toc25381"/>
      <w:bookmarkStart w:id="336" w:name="_Toc54862165"/>
      <w:r>
        <w:rPr>
          <w:rFonts w:hint="eastAsia"/>
          <w:b/>
          <w:bCs w:val="0"/>
          <w:color w:val="auto"/>
          <w:sz w:val="21"/>
          <w:szCs w:val="21"/>
          <w:highlight w:val="none"/>
        </w:rPr>
        <w:t>一、工程概况</w:t>
      </w:r>
      <w:bookmarkEnd w:id="332"/>
      <w:bookmarkEnd w:id="333"/>
      <w:bookmarkEnd w:id="334"/>
      <w:bookmarkEnd w:id="335"/>
      <w:bookmarkEnd w:id="336"/>
    </w:p>
    <w:p w14:paraId="2EBE26EF">
      <w:pPr>
        <w:spacing w:line="360" w:lineRule="auto"/>
        <w:ind w:firstLine="420"/>
        <w:rPr>
          <w:rFonts w:ascii="宋体" w:hAnsi="宋体"/>
          <w:color w:val="auto"/>
          <w:szCs w:val="21"/>
          <w:highlight w:val="none"/>
        </w:rPr>
      </w:pPr>
      <w:r>
        <w:rPr>
          <w:rFonts w:hint="eastAsia" w:ascii="宋体" w:hAnsi="宋体"/>
          <w:color w:val="auto"/>
          <w:szCs w:val="21"/>
          <w:highlight w:val="none"/>
        </w:rPr>
        <w:t>1. 工程名称：</w:t>
      </w:r>
      <w:bookmarkStart w:id="337" w:name="OLE_LINK5"/>
      <w:bookmarkStart w:id="338" w:name="OLE_LINK7"/>
      <w:bookmarkStart w:id="339" w:name="OLE_LINK6"/>
      <w:r>
        <w:rPr>
          <w:rFonts w:hint="eastAsia" w:ascii="宋体" w:hAnsi="宋体"/>
          <w:color w:val="auto"/>
          <w:szCs w:val="21"/>
          <w:highlight w:val="none"/>
          <w:u w:val="single"/>
          <w:lang w:eastAsia="zh-CN"/>
        </w:rPr>
        <w:t>2025年营口市鲅鱼圈区集中供热二三网维修改造工程</w:t>
      </w:r>
      <w:bookmarkEnd w:id="337"/>
      <w:bookmarkEnd w:id="338"/>
      <w:bookmarkEnd w:id="339"/>
      <w:r>
        <w:rPr>
          <w:rFonts w:hint="eastAsia" w:ascii="宋体" w:hAnsi="宋体"/>
          <w:color w:val="auto"/>
          <w:szCs w:val="21"/>
          <w:highlight w:val="none"/>
        </w:rPr>
        <w:t>。</w:t>
      </w:r>
    </w:p>
    <w:p w14:paraId="0E1184BC">
      <w:pPr>
        <w:spacing w:line="360" w:lineRule="auto"/>
        <w:ind w:firstLine="420"/>
        <w:rPr>
          <w:rFonts w:ascii="宋体" w:hAnsi="宋体"/>
          <w:color w:val="auto"/>
          <w:szCs w:val="21"/>
          <w:highlight w:val="none"/>
        </w:rPr>
      </w:pPr>
      <w:r>
        <w:rPr>
          <w:rFonts w:hint="eastAsia" w:ascii="宋体" w:hAnsi="宋体"/>
          <w:color w:val="auto"/>
          <w:szCs w:val="21"/>
          <w:highlight w:val="none"/>
        </w:rPr>
        <w:t>2. 工程地点：</w:t>
      </w:r>
      <w:r>
        <w:rPr>
          <w:rFonts w:hint="eastAsia" w:ascii="宋体" w:hAnsi="宋体"/>
          <w:color w:val="auto"/>
          <w:szCs w:val="21"/>
          <w:highlight w:val="none"/>
          <w:u w:val="single"/>
        </w:rPr>
        <w:t>营口市</w:t>
      </w:r>
      <w:r>
        <w:rPr>
          <w:rFonts w:hint="eastAsia" w:ascii="宋体" w:hAnsi="宋体"/>
          <w:color w:val="auto"/>
          <w:szCs w:val="21"/>
          <w:highlight w:val="none"/>
          <w:u w:val="single"/>
          <w:lang w:eastAsia="zh-CN"/>
        </w:rPr>
        <w:t>鲅鱼圈区</w:t>
      </w:r>
      <w:r>
        <w:rPr>
          <w:rFonts w:hint="eastAsia" w:ascii="宋体" w:hAnsi="宋体"/>
          <w:color w:val="auto"/>
          <w:szCs w:val="21"/>
          <w:highlight w:val="none"/>
          <w:u w:val="single"/>
        </w:rPr>
        <w:t>。</w:t>
      </w:r>
    </w:p>
    <w:p w14:paraId="729FA2B8">
      <w:pPr>
        <w:spacing w:line="360" w:lineRule="auto"/>
        <w:ind w:firstLine="420"/>
        <w:rPr>
          <w:rFonts w:ascii="宋体" w:hAnsi="宋体"/>
          <w:color w:val="auto"/>
          <w:szCs w:val="21"/>
          <w:highlight w:val="none"/>
          <w:u w:val="single"/>
        </w:rPr>
      </w:pPr>
      <w:r>
        <w:rPr>
          <w:rFonts w:hint="eastAsia" w:ascii="宋体" w:hAnsi="宋体"/>
          <w:color w:val="auto"/>
          <w:szCs w:val="21"/>
          <w:highlight w:val="none"/>
        </w:rPr>
        <w:t>3. 工程审批、核准或备案文号：</w:t>
      </w:r>
      <w:r>
        <w:rPr>
          <w:rFonts w:hint="eastAsia" w:ascii="宋体" w:hAnsi="宋体" w:cs="宋体"/>
          <w:color w:val="auto"/>
          <w:spacing w:val="1"/>
          <w:szCs w:val="21"/>
          <w:highlight w:val="none"/>
          <w:u w:val="single"/>
          <w:lang w:val="en-US" w:eastAsia="zh-CN"/>
        </w:rPr>
        <w:t>营鲅发改投资[2025]4号、营鲅发改投资[2025]5号</w:t>
      </w:r>
      <w:r>
        <w:rPr>
          <w:rFonts w:hint="eastAsia" w:ascii="宋体" w:hAnsi="宋体"/>
          <w:color w:val="auto"/>
          <w:szCs w:val="21"/>
          <w:highlight w:val="none"/>
          <w:u w:val="single"/>
        </w:rPr>
        <w:t>。</w:t>
      </w:r>
    </w:p>
    <w:p w14:paraId="59F2254C">
      <w:pPr>
        <w:spacing w:line="360" w:lineRule="auto"/>
        <w:ind w:firstLine="420"/>
        <w:rPr>
          <w:rFonts w:ascii="宋体" w:hAnsi="宋体"/>
          <w:color w:val="auto"/>
          <w:szCs w:val="21"/>
          <w:highlight w:val="none"/>
        </w:rPr>
      </w:pPr>
      <w:r>
        <w:rPr>
          <w:rFonts w:hint="eastAsia" w:ascii="宋体" w:hAnsi="宋体"/>
          <w:color w:val="auto"/>
          <w:szCs w:val="21"/>
          <w:highlight w:val="none"/>
        </w:rPr>
        <w:t>4. 资金来源：</w:t>
      </w:r>
      <w:r>
        <w:rPr>
          <w:rFonts w:hint="eastAsia" w:ascii="Arial"/>
          <w:color w:val="auto"/>
          <w:highlight w:val="none"/>
          <w:u w:val="single"/>
          <w:lang w:val="en-US" w:eastAsia="zh-CN"/>
        </w:rPr>
        <w:t>总投资的70%为超长期特别国债、总投资的30%为县区财政资金</w:t>
      </w:r>
      <w:r>
        <w:rPr>
          <w:rFonts w:hint="eastAsia" w:ascii="宋体" w:hAnsi="宋体"/>
          <w:color w:val="auto"/>
          <w:szCs w:val="21"/>
          <w:highlight w:val="none"/>
          <w:u w:val="single"/>
        </w:rPr>
        <w:t>。</w:t>
      </w:r>
    </w:p>
    <w:p w14:paraId="2DB04E69">
      <w:pPr>
        <w:spacing w:line="360" w:lineRule="auto"/>
        <w:ind w:firstLine="420"/>
        <w:rPr>
          <w:rFonts w:hint="eastAsia" w:ascii="宋体" w:hAnsi="宋体"/>
          <w:color w:val="auto"/>
          <w:szCs w:val="21"/>
          <w:highlight w:val="none"/>
          <w:u w:val="single"/>
          <w:lang w:val="en-US" w:eastAsia="zh-CN"/>
        </w:rPr>
      </w:pPr>
      <w:r>
        <w:rPr>
          <w:rFonts w:hint="eastAsia" w:ascii="宋体" w:hAnsi="宋体"/>
          <w:color w:val="auto"/>
          <w:szCs w:val="21"/>
          <w:highlight w:val="none"/>
        </w:rPr>
        <w:t>5. 工程内容及规模：</w:t>
      </w:r>
      <w:r>
        <w:rPr>
          <w:rFonts w:hint="eastAsia" w:ascii="宋体" w:hAnsi="宋体"/>
          <w:color w:val="auto"/>
          <w:szCs w:val="21"/>
          <w:highlight w:val="none"/>
          <w:u w:val="single"/>
          <w:lang w:val="en-US" w:eastAsia="zh-CN"/>
        </w:rPr>
        <w:t>包括拆除并改造二、三级网管道长度总计157102米，其中拆除并改造二级网管道长度为38656米，拆除并改造三级网管道长度为118446米、换热站工艺改造（涉及44座换热站）及华源区域电控系统升级改造（涉及7座换热站、新港调度系统和芦屯调度系统）。改造区域涉及昌辉区域、鸿通区域和华源区域三个供热区域114个小区的供热管网设施更新改造工程。</w:t>
      </w:r>
    </w:p>
    <w:p w14:paraId="1655A320">
      <w:pPr>
        <w:spacing w:line="360" w:lineRule="auto"/>
        <w:ind w:firstLine="420"/>
        <w:rPr>
          <w:rFonts w:ascii="宋体" w:hAnsi="宋体"/>
          <w:color w:val="auto"/>
          <w:szCs w:val="21"/>
          <w:highlight w:val="none"/>
        </w:rPr>
      </w:pPr>
      <w:r>
        <w:rPr>
          <w:rFonts w:hint="eastAsia" w:ascii="宋体" w:hAnsi="宋体"/>
          <w:color w:val="auto"/>
          <w:szCs w:val="21"/>
          <w:highlight w:val="none"/>
        </w:rPr>
        <w:t>6. 工程承包范围：</w:t>
      </w:r>
      <w:r>
        <w:rPr>
          <w:rFonts w:hint="eastAsia" w:ascii="宋体" w:hAnsi="宋体"/>
          <w:color w:val="auto"/>
          <w:szCs w:val="21"/>
          <w:highlight w:val="none"/>
          <w:u w:val="single"/>
          <w:lang w:val="en-US" w:eastAsia="zh-CN"/>
        </w:rPr>
        <w:t>本项目为工程总承包（EPC）交钥匙工程，包含与本项目所有建安工程相关的建设内容和服务内容。具体包括工程规划范围内的全过程施工图设计、材料设备采购、施工、交(竣)工验收、质量保修期内服务，办理配套设施确认、配合完成最终结算审计等。</w:t>
      </w:r>
    </w:p>
    <w:p w14:paraId="2F95F7A9">
      <w:pPr>
        <w:pStyle w:val="160"/>
        <w:numPr>
          <w:ilvl w:val="0"/>
          <w:numId w:val="0"/>
        </w:numPr>
        <w:wordWrap/>
        <w:topLinePunct w:val="0"/>
        <w:spacing w:after="120"/>
        <w:ind w:firstLine="422" w:firstLineChars="200"/>
        <w:rPr>
          <w:b/>
          <w:bCs w:val="0"/>
          <w:color w:val="auto"/>
          <w:sz w:val="21"/>
          <w:szCs w:val="21"/>
          <w:highlight w:val="none"/>
        </w:rPr>
      </w:pPr>
      <w:bookmarkStart w:id="340" w:name="_Toc16929"/>
      <w:bookmarkStart w:id="341" w:name="_Toc26047"/>
      <w:bookmarkStart w:id="342" w:name="_Toc4577"/>
      <w:bookmarkStart w:id="343" w:name="_Toc54862166"/>
      <w:bookmarkStart w:id="344" w:name="_Toc29179"/>
      <w:r>
        <w:rPr>
          <w:rFonts w:hint="eastAsia"/>
          <w:b/>
          <w:bCs w:val="0"/>
          <w:color w:val="auto"/>
          <w:sz w:val="21"/>
          <w:szCs w:val="21"/>
          <w:highlight w:val="none"/>
        </w:rPr>
        <w:t>二、合同工期</w:t>
      </w:r>
      <w:bookmarkEnd w:id="340"/>
      <w:bookmarkEnd w:id="341"/>
      <w:bookmarkEnd w:id="342"/>
      <w:bookmarkEnd w:id="343"/>
      <w:bookmarkEnd w:id="344"/>
    </w:p>
    <w:p w14:paraId="221D1087">
      <w:pPr>
        <w:spacing w:line="360" w:lineRule="auto"/>
        <w:ind w:firstLine="420"/>
        <w:rPr>
          <w:rFonts w:ascii="宋体" w:hAnsi="宋体"/>
          <w:color w:val="auto"/>
          <w:szCs w:val="21"/>
          <w:highlight w:val="none"/>
        </w:rPr>
      </w:pPr>
      <w:r>
        <w:rPr>
          <w:rFonts w:hint="eastAsia" w:ascii="宋体" w:hAnsi="宋体"/>
          <w:color w:val="auto"/>
          <w:szCs w:val="21"/>
          <w:highlight w:val="none"/>
        </w:rPr>
        <w:t>计划开始工作日期：</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none"/>
        </w:rPr>
        <w:t>日</w:t>
      </w:r>
      <w:r>
        <w:rPr>
          <w:rFonts w:hint="eastAsia" w:ascii="宋体" w:hAnsi="宋体"/>
          <w:color w:val="auto"/>
          <w:szCs w:val="21"/>
          <w:highlight w:val="none"/>
        </w:rPr>
        <w:t>。</w:t>
      </w:r>
    </w:p>
    <w:p w14:paraId="1644242B">
      <w:pPr>
        <w:spacing w:line="360" w:lineRule="auto"/>
        <w:ind w:firstLine="420"/>
        <w:rPr>
          <w:rFonts w:ascii="宋体" w:hAnsi="宋体"/>
          <w:color w:val="auto"/>
          <w:szCs w:val="21"/>
          <w:highlight w:val="none"/>
        </w:rPr>
      </w:pPr>
      <w:r>
        <w:rPr>
          <w:rFonts w:hint="eastAsia" w:ascii="宋体" w:hAnsi="宋体"/>
          <w:color w:val="auto"/>
          <w:szCs w:val="21"/>
          <w:highlight w:val="none"/>
        </w:rPr>
        <w:t>计划开始现场施工日期：</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none"/>
        </w:rPr>
        <w:t>日</w:t>
      </w:r>
      <w:r>
        <w:rPr>
          <w:rFonts w:hint="eastAsia" w:ascii="宋体" w:hAnsi="宋体"/>
          <w:color w:val="auto"/>
          <w:szCs w:val="21"/>
          <w:highlight w:val="none"/>
        </w:rPr>
        <w:t>。</w:t>
      </w:r>
    </w:p>
    <w:p w14:paraId="5AF09730">
      <w:pPr>
        <w:spacing w:line="360" w:lineRule="auto"/>
        <w:ind w:firstLine="420"/>
        <w:rPr>
          <w:rFonts w:ascii="宋体" w:hAnsi="宋体"/>
          <w:color w:val="auto"/>
          <w:szCs w:val="21"/>
          <w:highlight w:val="none"/>
        </w:rPr>
      </w:pPr>
      <w:r>
        <w:rPr>
          <w:rFonts w:hint="eastAsia" w:ascii="宋体" w:hAnsi="宋体"/>
          <w:color w:val="auto"/>
          <w:szCs w:val="21"/>
          <w:highlight w:val="none"/>
        </w:rPr>
        <w:t>计划竣工日期：</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none"/>
        </w:rPr>
        <w:t>日</w:t>
      </w:r>
      <w:r>
        <w:rPr>
          <w:rFonts w:hint="eastAsia" w:ascii="宋体" w:hAnsi="宋体"/>
          <w:color w:val="auto"/>
          <w:szCs w:val="21"/>
          <w:highlight w:val="none"/>
        </w:rPr>
        <w:t>。</w:t>
      </w:r>
    </w:p>
    <w:p w14:paraId="226B263B">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工期总日历天数：</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rPr>
        <w:t>天，工期总日历天数与根据前述计划日期计算的工期天数不一致的，以工期总日历天数为准。</w:t>
      </w:r>
      <w:bookmarkStart w:id="345" w:name="_Toc54862167"/>
      <w:bookmarkStart w:id="346" w:name="_Toc7023"/>
      <w:bookmarkStart w:id="347" w:name="_Toc30886"/>
    </w:p>
    <w:p w14:paraId="33697A45">
      <w:pPr>
        <w:spacing w:line="440" w:lineRule="exact"/>
        <w:ind w:firstLine="422" w:firstLineChars="200"/>
        <w:outlineLvl w:val="1"/>
        <w:rPr>
          <w:b/>
          <w:bCs w:val="0"/>
          <w:color w:val="auto"/>
          <w:sz w:val="21"/>
          <w:szCs w:val="21"/>
          <w:highlight w:val="none"/>
        </w:rPr>
      </w:pPr>
      <w:bookmarkStart w:id="348" w:name="_Toc8641"/>
      <w:r>
        <w:rPr>
          <w:rFonts w:hint="eastAsia"/>
          <w:b/>
          <w:bCs w:val="0"/>
          <w:color w:val="auto"/>
          <w:sz w:val="21"/>
          <w:szCs w:val="21"/>
          <w:highlight w:val="none"/>
        </w:rPr>
        <w:t>三、质量标准</w:t>
      </w:r>
      <w:bookmarkEnd w:id="345"/>
      <w:bookmarkEnd w:id="346"/>
      <w:bookmarkEnd w:id="347"/>
      <w:bookmarkEnd w:id="348"/>
    </w:p>
    <w:p w14:paraId="610AA25B">
      <w:pPr>
        <w:spacing w:line="360" w:lineRule="auto"/>
        <w:ind w:firstLine="420"/>
        <w:rPr>
          <w:rFonts w:ascii="宋体" w:hAnsi="宋体"/>
          <w:color w:val="auto"/>
          <w:szCs w:val="21"/>
          <w:highlight w:val="none"/>
        </w:rPr>
      </w:pPr>
      <w:r>
        <w:rPr>
          <w:rFonts w:hint="eastAsia" w:ascii="宋体" w:hAnsi="宋体"/>
          <w:color w:val="auto"/>
          <w:szCs w:val="21"/>
          <w:highlight w:val="none"/>
          <w:lang w:val="en-US" w:eastAsia="zh-CN"/>
        </w:rPr>
        <w:t>工程质量标准：</w:t>
      </w:r>
      <w:r>
        <w:rPr>
          <w:rFonts w:hint="eastAsia" w:ascii="宋体" w:hAnsi="宋体"/>
          <w:color w:val="auto"/>
          <w:szCs w:val="21"/>
          <w:highlight w:val="none"/>
          <w:u w:val="single"/>
        </w:rPr>
        <w:t>设计要求的质量标准：满足国家现行的工程建设设计方面的规范、规程、标准以及当地相关部门的相关规定。施工要求的质量标准：按照国家、省、市现行质量验收规范验收，必须达到合格标准</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lang w:val="en-US" w:eastAsia="zh-CN"/>
        </w:rPr>
        <w:t>。</w:t>
      </w:r>
    </w:p>
    <w:p w14:paraId="3222609D">
      <w:pPr>
        <w:pStyle w:val="160"/>
        <w:numPr>
          <w:ilvl w:val="0"/>
          <w:numId w:val="0"/>
        </w:numPr>
        <w:wordWrap/>
        <w:topLinePunct w:val="0"/>
        <w:spacing w:after="120"/>
        <w:ind w:firstLine="422" w:firstLineChars="200"/>
        <w:rPr>
          <w:b/>
          <w:bCs w:val="0"/>
          <w:color w:val="auto"/>
          <w:sz w:val="21"/>
          <w:szCs w:val="21"/>
          <w:highlight w:val="none"/>
        </w:rPr>
      </w:pPr>
      <w:bookmarkStart w:id="349" w:name="_Toc10893"/>
      <w:bookmarkStart w:id="350" w:name="_Toc27743"/>
      <w:bookmarkStart w:id="351" w:name="_Toc6444"/>
      <w:bookmarkStart w:id="352" w:name="_Toc17813"/>
      <w:bookmarkStart w:id="353" w:name="_Toc54862168"/>
      <w:r>
        <w:rPr>
          <w:rFonts w:hint="eastAsia"/>
          <w:b/>
          <w:bCs w:val="0"/>
          <w:color w:val="auto"/>
          <w:sz w:val="21"/>
          <w:szCs w:val="21"/>
          <w:highlight w:val="none"/>
        </w:rPr>
        <w:t>四、签约合同价与合同价格形式</w:t>
      </w:r>
      <w:bookmarkEnd w:id="349"/>
      <w:bookmarkEnd w:id="350"/>
      <w:bookmarkEnd w:id="351"/>
      <w:bookmarkEnd w:id="352"/>
      <w:bookmarkEnd w:id="353"/>
    </w:p>
    <w:p w14:paraId="16DAA66E">
      <w:pPr>
        <w:spacing w:line="360" w:lineRule="auto"/>
        <w:ind w:firstLine="420"/>
        <w:rPr>
          <w:rFonts w:hint="eastAsia" w:ascii="宋体" w:hAnsi="宋体"/>
          <w:color w:val="auto"/>
          <w:szCs w:val="21"/>
          <w:highlight w:val="none"/>
        </w:rPr>
      </w:pPr>
      <w:r>
        <w:rPr>
          <w:rFonts w:hint="eastAsia" w:ascii="宋体" w:hAnsi="宋体"/>
          <w:color w:val="auto"/>
          <w:szCs w:val="21"/>
          <w:highlight w:val="none"/>
        </w:rPr>
        <w:t>1. 签约合同价（含税）为：</w:t>
      </w:r>
    </w:p>
    <w:p w14:paraId="675606D7">
      <w:pPr>
        <w:spacing w:line="360" w:lineRule="auto"/>
        <w:ind w:firstLine="420"/>
        <w:rPr>
          <w:rFonts w:ascii="宋体" w:hAnsi="宋体"/>
          <w:color w:val="auto"/>
          <w:szCs w:val="21"/>
          <w:highlight w:val="none"/>
        </w:rPr>
      </w:pPr>
      <w:r>
        <w:rPr>
          <w:rFonts w:hint="eastAsia" w:ascii="宋体" w:hAnsi="宋体"/>
          <w:color w:val="auto"/>
          <w:szCs w:val="21"/>
          <w:highlight w:val="none"/>
        </w:rPr>
        <w:t xml:space="preserve">人民币（大写)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rPr>
        <w:t>（¥</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rPr>
        <w:t>元）。</w:t>
      </w:r>
    </w:p>
    <w:p w14:paraId="5D0D77B6">
      <w:pPr>
        <w:spacing w:line="360" w:lineRule="auto"/>
        <w:ind w:firstLine="420"/>
        <w:rPr>
          <w:rFonts w:ascii="宋体" w:hAnsi="宋体"/>
          <w:color w:val="auto"/>
          <w:szCs w:val="21"/>
          <w:highlight w:val="none"/>
        </w:rPr>
      </w:pPr>
      <w:r>
        <w:rPr>
          <w:rFonts w:hint="eastAsia" w:ascii="宋体" w:hAnsi="宋体"/>
          <w:color w:val="auto"/>
          <w:szCs w:val="21"/>
          <w:highlight w:val="none"/>
          <w:lang w:val="en-US" w:eastAsia="zh-CN"/>
        </w:rPr>
        <w:t>具体构成详见价格清单。</w:t>
      </w:r>
      <w:r>
        <w:rPr>
          <w:rFonts w:hint="eastAsia" w:ascii="宋体" w:hAnsi="宋体"/>
          <w:color w:val="auto"/>
          <w:szCs w:val="21"/>
          <w:highlight w:val="none"/>
        </w:rPr>
        <w:t xml:space="preserve">其中： </w:t>
      </w:r>
    </w:p>
    <w:p w14:paraId="6F81C669">
      <w:pPr>
        <w:spacing w:line="360" w:lineRule="auto"/>
        <w:ind w:firstLine="420"/>
        <w:rPr>
          <w:rFonts w:ascii="宋体" w:hAnsi="宋体"/>
          <w:color w:val="auto"/>
          <w:szCs w:val="21"/>
          <w:highlight w:val="none"/>
        </w:rPr>
      </w:pPr>
      <w:r>
        <w:rPr>
          <w:rFonts w:hint="eastAsia" w:ascii="宋体" w:hAnsi="宋体"/>
          <w:color w:val="auto"/>
          <w:szCs w:val="21"/>
          <w:highlight w:val="none"/>
        </w:rPr>
        <w:t>（1） 设计费（含税）：</w:t>
      </w:r>
    </w:p>
    <w:p w14:paraId="493CB1D3">
      <w:pPr>
        <w:spacing w:line="360" w:lineRule="auto"/>
        <w:ind w:firstLine="420"/>
        <w:rPr>
          <w:rFonts w:ascii="宋体" w:hAnsi="宋体"/>
          <w:color w:val="auto"/>
          <w:szCs w:val="21"/>
          <w:highlight w:val="none"/>
        </w:rPr>
      </w:pPr>
      <w:r>
        <w:rPr>
          <w:rFonts w:hint="eastAsia" w:ascii="宋体" w:hAnsi="宋体"/>
          <w:color w:val="auto"/>
          <w:szCs w:val="21"/>
          <w:highlight w:val="none"/>
        </w:rPr>
        <w:t>人民币</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rPr>
        <w:t>（大写)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rPr>
        <w:t>元）；适用税率：</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rPr>
        <w:t>%，税金为人民币（大写)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rPr>
        <w:t>（¥</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rPr>
        <w:t xml:space="preserve">元）； </w:t>
      </w:r>
    </w:p>
    <w:p w14:paraId="3F554A49">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color w:val="auto"/>
          <w:szCs w:val="21"/>
          <w:highlight w:val="none"/>
        </w:rPr>
        <w:t>（2）</w:t>
      </w:r>
      <w:r>
        <w:rPr>
          <w:rFonts w:hint="eastAsia" w:ascii="宋体" w:hAnsi="宋体" w:eastAsia="宋体" w:cs="宋体"/>
          <w:color w:val="auto"/>
          <w:kern w:val="0"/>
          <w:sz w:val="21"/>
          <w:szCs w:val="21"/>
          <w:highlight w:val="none"/>
          <w:lang w:val="en-US" w:eastAsia="zh-CN" w:bidi="ar"/>
        </w:rPr>
        <w:t xml:space="preserve">设备购置费（含税）： </w:t>
      </w:r>
    </w:p>
    <w:p w14:paraId="4C9F67C6">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人民币（大写）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eastAsia="宋体" w:cs="宋体"/>
          <w:color w:val="auto"/>
          <w:kern w:val="0"/>
          <w:sz w:val="21"/>
          <w:szCs w:val="21"/>
          <w:highlight w:val="none"/>
          <w:lang w:val="en-US" w:eastAsia="zh-CN" w:bidi="ar"/>
        </w:rPr>
        <w:t>（¥</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eastAsia="宋体" w:cs="宋体"/>
          <w:color w:val="auto"/>
          <w:kern w:val="0"/>
          <w:sz w:val="21"/>
          <w:szCs w:val="21"/>
          <w:highlight w:val="none"/>
          <w:lang w:val="en-US" w:eastAsia="zh-CN" w:bidi="ar"/>
        </w:rPr>
        <w:t xml:space="preserve">元）；适用税率：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eastAsia="宋体" w:cs="宋体"/>
          <w:color w:val="auto"/>
          <w:kern w:val="0"/>
          <w:sz w:val="21"/>
          <w:szCs w:val="21"/>
          <w:highlight w:val="none"/>
          <w:lang w:val="en-US" w:eastAsia="zh-CN" w:bidi="ar"/>
        </w:rPr>
        <w:t>%，税金为人民币（大写）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eastAsia="宋体" w:cs="宋体"/>
          <w:color w:val="auto"/>
          <w:kern w:val="0"/>
          <w:sz w:val="21"/>
          <w:szCs w:val="21"/>
          <w:highlight w:val="none"/>
          <w:lang w:val="en-US" w:eastAsia="zh-CN" w:bidi="ar"/>
        </w:rPr>
        <w:t>（¥</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eastAsia="宋体" w:cs="宋体"/>
          <w:color w:val="auto"/>
          <w:kern w:val="0"/>
          <w:sz w:val="21"/>
          <w:szCs w:val="21"/>
          <w:highlight w:val="none"/>
          <w:lang w:val="en-US" w:eastAsia="zh-CN" w:bidi="ar"/>
        </w:rPr>
        <w:t xml:space="preserve">元）； </w:t>
      </w:r>
    </w:p>
    <w:p w14:paraId="6ADCAD05">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 xml:space="preserve">） 建筑安装工程费（含税）： </w:t>
      </w:r>
    </w:p>
    <w:p w14:paraId="44671B8D">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人民币（大写）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eastAsia="宋体" w:cs="宋体"/>
          <w:color w:val="auto"/>
          <w:kern w:val="0"/>
          <w:sz w:val="21"/>
          <w:szCs w:val="21"/>
          <w:highlight w:val="none"/>
          <w:lang w:val="en-US" w:eastAsia="zh-CN" w:bidi="ar"/>
        </w:rPr>
        <w:t>（¥</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eastAsia="宋体" w:cs="宋体"/>
          <w:color w:val="auto"/>
          <w:kern w:val="0"/>
          <w:sz w:val="21"/>
          <w:szCs w:val="21"/>
          <w:highlight w:val="none"/>
          <w:lang w:val="en-US" w:eastAsia="zh-CN" w:bidi="ar"/>
        </w:rPr>
        <w:t>元）；适用税率：</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eastAsia="宋体" w:cs="宋体"/>
          <w:color w:val="auto"/>
          <w:kern w:val="0"/>
          <w:sz w:val="21"/>
          <w:szCs w:val="21"/>
          <w:highlight w:val="none"/>
          <w:lang w:val="en-US" w:eastAsia="zh-CN" w:bidi="ar"/>
        </w:rPr>
        <w:t>%，税金为人民币（大写）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eastAsia="宋体" w:cs="宋体"/>
          <w:color w:val="auto"/>
          <w:kern w:val="0"/>
          <w:sz w:val="21"/>
          <w:szCs w:val="21"/>
          <w:highlight w:val="none"/>
          <w:lang w:val="en-US" w:eastAsia="zh-CN" w:bidi="ar"/>
        </w:rPr>
        <w:t>（¥</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eastAsia="宋体" w:cs="宋体"/>
          <w:color w:val="auto"/>
          <w:kern w:val="0"/>
          <w:sz w:val="21"/>
          <w:szCs w:val="21"/>
          <w:highlight w:val="none"/>
          <w:lang w:val="en-US" w:eastAsia="zh-CN" w:bidi="ar"/>
        </w:rPr>
        <w:t xml:space="preserve">元）； </w:t>
      </w:r>
    </w:p>
    <w:p w14:paraId="775ABCD2">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 xml:space="preserve">） 暂估价（含税）： </w:t>
      </w:r>
    </w:p>
    <w:p w14:paraId="537CB079">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人民币（大写）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eastAsia="宋体" w:cs="宋体"/>
          <w:color w:val="auto"/>
          <w:kern w:val="0"/>
          <w:sz w:val="21"/>
          <w:szCs w:val="21"/>
          <w:highlight w:val="none"/>
          <w:lang w:val="en-US" w:eastAsia="zh-CN" w:bidi="ar"/>
        </w:rPr>
        <w:t>（¥</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eastAsia="宋体" w:cs="宋体"/>
          <w:color w:val="auto"/>
          <w:kern w:val="0"/>
          <w:sz w:val="21"/>
          <w:szCs w:val="21"/>
          <w:highlight w:val="none"/>
          <w:lang w:val="en-US" w:eastAsia="zh-CN" w:bidi="ar"/>
        </w:rPr>
        <w:t xml:space="preserve">元）。 </w:t>
      </w:r>
    </w:p>
    <w:p w14:paraId="4ADFDE31">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 xml:space="preserve">） 暂列金额（含税）： </w:t>
      </w:r>
    </w:p>
    <w:p w14:paraId="37A53F67">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人民币（大写）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eastAsia="宋体" w:cs="宋体"/>
          <w:color w:val="auto"/>
          <w:kern w:val="0"/>
          <w:sz w:val="21"/>
          <w:szCs w:val="21"/>
          <w:highlight w:val="none"/>
          <w:lang w:val="en-US" w:eastAsia="zh-CN" w:bidi="ar"/>
        </w:rPr>
        <w:t>（¥</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eastAsia="宋体" w:cs="宋体"/>
          <w:color w:val="auto"/>
          <w:kern w:val="0"/>
          <w:sz w:val="21"/>
          <w:szCs w:val="21"/>
          <w:highlight w:val="none"/>
          <w:lang w:val="en-US" w:eastAsia="zh-CN" w:bidi="ar"/>
        </w:rPr>
        <w:t xml:space="preserve">元）。 </w:t>
      </w:r>
    </w:p>
    <w:p w14:paraId="30BC3478">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 xml:space="preserve">） 双方约定的其他费用（含税）： </w:t>
      </w:r>
    </w:p>
    <w:p w14:paraId="10D331EA">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人民币（大写）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eastAsia="宋体" w:cs="宋体"/>
          <w:color w:val="auto"/>
          <w:kern w:val="0"/>
          <w:sz w:val="21"/>
          <w:szCs w:val="21"/>
          <w:highlight w:val="none"/>
          <w:lang w:val="en-US" w:eastAsia="zh-CN" w:bidi="ar"/>
        </w:rPr>
        <w:t>（¥</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eastAsia="宋体" w:cs="宋体"/>
          <w:color w:val="auto"/>
          <w:kern w:val="0"/>
          <w:sz w:val="21"/>
          <w:szCs w:val="21"/>
          <w:highlight w:val="none"/>
          <w:lang w:val="en-US" w:eastAsia="zh-CN" w:bidi="ar"/>
        </w:rPr>
        <w:t>元）；适用税率：</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eastAsia="宋体" w:cs="宋体"/>
          <w:color w:val="auto"/>
          <w:kern w:val="0"/>
          <w:sz w:val="21"/>
          <w:szCs w:val="21"/>
          <w:highlight w:val="none"/>
          <w:lang w:val="en-US" w:eastAsia="zh-CN" w:bidi="ar"/>
        </w:rPr>
        <w:t xml:space="preserve">%，税金 </w:t>
      </w:r>
    </w:p>
    <w:p w14:paraId="15CC6392">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宋体" w:hAnsi="宋体"/>
          <w:color w:val="auto"/>
          <w:szCs w:val="21"/>
          <w:highlight w:val="none"/>
        </w:rPr>
      </w:pPr>
      <w:r>
        <w:rPr>
          <w:rFonts w:hint="eastAsia" w:ascii="宋体" w:hAnsi="宋体" w:eastAsia="宋体" w:cs="宋体"/>
          <w:color w:val="auto"/>
          <w:kern w:val="0"/>
          <w:sz w:val="21"/>
          <w:szCs w:val="21"/>
          <w:highlight w:val="none"/>
          <w:lang w:val="en-US" w:eastAsia="zh-CN" w:bidi="ar"/>
        </w:rPr>
        <w:t>为人民币（大写）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eastAsia="宋体" w:cs="宋体"/>
          <w:color w:val="auto"/>
          <w:kern w:val="0"/>
          <w:sz w:val="21"/>
          <w:szCs w:val="21"/>
          <w:highlight w:val="none"/>
          <w:lang w:val="en-US" w:eastAsia="zh-CN" w:bidi="ar"/>
        </w:rPr>
        <w:t>（¥</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eastAsia="宋体" w:cs="宋体"/>
          <w:color w:val="auto"/>
          <w:kern w:val="0"/>
          <w:sz w:val="21"/>
          <w:szCs w:val="21"/>
          <w:highlight w:val="none"/>
          <w:lang w:val="en-US" w:eastAsia="zh-CN" w:bidi="ar"/>
        </w:rPr>
        <w:t>元）。</w:t>
      </w:r>
    </w:p>
    <w:p w14:paraId="16ADEFF0">
      <w:pPr>
        <w:pStyle w:val="160"/>
        <w:numPr>
          <w:ilvl w:val="0"/>
          <w:numId w:val="0"/>
        </w:numPr>
        <w:wordWrap/>
        <w:topLinePunct w:val="0"/>
        <w:spacing w:after="120"/>
        <w:ind w:firstLine="422" w:firstLineChars="200"/>
        <w:rPr>
          <w:b/>
          <w:bCs w:val="0"/>
          <w:color w:val="auto"/>
          <w:sz w:val="21"/>
          <w:szCs w:val="21"/>
          <w:highlight w:val="none"/>
        </w:rPr>
      </w:pPr>
      <w:bookmarkStart w:id="354" w:name="_Toc14516"/>
      <w:bookmarkStart w:id="355" w:name="_Toc27007"/>
      <w:bookmarkStart w:id="356" w:name="_Toc18797"/>
      <w:bookmarkStart w:id="357" w:name="_Toc54862169"/>
      <w:bookmarkStart w:id="358" w:name="_Toc2855"/>
      <w:r>
        <w:rPr>
          <w:rFonts w:hint="eastAsia"/>
          <w:b/>
          <w:bCs w:val="0"/>
          <w:color w:val="auto"/>
          <w:sz w:val="21"/>
          <w:szCs w:val="21"/>
          <w:highlight w:val="none"/>
        </w:rPr>
        <w:t>五、工程总承包项目经理</w:t>
      </w:r>
      <w:bookmarkEnd w:id="354"/>
      <w:bookmarkEnd w:id="355"/>
      <w:bookmarkEnd w:id="356"/>
      <w:bookmarkEnd w:id="357"/>
      <w:bookmarkEnd w:id="358"/>
    </w:p>
    <w:p w14:paraId="12C2EFC9">
      <w:pPr>
        <w:spacing w:line="360" w:lineRule="auto"/>
        <w:ind w:firstLine="420"/>
        <w:rPr>
          <w:rFonts w:ascii="宋体" w:hAnsi="宋体"/>
          <w:color w:val="auto"/>
          <w:szCs w:val="21"/>
          <w:highlight w:val="none"/>
        </w:rPr>
      </w:pPr>
      <w:r>
        <w:rPr>
          <w:rFonts w:hint="eastAsia" w:ascii="宋体" w:hAnsi="宋体"/>
          <w:color w:val="auto"/>
          <w:szCs w:val="21"/>
          <w:highlight w:val="none"/>
        </w:rPr>
        <w:t>工程总承包项目经理：。</w:t>
      </w:r>
    </w:p>
    <w:p w14:paraId="683D14D2">
      <w:pPr>
        <w:pStyle w:val="160"/>
        <w:numPr>
          <w:ilvl w:val="0"/>
          <w:numId w:val="0"/>
        </w:numPr>
        <w:wordWrap/>
        <w:topLinePunct w:val="0"/>
        <w:spacing w:after="120"/>
        <w:ind w:firstLine="422" w:firstLineChars="200"/>
        <w:rPr>
          <w:b/>
          <w:bCs w:val="0"/>
          <w:color w:val="auto"/>
          <w:sz w:val="21"/>
          <w:szCs w:val="21"/>
          <w:highlight w:val="none"/>
        </w:rPr>
      </w:pPr>
      <w:bookmarkStart w:id="359" w:name="_Toc19137"/>
      <w:bookmarkStart w:id="360" w:name="_Toc21818"/>
      <w:bookmarkStart w:id="361" w:name="_Toc19355"/>
      <w:bookmarkStart w:id="362" w:name="_Toc54862170"/>
      <w:bookmarkStart w:id="363" w:name="_Toc9305"/>
      <w:r>
        <w:rPr>
          <w:rFonts w:hint="eastAsia"/>
          <w:b/>
          <w:bCs w:val="0"/>
          <w:color w:val="auto"/>
          <w:sz w:val="21"/>
          <w:szCs w:val="21"/>
          <w:highlight w:val="none"/>
        </w:rPr>
        <w:t>六、合同文件构成</w:t>
      </w:r>
      <w:bookmarkEnd w:id="359"/>
      <w:bookmarkEnd w:id="360"/>
      <w:bookmarkEnd w:id="361"/>
      <w:bookmarkEnd w:id="362"/>
      <w:bookmarkEnd w:id="363"/>
    </w:p>
    <w:p w14:paraId="0AEC2D36">
      <w:pPr>
        <w:spacing w:line="360" w:lineRule="auto"/>
        <w:ind w:firstLine="420"/>
        <w:rPr>
          <w:rFonts w:ascii="宋体" w:hAnsi="宋体"/>
          <w:color w:val="auto"/>
          <w:szCs w:val="21"/>
          <w:highlight w:val="none"/>
        </w:rPr>
      </w:pPr>
      <w:r>
        <w:rPr>
          <w:rFonts w:hint="eastAsia" w:ascii="宋体" w:hAnsi="宋体"/>
          <w:color w:val="auto"/>
          <w:szCs w:val="21"/>
          <w:highlight w:val="none"/>
        </w:rPr>
        <w:t xml:space="preserve">本协议书与下列文件一起构成合同文件： </w:t>
      </w:r>
    </w:p>
    <w:p w14:paraId="286C4C59">
      <w:pPr>
        <w:spacing w:line="360" w:lineRule="auto"/>
        <w:ind w:firstLine="420"/>
        <w:rPr>
          <w:rFonts w:ascii="宋体" w:hAnsi="宋体"/>
          <w:color w:val="auto"/>
          <w:szCs w:val="21"/>
          <w:highlight w:val="none"/>
        </w:rPr>
      </w:pPr>
      <w:r>
        <w:rPr>
          <w:rFonts w:hint="eastAsia" w:ascii="宋体" w:hAnsi="宋体"/>
          <w:color w:val="auto"/>
          <w:szCs w:val="21"/>
          <w:highlight w:val="none"/>
        </w:rPr>
        <w:t>（1） 中标通知书（如果有）；</w:t>
      </w:r>
    </w:p>
    <w:p w14:paraId="206FBF6A">
      <w:pPr>
        <w:spacing w:line="360" w:lineRule="auto"/>
        <w:ind w:firstLine="420"/>
        <w:rPr>
          <w:rFonts w:ascii="宋体" w:hAnsi="宋体"/>
          <w:color w:val="auto"/>
          <w:szCs w:val="21"/>
          <w:highlight w:val="none"/>
        </w:rPr>
      </w:pPr>
      <w:r>
        <w:rPr>
          <w:rFonts w:hint="eastAsia" w:ascii="宋体" w:hAnsi="宋体"/>
          <w:color w:val="auto"/>
          <w:szCs w:val="21"/>
          <w:highlight w:val="none"/>
        </w:rPr>
        <w:t>（2） 投标函及投标函附录（如果有）；</w:t>
      </w:r>
    </w:p>
    <w:p w14:paraId="62DB772C">
      <w:pPr>
        <w:spacing w:line="360" w:lineRule="auto"/>
        <w:ind w:firstLine="420"/>
        <w:rPr>
          <w:rFonts w:ascii="宋体" w:hAnsi="宋体"/>
          <w:color w:val="auto"/>
          <w:szCs w:val="21"/>
          <w:highlight w:val="none"/>
        </w:rPr>
      </w:pPr>
      <w:r>
        <w:rPr>
          <w:rFonts w:hint="eastAsia" w:ascii="宋体" w:hAnsi="宋体"/>
          <w:color w:val="auto"/>
          <w:szCs w:val="21"/>
          <w:highlight w:val="none"/>
        </w:rPr>
        <w:t>（3） 专用合同条件及《发包人要求》等附件；</w:t>
      </w:r>
    </w:p>
    <w:p w14:paraId="68320B63">
      <w:pPr>
        <w:spacing w:line="360" w:lineRule="auto"/>
        <w:ind w:firstLine="420"/>
        <w:rPr>
          <w:rFonts w:ascii="宋体" w:hAnsi="宋体"/>
          <w:color w:val="auto"/>
          <w:szCs w:val="21"/>
          <w:highlight w:val="none"/>
        </w:rPr>
      </w:pPr>
      <w:r>
        <w:rPr>
          <w:rFonts w:hint="eastAsia" w:ascii="宋体" w:hAnsi="宋体"/>
          <w:color w:val="auto"/>
          <w:szCs w:val="21"/>
          <w:highlight w:val="none"/>
        </w:rPr>
        <w:t>（4） 通用合同条件；</w:t>
      </w:r>
    </w:p>
    <w:p w14:paraId="399BEED9">
      <w:pPr>
        <w:spacing w:line="360" w:lineRule="auto"/>
        <w:ind w:firstLine="42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5</w:t>
      </w:r>
      <w:r>
        <w:rPr>
          <w:rFonts w:hint="eastAsia" w:ascii="宋体" w:hAnsi="宋体"/>
          <w:color w:val="auto"/>
          <w:szCs w:val="21"/>
          <w:highlight w:val="none"/>
        </w:rPr>
        <w:t xml:space="preserve">） 承包人建议书； </w:t>
      </w:r>
    </w:p>
    <w:p w14:paraId="15BA2EA7">
      <w:pPr>
        <w:spacing w:line="360" w:lineRule="auto"/>
        <w:ind w:firstLine="420"/>
        <w:rPr>
          <w:rFonts w:hint="eastAsia" w:ascii="宋体" w:hAnsi="宋体"/>
          <w:color w:val="auto"/>
          <w:szCs w:val="21"/>
          <w:highlight w:val="none"/>
        </w:rPr>
      </w:pPr>
      <w:r>
        <w:rPr>
          <w:rFonts w:hint="eastAsia" w:ascii="宋体" w:hAnsi="宋体"/>
          <w:color w:val="auto"/>
          <w:szCs w:val="21"/>
          <w:highlight w:val="none"/>
        </w:rPr>
        <w:t xml:space="preserve">（6） </w:t>
      </w:r>
      <w:r>
        <w:rPr>
          <w:rFonts w:hint="eastAsia" w:ascii="宋体" w:hAnsi="宋体"/>
          <w:color w:val="auto"/>
          <w:szCs w:val="21"/>
          <w:highlight w:val="none"/>
          <w:lang w:val="en-US" w:eastAsia="zh-CN"/>
        </w:rPr>
        <w:t>价格清单；</w:t>
      </w:r>
    </w:p>
    <w:p w14:paraId="2833B557">
      <w:pPr>
        <w:spacing w:line="360" w:lineRule="auto"/>
        <w:ind w:firstLine="42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7</w:t>
      </w:r>
      <w:r>
        <w:rPr>
          <w:rFonts w:hint="eastAsia" w:ascii="宋体" w:hAnsi="宋体"/>
          <w:color w:val="auto"/>
          <w:szCs w:val="21"/>
          <w:highlight w:val="none"/>
        </w:rPr>
        <w:t>） 双方约定的其他合同文件。</w:t>
      </w:r>
    </w:p>
    <w:p w14:paraId="5B16E9DB">
      <w:pPr>
        <w:spacing w:line="360" w:lineRule="auto"/>
        <w:ind w:firstLine="420"/>
        <w:rPr>
          <w:rFonts w:ascii="宋体" w:hAnsi="宋体"/>
          <w:color w:val="auto"/>
          <w:szCs w:val="21"/>
          <w:highlight w:val="none"/>
        </w:rPr>
      </w:pPr>
      <w:r>
        <w:rPr>
          <w:rFonts w:hint="eastAsia" w:ascii="宋体" w:hAnsi="宋体"/>
          <w:color w:val="auto"/>
          <w:szCs w:val="21"/>
          <w:highlight w:val="none"/>
        </w:rPr>
        <w:t>上述各项合同文件包括双方就该项合同文件所作出的补充和修改，属于同一类内容的合同文件应以最新签署的为准。专用合同条件及其附件须经合同当事人签字或盖章。</w:t>
      </w:r>
    </w:p>
    <w:p w14:paraId="234A6C5E">
      <w:pPr>
        <w:pStyle w:val="160"/>
        <w:numPr>
          <w:ilvl w:val="0"/>
          <w:numId w:val="0"/>
        </w:numPr>
        <w:wordWrap/>
        <w:topLinePunct w:val="0"/>
        <w:spacing w:after="120"/>
        <w:ind w:firstLine="422" w:firstLineChars="200"/>
        <w:rPr>
          <w:b/>
          <w:bCs w:val="0"/>
          <w:color w:val="auto"/>
          <w:sz w:val="21"/>
          <w:szCs w:val="21"/>
          <w:highlight w:val="none"/>
        </w:rPr>
      </w:pPr>
      <w:bookmarkStart w:id="364" w:name="_Toc54862171"/>
      <w:bookmarkStart w:id="365" w:name="_Toc21481"/>
      <w:bookmarkStart w:id="366" w:name="_Toc30967"/>
      <w:bookmarkStart w:id="367" w:name="_Toc32324"/>
      <w:bookmarkStart w:id="368" w:name="_Toc3688"/>
      <w:r>
        <w:rPr>
          <w:rFonts w:hint="eastAsia"/>
          <w:b/>
          <w:bCs w:val="0"/>
          <w:color w:val="auto"/>
          <w:sz w:val="21"/>
          <w:szCs w:val="21"/>
          <w:highlight w:val="none"/>
        </w:rPr>
        <w:t>七、承诺</w:t>
      </w:r>
      <w:bookmarkEnd w:id="364"/>
      <w:bookmarkEnd w:id="365"/>
      <w:bookmarkEnd w:id="366"/>
      <w:bookmarkEnd w:id="367"/>
      <w:bookmarkEnd w:id="368"/>
    </w:p>
    <w:p w14:paraId="42D1E36D">
      <w:pPr>
        <w:spacing w:line="360" w:lineRule="auto"/>
        <w:ind w:firstLine="420"/>
        <w:rPr>
          <w:rFonts w:ascii="宋体" w:hAnsi="宋体"/>
          <w:color w:val="auto"/>
          <w:szCs w:val="21"/>
          <w:highlight w:val="none"/>
        </w:rPr>
      </w:pPr>
      <w:r>
        <w:rPr>
          <w:rFonts w:hint="eastAsia" w:ascii="宋体" w:hAnsi="宋体"/>
          <w:color w:val="auto"/>
          <w:szCs w:val="21"/>
          <w:highlight w:val="none"/>
        </w:rPr>
        <w:t>1. 发包人承诺按照法律规定履行项目审批手续、筹集工程建设资金并按照合同约定的期限和方式支付合同价款。</w:t>
      </w:r>
    </w:p>
    <w:p w14:paraId="2EFABD3B">
      <w:pPr>
        <w:spacing w:line="360" w:lineRule="auto"/>
        <w:ind w:firstLine="420"/>
        <w:rPr>
          <w:rFonts w:ascii="宋体" w:hAnsi="宋体"/>
          <w:color w:val="auto"/>
          <w:szCs w:val="21"/>
          <w:highlight w:val="none"/>
        </w:rPr>
      </w:pPr>
      <w:r>
        <w:rPr>
          <w:rFonts w:hint="eastAsia" w:ascii="宋体" w:hAnsi="宋体"/>
          <w:color w:val="auto"/>
          <w:szCs w:val="21"/>
          <w:highlight w:val="none"/>
        </w:rPr>
        <w:t>2. 承包人承诺按照法律规定及合同约定组织完成工程的设计、采购和施工等工作，确保工程质量和安全，不进行转包及违法分包，并在缺陷责任期及保修期内承担相应的工程维修责任。</w:t>
      </w:r>
    </w:p>
    <w:p w14:paraId="5269EB89">
      <w:pPr>
        <w:pStyle w:val="160"/>
        <w:numPr>
          <w:ilvl w:val="0"/>
          <w:numId w:val="0"/>
        </w:numPr>
        <w:wordWrap/>
        <w:topLinePunct w:val="0"/>
        <w:spacing w:after="120"/>
        <w:ind w:firstLine="422" w:firstLineChars="200"/>
        <w:rPr>
          <w:b/>
          <w:bCs w:val="0"/>
          <w:color w:val="auto"/>
          <w:sz w:val="21"/>
          <w:szCs w:val="21"/>
          <w:highlight w:val="none"/>
        </w:rPr>
      </w:pPr>
      <w:bookmarkStart w:id="369" w:name="_Toc19628"/>
      <w:bookmarkStart w:id="370" w:name="_Toc54862172"/>
      <w:bookmarkStart w:id="371" w:name="_Toc4521"/>
      <w:bookmarkStart w:id="372" w:name="_Toc15815"/>
      <w:bookmarkStart w:id="373" w:name="_Toc25052"/>
      <w:r>
        <w:rPr>
          <w:rFonts w:hint="eastAsia"/>
          <w:b/>
          <w:bCs w:val="0"/>
          <w:color w:val="auto"/>
          <w:sz w:val="21"/>
          <w:szCs w:val="21"/>
          <w:highlight w:val="none"/>
        </w:rPr>
        <w:t>八、订立时间</w:t>
      </w:r>
      <w:bookmarkEnd w:id="369"/>
      <w:bookmarkEnd w:id="370"/>
      <w:bookmarkEnd w:id="371"/>
      <w:bookmarkEnd w:id="372"/>
      <w:bookmarkEnd w:id="373"/>
    </w:p>
    <w:p w14:paraId="04C956E0">
      <w:pPr>
        <w:spacing w:line="360" w:lineRule="auto"/>
        <w:ind w:firstLine="420"/>
        <w:rPr>
          <w:rFonts w:ascii="宋体" w:hAnsi="宋体"/>
          <w:color w:val="auto"/>
          <w:szCs w:val="21"/>
          <w:highlight w:val="none"/>
        </w:rPr>
      </w:pPr>
      <w:r>
        <w:rPr>
          <w:rFonts w:hint="eastAsia" w:ascii="宋体" w:hAnsi="宋体"/>
          <w:color w:val="auto"/>
          <w:szCs w:val="21"/>
          <w:highlight w:val="none"/>
        </w:rPr>
        <w:t>本合同于</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rPr>
        <w:t>年</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rPr>
        <w:t>月</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rPr>
        <w:t>日订立。</w:t>
      </w:r>
    </w:p>
    <w:p w14:paraId="30F36A14">
      <w:pPr>
        <w:pStyle w:val="160"/>
        <w:numPr>
          <w:ilvl w:val="0"/>
          <w:numId w:val="0"/>
        </w:numPr>
        <w:wordWrap/>
        <w:topLinePunct w:val="0"/>
        <w:spacing w:after="120"/>
        <w:ind w:firstLine="422" w:firstLineChars="200"/>
        <w:rPr>
          <w:b/>
          <w:bCs w:val="0"/>
          <w:color w:val="auto"/>
          <w:sz w:val="21"/>
          <w:szCs w:val="21"/>
          <w:highlight w:val="none"/>
        </w:rPr>
      </w:pPr>
      <w:bookmarkStart w:id="374" w:name="_Toc8526"/>
      <w:bookmarkStart w:id="375" w:name="_Toc27663"/>
      <w:bookmarkStart w:id="376" w:name="_Toc54862173"/>
      <w:bookmarkStart w:id="377" w:name="_Toc28643"/>
      <w:bookmarkStart w:id="378" w:name="_Toc20025"/>
      <w:r>
        <w:rPr>
          <w:rFonts w:hint="eastAsia"/>
          <w:b/>
          <w:bCs w:val="0"/>
          <w:color w:val="auto"/>
          <w:sz w:val="21"/>
          <w:szCs w:val="21"/>
          <w:highlight w:val="none"/>
        </w:rPr>
        <w:t>九、订立地点</w:t>
      </w:r>
      <w:bookmarkEnd w:id="374"/>
      <w:bookmarkEnd w:id="375"/>
      <w:bookmarkEnd w:id="376"/>
      <w:bookmarkEnd w:id="377"/>
      <w:bookmarkEnd w:id="378"/>
    </w:p>
    <w:p w14:paraId="29BB9A84">
      <w:pPr>
        <w:spacing w:line="360" w:lineRule="auto"/>
        <w:ind w:firstLine="420"/>
        <w:rPr>
          <w:rFonts w:ascii="宋体" w:hAnsi="宋体"/>
          <w:color w:val="auto"/>
          <w:szCs w:val="21"/>
          <w:highlight w:val="none"/>
        </w:rPr>
      </w:pPr>
      <w:r>
        <w:rPr>
          <w:rFonts w:hint="eastAsia" w:ascii="宋体" w:hAnsi="宋体"/>
          <w:color w:val="auto"/>
          <w:szCs w:val="21"/>
          <w:highlight w:val="none"/>
        </w:rPr>
        <w:t>本合同在</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rPr>
        <w:t>订立。</w:t>
      </w:r>
    </w:p>
    <w:p w14:paraId="56DADDA0">
      <w:pPr>
        <w:pStyle w:val="160"/>
        <w:numPr>
          <w:ilvl w:val="0"/>
          <w:numId w:val="0"/>
        </w:numPr>
        <w:wordWrap/>
        <w:topLinePunct w:val="0"/>
        <w:spacing w:after="120"/>
        <w:ind w:firstLine="422" w:firstLineChars="200"/>
        <w:rPr>
          <w:b/>
          <w:bCs w:val="0"/>
          <w:color w:val="auto"/>
          <w:sz w:val="21"/>
          <w:szCs w:val="21"/>
          <w:highlight w:val="none"/>
        </w:rPr>
      </w:pPr>
      <w:bookmarkStart w:id="379" w:name="_Toc1201"/>
      <w:bookmarkStart w:id="380" w:name="_Toc22641"/>
      <w:bookmarkStart w:id="381" w:name="_Toc54862174"/>
      <w:bookmarkStart w:id="382" w:name="_Toc19159"/>
      <w:bookmarkStart w:id="383" w:name="_Toc20263"/>
      <w:r>
        <w:rPr>
          <w:rFonts w:hint="eastAsia"/>
          <w:b/>
          <w:bCs w:val="0"/>
          <w:color w:val="auto"/>
          <w:sz w:val="21"/>
          <w:szCs w:val="21"/>
          <w:highlight w:val="none"/>
        </w:rPr>
        <w:t>十、合同生效</w:t>
      </w:r>
      <w:bookmarkEnd w:id="379"/>
      <w:bookmarkEnd w:id="380"/>
      <w:bookmarkEnd w:id="381"/>
      <w:bookmarkEnd w:id="382"/>
      <w:bookmarkEnd w:id="383"/>
    </w:p>
    <w:p w14:paraId="62810728">
      <w:pPr>
        <w:pStyle w:val="160"/>
        <w:numPr>
          <w:ilvl w:val="0"/>
          <w:numId w:val="0"/>
        </w:numPr>
        <w:wordWrap/>
        <w:topLinePunct w:val="0"/>
        <w:spacing w:after="120"/>
        <w:ind w:firstLine="420" w:firstLineChars="200"/>
        <w:outlineLvl w:val="9"/>
        <w:rPr>
          <w:rFonts w:hint="eastAsia"/>
          <w:b w:val="0"/>
          <w:bCs/>
          <w:color w:val="auto"/>
          <w:sz w:val="21"/>
          <w:szCs w:val="21"/>
          <w:highlight w:val="none"/>
        </w:rPr>
      </w:pPr>
      <w:bookmarkStart w:id="384" w:name="_Toc24707"/>
      <w:bookmarkStart w:id="385" w:name="_Toc21130"/>
      <w:bookmarkStart w:id="386" w:name="_Toc27488"/>
      <w:bookmarkStart w:id="387" w:name="_Toc54862175"/>
      <w:r>
        <w:rPr>
          <w:rFonts w:hint="eastAsia"/>
          <w:b w:val="0"/>
          <w:bCs/>
          <w:color w:val="auto"/>
          <w:sz w:val="21"/>
          <w:szCs w:val="21"/>
          <w:highlight w:val="none"/>
          <w:lang w:val="en-US" w:eastAsia="zh-CN"/>
        </w:rPr>
        <w:t>本合同经双方签字或盖章后成立，并自</w:t>
      </w:r>
      <w:r>
        <w:rPr>
          <w:rFonts w:hint="eastAsia" w:ascii="宋体" w:hAnsi="宋体"/>
          <w:color w:val="auto"/>
          <w:szCs w:val="21"/>
          <w:highlight w:val="none"/>
          <w:u w:val="single"/>
          <w:lang w:val="en-US" w:eastAsia="zh-CN"/>
        </w:rPr>
        <w:t xml:space="preserve">  </w:t>
      </w:r>
      <w:r>
        <w:rPr>
          <w:rFonts w:hint="eastAsia" w:cs="Times New Roman"/>
          <w:b w:val="0"/>
          <w:bCs/>
          <w:color w:val="auto"/>
          <w:sz w:val="21"/>
          <w:szCs w:val="21"/>
          <w:highlight w:val="none"/>
          <w:u w:val="single"/>
          <w:lang w:val="en-US" w:eastAsia="zh-CN"/>
        </w:rPr>
        <w:t>成立后</w:t>
      </w:r>
      <w:r>
        <w:rPr>
          <w:rFonts w:hint="eastAsia" w:ascii="宋体" w:hAnsi="宋体"/>
          <w:color w:val="auto"/>
          <w:szCs w:val="21"/>
          <w:highlight w:val="none"/>
          <w:u w:val="single"/>
          <w:lang w:val="en-US" w:eastAsia="zh-CN"/>
        </w:rPr>
        <w:t xml:space="preserve"> </w:t>
      </w:r>
      <w:r>
        <w:rPr>
          <w:rFonts w:hint="eastAsia"/>
          <w:b w:val="0"/>
          <w:bCs/>
          <w:color w:val="auto"/>
          <w:sz w:val="21"/>
          <w:szCs w:val="21"/>
          <w:highlight w:val="none"/>
          <w:lang w:val="en-US" w:eastAsia="zh-CN"/>
        </w:rPr>
        <w:t>生效</w:t>
      </w:r>
    </w:p>
    <w:p w14:paraId="0768ABF7">
      <w:pPr>
        <w:pStyle w:val="160"/>
        <w:numPr>
          <w:ilvl w:val="0"/>
          <w:numId w:val="0"/>
        </w:numPr>
        <w:wordWrap/>
        <w:topLinePunct w:val="0"/>
        <w:spacing w:after="120"/>
        <w:ind w:firstLine="422" w:firstLineChars="200"/>
        <w:rPr>
          <w:b/>
          <w:bCs w:val="0"/>
          <w:color w:val="auto"/>
          <w:sz w:val="21"/>
          <w:szCs w:val="21"/>
          <w:highlight w:val="none"/>
        </w:rPr>
      </w:pPr>
      <w:bookmarkStart w:id="388" w:name="_Toc19388"/>
      <w:r>
        <w:rPr>
          <w:rFonts w:hint="eastAsia"/>
          <w:b/>
          <w:bCs w:val="0"/>
          <w:color w:val="auto"/>
          <w:sz w:val="21"/>
          <w:szCs w:val="21"/>
          <w:highlight w:val="none"/>
        </w:rPr>
        <w:t>十一、合同份数</w:t>
      </w:r>
      <w:bookmarkEnd w:id="384"/>
      <w:bookmarkEnd w:id="385"/>
      <w:bookmarkEnd w:id="386"/>
      <w:bookmarkEnd w:id="387"/>
      <w:bookmarkEnd w:id="388"/>
    </w:p>
    <w:p w14:paraId="781BBD49">
      <w:pPr>
        <w:spacing w:line="360" w:lineRule="auto"/>
        <w:ind w:firstLine="420"/>
        <w:rPr>
          <w:rFonts w:ascii="宋体" w:hAnsi="宋体"/>
          <w:color w:val="auto"/>
          <w:szCs w:val="21"/>
          <w:highlight w:val="none"/>
        </w:rPr>
      </w:pPr>
      <w:r>
        <w:rPr>
          <w:rFonts w:hint="eastAsia" w:ascii="宋体" w:hAnsi="宋体"/>
          <w:color w:val="auto"/>
          <w:szCs w:val="21"/>
          <w:highlight w:val="none"/>
        </w:rPr>
        <w:t>本合同一式</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rPr>
        <w:t>份，均具有同等法律效力，发包人执</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rPr>
        <w:t>份，承包人执</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rPr>
        <w:t>份。</w:t>
      </w:r>
    </w:p>
    <w:p w14:paraId="52ECE89A">
      <w:pPr>
        <w:spacing w:line="360" w:lineRule="auto"/>
        <w:ind w:firstLine="420"/>
        <w:rPr>
          <w:rFonts w:ascii="宋体" w:hAnsi="宋体"/>
          <w:color w:val="auto"/>
          <w:szCs w:val="21"/>
          <w:highlight w:val="none"/>
        </w:rPr>
      </w:pPr>
    </w:p>
    <w:p w14:paraId="6F07F8D9">
      <w:pPr>
        <w:spacing w:line="360" w:lineRule="auto"/>
        <w:ind w:firstLine="420"/>
        <w:rPr>
          <w:rFonts w:ascii="宋体" w:hAnsi="宋体"/>
          <w:color w:val="auto"/>
          <w:szCs w:val="21"/>
          <w:highlight w:val="none"/>
        </w:rPr>
      </w:pPr>
    </w:p>
    <w:tbl>
      <w:tblPr>
        <w:tblStyle w:val="42"/>
        <w:tblpPr w:leftFromText="180" w:rightFromText="180" w:vertAnchor="text" w:horzAnchor="page" w:tblpXSpec="center" w:tblpY="119"/>
        <w:tblW w:w="0" w:type="auto"/>
        <w:jc w:val="center"/>
        <w:tblLayout w:type="fixed"/>
        <w:tblCellMar>
          <w:top w:w="0" w:type="dxa"/>
          <w:left w:w="108" w:type="dxa"/>
          <w:bottom w:w="0" w:type="dxa"/>
          <w:right w:w="108" w:type="dxa"/>
        </w:tblCellMar>
      </w:tblPr>
      <w:tblGrid>
        <w:gridCol w:w="4507"/>
        <w:gridCol w:w="4565"/>
      </w:tblGrid>
      <w:tr w14:paraId="47F792B3">
        <w:tblPrEx>
          <w:tblCellMar>
            <w:top w:w="0" w:type="dxa"/>
            <w:left w:w="108" w:type="dxa"/>
            <w:bottom w:w="0" w:type="dxa"/>
            <w:right w:w="108" w:type="dxa"/>
          </w:tblCellMar>
        </w:tblPrEx>
        <w:trPr>
          <w:jc w:val="center"/>
        </w:trPr>
        <w:tc>
          <w:tcPr>
            <w:tcW w:w="4507" w:type="dxa"/>
            <w:noWrap/>
          </w:tcPr>
          <w:p w14:paraId="58692C28">
            <w:pPr>
              <w:pStyle w:val="177"/>
              <w:framePr w:hSpace="0" w:wrap="auto" w:vAnchor="margin" w:hAnchor="text" w:yAlign="inline"/>
              <w:spacing w:after="50" w:line="360" w:lineRule="auto"/>
              <w:rPr>
                <w:rFonts w:hAnsi="宋体"/>
                <w:color w:val="auto"/>
                <w:sz w:val="21"/>
                <w:szCs w:val="21"/>
                <w:highlight w:val="none"/>
              </w:rPr>
            </w:pPr>
            <w:r>
              <w:rPr>
                <w:rFonts w:hint="eastAsia" w:hAnsi="宋体"/>
                <w:color w:val="auto"/>
                <w:sz w:val="21"/>
                <w:szCs w:val="21"/>
                <w:highlight w:val="none"/>
              </w:rPr>
              <w:t>发包人：（公章）</w:t>
            </w:r>
          </w:p>
          <w:p w14:paraId="56D4EBE1">
            <w:pPr>
              <w:pStyle w:val="177"/>
              <w:framePr w:hSpace="0" w:wrap="auto" w:vAnchor="margin" w:hAnchor="text" w:yAlign="inline"/>
              <w:spacing w:after="50" w:line="360" w:lineRule="auto"/>
              <w:rPr>
                <w:rFonts w:hAnsi="宋体"/>
                <w:color w:val="auto"/>
                <w:sz w:val="21"/>
                <w:szCs w:val="21"/>
                <w:highlight w:val="none"/>
              </w:rPr>
            </w:pPr>
          </w:p>
          <w:p w14:paraId="5464D869">
            <w:pPr>
              <w:pStyle w:val="177"/>
              <w:framePr w:hSpace="0" w:wrap="auto" w:vAnchor="margin" w:hAnchor="text" w:yAlign="inline"/>
              <w:spacing w:after="50" w:line="360" w:lineRule="auto"/>
              <w:rPr>
                <w:rFonts w:hAnsi="宋体"/>
                <w:color w:val="auto"/>
                <w:sz w:val="21"/>
                <w:szCs w:val="21"/>
                <w:highlight w:val="none"/>
              </w:rPr>
            </w:pPr>
          </w:p>
        </w:tc>
        <w:tc>
          <w:tcPr>
            <w:tcW w:w="4565" w:type="dxa"/>
            <w:noWrap/>
          </w:tcPr>
          <w:p w14:paraId="33F6ACDB">
            <w:pPr>
              <w:pStyle w:val="177"/>
              <w:framePr w:hSpace="0" w:wrap="auto" w:vAnchor="margin" w:hAnchor="text" w:yAlign="inline"/>
              <w:spacing w:after="50" w:line="360" w:lineRule="auto"/>
              <w:rPr>
                <w:rFonts w:hAnsi="宋体"/>
                <w:color w:val="auto"/>
                <w:sz w:val="21"/>
                <w:szCs w:val="21"/>
                <w:highlight w:val="none"/>
              </w:rPr>
            </w:pPr>
            <w:r>
              <w:rPr>
                <w:rFonts w:hint="eastAsia" w:hAnsi="宋体"/>
                <w:color w:val="auto"/>
                <w:sz w:val="21"/>
                <w:szCs w:val="21"/>
                <w:highlight w:val="none"/>
              </w:rPr>
              <w:t>承包人：（公章）</w:t>
            </w:r>
          </w:p>
          <w:p w14:paraId="0AC5539F">
            <w:pPr>
              <w:pStyle w:val="177"/>
              <w:framePr w:hSpace="0" w:wrap="auto" w:vAnchor="margin" w:hAnchor="text" w:yAlign="inline"/>
              <w:spacing w:after="50" w:line="360" w:lineRule="auto"/>
              <w:rPr>
                <w:rFonts w:hAnsi="宋体"/>
                <w:color w:val="auto"/>
                <w:sz w:val="21"/>
                <w:szCs w:val="21"/>
                <w:highlight w:val="none"/>
              </w:rPr>
            </w:pPr>
          </w:p>
        </w:tc>
      </w:tr>
      <w:tr w14:paraId="3C50CE37">
        <w:tblPrEx>
          <w:tblCellMar>
            <w:top w:w="0" w:type="dxa"/>
            <w:left w:w="108" w:type="dxa"/>
            <w:bottom w:w="0" w:type="dxa"/>
            <w:right w:w="108" w:type="dxa"/>
          </w:tblCellMar>
        </w:tblPrEx>
        <w:trPr>
          <w:jc w:val="center"/>
        </w:trPr>
        <w:tc>
          <w:tcPr>
            <w:tcW w:w="4507" w:type="dxa"/>
            <w:noWrap/>
          </w:tcPr>
          <w:p w14:paraId="5D522331">
            <w:pPr>
              <w:pStyle w:val="177"/>
              <w:framePr w:hSpace="0" w:wrap="auto" w:vAnchor="margin" w:hAnchor="text" w:yAlign="inline"/>
              <w:spacing w:after="50" w:line="360" w:lineRule="auto"/>
              <w:rPr>
                <w:rFonts w:hAnsi="宋体"/>
                <w:color w:val="auto"/>
                <w:sz w:val="21"/>
                <w:szCs w:val="21"/>
                <w:highlight w:val="none"/>
              </w:rPr>
            </w:pPr>
            <w:r>
              <w:rPr>
                <w:rFonts w:hint="eastAsia" w:hAnsi="宋体"/>
                <w:color w:val="auto"/>
                <w:sz w:val="21"/>
                <w:szCs w:val="21"/>
                <w:highlight w:val="none"/>
              </w:rPr>
              <w:t>法定代表人或其委托代理人：</w:t>
            </w:r>
          </w:p>
          <w:p w14:paraId="2E61ECFB">
            <w:pPr>
              <w:pStyle w:val="177"/>
              <w:framePr w:hSpace="0" w:wrap="auto" w:vAnchor="margin" w:hAnchor="text" w:yAlign="inline"/>
              <w:spacing w:after="50" w:line="360" w:lineRule="auto"/>
              <w:rPr>
                <w:rFonts w:hAnsi="宋体"/>
                <w:color w:val="auto"/>
                <w:sz w:val="21"/>
                <w:szCs w:val="21"/>
                <w:highlight w:val="none"/>
              </w:rPr>
            </w:pPr>
            <w:r>
              <w:rPr>
                <w:rFonts w:hint="eastAsia" w:hAnsi="宋体"/>
                <w:color w:val="auto"/>
                <w:sz w:val="21"/>
                <w:szCs w:val="21"/>
                <w:highlight w:val="none"/>
              </w:rPr>
              <w:t>（签字）</w:t>
            </w:r>
          </w:p>
          <w:p w14:paraId="43A7CCDE">
            <w:pPr>
              <w:pStyle w:val="177"/>
              <w:framePr w:hSpace="0" w:wrap="auto" w:vAnchor="margin" w:hAnchor="text" w:yAlign="inline"/>
              <w:spacing w:after="50" w:line="360" w:lineRule="auto"/>
              <w:rPr>
                <w:rFonts w:hAnsi="宋体"/>
                <w:color w:val="auto"/>
                <w:sz w:val="21"/>
                <w:szCs w:val="21"/>
                <w:highlight w:val="none"/>
              </w:rPr>
            </w:pPr>
          </w:p>
        </w:tc>
        <w:tc>
          <w:tcPr>
            <w:tcW w:w="4565" w:type="dxa"/>
            <w:noWrap/>
          </w:tcPr>
          <w:p w14:paraId="4F5C2800">
            <w:pPr>
              <w:pStyle w:val="177"/>
              <w:framePr w:hSpace="0" w:wrap="auto" w:vAnchor="margin" w:hAnchor="text" w:yAlign="inline"/>
              <w:spacing w:after="50" w:line="360" w:lineRule="auto"/>
              <w:rPr>
                <w:rFonts w:hAnsi="宋体"/>
                <w:color w:val="auto"/>
                <w:sz w:val="21"/>
                <w:szCs w:val="21"/>
                <w:highlight w:val="none"/>
              </w:rPr>
            </w:pPr>
            <w:r>
              <w:rPr>
                <w:rFonts w:hint="eastAsia" w:hAnsi="宋体"/>
                <w:color w:val="auto"/>
                <w:sz w:val="21"/>
                <w:szCs w:val="21"/>
                <w:highlight w:val="none"/>
              </w:rPr>
              <w:t>法定代表人或其委托代理人：</w:t>
            </w:r>
          </w:p>
          <w:p w14:paraId="16639AA8">
            <w:pPr>
              <w:pStyle w:val="177"/>
              <w:framePr w:hSpace="0" w:wrap="auto" w:vAnchor="margin" w:hAnchor="text" w:yAlign="inline"/>
              <w:spacing w:after="50" w:line="360" w:lineRule="auto"/>
              <w:rPr>
                <w:rFonts w:hAnsi="宋体"/>
                <w:color w:val="auto"/>
                <w:sz w:val="21"/>
                <w:szCs w:val="21"/>
                <w:highlight w:val="none"/>
              </w:rPr>
            </w:pPr>
            <w:r>
              <w:rPr>
                <w:rFonts w:hint="eastAsia" w:hAnsi="宋体"/>
                <w:color w:val="auto"/>
                <w:sz w:val="21"/>
                <w:szCs w:val="21"/>
                <w:highlight w:val="none"/>
              </w:rPr>
              <w:t>（签字）</w:t>
            </w:r>
          </w:p>
          <w:p w14:paraId="2B8808EE">
            <w:pPr>
              <w:pStyle w:val="177"/>
              <w:framePr w:hSpace="0" w:wrap="auto" w:vAnchor="margin" w:hAnchor="text" w:yAlign="inline"/>
              <w:spacing w:after="50" w:line="360" w:lineRule="auto"/>
              <w:rPr>
                <w:rFonts w:hAnsi="宋体"/>
                <w:color w:val="auto"/>
                <w:sz w:val="21"/>
                <w:szCs w:val="21"/>
                <w:highlight w:val="none"/>
              </w:rPr>
            </w:pPr>
          </w:p>
        </w:tc>
      </w:tr>
      <w:tr w14:paraId="7C42BBB5">
        <w:tblPrEx>
          <w:tblCellMar>
            <w:top w:w="0" w:type="dxa"/>
            <w:left w:w="108" w:type="dxa"/>
            <w:bottom w:w="0" w:type="dxa"/>
            <w:right w:w="108" w:type="dxa"/>
          </w:tblCellMar>
        </w:tblPrEx>
        <w:trPr>
          <w:jc w:val="center"/>
        </w:trPr>
        <w:tc>
          <w:tcPr>
            <w:tcW w:w="4507" w:type="dxa"/>
            <w:noWrap/>
          </w:tcPr>
          <w:p w14:paraId="7133D313">
            <w:pPr>
              <w:pStyle w:val="177"/>
              <w:framePr w:hSpace="0" w:wrap="auto" w:vAnchor="margin" w:hAnchor="text" w:yAlign="inline"/>
              <w:spacing w:after="50" w:line="360" w:lineRule="auto"/>
              <w:rPr>
                <w:rFonts w:hAnsi="宋体"/>
                <w:color w:val="auto"/>
                <w:sz w:val="21"/>
                <w:szCs w:val="21"/>
                <w:highlight w:val="none"/>
              </w:rPr>
            </w:pPr>
            <w:r>
              <w:rPr>
                <w:rFonts w:hint="eastAsia" w:hAnsi="宋体"/>
                <w:color w:val="auto"/>
                <w:sz w:val="21"/>
                <w:szCs w:val="21"/>
                <w:highlight w:val="none"/>
              </w:rPr>
              <w:t>统一社会信用代码：</w:t>
            </w:r>
          </w:p>
          <w:p w14:paraId="4F89BA06">
            <w:pPr>
              <w:pStyle w:val="177"/>
              <w:framePr w:hSpace="0" w:wrap="auto" w:vAnchor="margin" w:hAnchor="text" w:yAlign="inline"/>
              <w:spacing w:after="50" w:line="360" w:lineRule="auto"/>
              <w:rPr>
                <w:rFonts w:hAnsi="宋体"/>
                <w:color w:val="auto"/>
                <w:sz w:val="21"/>
                <w:szCs w:val="21"/>
                <w:highlight w:val="none"/>
              </w:rPr>
            </w:pPr>
            <w:r>
              <w:rPr>
                <w:rFonts w:hint="eastAsia" w:hAnsi="宋体"/>
                <w:color w:val="auto"/>
                <w:sz w:val="21"/>
                <w:szCs w:val="21"/>
                <w:highlight w:val="none"/>
              </w:rPr>
              <w:t>地址：</w:t>
            </w:r>
          </w:p>
          <w:p w14:paraId="5338A6C3">
            <w:pPr>
              <w:pStyle w:val="177"/>
              <w:framePr w:hSpace="0" w:wrap="auto" w:vAnchor="margin" w:hAnchor="text" w:yAlign="inline"/>
              <w:spacing w:after="50" w:line="360" w:lineRule="auto"/>
              <w:rPr>
                <w:rFonts w:hAnsi="宋体"/>
                <w:color w:val="auto"/>
                <w:sz w:val="21"/>
                <w:szCs w:val="21"/>
                <w:highlight w:val="none"/>
              </w:rPr>
            </w:pPr>
            <w:r>
              <w:rPr>
                <w:rFonts w:hint="eastAsia" w:hAnsi="宋体"/>
                <w:color w:val="auto"/>
                <w:sz w:val="21"/>
                <w:szCs w:val="21"/>
                <w:highlight w:val="none"/>
              </w:rPr>
              <w:t>邮政编码：</w:t>
            </w:r>
          </w:p>
          <w:p w14:paraId="15AC9B53">
            <w:pPr>
              <w:pStyle w:val="177"/>
              <w:framePr w:hSpace="0" w:wrap="auto" w:vAnchor="margin" w:hAnchor="text" w:yAlign="inline"/>
              <w:spacing w:after="50" w:line="360" w:lineRule="auto"/>
              <w:rPr>
                <w:rFonts w:hAnsi="宋体"/>
                <w:color w:val="auto"/>
                <w:sz w:val="21"/>
                <w:szCs w:val="21"/>
                <w:highlight w:val="none"/>
              </w:rPr>
            </w:pPr>
            <w:r>
              <w:rPr>
                <w:rFonts w:hint="eastAsia" w:hAnsi="宋体"/>
                <w:color w:val="auto"/>
                <w:sz w:val="21"/>
                <w:szCs w:val="21"/>
                <w:highlight w:val="none"/>
              </w:rPr>
              <w:t>法定代表人：</w:t>
            </w:r>
          </w:p>
          <w:p w14:paraId="45306F5B">
            <w:pPr>
              <w:pStyle w:val="177"/>
              <w:framePr w:hSpace="0" w:wrap="auto" w:vAnchor="margin" w:hAnchor="text" w:yAlign="inline"/>
              <w:spacing w:after="50" w:line="360" w:lineRule="auto"/>
              <w:rPr>
                <w:rFonts w:hAnsi="宋体"/>
                <w:color w:val="auto"/>
                <w:sz w:val="21"/>
                <w:szCs w:val="21"/>
                <w:highlight w:val="none"/>
              </w:rPr>
            </w:pPr>
            <w:r>
              <w:rPr>
                <w:rFonts w:hint="eastAsia" w:hAnsi="宋体"/>
                <w:color w:val="auto"/>
                <w:sz w:val="21"/>
                <w:szCs w:val="21"/>
                <w:highlight w:val="none"/>
              </w:rPr>
              <w:t>委托代理人：</w:t>
            </w:r>
          </w:p>
          <w:p w14:paraId="2887A283">
            <w:pPr>
              <w:pStyle w:val="177"/>
              <w:framePr w:hSpace="0" w:wrap="auto" w:vAnchor="margin" w:hAnchor="text" w:yAlign="inline"/>
              <w:spacing w:after="50" w:line="360" w:lineRule="auto"/>
              <w:rPr>
                <w:rFonts w:hAnsi="宋体"/>
                <w:color w:val="auto"/>
                <w:sz w:val="21"/>
                <w:szCs w:val="21"/>
                <w:highlight w:val="none"/>
              </w:rPr>
            </w:pPr>
            <w:r>
              <w:rPr>
                <w:rFonts w:hint="eastAsia" w:hAnsi="宋体"/>
                <w:color w:val="auto"/>
                <w:sz w:val="21"/>
                <w:szCs w:val="21"/>
                <w:highlight w:val="none"/>
              </w:rPr>
              <w:t>电话：</w:t>
            </w:r>
          </w:p>
          <w:p w14:paraId="2E1521C5">
            <w:pPr>
              <w:pStyle w:val="177"/>
              <w:framePr w:hSpace="0" w:wrap="auto" w:vAnchor="margin" w:hAnchor="text" w:yAlign="inline"/>
              <w:spacing w:after="50" w:line="360" w:lineRule="auto"/>
              <w:rPr>
                <w:rFonts w:hAnsi="宋体"/>
                <w:color w:val="auto"/>
                <w:sz w:val="21"/>
                <w:szCs w:val="21"/>
                <w:highlight w:val="none"/>
              </w:rPr>
            </w:pPr>
            <w:r>
              <w:rPr>
                <w:rFonts w:hint="eastAsia" w:hAnsi="宋体"/>
                <w:color w:val="auto"/>
                <w:sz w:val="21"/>
                <w:szCs w:val="21"/>
                <w:highlight w:val="none"/>
              </w:rPr>
              <w:t xml:space="preserve">传真： </w:t>
            </w:r>
          </w:p>
          <w:p w14:paraId="178ECAF9">
            <w:pPr>
              <w:pStyle w:val="177"/>
              <w:framePr w:hSpace="0" w:wrap="auto" w:vAnchor="margin" w:hAnchor="text" w:yAlign="inline"/>
              <w:spacing w:after="50" w:line="360" w:lineRule="auto"/>
              <w:rPr>
                <w:rFonts w:hAnsi="宋体"/>
                <w:color w:val="auto"/>
                <w:sz w:val="21"/>
                <w:szCs w:val="21"/>
                <w:highlight w:val="none"/>
              </w:rPr>
            </w:pPr>
            <w:r>
              <w:rPr>
                <w:rFonts w:hint="eastAsia" w:hAnsi="宋体"/>
                <w:color w:val="auto"/>
                <w:sz w:val="21"/>
                <w:szCs w:val="21"/>
                <w:highlight w:val="none"/>
              </w:rPr>
              <w:t>电子信箱：</w:t>
            </w:r>
          </w:p>
          <w:p w14:paraId="3E781EE0">
            <w:pPr>
              <w:pStyle w:val="177"/>
              <w:framePr w:hSpace="0" w:wrap="auto" w:vAnchor="margin" w:hAnchor="text" w:yAlign="inline"/>
              <w:spacing w:after="50" w:line="360" w:lineRule="auto"/>
              <w:rPr>
                <w:rFonts w:hAnsi="宋体"/>
                <w:color w:val="auto"/>
                <w:sz w:val="21"/>
                <w:szCs w:val="21"/>
                <w:highlight w:val="none"/>
              </w:rPr>
            </w:pPr>
            <w:r>
              <w:rPr>
                <w:rFonts w:hint="eastAsia" w:hAnsi="宋体"/>
                <w:color w:val="auto"/>
                <w:sz w:val="21"/>
                <w:szCs w:val="21"/>
                <w:highlight w:val="none"/>
              </w:rPr>
              <w:t>开户银行：</w:t>
            </w:r>
          </w:p>
          <w:p w14:paraId="1D64E22B">
            <w:pPr>
              <w:pStyle w:val="177"/>
              <w:framePr w:hSpace="0" w:wrap="auto" w:vAnchor="margin" w:hAnchor="text" w:yAlign="inline"/>
              <w:spacing w:after="50" w:line="360" w:lineRule="auto"/>
              <w:rPr>
                <w:rFonts w:hAnsi="宋体"/>
                <w:color w:val="auto"/>
                <w:sz w:val="21"/>
                <w:szCs w:val="21"/>
                <w:highlight w:val="none"/>
              </w:rPr>
            </w:pPr>
            <w:r>
              <w:rPr>
                <w:rFonts w:hint="eastAsia" w:hAnsi="宋体"/>
                <w:color w:val="auto"/>
                <w:sz w:val="21"/>
                <w:szCs w:val="21"/>
                <w:highlight w:val="none"/>
              </w:rPr>
              <w:t>账号：</w:t>
            </w:r>
          </w:p>
        </w:tc>
        <w:tc>
          <w:tcPr>
            <w:tcW w:w="4565" w:type="dxa"/>
            <w:noWrap/>
          </w:tcPr>
          <w:p w14:paraId="4CC5355A">
            <w:pPr>
              <w:pStyle w:val="177"/>
              <w:framePr w:hSpace="0" w:wrap="auto" w:vAnchor="margin" w:hAnchor="text" w:yAlign="inline"/>
              <w:spacing w:after="50" w:line="360" w:lineRule="auto"/>
              <w:rPr>
                <w:rFonts w:hAnsi="宋体"/>
                <w:color w:val="auto"/>
                <w:sz w:val="21"/>
                <w:szCs w:val="21"/>
                <w:highlight w:val="none"/>
              </w:rPr>
            </w:pPr>
            <w:r>
              <w:rPr>
                <w:rFonts w:hint="eastAsia" w:hAnsi="宋体"/>
                <w:color w:val="auto"/>
                <w:sz w:val="21"/>
                <w:szCs w:val="21"/>
                <w:highlight w:val="none"/>
              </w:rPr>
              <w:t>统一社会信用代码：</w:t>
            </w:r>
          </w:p>
          <w:p w14:paraId="2563186B">
            <w:pPr>
              <w:pStyle w:val="177"/>
              <w:framePr w:hSpace="0" w:wrap="auto" w:vAnchor="margin" w:hAnchor="text" w:yAlign="inline"/>
              <w:spacing w:after="50" w:line="360" w:lineRule="auto"/>
              <w:rPr>
                <w:rFonts w:hAnsi="宋体"/>
                <w:color w:val="auto"/>
                <w:sz w:val="21"/>
                <w:szCs w:val="21"/>
                <w:highlight w:val="none"/>
              </w:rPr>
            </w:pPr>
            <w:r>
              <w:rPr>
                <w:rFonts w:hint="eastAsia" w:hAnsi="宋体"/>
                <w:color w:val="auto"/>
                <w:sz w:val="21"/>
                <w:szCs w:val="21"/>
                <w:highlight w:val="none"/>
              </w:rPr>
              <w:t>地址：</w:t>
            </w:r>
          </w:p>
          <w:p w14:paraId="4E71CA74">
            <w:pPr>
              <w:pStyle w:val="177"/>
              <w:framePr w:hSpace="0" w:wrap="auto" w:vAnchor="margin" w:hAnchor="text" w:yAlign="inline"/>
              <w:spacing w:after="50" w:line="360" w:lineRule="auto"/>
              <w:rPr>
                <w:rFonts w:hAnsi="宋体"/>
                <w:color w:val="auto"/>
                <w:sz w:val="21"/>
                <w:szCs w:val="21"/>
                <w:highlight w:val="none"/>
              </w:rPr>
            </w:pPr>
            <w:r>
              <w:rPr>
                <w:rFonts w:hint="eastAsia" w:hAnsi="宋体"/>
                <w:color w:val="auto"/>
                <w:sz w:val="21"/>
                <w:szCs w:val="21"/>
                <w:highlight w:val="none"/>
              </w:rPr>
              <w:t>邮政编码：</w:t>
            </w:r>
          </w:p>
          <w:p w14:paraId="7D194A79">
            <w:pPr>
              <w:pStyle w:val="177"/>
              <w:framePr w:hSpace="0" w:wrap="auto" w:vAnchor="margin" w:hAnchor="text" w:yAlign="inline"/>
              <w:spacing w:after="50" w:line="360" w:lineRule="auto"/>
              <w:rPr>
                <w:rFonts w:hAnsi="宋体"/>
                <w:color w:val="auto"/>
                <w:sz w:val="21"/>
                <w:szCs w:val="21"/>
                <w:highlight w:val="none"/>
              </w:rPr>
            </w:pPr>
            <w:r>
              <w:rPr>
                <w:rFonts w:hint="eastAsia" w:hAnsi="宋体"/>
                <w:color w:val="auto"/>
                <w:sz w:val="21"/>
                <w:szCs w:val="21"/>
                <w:highlight w:val="none"/>
              </w:rPr>
              <w:t>法定代表人：</w:t>
            </w:r>
          </w:p>
          <w:p w14:paraId="0155678D">
            <w:pPr>
              <w:pStyle w:val="177"/>
              <w:framePr w:hSpace="0" w:wrap="auto" w:vAnchor="margin" w:hAnchor="text" w:yAlign="inline"/>
              <w:spacing w:after="50" w:line="360" w:lineRule="auto"/>
              <w:rPr>
                <w:rFonts w:hAnsi="宋体"/>
                <w:color w:val="auto"/>
                <w:sz w:val="21"/>
                <w:szCs w:val="21"/>
                <w:highlight w:val="none"/>
              </w:rPr>
            </w:pPr>
            <w:r>
              <w:rPr>
                <w:rFonts w:hint="eastAsia" w:hAnsi="宋体"/>
                <w:color w:val="auto"/>
                <w:sz w:val="21"/>
                <w:szCs w:val="21"/>
                <w:highlight w:val="none"/>
              </w:rPr>
              <w:t>委托代理人：</w:t>
            </w:r>
          </w:p>
          <w:p w14:paraId="7CAD6A48">
            <w:pPr>
              <w:pStyle w:val="177"/>
              <w:framePr w:hSpace="0" w:wrap="auto" w:vAnchor="margin" w:hAnchor="text" w:yAlign="inline"/>
              <w:spacing w:after="50" w:line="360" w:lineRule="auto"/>
              <w:rPr>
                <w:rFonts w:hAnsi="宋体"/>
                <w:color w:val="auto"/>
                <w:sz w:val="21"/>
                <w:szCs w:val="21"/>
                <w:highlight w:val="none"/>
              </w:rPr>
            </w:pPr>
            <w:r>
              <w:rPr>
                <w:rFonts w:hint="eastAsia" w:hAnsi="宋体"/>
                <w:color w:val="auto"/>
                <w:sz w:val="21"/>
                <w:szCs w:val="21"/>
                <w:highlight w:val="none"/>
              </w:rPr>
              <w:t>电话：</w:t>
            </w:r>
          </w:p>
          <w:p w14:paraId="435A762D">
            <w:pPr>
              <w:pStyle w:val="177"/>
              <w:framePr w:hSpace="0" w:wrap="auto" w:vAnchor="margin" w:hAnchor="text" w:yAlign="inline"/>
              <w:spacing w:after="50" w:line="360" w:lineRule="auto"/>
              <w:rPr>
                <w:rFonts w:hAnsi="宋体"/>
                <w:color w:val="auto"/>
                <w:sz w:val="21"/>
                <w:szCs w:val="21"/>
                <w:highlight w:val="none"/>
              </w:rPr>
            </w:pPr>
            <w:r>
              <w:rPr>
                <w:rFonts w:hint="eastAsia" w:hAnsi="宋体"/>
                <w:color w:val="auto"/>
                <w:sz w:val="21"/>
                <w:szCs w:val="21"/>
                <w:highlight w:val="none"/>
              </w:rPr>
              <w:t>传真：</w:t>
            </w:r>
          </w:p>
          <w:p w14:paraId="0F4C2B6A">
            <w:pPr>
              <w:pStyle w:val="177"/>
              <w:framePr w:hSpace="0" w:wrap="auto" w:vAnchor="margin" w:hAnchor="text" w:yAlign="inline"/>
              <w:spacing w:after="50" w:line="360" w:lineRule="auto"/>
              <w:rPr>
                <w:rFonts w:hAnsi="宋体"/>
                <w:color w:val="auto"/>
                <w:sz w:val="21"/>
                <w:szCs w:val="21"/>
                <w:highlight w:val="none"/>
              </w:rPr>
            </w:pPr>
            <w:r>
              <w:rPr>
                <w:rFonts w:hint="eastAsia" w:hAnsi="宋体"/>
                <w:color w:val="auto"/>
                <w:sz w:val="21"/>
                <w:szCs w:val="21"/>
                <w:highlight w:val="none"/>
              </w:rPr>
              <w:t>电子信箱：</w:t>
            </w:r>
          </w:p>
          <w:p w14:paraId="073D3386">
            <w:pPr>
              <w:pStyle w:val="177"/>
              <w:framePr w:hSpace="0" w:wrap="auto" w:vAnchor="margin" w:hAnchor="text" w:yAlign="inline"/>
              <w:spacing w:after="50" w:line="360" w:lineRule="auto"/>
              <w:rPr>
                <w:rFonts w:hAnsi="宋体"/>
                <w:color w:val="auto"/>
                <w:sz w:val="21"/>
                <w:szCs w:val="21"/>
                <w:highlight w:val="none"/>
              </w:rPr>
            </w:pPr>
            <w:r>
              <w:rPr>
                <w:rFonts w:hint="eastAsia" w:hAnsi="宋体"/>
                <w:color w:val="auto"/>
                <w:sz w:val="21"/>
                <w:szCs w:val="21"/>
                <w:highlight w:val="none"/>
              </w:rPr>
              <w:t>开户银行：</w:t>
            </w:r>
          </w:p>
          <w:p w14:paraId="2B1AE6E3">
            <w:pPr>
              <w:pStyle w:val="177"/>
              <w:framePr w:hSpace="0" w:wrap="auto" w:vAnchor="margin" w:hAnchor="text" w:yAlign="inline"/>
              <w:spacing w:after="50" w:line="360" w:lineRule="auto"/>
              <w:rPr>
                <w:rFonts w:hAnsi="宋体"/>
                <w:color w:val="auto"/>
                <w:sz w:val="21"/>
                <w:szCs w:val="21"/>
                <w:highlight w:val="none"/>
              </w:rPr>
            </w:pPr>
            <w:r>
              <w:rPr>
                <w:rFonts w:hint="eastAsia" w:hAnsi="宋体"/>
                <w:color w:val="auto"/>
                <w:sz w:val="21"/>
                <w:szCs w:val="21"/>
                <w:highlight w:val="none"/>
              </w:rPr>
              <w:t>账号：</w:t>
            </w:r>
          </w:p>
        </w:tc>
      </w:tr>
    </w:tbl>
    <w:p w14:paraId="63D5E007">
      <w:pPr>
        <w:ind w:firstLine="420"/>
        <w:rPr>
          <w:rFonts w:ascii="宋体" w:hAnsi="宋体"/>
          <w:color w:val="auto"/>
          <w:szCs w:val="21"/>
          <w:highlight w:val="none"/>
        </w:rPr>
        <w:sectPr>
          <w:footerReference r:id="rId44" w:type="default"/>
          <w:type w:val="continuous"/>
          <w:pgSz w:w="11906" w:h="16838"/>
          <w:pgMar w:top="1440" w:right="1800" w:bottom="1440" w:left="1800" w:header="720" w:footer="850" w:gutter="0"/>
          <w:pgNumType w:fmt="decimal"/>
          <w:cols w:space="720" w:num="1"/>
          <w:docGrid w:linePitch="326" w:charSpace="0"/>
        </w:sectPr>
      </w:pPr>
      <w:r>
        <w:rPr>
          <w:rFonts w:ascii="宋体" w:hAnsi="宋体"/>
          <w:color w:val="auto"/>
          <w:szCs w:val="21"/>
          <w:highlight w:val="none"/>
        </w:rPr>
        <w:tab/>
      </w:r>
    </w:p>
    <w:p w14:paraId="24030702">
      <w:pPr>
        <w:ind w:firstLine="420"/>
        <w:jc w:val="center"/>
        <w:outlineLvl w:val="0"/>
        <w:rPr>
          <w:rStyle w:val="170"/>
          <w:rFonts w:hint="eastAsia"/>
          <w:color w:val="auto"/>
          <w:highlight w:val="none"/>
        </w:rPr>
      </w:pPr>
      <w:bookmarkStart w:id="389" w:name="_Toc24779"/>
      <w:bookmarkStart w:id="390" w:name="_Toc54862176"/>
      <w:bookmarkStart w:id="391" w:name="_Toc9104"/>
      <w:r>
        <w:rPr>
          <w:rStyle w:val="170"/>
          <w:rFonts w:hint="eastAsia"/>
          <w:color w:val="auto"/>
          <w:highlight w:val="none"/>
        </w:rPr>
        <w:t>第二部分</w:t>
      </w:r>
      <w:r>
        <w:rPr>
          <w:rStyle w:val="170"/>
          <w:rFonts w:hint="eastAsia"/>
          <w:color w:val="auto"/>
          <w:highlight w:val="none"/>
          <w:lang w:val="en-US" w:eastAsia="zh-CN"/>
        </w:rPr>
        <w:t xml:space="preserve"> </w:t>
      </w:r>
      <w:r>
        <w:rPr>
          <w:rStyle w:val="170"/>
          <w:rFonts w:hint="eastAsia"/>
          <w:color w:val="auto"/>
          <w:highlight w:val="none"/>
        </w:rPr>
        <w:t>通用合同条件</w:t>
      </w:r>
      <w:bookmarkEnd w:id="389"/>
      <w:bookmarkEnd w:id="390"/>
      <w:bookmarkEnd w:id="391"/>
    </w:p>
    <w:p w14:paraId="546C3F25">
      <w:pPr>
        <w:pStyle w:val="178"/>
        <w:keepNext w:val="0"/>
        <w:keepLines w:val="0"/>
        <w:pageBreakBefore w:val="0"/>
        <w:numPr>
          <w:ilvl w:val="0"/>
          <w:numId w:val="0"/>
        </w:numPr>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392" w:name="_Toc15724"/>
      <w:bookmarkStart w:id="393" w:name="_Ref508893699"/>
      <w:bookmarkStart w:id="394" w:name="_Toc54862177"/>
      <w:bookmarkStart w:id="395" w:name="_Toc4173"/>
      <w:bookmarkStart w:id="396" w:name="_Toc32344"/>
      <w:bookmarkStart w:id="397" w:name="_Toc30278"/>
      <w:bookmarkStart w:id="398" w:name="_Ref509040831"/>
      <w:bookmarkStart w:id="399" w:name="_Ref509040826"/>
      <w:r>
        <w:rPr>
          <w:rFonts w:hint="eastAsia" w:ascii="宋体" w:hAnsi="宋体" w:eastAsia="宋体"/>
          <w:b/>
          <w:bCs w:val="0"/>
          <w:color w:val="auto"/>
          <w:sz w:val="21"/>
          <w:szCs w:val="21"/>
          <w:highlight w:val="none"/>
        </w:rPr>
        <w:t xml:space="preserve">第1条 </w:t>
      </w:r>
      <w:r>
        <w:rPr>
          <w:rFonts w:ascii="宋体" w:hAnsi="宋体" w:eastAsia="宋体"/>
          <w:b/>
          <w:bCs w:val="0"/>
          <w:color w:val="auto"/>
          <w:sz w:val="21"/>
          <w:szCs w:val="21"/>
          <w:highlight w:val="none"/>
        </w:rPr>
        <w:t>一般</w:t>
      </w:r>
      <w:r>
        <w:rPr>
          <w:rFonts w:hint="eastAsia" w:ascii="宋体" w:hAnsi="宋体" w:eastAsia="宋体"/>
          <w:b/>
          <w:bCs w:val="0"/>
          <w:color w:val="auto"/>
          <w:sz w:val="21"/>
          <w:szCs w:val="21"/>
          <w:highlight w:val="none"/>
        </w:rPr>
        <w:t>约</w:t>
      </w:r>
      <w:r>
        <w:rPr>
          <w:rFonts w:ascii="宋体" w:hAnsi="宋体" w:eastAsia="宋体"/>
          <w:b/>
          <w:bCs w:val="0"/>
          <w:color w:val="auto"/>
          <w:sz w:val="21"/>
          <w:szCs w:val="21"/>
          <w:highlight w:val="none"/>
        </w:rPr>
        <w:t>定</w:t>
      </w:r>
      <w:bookmarkEnd w:id="392"/>
      <w:bookmarkEnd w:id="393"/>
      <w:bookmarkEnd w:id="394"/>
      <w:bookmarkEnd w:id="395"/>
      <w:bookmarkEnd w:id="396"/>
      <w:bookmarkEnd w:id="397"/>
    </w:p>
    <w:p w14:paraId="4DACF095">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400" w:name="_Ref523741474"/>
      <w:bookmarkStart w:id="401" w:name="_Toc23118"/>
      <w:bookmarkStart w:id="402" w:name="_Ref523741471"/>
      <w:bookmarkStart w:id="403" w:name="_Toc25214"/>
      <w:bookmarkStart w:id="404" w:name="_Toc54862178"/>
      <w:bookmarkStart w:id="405" w:name="_Toc542"/>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.1 </w:t>
      </w:r>
      <w:r>
        <w:rPr>
          <w:rFonts w:hint="eastAsia" w:ascii="宋体" w:hAnsi="宋体" w:eastAsia="宋体"/>
          <w:b/>
          <w:bCs w:val="0"/>
          <w:color w:val="auto"/>
          <w:sz w:val="21"/>
          <w:szCs w:val="21"/>
          <w:highlight w:val="none"/>
        </w:rPr>
        <w:t>词语定义和解释</w:t>
      </w:r>
      <w:bookmarkEnd w:id="398"/>
      <w:bookmarkEnd w:id="399"/>
      <w:bookmarkEnd w:id="400"/>
      <w:bookmarkEnd w:id="401"/>
      <w:bookmarkEnd w:id="402"/>
      <w:bookmarkEnd w:id="403"/>
      <w:bookmarkEnd w:id="404"/>
      <w:bookmarkEnd w:id="405"/>
    </w:p>
    <w:p w14:paraId="629B09F4">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合同协议书、通用合同条件、专用合同条件中的下列词语应具有本款所赋予的含义：</w:t>
      </w:r>
    </w:p>
    <w:p w14:paraId="4714904F">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406" w:name="_Ref4757289"/>
      <w:bookmarkStart w:id="407" w:name="_Ref521288340"/>
      <w:r>
        <w:rPr>
          <w:rFonts w:hint="eastAsia"/>
          <w:b/>
          <w:bCs/>
          <w:color w:val="auto"/>
          <w:sz w:val="21"/>
          <w:highlight w:val="none"/>
        </w:rPr>
        <w:t>1</w:t>
      </w:r>
      <w:r>
        <w:rPr>
          <w:b/>
          <w:bCs/>
          <w:color w:val="auto"/>
          <w:sz w:val="21"/>
          <w:highlight w:val="none"/>
        </w:rPr>
        <w:t xml:space="preserve">.1.1 </w:t>
      </w:r>
      <w:r>
        <w:rPr>
          <w:rFonts w:hint="eastAsia"/>
          <w:b/>
          <w:bCs/>
          <w:color w:val="auto"/>
          <w:sz w:val="21"/>
          <w:highlight w:val="none"/>
        </w:rPr>
        <w:t>合同</w:t>
      </w:r>
      <w:bookmarkEnd w:id="406"/>
    </w:p>
    <w:p w14:paraId="69E1242A">
      <w:pPr>
        <w:pStyle w:val="135"/>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.1.1.1 </w:t>
      </w:r>
      <w:r>
        <w:rPr>
          <w:rFonts w:hint="eastAsia"/>
          <w:color w:val="auto"/>
          <w:sz w:val="21"/>
          <w:highlight w:val="none"/>
        </w:rPr>
        <w:t>合同：是指根据法律规定和合同当事人约定具有约束力的文件，构成合同的文件包括合同协议书、中标通知书（如果有）、投标函及其附录（如果有）、专用合同条件及其附件、通用合同条件、《发包人要求》、承包人建议书、价格清单以及双方约定的其他合同文件。</w:t>
      </w:r>
    </w:p>
    <w:p w14:paraId="5BD6B82C">
      <w:pPr>
        <w:pStyle w:val="135"/>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.1.1.2 </w:t>
      </w:r>
      <w:r>
        <w:rPr>
          <w:rFonts w:hint="eastAsia"/>
          <w:color w:val="auto"/>
          <w:sz w:val="21"/>
          <w:highlight w:val="none"/>
        </w:rPr>
        <w:t>合同协议书：是指构成合同的由发包人和承包人共同签署的称为“合同协议书”的书面文件。</w:t>
      </w:r>
    </w:p>
    <w:p w14:paraId="4FDE63D1">
      <w:pPr>
        <w:pStyle w:val="135"/>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.1.1.3 </w:t>
      </w:r>
      <w:r>
        <w:rPr>
          <w:rFonts w:hint="eastAsia"/>
          <w:color w:val="auto"/>
          <w:sz w:val="21"/>
          <w:highlight w:val="none"/>
        </w:rPr>
        <w:t>中标通知书：是指构成合同的由发包人通知承包人中标的书面文件。中标通知书随附的澄清、说明、补正事项纪要等，是中标通知书的组成部分。</w:t>
      </w:r>
    </w:p>
    <w:p w14:paraId="065A0D74">
      <w:pPr>
        <w:pStyle w:val="135"/>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.1.1.4 </w:t>
      </w:r>
      <w:r>
        <w:rPr>
          <w:rFonts w:hint="eastAsia"/>
          <w:color w:val="auto"/>
          <w:sz w:val="21"/>
          <w:highlight w:val="none"/>
        </w:rPr>
        <w:t>投标函：是指构成合同的由承包人填写并签署的用于投标的称为“投标函”的文件。</w:t>
      </w:r>
    </w:p>
    <w:p w14:paraId="42B8FC99">
      <w:pPr>
        <w:pStyle w:val="135"/>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.1.1.5 </w:t>
      </w:r>
      <w:r>
        <w:rPr>
          <w:rFonts w:hint="eastAsia"/>
          <w:color w:val="auto"/>
          <w:sz w:val="21"/>
          <w:highlight w:val="none"/>
        </w:rPr>
        <w:t>投标函附录：是指构成合同的附在投标函后的称为“投标函附录”的文件。</w:t>
      </w:r>
    </w:p>
    <w:p w14:paraId="5B1965C3">
      <w:pPr>
        <w:pStyle w:val="135"/>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.1.1.6 </w:t>
      </w:r>
      <w:r>
        <w:rPr>
          <w:rFonts w:hint="eastAsia"/>
          <w:color w:val="auto"/>
          <w:sz w:val="21"/>
          <w:highlight w:val="none"/>
        </w:rPr>
        <w:t>《发包人要求》：指构成合同文件组成部分的名为《发包人要求》的文件，其中列明工程的目的、范围、设计与其他技术标准和要求，以及合同双方当事人约定对其所作的修改或补充。</w:t>
      </w:r>
    </w:p>
    <w:p w14:paraId="57ED7E04">
      <w:pPr>
        <w:pStyle w:val="135"/>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.1.1.7 </w:t>
      </w:r>
      <w:r>
        <w:rPr>
          <w:rFonts w:hint="eastAsia"/>
          <w:color w:val="auto"/>
          <w:sz w:val="21"/>
          <w:highlight w:val="none"/>
        </w:rPr>
        <w:t>项目清单：是指发包人提供的载明工程总承包项目勘察设计费、工程费、设备购置费、暂估价、暂列金额和双方约定的其他费用的名称和相应数量等内容的项目明细。</w:t>
      </w:r>
    </w:p>
    <w:p w14:paraId="380C9E5A">
      <w:pPr>
        <w:pStyle w:val="135"/>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.1.1.8 </w:t>
      </w:r>
      <w:r>
        <w:rPr>
          <w:rFonts w:hint="eastAsia"/>
          <w:color w:val="auto"/>
          <w:sz w:val="21"/>
          <w:highlight w:val="none"/>
        </w:rPr>
        <w:t>价格清单：指构成合同文件组成部分的由承包人按发包人提供的项目清单规定的格式和要求填写并标明价格的清单。</w:t>
      </w:r>
    </w:p>
    <w:p w14:paraId="70F0D289">
      <w:pPr>
        <w:pStyle w:val="135"/>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.1.1.9 </w:t>
      </w:r>
      <w:r>
        <w:rPr>
          <w:rFonts w:hint="eastAsia"/>
          <w:color w:val="auto"/>
          <w:sz w:val="21"/>
          <w:highlight w:val="none"/>
        </w:rPr>
        <w:t>承包人建议书：指构成合同文件组成部分的名为承包人建议书的文件。承包人建议书由承包人随投标函一起提交。</w:t>
      </w:r>
    </w:p>
    <w:p w14:paraId="79B14A5E">
      <w:pPr>
        <w:pStyle w:val="135"/>
        <w:keepNext w:val="0"/>
        <w:keepLines w:val="0"/>
        <w:pageBreakBefore w:val="0"/>
        <w:kinsoku/>
        <w:wordWrap/>
        <w:overflowPunct/>
        <w:topLinePunct w:val="0"/>
        <w:bidi w:val="0"/>
        <w:spacing w:after="120"/>
        <w:ind w:firstLine="420" w:firstLineChars="200"/>
        <w:textAlignment w:val="auto"/>
        <w:rPr>
          <w:color w:val="auto"/>
          <w:sz w:val="21"/>
          <w:highlight w:val="none"/>
        </w:rPr>
      </w:pPr>
      <w:bookmarkStart w:id="408" w:name="_Ref4415300"/>
      <w:r>
        <w:rPr>
          <w:rFonts w:hint="eastAsia"/>
          <w:color w:val="auto"/>
          <w:sz w:val="21"/>
          <w:highlight w:val="none"/>
        </w:rPr>
        <w:t>1</w:t>
      </w:r>
      <w:r>
        <w:rPr>
          <w:color w:val="auto"/>
          <w:sz w:val="21"/>
          <w:highlight w:val="none"/>
        </w:rPr>
        <w:t>.1.1.1</w:t>
      </w:r>
      <w:r>
        <w:rPr>
          <w:rFonts w:hint="eastAsia"/>
          <w:color w:val="auto"/>
          <w:sz w:val="21"/>
          <w:highlight w:val="none"/>
        </w:rPr>
        <w:t>0其他合同文件：是指经合同当事人约定的与工程实施有关的具有合同约束力的文件或书面协议。合同当事人可以在专用合同条件中进行约定。</w:t>
      </w:r>
      <w:bookmarkEnd w:id="408"/>
    </w:p>
    <w:p w14:paraId="07519E31">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409" w:name="_Ref4757418"/>
      <w:r>
        <w:rPr>
          <w:rFonts w:hint="eastAsia"/>
          <w:b/>
          <w:bCs/>
          <w:color w:val="auto"/>
          <w:sz w:val="21"/>
          <w:highlight w:val="none"/>
        </w:rPr>
        <w:t>1</w:t>
      </w:r>
      <w:r>
        <w:rPr>
          <w:b/>
          <w:bCs/>
          <w:color w:val="auto"/>
          <w:sz w:val="21"/>
          <w:highlight w:val="none"/>
        </w:rPr>
        <w:t xml:space="preserve">.1.2 </w:t>
      </w:r>
      <w:r>
        <w:rPr>
          <w:rFonts w:hint="eastAsia"/>
          <w:b/>
          <w:bCs/>
          <w:color w:val="auto"/>
          <w:sz w:val="21"/>
          <w:highlight w:val="none"/>
        </w:rPr>
        <w:t>合同当事人及其他相关方</w:t>
      </w:r>
      <w:bookmarkEnd w:id="409"/>
    </w:p>
    <w:p w14:paraId="526DF764">
      <w:pPr>
        <w:pStyle w:val="135"/>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.1.2.1 </w:t>
      </w:r>
      <w:r>
        <w:rPr>
          <w:rFonts w:hint="eastAsia"/>
          <w:color w:val="auto"/>
          <w:sz w:val="21"/>
          <w:highlight w:val="none"/>
        </w:rPr>
        <w:t>合同当事人：是指发包人和（或）承包人。</w:t>
      </w:r>
    </w:p>
    <w:p w14:paraId="3BE9EDE3">
      <w:pPr>
        <w:pStyle w:val="135"/>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.1.2.2 </w:t>
      </w:r>
      <w:r>
        <w:rPr>
          <w:rFonts w:hint="eastAsia"/>
          <w:color w:val="auto"/>
          <w:sz w:val="21"/>
          <w:highlight w:val="none"/>
        </w:rPr>
        <w:t>发包人：是指与承包人订立合同协议书的当事人及取得该当事人资格的合法</w:t>
      </w:r>
      <w:r>
        <w:rPr>
          <w:rFonts w:hint="eastAsia"/>
          <w:color w:val="auto"/>
          <w:sz w:val="21"/>
          <w:highlight w:val="none"/>
          <w:lang w:eastAsia="zh-CN"/>
        </w:rPr>
        <w:t>继承</w:t>
      </w:r>
      <w:r>
        <w:rPr>
          <w:rFonts w:hint="eastAsia"/>
          <w:color w:val="auto"/>
          <w:sz w:val="21"/>
          <w:highlight w:val="none"/>
        </w:rPr>
        <w:t>人。本合同中“因发包人原因”里的“发包人”包括发包人及所有发包人人员。</w:t>
      </w:r>
    </w:p>
    <w:p w14:paraId="550E881B">
      <w:pPr>
        <w:pStyle w:val="135"/>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.1.2.3 </w:t>
      </w:r>
      <w:r>
        <w:rPr>
          <w:rFonts w:hint="eastAsia"/>
          <w:color w:val="auto"/>
          <w:sz w:val="21"/>
          <w:highlight w:val="none"/>
        </w:rPr>
        <w:t>承包人：是指与发包人订立合同协议书的当事人及取得该当事人资格的合法</w:t>
      </w:r>
      <w:r>
        <w:rPr>
          <w:rFonts w:hint="eastAsia"/>
          <w:color w:val="auto"/>
          <w:sz w:val="21"/>
          <w:highlight w:val="none"/>
          <w:lang w:eastAsia="zh-CN"/>
        </w:rPr>
        <w:t>继承</w:t>
      </w:r>
      <w:r>
        <w:rPr>
          <w:rFonts w:hint="eastAsia"/>
          <w:color w:val="auto"/>
          <w:sz w:val="21"/>
          <w:highlight w:val="none"/>
        </w:rPr>
        <w:t>人。</w:t>
      </w:r>
    </w:p>
    <w:p w14:paraId="0702ACE1">
      <w:pPr>
        <w:pStyle w:val="135"/>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.1.2.4 </w:t>
      </w:r>
      <w:r>
        <w:rPr>
          <w:rFonts w:hint="eastAsia"/>
          <w:color w:val="auto"/>
          <w:sz w:val="21"/>
          <w:highlight w:val="none"/>
        </w:rPr>
        <w:t>联合体：是指经发包人同意由两个或两个以上法人或者其他组织组成的，作为承包人的临时机构。</w:t>
      </w:r>
    </w:p>
    <w:p w14:paraId="133DB82C">
      <w:pPr>
        <w:pStyle w:val="135"/>
        <w:keepNext w:val="0"/>
        <w:keepLines w:val="0"/>
        <w:pageBreakBefore w:val="0"/>
        <w:kinsoku/>
        <w:wordWrap/>
        <w:overflowPunct/>
        <w:topLinePunct w:val="0"/>
        <w:bidi w:val="0"/>
        <w:spacing w:after="120"/>
        <w:ind w:firstLine="420" w:firstLineChars="200"/>
        <w:textAlignment w:val="auto"/>
        <w:rPr>
          <w:color w:val="auto"/>
          <w:sz w:val="21"/>
          <w:highlight w:val="none"/>
        </w:rPr>
      </w:pPr>
      <w:bookmarkStart w:id="410" w:name="_Ref4420046"/>
      <w:r>
        <w:rPr>
          <w:rFonts w:hint="eastAsia"/>
          <w:color w:val="auto"/>
          <w:sz w:val="21"/>
          <w:highlight w:val="none"/>
        </w:rPr>
        <w:t>1</w:t>
      </w:r>
      <w:r>
        <w:rPr>
          <w:color w:val="auto"/>
          <w:sz w:val="21"/>
          <w:highlight w:val="none"/>
        </w:rPr>
        <w:t xml:space="preserve">.1.2.5 </w:t>
      </w:r>
      <w:r>
        <w:rPr>
          <w:rFonts w:hint="eastAsia"/>
          <w:color w:val="auto"/>
          <w:sz w:val="21"/>
          <w:highlight w:val="none"/>
        </w:rPr>
        <w:t>发包人代表：是指由发包人任命并派驻工作现场，在发包人授权范围内行使发包人权利和履行发包人义务的人。</w:t>
      </w:r>
    </w:p>
    <w:p w14:paraId="34822A08">
      <w:pPr>
        <w:pStyle w:val="135"/>
        <w:keepNext w:val="0"/>
        <w:keepLines w:val="0"/>
        <w:pageBreakBefore w:val="0"/>
        <w:kinsoku/>
        <w:wordWrap/>
        <w:overflowPunct/>
        <w:topLinePunct w:val="0"/>
        <w:bidi w:val="0"/>
        <w:spacing w:after="120"/>
        <w:ind w:firstLine="420" w:firstLineChars="200"/>
        <w:textAlignment w:val="auto"/>
        <w:rPr>
          <w:color w:val="auto"/>
          <w:sz w:val="21"/>
          <w:highlight w:val="none"/>
        </w:rPr>
      </w:pPr>
      <w:bookmarkStart w:id="411" w:name="_Ref4756982"/>
      <w:r>
        <w:rPr>
          <w:rFonts w:hint="eastAsia"/>
          <w:color w:val="auto"/>
          <w:sz w:val="21"/>
          <w:highlight w:val="none"/>
        </w:rPr>
        <w:t>1</w:t>
      </w:r>
      <w:r>
        <w:rPr>
          <w:color w:val="auto"/>
          <w:sz w:val="21"/>
          <w:highlight w:val="none"/>
        </w:rPr>
        <w:t xml:space="preserve">.1.2.6 </w:t>
      </w:r>
      <w:r>
        <w:rPr>
          <w:rFonts w:hint="eastAsia"/>
          <w:color w:val="auto"/>
          <w:sz w:val="21"/>
          <w:highlight w:val="none"/>
        </w:rPr>
        <w:t>工程师：是指在专用合同条件中指明的，受发包人委托按照法律规定和发包人的授权进行合同履行管理、工程监督管理等工作的法人或其他组织；该法人或其他组织应雇用一名具有相应执业资格和职业能力的自然人作为工程师代表，并授予其根据本合同代表工程师行事的权利。</w:t>
      </w:r>
      <w:bookmarkEnd w:id="410"/>
      <w:bookmarkEnd w:id="411"/>
    </w:p>
    <w:p w14:paraId="6A946276">
      <w:pPr>
        <w:pStyle w:val="135"/>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.1.2.7 </w:t>
      </w:r>
      <w:r>
        <w:rPr>
          <w:rFonts w:hint="eastAsia"/>
          <w:color w:val="auto"/>
          <w:sz w:val="21"/>
          <w:highlight w:val="none"/>
        </w:rPr>
        <w:t>工程总承包项目经理：是指由承包人任命的，在承包人授权范围内负责合同履行的管理，且按照法律规定具有相应资格的项目负责人。</w:t>
      </w:r>
    </w:p>
    <w:p w14:paraId="04FB5C79">
      <w:pPr>
        <w:pStyle w:val="135"/>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.1.2.8 </w:t>
      </w:r>
      <w:r>
        <w:rPr>
          <w:rFonts w:hint="eastAsia"/>
          <w:color w:val="auto"/>
          <w:sz w:val="21"/>
          <w:highlight w:val="none"/>
        </w:rPr>
        <w:t>设计负责人：是指承包人指定负责组织、指导、协调设计工作并具有相应资格的人员。</w:t>
      </w:r>
    </w:p>
    <w:p w14:paraId="74F839B3">
      <w:pPr>
        <w:pStyle w:val="135"/>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.1.2.9 </w:t>
      </w:r>
      <w:r>
        <w:rPr>
          <w:rFonts w:hint="eastAsia"/>
          <w:color w:val="auto"/>
          <w:sz w:val="21"/>
          <w:highlight w:val="none"/>
        </w:rPr>
        <w:t>采购负责人：是指承包人指定负责组织、指导、协调采购工作的人员。</w:t>
      </w:r>
    </w:p>
    <w:p w14:paraId="6B127320">
      <w:pPr>
        <w:pStyle w:val="135"/>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.1.2.10 </w:t>
      </w:r>
      <w:r>
        <w:rPr>
          <w:rFonts w:hint="eastAsia"/>
          <w:color w:val="auto"/>
          <w:sz w:val="21"/>
          <w:highlight w:val="none"/>
        </w:rPr>
        <w:t>施工负责人：是指承包人指定负责组织、指导、协调施工工作并具有相应资格的人员。</w:t>
      </w:r>
    </w:p>
    <w:p w14:paraId="2A14B70D">
      <w:pPr>
        <w:pStyle w:val="135"/>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.1.2.11 </w:t>
      </w:r>
      <w:r>
        <w:rPr>
          <w:rFonts w:hint="eastAsia"/>
          <w:color w:val="auto"/>
          <w:sz w:val="21"/>
          <w:highlight w:val="none"/>
        </w:rPr>
        <w:t>分包人：是指按照法律规定和合同约定，分包部分工程或工作，并与承包人订立分包合同的具有相应资质或资格的法人或其他组织。</w:t>
      </w:r>
    </w:p>
    <w:p w14:paraId="43A1D5B6">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412" w:name="_Ref4758319"/>
      <w:r>
        <w:rPr>
          <w:rFonts w:hint="eastAsia"/>
          <w:b/>
          <w:bCs/>
          <w:color w:val="auto"/>
          <w:sz w:val="21"/>
          <w:highlight w:val="none"/>
        </w:rPr>
        <w:t>1</w:t>
      </w:r>
      <w:r>
        <w:rPr>
          <w:b/>
          <w:bCs/>
          <w:color w:val="auto"/>
          <w:sz w:val="21"/>
          <w:highlight w:val="none"/>
        </w:rPr>
        <w:t xml:space="preserve">.1.3 </w:t>
      </w:r>
      <w:r>
        <w:rPr>
          <w:rFonts w:hint="eastAsia"/>
          <w:b/>
          <w:bCs/>
          <w:color w:val="auto"/>
          <w:sz w:val="21"/>
          <w:highlight w:val="none"/>
        </w:rPr>
        <w:t>工程和设备</w:t>
      </w:r>
      <w:bookmarkEnd w:id="412"/>
    </w:p>
    <w:p w14:paraId="067410EF">
      <w:pPr>
        <w:pStyle w:val="135"/>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.1.3.1 </w:t>
      </w:r>
      <w:r>
        <w:rPr>
          <w:rFonts w:hint="eastAsia"/>
          <w:color w:val="auto"/>
          <w:sz w:val="21"/>
          <w:highlight w:val="none"/>
        </w:rPr>
        <w:t>工程：是指与合同协议书中工程承包范围对应的永久工程和（或）临时工程。</w:t>
      </w:r>
    </w:p>
    <w:p w14:paraId="4E8734B2">
      <w:pPr>
        <w:pStyle w:val="135"/>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.1.3.2 </w:t>
      </w:r>
      <w:r>
        <w:rPr>
          <w:rFonts w:hint="eastAsia"/>
          <w:color w:val="auto"/>
          <w:sz w:val="21"/>
          <w:highlight w:val="none"/>
        </w:rPr>
        <w:t>工程实施：是指进行工程的设计、采购、施工和竣工以及对工程任何缺陷的修复。</w:t>
      </w:r>
    </w:p>
    <w:p w14:paraId="79FC40F0">
      <w:pPr>
        <w:pStyle w:val="135"/>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.1.3.3 </w:t>
      </w:r>
      <w:r>
        <w:rPr>
          <w:rFonts w:hint="eastAsia"/>
          <w:color w:val="auto"/>
          <w:sz w:val="21"/>
          <w:highlight w:val="none"/>
        </w:rPr>
        <w:t>永久工程：是指按合同约定建造并移交给发包人的工程，包括工程设备。</w:t>
      </w:r>
    </w:p>
    <w:p w14:paraId="184C3D77">
      <w:pPr>
        <w:pStyle w:val="135"/>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.1.3.4 </w:t>
      </w:r>
      <w:r>
        <w:rPr>
          <w:rFonts w:hint="eastAsia"/>
          <w:color w:val="auto"/>
          <w:sz w:val="21"/>
          <w:highlight w:val="none"/>
        </w:rPr>
        <w:t>临时工程：是指为完成合同约定的永久工程所修建的各类临时性工程，不包括施工设备。</w:t>
      </w:r>
    </w:p>
    <w:p w14:paraId="456008C0">
      <w:pPr>
        <w:pStyle w:val="135"/>
        <w:keepNext w:val="0"/>
        <w:keepLines w:val="0"/>
        <w:pageBreakBefore w:val="0"/>
        <w:kinsoku/>
        <w:wordWrap/>
        <w:overflowPunct/>
        <w:topLinePunct w:val="0"/>
        <w:bidi w:val="0"/>
        <w:spacing w:after="120"/>
        <w:ind w:firstLine="420" w:firstLineChars="200"/>
        <w:textAlignment w:val="auto"/>
        <w:rPr>
          <w:color w:val="auto"/>
          <w:sz w:val="21"/>
          <w:highlight w:val="none"/>
        </w:rPr>
      </w:pPr>
      <w:bookmarkStart w:id="413" w:name="_Ref4419825"/>
      <w:r>
        <w:rPr>
          <w:rFonts w:hint="eastAsia"/>
          <w:color w:val="auto"/>
          <w:sz w:val="21"/>
          <w:highlight w:val="none"/>
        </w:rPr>
        <w:t>1</w:t>
      </w:r>
      <w:r>
        <w:rPr>
          <w:color w:val="auto"/>
          <w:sz w:val="21"/>
          <w:highlight w:val="none"/>
        </w:rPr>
        <w:t xml:space="preserve">.1.3.5 </w:t>
      </w:r>
      <w:r>
        <w:rPr>
          <w:rFonts w:hint="eastAsia"/>
          <w:color w:val="auto"/>
          <w:sz w:val="21"/>
          <w:highlight w:val="none"/>
        </w:rPr>
        <w:t>单位/区段工程：是指在专用合同条件中指明特定范围的，能单独接收并使用的永久工程。</w:t>
      </w:r>
      <w:bookmarkEnd w:id="413"/>
    </w:p>
    <w:p w14:paraId="34F0347B">
      <w:pPr>
        <w:pStyle w:val="135"/>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.1.3.6 </w:t>
      </w:r>
      <w:r>
        <w:rPr>
          <w:rFonts w:hint="eastAsia"/>
          <w:color w:val="auto"/>
          <w:sz w:val="21"/>
          <w:highlight w:val="none"/>
        </w:rPr>
        <w:t>工程设备：指构成永久工程的机电设备、仪器装置、运载工具及其他类似的设备和装置，包括其配件及备品、备件、易损易耗件等。</w:t>
      </w:r>
    </w:p>
    <w:p w14:paraId="672D42D0">
      <w:pPr>
        <w:pStyle w:val="135"/>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.1.3.7 </w:t>
      </w:r>
      <w:r>
        <w:rPr>
          <w:rFonts w:hint="eastAsia"/>
          <w:color w:val="auto"/>
          <w:sz w:val="21"/>
          <w:highlight w:val="none"/>
        </w:rPr>
        <w:t>施工设备：指为完成合同约定的各项工作所需的设备、器具和其他物品，不包括工程设备、临时工程和材料。</w:t>
      </w:r>
    </w:p>
    <w:p w14:paraId="1E0B51D6">
      <w:pPr>
        <w:pStyle w:val="135"/>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.1.3.8 </w:t>
      </w:r>
      <w:r>
        <w:rPr>
          <w:rFonts w:hint="eastAsia"/>
          <w:color w:val="auto"/>
          <w:sz w:val="21"/>
          <w:highlight w:val="none"/>
        </w:rPr>
        <w:t>临时设施：指为完成合同约定的各项工作所服务的临时性生产和生活设施。</w:t>
      </w:r>
    </w:p>
    <w:p w14:paraId="71CC75A8">
      <w:pPr>
        <w:pStyle w:val="135"/>
        <w:keepNext w:val="0"/>
        <w:keepLines w:val="0"/>
        <w:pageBreakBefore w:val="0"/>
        <w:kinsoku/>
        <w:wordWrap/>
        <w:overflowPunct/>
        <w:topLinePunct w:val="0"/>
        <w:bidi w:val="0"/>
        <w:spacing w:after="120"/>
        <w:ind w:firstLine="420" w:firstLineChars="200"/>
        <w:textAlignment w:val="auto"/>
        <w:rPr>
          <w:color w:val="auto"/>
          <w:sz w:val="21"/>
          <w:highlight w:val="none"/>
        </w:rPr>
      </w:pPr>
      <w:bookmarkStart w:id="414" w:name="_Ref4420577"/>
      <w:r>
        <w:rPr>
          <w:rFonts w:hint="eastAsia"/>
          <w:color w:val="auto"/>
          <w:sz w:val="21"/>
          <w:highlight w:val="none"/>
        </w:rPr>
        <w:t>1</w:t>
      </w:r>
      <w:r>
        <w:rPr>
          <w:color w:val="auto"/>
          <w:sz w:val="21"/>
          <w:highlight w:val="none"/>
        </w:rPr>
        <w:t xml:space="preserve">.1.3.9 </w:t>
      </w:r>
      <w:r>
        <w:rPr>
          <w:rFonts w:hint="eastAsia"/>
          <w:color w:val="auto"/>
          <w:sz w:val="21"/>
          <w:highlight w:val="none"/>
        </w:rPr>
        <w:t>施工现场：是指用于工程施工的场所，以及在专用合同条件中指明作为施工场所组成部分的其他场所，包括永久占地和临时占地。</w:t>
      </w:r>
      <w:bookmarkEnd w:id="414"/>
    </w:p>
    <w:p w14:paraId="255C65D6">
      <w:pPr>
        <w:pStyle w:val="135"/>
        <w:keepNext w:val="0"/>
        <w:keepLines w:val="0"/>
        <w:pageBreakBefore w:val="0"/>
        <w:kinsoku/>
        <w:wordWrap/>
        <w:overflowPunct/>
        <w:topLinePunct w:val="0"/>
        <w:bidi w:val="0"/>
        <w:spacing w:after="120"/>
        <w:ind w:firstLine="420" w:firstLineChars="200"/>
        <w:textAlignment w:val="auto"/>
        <w:rPr>
          <w:color w:val="auto"/>
          <w:sz w:val="21"/>
          <w:highlight w:val="none"/>
        </w:rPr>
      </w:pPr>
      <w:bookmarkStart w:id="415" w:name="_Ref4420746"/>
      <w:r>
        <w:rPr>
          <w:rFonts w:hint="eastAsia"/>
          <w:color w:val="auto"/>
          <w:sz w:val="21"/>
          <w:highlight w:val="none"/>
        </w:rPr>
        <w:t>1</w:t>
      </w:r>
      <w:r>
        <w:rPr>
          <w:color w:val="auto"/>
          <w:sz w:val="21"/>
          <w:highlight w:val="none"/>
        </w:rPr>
        <w:t xml:space="preserve">.1.3.10 </w:t>
      </w:r>
      <w:r>
        <w:rPr>
          <w:rFonts w:hint="eastAsia"/>
          <w:color w:val="auto"/>
          <w:sz w:val="21"/>
          <w:highlight w:val="none"/>
        </w:rPr>
        <w:t>永久占地：是指专用合同条件中指明为实施工程需永久占用的土地。</w:t>
      </w:r>
      <w:bookmarkEnd w:id="415"/>
    </w:p>
    <w:p w14:paraId="0190C5D7">
      <w:pPr>
        <w:pStyle w:val="135"/>
        <w:keepNext w:val="0"/>
        <w:keepLines w:val="0"/>
        <w:pageBreakBefore w:val="0"/>
        <w:kinsoku/>
        <w:wordWrap/>
        <w:overflowPunct/>
        <w:topLinePunct w:val="0"/>
        <w:bidi w:val="0"/>
        <w:spacing w:after="120"/>
        <w:ind w:firstLine="420" w:firstLineChars="200"/>
        <w:textAlignment w:val="auto"/>
        <w:rPr>
          <w:color w:val="auto"/>
          <w:sz w:val="21"/>
          <w:highlight w:val="none"/>
        </w:rPr>
      </w:pPr>
      <w:bookmarkStart w:id="416" w:name="_Ref4420821"/>
      <w:r>
        <w:rPr>
          <w:rFonts w:hint="eastAsia"/>
          <w:color w:val="auto"/>
          <w:sz w:val="21"/>
          <w:highlight w:val="none"/>
        </w:rPr>
        <w:t>1</w:t>
      </w:r>
      <w:r>
        <w:rPr>
          <w:color w:val="auto"/>
          <w:sz w:val="21"/>
          <w:highlight w:val="none"/>
        </w:rPr>
        <w:t xml:space="preserve">.1.3.11 </w:t>
      </w:r>
      <w:r>
        <w:rPr>
          <w:rFonts w:hint="eastAsia"/>
          <w:color w:val="auto"/>
          <w:sz w:val="21"/>
          <w:highlight w:val="none"/>
        </w:rPr>
        <w:t>临时占地：是指专用合同条件中指明为实施工程需临时占用的土地。</w:t>
      </w:r>
      <w:bookmarkEnd w:id="416"/>
    </w:p>
    <w:p w14:paraId="4C8EF660">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r>
        <w:rPr>
          <w:rFonts w:hint="eastAsia"/>
          <w:b/>
          <w:bCs/>
          <w:color w:val="auto"/>
          <w:sz w:val="21"/>
          <w:highlight w:val="none"/>
        </w:rPr>
        <w:t>1</w:t>
      </w:r>
      <w:r>
        <w:rPr>
          <w:b/>
          <w:bCs/>
          <w:color w:val="auto"/>
          <w:sz w:val="21"/>
          <w:highlight w:val="none"/>
        </w:rPr>
        <w:t xml:space="preserve">.1.4 </w:t>
      </w:r>
      <w:r>
        <w:rPr>
          <w:rFonts w:hint="eastAsia"/>
          <w:b/>
          <w:bCs/>
          <w:color w:val="auto"/>
          <w:sz w:val="21"/>
          <w:highlight w:val="none"/>
        </w:rPr>
        <w:t>日期和期限</w:t>
      </w:r>
    </w:p>
    <w:p w14:paraId="7E04266F">
      <w:pPr>
        <w:pStyle w:val="135"/>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.1.4.1 </w:t>
      </w:r>
      <w:r>
        <w:rPr>
          <w:rFonts w:hint="eastAsia"/>
          <w:color w:val="auto"/>
          <w:sz w:val="21"/>
          <w:highlight w:val="none"/>
        </w:rPr>
        <w:t>开始工作通知：指工程师按第</w:t>
      </w:r>
      <w:r>
        <w:rPr>
          <w:color w:val="auto"/>
          <w:sz w:val="21"/>
          <w:highlight w:val="none"/>
        </w:rPr>
        <w:t>8.1.2</w:t>
      </w:r>
      <w:r>
        <w:rPr>
          <w:rFonts w:hint="eastAsia"/>
          <w:color w:val="auto"/>
          <w:sz w:val="21"/>
          <w:highlight w:val="none"/>
        </w:rPr>
        <w:t>项[开始工作通知]的约定通知承包人开始工作的函件。</w:t>
      </w:r>
    </w:p>
    <w:p w14:paraId="1FCFBA1F">
      <w:pPr>
        <w:pStyle w:val="135"/>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.1.4.2 </w:t>
      </w:r>
      <w:r>
        <w:rPr>
          <w:rFonts w:hint="eastAsia"/>
          <w:color w:val="auto"/>
          <w:sz w:val="21"/>
          <w:highlight w:val="none"/>
        </w:rPr>
        <w:t>开始工作日期：包括计划开始工作日期和实际开始工作日期。计划开始工作日期是指合同协议书约定的开始工作日期；实际开始工作日期是指工程师按照第</w:t>
      </w:r>
      <w:r>
        <w:rPr>
          <w:color w:val="auto"/>
          <w:sz w:val="21"/>
          <w:highlight w:val="none"/>
        </w:rPr>
        <w:t>8.1</w:t>
      </w:r>
      <w:r>
        <w:rPr>
          <w:rFonts w:hint="eastAsia"/>
          <w:color w:val="auto"/>
          <w:sz w:val="21"/>
          <w:highlight w:val="none"/>
        </w:rPr>
        <w:t>款[开始工作]约定发出的符合法律规定的开始工作通知中载明的开始工作日期。</w:t>
      </w:r>
    </w:p>
    <w:p w14:paraId="4159995C">
      <w:pPr>
        <w:pStyle w:val="135"/>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.1.4.3 </w:t>
      </w:r>
      <w:r>
        <w:rPr>
          <w:rFonts w:hint="eastAsia"/>
          <w:color w:val="auto"/>
          <w:sz w:val="21"/>
          <w:highlight w:val="none"/>
        </w:rPr>
        <w:t>开始现场施工日期：包括计划开始现场施工日期和实际开始现场施工日期。计划开始现场施工日期是指合同协议书约定的开始现场施工日期；实际开始现场施工日期是指工程师发出的符合法律规定的开工通知中载明的开始现场施工日期。</w:t>
      </w:r>
    </w:p>
    <w:p w14:paraId="26FA21C5">
      <w:pPr>
        <w:pStyle w:val="135"/>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.1.4.4 </w:t>
      </w:r>
      <w:r>
        <w:rPr>
          <w:rFonts w:hint="eastAsia"/>
          <w:color w:val="auto"/>
          <w:sz w:val="21"/>
          <w:highlight w:val="none"/>
        </w:rPr>
        <w:t>竣工日期：包括计划竣工日期和实际竣工日期。计划竣工日期是指合同协议书约定的竣工日期；实际竣工日期按照第</w:t>
      </w:r>
      <w:r>
        <w:rPr>
          <w:color w:val="auto"/>
          <w:sz w:val="21"/>
          <w:highlight w:val="none"/>
        </w:rPr>
        <w:t>8.2</w:t>
      </w:r>
      <w:r>
        <w:rPr>
          <w:rFonts w:hint="eastAsia"/>
          <w:color w:val="auto"/>
          <w:sz w:val="21"/>
          <w:highlight w:val="none"/>
        </w:rPr>
        <w:t>款[竣工日期]的约定确定。</w:t>
      </w:r>
    </w:p>
    <w:p w14:paraId="2DA4DE79">
      <w:pPr>
        <w:pStyle w:val="135"/>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.1.4.5 </w:t>
      </w:r>
      <w:r>
        <w:rPr>
          <w:rFonts w:hint="eastAsia"/>
          <w:color w:val="auto"/>
          <w:sz w:val="21"/>
          <w:highlight w:val="none"/>
        </w:rPr>
        <w:t>工期：是指在合同协议书约定的承包人完成合同工作所需的期限，包括按照合同约定所作的期限变更及按合同约定承包人有权取得的工期延长。</w:t>
      </w:r>
    </w:p>
    <w:p w14:paraId="05336272">
      <w:pPr>
        <w:pStyle w:val="135"/>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.1.4.6 </w:t>
      </w:r>
      <w:r>
        <w:rPr>
          <w:rFonts w:hint="eastAsia"/>
          <w:color w:val="auto"/>
          <w:sz w:val="21"/>
          <w:highlight w:val="none"/>
        </w:rPr>
        <w:t>缺陷责任期：是指发包人预留工程质量保证金以保证承包人履行第</w:t>
      </w:r>
      <w:r>
        <w:rPr>
          <w:color w:val="auto"/>
          <w:sz w:val="21"/>
          <w:highlight w:val="none"/>
        </w:rPr>
        <w:t>11.3</w:t>
      </w:r>
      <w:r>
        <w:rPr>
          <w:rFonts w:hint="eastAsia"/>
          <w:color w:val="auto"/>
          <w:sz w:val="21"/>
          <w:highlight w:val="none"/>
        </w:rPr>
        <w:t>款[缺陷调查]</w:t>
      </w:r>
      <w:r>
        <w:rPr>
          <w:color w:val="auto"/>
          <w:sz w:val="21"/>
          <w:highlight w:val="none"/>
        </w:rPr>
        <w:t>下质量缺陷责任的期限</w:t>
      </w:r>
      <w:r>
        <w:rPr>
          <w:rFonts w:hint="eastAsia"/>
          <w:color w:val="auto"/>
          <w:sz w:val="21"/>
          <w:highlight w:val="none"/>
        </w:rPr>
        <w:t>。</w:t>
      </w:r>
    </w:p>
    <w:p w14:paraId="7B9A1041">
      <w:pPr>
        <w:pStyle w:val="135"/>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.1.4.7 </w:t>
      </w:r>
      <w:r>
        <w:rPr>
          <w:rFonts w:hint="eastAsia"/>
          <w:color w:val="auto"/>
          <w:sz w:val="21"/>
          <w:highlight w:val="none"/>
        </w:rPr>
        <w:t>保修期：是指承包人按照合同约定和法律规定对工程质量承担保修责任的期限，该期限自缺陷责任期起算之日起计算。</w:t>
      </w:r>
    </w:p>
    <w:p w14:paraId="43391F28">
      <w:pPr>
        <w:pStyle w:val="135"/>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.1.4.8 </w:t>
      </w:r>
      <w:r>
        <w:rPr>
          <w:rFonts w:hint="eastAsia"/>
          <w:color w:val="auto"/>
          <w:sz w:val="21"/>
          <w:highlight w:val="none"/>
        </w:rPr>
        <w:t>基准日期：招标发包的工程以投标截止日前28天的日期为基准日期，直接发包的工程以合同订立日前28天的日期为基准日期。</w:t>
      </w:r>
    </w:p>
    <w:p w14:paraId="33E82DBF">
      <w:pPr>
        <w:pStyle w:val="135"/>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.1.4.9 </w:t>
      </w:r>
      <w:r>
        <w:rPr>
          <w:rFonts w:hint="eastAsia"/>
          <w:color w:val="auto"/>
          <w:sz w:val="21"/>
          <w:highlight w:val="none"/>
        </w:rPr>
        <w:t>天：除特别指明外，均指日历天。合同中按天计算时间的，开始当天不计入，从次日开始计算。期限最后一天的截止时间为当天24:00。</w:t>
      </w:r>
    </w:p>
    <w:p w14:paraId="2CFD771B">
      <w:pPr>
        <w:pStyle w:val="135"/>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.1.4.10 </w:t>
      </w:r>
      <w:r>
        <w:rPr>
          <w:rFonts w:hint="eastAsia"/>
          <w:color w:val="auto"/>
          <w:sz w:val="21"/>
          <w:highlight w:val="none"/>
        </w:rPr>
        <w:t>竣工试验：是指在工程竣工验收前，根据第</w:t>
      </w:r>
      <w:r>
        <w:rPr>
          <w:color w:val="auto"/>
          <w:sz w:val="21"/>
          <w:highlight w:val="none"/>
        </w:rPr>
        <w:t>9条</w:t>
      </w:r>
      <w:r>
        <w:rPr>
          <w:rFonts w:hint="eastAsia"/>
          <w:color w:val="auto"/>
          <w:sz w:val="21"/>
          <w:highlight w:val="none"/>
        </w:rPr>
        <w:t>[竣工试验]要求进行的试验。</w:t>
      </w:r>
    </w:p>
    <w:p w14:paraId="7E30A15E">
      <w:pPr>
        <w:pStyle w:val="135"/>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.1.4.11 </w:t>
      </w:r>
      <w:r>
        <w:rPr>
          <w:rFonts w:hint="eastAsia"/>
          <w:color w:val="auto"/>
          <w:sz w:val="21"/>
          <w:highlight w:val="none"/>
        </w:rPr>
        <w:t>竣工验收：是指承包人完成了合同约定的各项内容后，发包人按合同要求进行的验收。</w:t>
      </w:r>
    </w:p>
    <w:p w14:paraId="6EE427C9">
      <w:pPr>
        <w:pStyle w:val="135"/>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.1.4.12 </w:t>
      </w:r>
      <w:r>
        <w:rPr>
          <w:rFonts w:hint="eastAsia"/>
          <w:color w:val="auto"/>
          <w:sz w:val="21"/>
          <w:highlight w:val="none"/>
        </w:rPr>
        <w:t>竣工后试验：是指在工程竣工验收后，根据第</w:t>
      </w:r>
      <w:r>
        <w:rPr>
          <w:color w:val="auto"/>
          <w:sz w:val="21"/>
          <w:highlight w:val="none"/>
        </w:rPr>
        <w:t>12条</w:t>
      </w:r>
      <w:r>
        <w:rPr>
          <w:rFonts w:hint="eastAsia"/>
          <w:color w:val="auto"/>
          <w:sz w:val="21"/>
          <w:highlight w:val="none"/>
        </w:rPr>
        <w:t>[竣工后试验]约定进行的试验。</w:t>
      </w:r>
    </w:p>
    <w:p w14:paraId="7C8C491D">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r>
        <w:rPr>
          <w:rFonts w:hint="eastAsia"/>
          <w:b/>
          <w:bCs/>
          <w:color w:val="auto"/>
          <w:sz w:val="21"/>
          <w:highlight w:val="none"/>
        </w:rPr>
        <w:t>1</w:t>
      </w:r>
      <w:r>
        <w:rPr>
          <w:b/>
          <w:bCs/>
          <w:color w:val="auto"/>
          <w:sz w:val="21"/>
          <w:highlight w:val="none"/>
        </w:rPr>
        <w:t xml:space="preserve">.1.5 </w:t>
      </w:r>
      <w:r>
        <w:rPr>
          <w:rFonts w:hint="eastAsia"/>
          <w:b/>
          <w:bCs/>
          <w:color w:val="auto"/>
          <w:sz w:val="21"/>
          <w:highlight w:val="none"/>
        </w:rPr>
        <w:t>合同价格和费用</w:t>
      </w:r>
    </w:p>
    <w:p w14:paraId="7150F480">
      <w:pPr>
        <w:pStyle w:val="135"/>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.1.5.1 </w:t>
      </w:r>
      <w:r>
        <w:rPr>
          <w:rFonts w:hint="eastAsia"/>
          <w:color w:val="auto"/>
          <w:sz w:val="21"/>
          <w:highlight w:val="none"/>
        </w:rPr>
        <w:t>签约合同价：是指发包人和承包人在合同协议书中确定的总金额，包括暂估价及暂列金额等。</w:t>
      </w:r>
    </w:p>
    <w:p w14:paraId="06356B34">
      <w:pPr>
        <w:pStyle w:val="135"/>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.1.5.2 </w:t>
      </w:r>
      <w:r>
        <w:rPr>
          <w:rFonts w:hint="eastAsia"/>
          <w:color w:val="auto"/>
          <w:sz w:val="21"/>
          <w:highlight w:val="none"/>
        </w:rPr>
        <w:t>合同价格：是指发包人用于支付承包人按照合同约定完成承包范围内全部工作的金额，包括合同履行过程中按合同约定发生的价格变化。</w:t>
      </w:r>
    </w:p>
    <w:p w14:paraId="053D7779">
      <w:pPr>
        <w:pStyle w:val="135"/>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.1.5.3 </w:t>
      </w:r>
      <w:r>
        <w:rPr>
          <w:rFonts w:hint="eastAsia"/>
          <w:color w:val="auto"/>
          <w:sz w:val="21"/>
          <w:highlight w:val="none"/>
        </w:rPr>
        <w:t>费用：是指为履行合同所发生的或将要发生的所有合理开支，包括管理费和应分摊的其他费用，但不包括利润。</w:t>
      </w:r>
    </w:p>
    <w:p w14:paraId="41EA2BE1">
      <w:pPr>
        <w:pStyle w:val="135"/>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.1.5.4 </w:t>
      </w:r>
      <w:r>
        <w:rPr>
          <w:rFonts w:hint="eastAsia"/>
          <w:color w:val="auto"/>
          <w:sz w:val="21"/>
          <w:highlight w:val="none"/>
        </w:rPr>
        <w:t>人工费：是指支付给直接从事建筑安装工程施工作业的建筑工人的各项费用。</w:t>
      </w:r>
    </w:p>
    <w:p w14:paraId="3AB50F09">
      <w:pPr>
        <w:pStyle w:val="135"/>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.1.5.5 </w:t>
      </w:r>
      <w:r>
        <w:rPr>
          <w:rFonts w:hint="eastAsia"/>
          <w:color w:val="auto"/>
          <w:sz w:val="21"/>
          <w:highlight w:val="none"/>
        </w:rPr>
        <w:t>暂估价：</w:t>
      </w:r>
      <w:bookmarkStart w:id="417" w:name="_Hlk18973781"/>
      <w:r>
        <w:rPr>
          <w:rFonts w:hint="eastAsia"/>
          <w:color w:val="auto"/>
          <w:sz w:val="21"/>
          <w:highlight w:val="none"/>
        </w:rPr>
        <w:t>是指发包人在项目清单中给定的，用于支付必然发生但暂时不能确定价格的专业服务、材料、设备、专业工程的金额。</w:t>
      </w:r>
      <w:bookmarkEnd w:id="417"/>
    </w:p>
    <w:p w14:paraId="55B8B310">
      <w:pPr>
        <w:pStyle w:val="135"/>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.1.5.6 </w:t>
      </w:r>
      <w:r>
        <w:rPr>
          <w:rFonts w:hint="eastAsia"/>
          <w:color w:val="auto"/>
          <w:sz w:val="21"/>
          <w:highlight w:val="none"/>
        </w:rPr>
        <w:t>暂列金额：是指发包人在项目清单中给定的，用于在订立协议书时尚未确定或不可预见变更的设计、施工及其所需材料、工程设备、服务等的金额，包括以计日工方式支付的金额。</w:t>
      </w:r>
    </w:p>
    <w:p w14:paraId="42107CE4">
      <w:pPr>
        <w:pStyle w:val="135"/>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.1.5.7 </w:t>
      </w:r>
      <w:r>
        <w:rPr>
          <w:rFonts w:hint="eastAsia"/>
          <w:color w:val="auto"/>
          <w:sz w:val="21"/>
          <w:highlight w:val="none"/>
        </w:rPr>
        <w:t>计日工：是指合同履行过程中，承包人完成发包人提出的零星工作或需要采用计日工计价的变更工作时，按合同中约定的单价计价的一种方式。</w:t>
      </w:r>
    </w:p>
    <w:p w14:paraId="7A0936D9">
      <w:pPr>
        <w:pStyle w:val="135"/>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.1.5.8 </w:t>
      </w:r>
      <w:r>
        <w:rPr>
          <w:rFonts w:hint="eastAsia"/>
          <w:color w:val="auto"/>
          <w:sz w:val="21"/>
          <w:highlight w:val="none"/>
        </w:rPr>
        <w:t>质量保证金：是指按第</w:t>
      </w:r>
      <w:r>
        <w:rPr>
          <w:color w:val="auto"/>
          <w:sz w:val="21"/>
          <w:highlight w:val="none"/>
        </w:rPr>
        <w:t>14.6</w:t>
      </w:r>
      <w:r>
        <w:rPr>
          <w:rFonts w:hint="eastAsia"/>
          <w:color w:val="auto"/>
          <w:sz w:val="21"/>
          <w:highlight w:val="none"/>
        </w:rPr>
        <w:t>款[质量保证金]约定承包人用于保证其在缺陷责任期内履行缺陷修复义务的担保。</w:t>
      </w:r>
    </w:p>
    <w:p w14:paraId="03E195BF">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r>
        <w:rPr>
          <w:rFonts w:hint="eastAsia"/>
          <w:b/>
          <w:bCs/>
          <w:color w:val="auto"/>
          <w:sz w:val="21"/>
          <w:highlight w:val="none"/>
        </w:rPr>
        <w:t>1</w:t>
      </w:r>
      <w:r>
        <w:rPr>
          <w:b/>
          <w:bCs/>
          <w:color w:val="auto"/>
          <w:sz w:val="21"/>
          <w:highlight w:val="none"/>
        </w:rPr>
        <w:t xml:space="preserve">.1.6 </w:t>
      </w:r>
      <w:r>
        <w:rPr>
          <w:rFonts w:hint="eastAsia"/>
          <w:b/>
          <w:bCs/>
          <w:color w:val="auto"/>
          <w:sz w:val="21"/>
          <w:highlight w:val="none"/>
        </w:rPr>
        <w:t>其他</w:t>
      </w:r>
    </w:p>
    <w:p w14:paraId="51CE9826">
      <w:pPr>
        <w:pStyle w:val="135"/>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.1.6.1 </w:t>
      </w:r>
      <w:r>
        <w:rPr>
          <w:rFonts w:hint="eastAsia"/>
          <w:color w:val="auto"/>
          <w:sz w:val="21"/>
          <w:highlight w:val="none"/>
        </w:rPr>
        <w:t>书面形式：指合同文件、信函、电报、传真、数据电文、电子邮件、会议纪要等可以有形地表现所载内容的形式。</w:t>
      </w:r>
    </w:p>
    <w:p w14:paraId="7CE69691">
      <w:pPr>
        <w:pStyle w:val="135"/>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.1.6.2 </w:t>
      </w:r>
      <w:r>
        <w:rPr>
          <w:rFonts w:hint="eastAsia"/>
          <w:color w:val="auto"/>
          <w:sz w:val="21"/>
          <w:highlight w:val="none"/>
        </w:rPr>
        <w:t>承包人文件：指由承包人根据合同约定应提交的所有图纸、手册、模型、计算书、软件、函件、洽商性文件和其他技术性文件。</w:t>
      </w:r>
    </w:p>
    <w:p w14:paraId="421077BC">
      <w:pPr>
        <w:pStyle w:val="135"/>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.1.6.3 </w:t>
      </w:r>
      <w:r>
        <w:rPr>
          <w:rFonts w:hint="eastAsia"/>
          <w:color w:val="auto"/>
          <w:sz w:val="21"/>
          <w:highlight w:val="none"/>
        </w:rPr>
        <w:t>变更：指根据第</w:t>
      </w:r>
      <w:r>
        <w:rPr>
          <w:color w:val="auto"/>
          <w:sz w:val="21"/>
          <w:highlight w:val="none"/>
        </w:rPr>
        <w:t>13条</w:t>
      </w:r>
      <w:r>
        <w:rPr>
          <w:rFonts w:hint="eastAsia"/>
          <w:color w:val="auto"/>
          <w:sz w:val="21"/>
          <w:highlight w:val="none"/>
        </w:rPr>
        <w:t>[变更与调整]的约定，经指示或批准对《发包人要求》或工程所做的改变。</w:t>
      </w:r>
    </w:p>
    <w:bookmarkEnd w:id="407"/>
    <w:p w14:paraId="39DC2A62">
      <w:pPr>
        <w:pStyle w:val="167"/>
        <w:keepNext w:val="0"/>
        <w:keepLines w:val="0"/>
        <w:pageBreakBefore w:val="0"/>
        <w:widowControl/>
        <w:kinsoku/>
        <w:wordWrap/>
        <w:overflowPunct/>
        <w:topLinePunct w:val="0"/>
        <w:autoSpaceDE/>
        <w:autoSpaceDN/>
        <w:bidi w:val="0"/>
        <w:spacing w:after="120"/>
        <w:ind w:firstLine="422" w:firstLineChars="200"/>
        <w:textAlignment w:val="auto"/>
        <w:rPr>
          <w:rFonts w:ascii="宋体" w:hAnsi="宋体" w:eastAsia="宋体"/>
          <w:b/>
          <w:bCs w:val="0"/>
          <w:color w:val="auto"/>
          <w:sz w:val="21"/>
          <w:szCs w:val="21"/>
          <w:highlight w:val="none"/>
        </w:rPr>
      </w:pPr>
      <w:bookmarkStart w:id="418" w:name="_Ref509042101"/>
      <w:bookmarkStart w:id="419" w:name="_Toc12609"/>
      <w:bookmarkStart w:id="420" w:name="_Toc18888"/>
      <w:bookmarkStart w:id="421" w:name="_Ref509042104"/>
      <w:bookmarkStart w:id="422" w:name="_Toc54862179"/>
      <w:bookmarkStart w:id="423" w:name="_Toc32363"/>
      <w:bookmarkStart w:id="424" w:name="_Ref522730349"/>
      <w:bookmarkStart w:id="425" w:name="_Ref522730353"/>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.2 语言文字</w:t>
      </w:r>
      <w:bookmarkEnd w:id="418"/>
      <w:bookmarkEnd w:id="419"/>
      <w:bookmarkEnd w:id="420"/>
      <w:bookmarkEnd w:id="421"/>
      <w:bookmarkEnd w:id="422"/>
      <w:bookmarkEnd w:id="423"/>
    </w:p>
    <w:p w14:paraId="1BA013FC">
      <w:pPr>
        <w:keepNext w:val="0"/>
        <w:keepLines w:val="0"/>
        <w:pageBreakBefore w:val="0"/>
        <w:kinsoku/>
        <w:wordWrap/>
        <w:overflowPunct/>
        <w:topLinePunct w:val="0"/>
        <w:autoSpaceDE/>
        <w:autoSpaceDN/>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合同文件以中国的汉语简体语言文字编写、解释和说明。专用术语使用外文的，应附有中文注释。合同当事人在专用合同条件约定使用两种及以上语言时，汉语为优先解释和说明合同的语言。</w:t>
      </w:r>
    </w:p>
    <w:p w14:paraId="2DCF51E6">
      <w:pPr>
        <w:keepNext w:val="0"/>
        <w:keepLines w:val="0"/>
        <w:pageBreakBefore w:val="0"/>
        <w:kinsoku/>
        <w:wordWrap/>
        <w:overflowPunct/>
        <w:topLinePunct w:val="0"/>
        <w:autoSpaceDE/>
        <w:autoSpaceDN/>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与合同有关的联络应使用专用合同条件约定的语言。如没有约定，则应使用中国的汉语简体语言文字。</w:t>
      </w:r>
    </w:p>
    <w:p w14:paraId="1CBC23F4">
      <w:pPr>
        <w:pStyle w:val="167"/>
        <w:keepNext w:val="0"/>
        <w:keepLines w:val="0"/>
        <w:pageBreakBefore w:val="0"/>
        <w:widowControl/>
        <w:kinsoku/>
        <w:wordWrap/>
        <w:overflowPunct/>
        <w:topLinePunct w:val="0"/>
        <w:autoSpaceDE/>
        <w:autoSpaceDN/>
        <w:bidi w:val="0"/>
        <w:spacing w:after="120"/>
        <w:ind w:firstLine="422" w:firstLineChars="200"/>
        <w:textAlignment w:val="auto"/>
        <w:rPr>
          <w:rFonts w:ascii="宋体" w:hAnsi="宋体" w:eastAsia="宋体"/>
          <w:b/>
          <w:bCs w:val="0"/>
          <w:color w:val="auto"/>
          <w:sz w:val="21"/>
          <w:szCs w:val="21"/>
          <w:highlight w:val="none"/>
        </w:rPr>
      </w:pPr>
      <w:bookmarkStart w:id="426" w:name="_Toc54862180"/>
      <w:bookmarkStart w:id="427" w:name="_Ref531949539"/>
      <w:bookmarkStart w:id="428" w:name="_Ref531949543"/>
      <w:bookmarkStart w:id="429" w:name="_Toc30853"/>
      <w:bookmarkStart w:id="430" w:name="_Toc19877"/>
      <w:bookmarkStart w:id="431" w:name="_Toc32244"/>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.3 </w:t>
      </w:r>
      <w:r>
        <w:rPr>
          <w:rFonts w:hint="eastAsia" w:ascii="宋体" w:hAnsi="宋体" w:eastAsia="宋体"/>
          <w:b/>
          <w:bCs w:val="0"/>
          <w:color w:val="auto"/>
          <w:sz w:val="21"/>
          <w:szCs w:val="21"/>
          <w:highlight w:val="none"/>
        </w:rPr>
        <w:t>法律</w:t>
      </w:r>
      <w:bookmarkEnd w:id="426"/>
      <w:bookmarkEnd w:id="427"/>
      <w:bookmarkEnd w:id="428"/>
      <w:bookmarkEnd w:id="429"/>
      <w:bookmarkEnd w:id="430"/>
      <w:bookmarkEnd w:id="431"/>
    </w:p>
    <w:p w14:paraId="784F1DB6">
      <w:pPr>
        <w:keepNext w:val="0"/>
        <w:keepLines w:val="0"/>
        <w:pageBreakBefore w:val="0"/>
        <w:kinsoku/>
        <w:wordWrap/>
        <w:overflowPunct/>
        <w:topLinePunct w:val="0"/>
        <w:autoSpaceDE/>
        <w:autoSpaceDN/>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合同所称法律是指</w:t>
      </w:r>
      <w:r>
        <w:rPr>
          <w:rFonts w:ascii="宋体" w:hAnsi="宋体"/>
          <w:color w:val="auto"/>
          <w:szCs w:val="21"/>
          <w:highlight w:val="none"/>
        </w:rPr>
        <w:t>中华人民共和国法律、行政法规、部门规章</w:t>
      </w:r>
      <w:r>
        <w:rPr>
          <w:rFonts w:hint="eastAsia" w:ascii="宋体" w:hAnsi="宋体"/>
          <w:color w:val="auto"/>
          <w:szCs w:val="21"/>
          <w:highlight w:val="none"/>
        </w:rPr>
        <w:t>，</w:t>
      </w:r>
      <w:r>
        <w:rPr>
          <w:rFonts w:ascii="宋体" w:hAnsi="宋体"/>
          <w:color w:val="auto"/>
          <w:szCs w:val="21"/>
          <w:highlight w:val="none"/>
        </w:rPr>
        <w:t>以及工程所在地的地方法规、自治条例、单行条例和地方政府规章</w:t>
      </w:r>
      <w:r>
        <w:rPr>
          <w:rFonts w:hint="eastAsia" w:ascii="宋体" w:hAnsi="宋体"/>
          <w:color w:val="auto"/>
          <w:szCs w:val="21"/>
          <w:highlight w:val="none"/>
        </w:rPr>
        <w:t>等。</w:t>
      </w:r>
    </w:p>
    <w:p w14:paraId="07AFA54E">
      <w:pPr>
        <w:keepNext w:val="0"/>
        <w:keepLines w:val="0"/>
        <w:pageBreakBefore w:val="0"/>
        <w:kinsoku/>
        <w:wordWrap/>
        <w:overflowPunct/>
        <w:topLinePunct w:val="0"/>
        <w:autoSpaceDE/>
        <w:autoSpaceDN/>
        <w:bidi w:val="0"/>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合同当事人可以在专用合同条件中约定合同适用的其他规范性文件</w:t>
      </w:r>
      <w:r>
        <w:rPr>
          <w:rFonts w:hint="eastAsia" w:ascii="宋体" w:hAnsi="宋体"/>
          <w:color w:val="auto"/>
          <w:szCs w:val="21"/>
          <w:highlight w:val="none"/>
        </w:rPr>
        <w:t>。</w:t>
      </w:r>
    </w:p>
    <w:p w14:paraId="61EE343A">
      <w:pPr>
        <w:pStyle w:val="167"/>
        <w:keepNext w:val="0"/>
        <w:keepLines w:val="0"/>
        <w:pageBreakBefore w:val="0"/>
        <w:widowControl/>
        <w:kinsoku/>
        <w:wordWrap/>
        <w:overflowPunct/>
        <w:topLinePunct w:val="0"/>
        <w:autoSpaceDE/>
        <w:autoSpaceDN/>
        <w:bidi w:val="0"/>
        <w:spacing w:after="120"/>
        <w:ind w:firstLine="422" w:firstLineChars="200"/>
        <w:textAlignment w:val="auto"/>
        <w:rPr>
          <w:rFonts w:ascii="宋体" w:hAnsi="宋体" w:eastAsia="宋体"/>
          <w:b/>
          <w:bCs w:val="0"/>
          <w:color w:val="auto"/>
          <w:sz w:val="21"/>
          <w:szCs w:val="21"/>
          <w:highlight w:val="none"/>
        </w:rPr>
      </w:pPr>
      <w:bookmarkStart w:id="432" w:name="_Toc54862181"/>
      <w:bookmarkStart w:id="433" w:name="_Toc16413"/>
      <w:bookmarkStart w:id="434" w:name="_Toc7451"/>
      <w:bookmarkStart w:id="435" w:name="_Ref531949589"/>
      <w:bookmarkStart w:id="436" w:name="_Ref531949594"/>
      <w:bookmarkStart w:id="437" w:name="_Toc32417"/>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.4 </w:t>
      </w:r>
      <w:r>
        <w:rPr>
          <w:rFonts w:hint="eastAsia" w:ascii="宋体" w:hAnsi="宋体" w:eastAsia="宋体"/>
          <w:b/>
          <w:bCs w:val="0"/>
          <w:color w:val="auto"/>
          <w:sz w:val="21"/>
          <w:szCs w:val="21"/>
          <w:highlight w:val="none"/>
        </w:rPr>
        <w:t>标准和规范</w:t>
      </w:r>
      <w:bookmarkEnd w:id="432"/>
      <w:bookmarkEnd w:id="433"/>
      <w:bookmarkEnd w:id="434"/>
      <w:bookmarkEnd w:id="435"/>
      <w:bookmarkEnd w:id="436"/>
      <w:bookmarkEnd w:id="437"/>
    </w:p>
    <w:p w14:paraId="184E0044">
      <w:pPr>
        <w:pStyle w:val="153"/>
        <w:keepNext w:val="0"/>
        <w:keepLines w:val="0"/>
        <w:pageBreakBefore w:val="0"/>
        <w:kinsoku/>
        <w:wordWrap/>
        <w:overflowPunct/>
        <w:topLinePunct w:val="0"/>
        <w:autoSpaceDE/>
        <w:autoSpaceDN/>
        <w:bidi w:val="0"/>
        <w:spacing w:after="120"/>
        <w:ind w:firstLine="420" w:firstLineChars="200"/>
        <w:textAlignment w:val="auto"/>
        <w:rPr>
          <w:color w:val="auto"/>
          <w:sz w:val="21"/>
          <w:highlight w:val="none"/>
        </w:rPr>
      </w:pPr>
      <w:bookmarkStart w:id="438" w:name="_Ref4420991"/>
      <w:r>
        <w:rPr>
          <w:rFonts w:hint="eastAsia"/>
          <w:color w:val="auto"/>
          <w:sz w:val="21"/>
          <w:highlight w:val="none"/>
        </w:rPr>
        <w:t>1</w:t>
      </w:r>
      <w:r>
        <w:rPr>
          <w:color w:val="auto"/>
          <w:sz w:val="21"/>
          <w:highlight w:val="none"/>
        </w:rPr>
        <w:t xml:space="preserve">.4.1 </w:t>
      </w:r>
      <w:r>
        <w:rPr>
          <w:rFonts w:hint="eastAsia"/>
          <w:color w:val="auto"/>
          <w:sz w:val="21"/>
          <w:highlight w:val="none"/>
        </w:rPr>
        <w:t>适用于工程的国家标准、行业标准、工程所在地的地方性标准，以及相应的规范、规程等，合同当事人有特别要求的，应在专用合同条件中约定。</w:t>
      </w:r>
      <w:bookmarkEnd w:id="438"/>
    </w:p>
    <w:p w14:paraId="6A23A138">
      <w:pPr>
        <w:pStyle w:val="153"/>
        <w:keepNext w:val="0"/>
        <w:keepLines w:val="0"/>
        <w:pageBreakBefore w:val="0"/>
        <w:kinsoku/>
        <w:wordWrap/>
        <w:overflowPunct/>
        <w:topLinePunct w:val="0"/>
        <w:autoSpaceDE/>
        <w:autoSpaceDN/>
        <w:bidi w:val="0"/>
        <w:spacing w:after="120"/>
        <w:ind w:firstLine="420" w:firstLineChars="200"/>
        <w:textAlignment w:val="auto"/>
        <w:rPr>
          <w:color w:val="auto"/>
          <w:sz w:val="21"/>
          <w:highlight w:val="none"/>
        </w:rPr>
      </w:pPr>
      <w:bookmarkStart w:id="439" w:name="_Ref531949642"/>
      <w:r>
        <w:rPr>
          <w:rFonts w:hint="eastAsia"/>
          <w:color w:val="auto"/>
          <w:sz w:val="21"/>
          <w:highlight w:val="none"/>
        </w:rPr>
        <w:t>1</w:t>
      </w:r>
      <w:r>
        <w:rPr>
          <w:color w:val="auto"/>
          <w:sz w:val="21"/>
          <w:highlight w:val="none"/>
        </w:rPr>
        <w:t xml:space="preserve">.4.2 </w:t>
      </w:r>
      <w:r>
        <w:rPr>
          <w:rFonts w:hint="eastAsia"/>
          <w:color w:val="auto"/>
          <w:sz w:val="21"/>
          <w:highlight w:val="none"/>
        </w:rPr>
        <w:t>发包人要求使用国外标准、规范的，发包人负责提供原文版本和中文译本，并在专用合同条件中约定提供标准规范的名称、份数和时间。</w:t>
      </w:r>
      <w:bookmarkEnd w:id="439"/>
    </w:p>
    <w:p w14:paraId="30A2B00F">
      <w:pPr>
        <w:pStyle w:val="153"/>
        <w:keepNext w:val="0"/>
        <w:keepLines w:val="0"/>
        <w:pageBreakBefore w:val="0"/>
        <w:kinsoku/>
        <w:wordWrap/>
        <w:overflowPunct/>
        <w:topLinePunct w:val="0"/>
        <w:autoSpaceDE/>
        <w:autoSpaceDN/>
        <w:bidi w:val="0"/>
        <w:spacing w:after="120"/>
        <w:ind w:firstLine="420" w:firstLineChars="200"/>
        <w:textAlignment w:val="auto"/>
        <w:rPr>
          <w:color w:val="auto"/>
          <w:sz w:val="21"/>
          <w:highlight w:val="none"/>
        </w:rPr>
      </w:pPr>
      <w:bookmarkStart w:id="440" w:name="_Ref531949657"/>
      <w:r>
        <w:rPr>
          <w:rFonts w:hint="eastAsia"/>
          <w:color w:val="auto"/>
          <w:sz w:val="21"/>
          <w:highlight w:val="none"/>
        </w:rPr>
        <w:t>1</w:t>
      </w:r>
      <w:r>
        <w:rPr>
          <w:color w:val="auto"/>
          <w:sz w:val="21"/>
          <w:highlight w:val="none"/>
        </w:rPr>
        <w:t xml:space="preserve">.4.3 </w:t>
      </w:r>
      <w:r>
        <w:rPr>
          <w:rFonts w:hint="eastAsia"/>
          <w:color w:val="auto"/>
          <w:sz w:val="21"/>
          <w:highlight w:val="none"/>
        </w:rPr>
        <w:t>没有相应成文规定的标准、规范时，由发包人在专用合同条件中约定的时间向承包人列明技术要求，承包人按约定的时间和技术要求提出实施方法，经发包人认可后执行。承包人需要对实施方法进行研发试验的，或须对项目人员进行特殊培训及其有特殊要求的，除签约合同价已包含此项费用外，双方应另行订立协议作为合同附件，其费用由发包人承担。</w:t>
      </w:r>
      <w:bookmarkEnd w:id="440"/>
    </w:p>
    <w:p w14:paraId="22419145">
      <w:pPr>
        <w:pStyle w:val="153"/>
        <w:keepNext w:val="0"/>
        <w:keepLines w:val="0"/>
        <w:pageBreakBefore w:val="0"/>
        <w:kinsoku/>
        <w:wordWrap/>
        <w:overflowPunct/>
        <w:topLinePunct w:val="0"/>
        <w:autoSpaceDE/>
        <w:autoSpaceDN/>
        <w:bidi w:val="0"/>
        <w:spacing w:after="120"/>
        <w:ind w:firstLine="420" w:firstLineChars="200"/>
        <w:textAlignment w:val="auto"/>
        <w:rPr>
          <w:color w:val="auto"/>
          <w:sz w:val="21"/>
          <w:highlight w:val="none"/>
        </w:rPr>
      </w:pPr>
      <w:bookmarkStart w:id="441" w:name="_Ref4421272"/>
      <w:r>
        <w:rPr>
          <w:rFonts w:hint="eastAsia"/>
          <w:color w:val="auto"/>
          <w:sz w:val="21"/>
          <w:highlight w:val="none"/>
        </w:rPr>
        <w:t>1</w:t>
      </w:r>
      <w:r>
        <w:rPr>
          <w:color w:val="auto"/>
          <w:sz w:val="21"/>
          <w:highlight w:val="none"/>
        </w:rPr>
        <w:t xml:space="preserve">.4.4 </w:t>
      </w:r>
      <w:r>
        <w:rPr>
          <w:rFonts w:hint="eastAsia"/>
          <w:color w:val="auto"/>
          <w:sz w:val="21"/>
          <w:highlight w:val="none"/>
        </w:rPr>
        <w:t>发包人对于工程的技术标准、功能要求高于或严于现行国家、行业或地方标准的，应当在《发包人要求》中予以明确。除专用合同条件另有约定外，应视为承包人在订立合同前已充分预见前述技术标准和功能要求的复杂程度，签约合同价中已包含由此产生的费用。</w:t>
      </w:r>
      <w:bookmarkEnd w:id="441"/>
    </w:p>
    <w:p w14:paraId="7FBCEB93">
      <w:pPr>
        <w:pStyle w:val="167"/>
        <w:keepNext w:val="0"/>
        <w:keepLines w:val="0"/>
        <w:pageBreakBefore w:val="0"/>
        <w:widowControl/>
        <w:kinsoku/>
        <w:wordWrap/>
        <w:overflowPunct/>
        <w:topLinePunct w:val="0"/>
        <w:autoSpaceDE/>
        <w:autoSpaceDN/>
        <w:bidi w:val="0"/>
        <w:spacing w:after="120"/>
        <w:ind w:firstLine="422" w:firstLineChars="200"/>
        <w:textAlignment w:val="auto"/>
        <w:rPr>
          <w:rFonts w:ascii="宋体" w:hAnsi="宋体" w:eastAsia="宋体"/>
          <w:b/>
          <w:bCs w:val="0"/>
          <w:color w:val="auto"/>
          <w:sz w:val="21"/>
          <w:szCs w:val="21"/>
          <w:highlight w:val="none"/>
        </w:rPr>
      </w:pPr>
      <w:bookmarkStart w:id="442" w:name="_Toc26563"/>
      <w:bookmarkStart w:id="443" w:name="_Toc2758"/>
      <w:bookmarkStart w:id="444" w:name="_Toc18246"/>
      <w:bookmarkStart w:id="445" w:name="_Ref4421717"/>
      <w:bookmarkStart w:id="446" w:name="_Toc54862182"/>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.5 </w:t>
      </w:r>
      <w:r>
        <w:rPr>
          <w:rFonts w:hint="eastAsia" w:ascii="宋体" w:hAnsi="宋体" w:eastAsia="宋体"/>
          <w:b/>
          <w:bCs w:val="0"/>
          <w:color w:val="auto"/>
          <w:sz w:val="21"/>
          <w:szCs w:val="21"/>
          <w:highlight w:val="none"/>
        </w:rPr>
        <w:t>合同文件的优先顺序</w:t>
      </w:r>
      <w:bookmarkEnd w:id="424"/>
      <w:bookmarkEnd w:id="425"/>
      <w:bookmarkEnd w:id="442"/>
      <w:bookmarkEnd w:id="443"/>
      <w:bookmarkEnd w:id="444"/>
      <w:bookmarkEnd w:id="445"/>
      <w:bookmarkEnd w:id="446"/>
    </w:p>
    <w:p w14:paraId="1E413BB6">
      <w:pPr>
        <w:keepNext w:val="0"/>
        <w:keepLines w:val="0"/>
        <w:pageBreakBefore w:val="0"/>
        <w:kinsoku/>
        <w:wordWrap/>
        <w:overflowPunct/>
        <w:topLinePunct w:val="0"/>
        <w:autoSpaceDE/>
        <w:autoSpaceDN/>
        <w:bidi w:val="0"/>
        <w:spacing w:line="360" w:lineRule="auto"/>
        <w:ind w:firstLine="420" w:firstLineChars="200"/>
        <w:textAlignment w:val="auto"/>
        <w:rPr>
          <w:rFonts w:ascii="宋体" w:hAnsi="宋体"/>
          <w:color w:val="auto"/>
          <w:szCs w:val="21"/>
          <w:highlight w:val="none"/>
        </w:rPr>
      </w:pPr>
      <w:bookmarkStart w:id="447" w:name="_Ref531948776"/>
      <w:r>
        <w:rPr>
          <w:rFonts w:hint="eastAsia" w:ascii="宋体" w:hAnsi="宋体"/>
          <w:color w:val="auto"/>
          <w:szCs w:val="21"/>
          <w:highlight w:val="none"/>
        </w:rPr>
        <w:t>组成合同的各项文件应互相解释，互为说明。除专用合同条件另有约定外，</w:t>
      </w:r>
      <w:bookmarkEnd w:id="447"/>
      <w:r>
        <w:rPr>
          <w:rFonts w:hint="eastAsia" w:ascii="宋体" w:hAnsi="宋体"/>
          <w:color w:val="auto"/>
          <w:szCs w:val="21"/>
          <w:highlight w:val="none"/>
        </w:rPr>
        <w:t>解释合同文件的优先顺序如下：</w:t>
      </w:r>
    </w:p>
    <w:p w14:paraId="2D26A8B2">
      <w:pPr>
        <w:keepNext w:val="0"/>
        <w:keepLines w:val="0"/>
        <w:pageBreakBefore w:val="0"/>
        <w:kinsoku/>
        <w:wordWrap/>
        <w:overflowPunct/>
        <w:topLinePunct w:val="0"/>
        <w:autoSpaceDE/>
        <w:autoSpaceDN/>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 合同协议书；</w:t>
      </w:r>
    </w:p>
    <w:p w14:paraId="59D66810">
      <w:pPr>
        <w:keepNext w:val="0"/>
        <w:keepLines w:val="0"/>
        <w:pageBreakBefore w:val="0"/>
        <w:kinsoku/>
        <w:wordWrap/>
        <w:overflowPunct/>
        <w:topLinePunct w:val="0"/>
        <w:autoSpaceDE/>
        <w:autoSpaceDN/>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 中标通知书（如果有）；</w:t>
      </w:r>
    </w:p>
    <w:p w14:paraId="0E1AF99E">
      <w:pPr>
        <w:keepNext w:val="0"/>
        <w:keepLines w:val="0"/>
        <w:pageBreakBefore w:val="0"/>
        <w:kinsoku/>
        <w:wordWrap/>
        <w:overflowPunct/>
        <w:topLinePunct w:val="0"/>
        <w:autoSpaceDE/>
        <w:autoSpaceDN/>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（3） 投标函及投标函附录（如果有）；</w:t>
      </w:r>
    </w:p>
    <w:p w14:paraId="165A24B3">
      <w:pPr>
        <w:keepNext w:val="0"/>
        <w:keepLines w:val="0"/>
        <w:pageBreakBefore w:val="0"/>
        <w:kinsoku/>
        <w:wordWrap/>
        <w:overflowPunct/>
        <w:topLinePunct w:val="0"/>
        <w:autoSpaceDE/>
        <w:autoSpaceDN/>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（4） 专用合同条件及《发包人要求》等附件；</w:t>
      </w:r>
    </w:p>
    <w:p w14:paraId="203517EA">
      <w:pPr>
        <w:keepNext w:val="0"/>
        <w:keepLines w:val="0"/>
        <w:pageBreakBefore w:val="0"/>
        <w:kinsoku/>
        <w:wordWrap/>
        <w:overflowPunct/>
        <w:topLinePunct w:val="0"/>
        <w:autoSpaceDE/>
        <w:autoSpaceDN/>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（5） 通用合同条件；</w:t>
      </w:r>
    </w:p>
    <w:p w14:paraId="0A0A5DCA">
      <w:pPr>
        <w:keepNext w:val="0"/>
        <w:keepLines w:val="0"/>
        <w:pageBreakBefore w:val="0"/>
        <w:kinsoku/>
        <w:wordWrap/>
        <w:overflowPunct/>
        <w:topLinePunct w:val="0"/>
        <w:autoSpaceDE/>
        <w:autoSpaceDN/>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 xml:space="preserve">（6） 承包人建议书； </w:t>
      </w:r>
    </w:p>
    <w:p w14:paraId="3A94777A">
      <w:pPr>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7</w:t>
      </w:r>
      <w:r>
        <w:rPr>
          <w:rFonts w:hint="eastAsia" w:ascii="宋体" w:hAnsi="宋体"/>
          <w:color w:val="auto"/>
          <w:szCs w:val="21"/>
          <w:highlight w:val="none"/>
        </w:rPr>
        <w:t xml:space="preserve">） </w:t>
      </w:r>
      <w:r>
        <w:rPr>
          <w:rFonts w:hint="eastAsia" w:ascii="宋体" w:hAnsi="宋体"/>
          <w:color w:val="auto"/>
          <w:szCs w:val="21"/>
          <w:highlight w:val="none"/>
          <w:lang w:eastAsia="zh-CN"/>
        </w:rPr>
        <w:t>价格清单</w:t>
      </w:r>
      <w:r>
        <w:rPr>
          <w:rFonts w:hint="eastAsia" w:ascii="宋体" w:hAnsi="宋体"/>
          <w:color w:val="auto"/>
          <w:szCs w:val="21"/>
          <w:highlight w:val="none"/>
        </w:rPr>
        <w:t xml:space="preserve">； </w:t>
      </w:r>
    </w:p>
    <w:p w14:paraId="0CC5EDF8">
      <w:pPr>
        <w:keepNext w:val="0"/>
        <w:keepLines w:val="0"/>
        <w:pageBreakBefore w:val="0"/>
        <w:kinsoku/>
        <w:wordWrap/>
        <w:overflowPunct/>
        <w:topLinePunct w:val="0"/>
        <w:autoSpaceDE/>
        <w:autoSpaceDN/>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8</w:t>
      </w:r>
      <w:r>
        <w:rPr>
          <w:rFonts w:hint="eastAsia" w:ascii="宋体" w:hAnsi="宋体"/>
          <w:color w:val="auto"/>
          <w:szCs w:val="21"/>
          <w:highlight w:val="none"/>
        </w:rPr>
        <w:t>） 双方约定的其他合同文件。</w:t>
      </w:r>
    </w:p>
    <w:p w14:paraId="15A1A462">
      <w:pPr>
        <w:keepNext w:val="0"/>
        <w:keepLines w:val="0"/>
        <w:pageBreakBefore w:val="0"/>
        <w:kinsoku/>
        <w:wordWrap/>
        <w:overflowPunct/>
        <w:topLinePunct w:val="0"/>
        <w:autoSpaceDE/>
        <w:autoSpaceDN/>
        <w:bidi w:val="0"/>
        <w:spacing w:line="360" w:lineRule="auto"/>
        <w:ind w:firstLine="420" w:firstLineChars="200"/>
        <w:textAlignment w:val="auto"/>
        <w:rPr>
          <w:rFonts w:ascii="宋体" w:hAnsi="宋体"/>
          <w:color w:val="auto"/>
          <w:szCs w:val="21"/>
          <w:highlight w:val="none"/>
        </w:rPr>
      </w:pPr>
      <w:bookmarkStart w:id="448" w:name="_Hlk18951547"/>
      <w:r>
        <w:rPr>
          <w:rFonts w:hint="eastAsia" w:ascii="宋体" w:hAnsi="宋体"/>
          <w:color w:val="auto"/>
          <w:szCs w:val="21"/>
          <w:highlight w:val="none"/>
        </w:rPr>
        <w:t>上述各项合同文件包括合同当事人就该项合同文件所作出的补充和修改，属于同一类内容的文件，应以最新签署的为准</w:t>
      </w:r>
      <w:bookmarkEnd w:id="448"/>
      <w:r>
        <w:rPr>
          <w:rFonts w:hint="eastAsia" w:ascii="宋体" w:hAnsi="宋体"/>
          <w:color w:val="auto"/>
          <w:szCs w:val="21"/>
          <w:highlight w:val="none"/>
        </w:rPr>
        <w:t>。</w:t>
      </w:r>
    </w:p>
    <w:p w14:paraId="3654E7FE">
      <w:pPr>
        <w:keepNext w:val="0"/>
        <w:keepLines w:val="0"/>
        <w:pageBreakBefore w:val="0"/>
        <w:kinsoku/>
        <w:wordWrap/>
        <w:overflowPunct/>
        <w:topLinePunct w:val="0"/>
        <w:autoSpaceDE/>
        <w:autoSpaceDN/>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在合同订立及履行过程中形成的与合同有关的文件均构成合同文件组成部分，并根据其性质确定优先解释顺序。</w:t>
      </w:r>
    </w:p>
    <w:p w14:paraId="2B79AA9E">
      <w:pPr>
        <w:pStyle w:val="167"/>
        <w:keepNext w:val="0"/>
        <w:keepLines w:val="0"/>
        <w:pageBreakBefore w:val="0"/>
        <w:widowControl/>
        <w:kinsoku/>
        <w:wordWrap/>
        <w:overflowPunct/>
        <w:topLinePunct w:val="0"/>
        <w:autoSpaceDE/>
        <w:autoSpaceDN/>
        <w:bidi w:val="0"/>
        <w:spacing w:after="120"/>
        <w:ind w:firstLine="422" w:firstLineChars="200"/>
        <w:textAlignment w:val="auto"/>
        <w:rPr>
          <w:rFonts w:ascii="宋体" w:hAnsi="宋体" w:eastAsia="宋体"/>
          <w:b/>
          <w:bCs w:val="0"/>
          <w:color w:val="auto"/>
          <w:sz w:val="21"/>
          <w:szCs w:val="21"/>
          <w:highlight w:val="none"/>
        </w:rPr>
      </w:pPr>
      <w:bookmarkStart w:id="449" w:name="_Ref4422060"/>
      <w:bookmarkStart w:id="450" w:name="_Toc13396"/>
      <w:bookmarkStart w:id="451" w:name="_Ref11917818"/>
      <w:bookmarkStart w:id="452" w:name="_Toc54862183"/>
      <w:bookmarkStart w:id="453" w:name="_Toc22792"/>
      <w:bookmarkStart w:id="454" w:name="_Toc15904"/>
      <w:bookmarkStart w:id="455" w:name="_Ref531949803"/>
      <w:bookmarkStart w:id="456" w:name="_Ref531949822"/>
      <w:bookmarkStart w:id="457" w:name="_Ref531949807"/>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.6 </w:t>
      </w:r>
      <w:r>
        <w:rPr>
          <w:rFonts w:hint="eastAsia" w:ascii="宋体" w:hAnsi="宋体" w:eastAsia="宋体"/>
          <w:b/>
          <w:bCs w:val="0"/>
          <w:color w:val="auto"/>
          <w:sz w:val="21"/>
          <w:szCs w:val="21"/>
          <w:highlight w:val="none"/>
        </w:rPr>
        <w:t>文件的提供和</w:t>
      </w:r>
      <w:bookmarkEnd w:id="449"/>
      <w:r>
        <w:rPr>
          <w:rFonts w:hint="eastAsia" w:ascii="宋体" w:hAnsi="宋体" w:eastAsia="宋体"/>
          <w:b/>
          <w:bCs w:val="0"/>
          <w:color w:val="auto"/>
          <w:sz w:val="21"/>
          <w:szCs w:val="21"/>
          <w:highlight w:val="none"/>
        </w:rPr>
        <w:t>照管</w:t>
      </w:r>
      <w:bookmarkEnd w:id="450"/>
      <w:bookmarkEnd w:id="451"/>
      <w:bookmarkEnd w:id="452"/>
      <w:bookmarkEnd w:id="453"/>
      <w:bookmarkEnd w:id="454"/>
    </w:p>
    <w:p w14:paraId="0FE7A334">
      <w:pPr>
        <w:pStyle w:val="153"/>
        <w:keepNext w:val="0"/>
        <w:keepLines w:val="0"/>
        <w:pageBreakBefore w:val="0"/>
        <w:kinsoku/>
        <w:wordWrap/>
        <w:overflowPunct/>
        <w:topLinePunct w:val="0"/>
        <w:autoSpaceDE/>
        <w:autoSpaceDN/>
        <w:bidi w:val="0"/>
        <w:spacing w:after="120"/>
        <w:ind w:firstLine="422" w:firstLineChars="200"/>
        <w:textAlignment w:val="auto"/>
        <w:rPr>
          <w:b/>
          <w:bCs/>
          <w:color w:val="auto"/>
          <w:sz w:val="21"/>
          <w:highlight w:val="none"/>
        </w:rPr>
      </w:pPr>
      <w:bookmarkStart w:id="458" w:name="_Ref4421991"/>
      <w:r>
        <w:rPr>
          <w:rFonts w:hint="eastAsia"/>
          <w:b/>
          <w:bCs/>
          <w:color w:val="auto"/>
          <w:sz w:val="21"/>
          <w:highlight w:val="none"/>
        </w:rPr>
        <w:t>1</w:t>
      </w:r>
      <w:r>
        <w:rPr>
          <w:b/>
          <w:bCs/>
          <w:color w:val="auto"/>
          <w:sz w:val="21"/>
          <w:highlight w:val="none"/>
        </w:rPr>
        <w:t xml:space="preserve">.6.1 </w:t>
      </w:r>
      <w:r>
        <w:rPr>
          <w:rFonts w:hint="eastAsia"/>
          <w:b/>
          <w:bCs/>
          <w:color w:val="auto"/>
          <w:sz w:val="21"/>
          <w:highlight w:val="none"/>
        </w:rPr>
        <w:t>发包人文件的提供</w:t>
      </w:r>
      <w:bookmarkEnd w:id="458"/>
    </w:p>
    <w:p w14:paraId="5E1A6AD2">
      <w:pPr>
        <w:keepNext w:val="0"/>
        <w:keepLines w:val="0"/>
        <w:pageBreakBefore w:val="0"/>
        <w:kinsoku/>
        <w:wordWrap/>
        <w:overflowPunct/>
        <w:topLinePunct w:val="0"/>
        <w:autoSpaceDE/>
        <w:autoSpaceDN/>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发包人应按照专用合同条件约定的期限、数量和形式向承包人免费提供前期工作相关资料、环境保护、气象水文、地质条件进行工程设计、现场施工等工程实施所需的文件。因发包人未按合同约定提供文件造成工期延误的，按照第</w:t>
      </w:r>
      <w:r>
        <w:rPr>
          <w:rFonts w:ascii="宋体" w:hAnsi="宋体"/>
          <w:color w:val="auto"/>
          <w:szCs w:val="21"/>
          <w:highlight w:val="none"/>
        </w:rPr>
        <w:t>8.7.1</w:t>
      </w:r>
      <w:r>
        <w:rPr>
          <w:rFonts w:hint="eastAsia" w:ascii="宋体" w:hAnsi="宋体"/>
          <w:color w:val="auto"/>
          <w:szCs w:val="21"/>
          <w:highlight w:val="none"/>
        </w:rPr>
        <w:t>项[</w:t>
      </w:r>
      <w:r>
        <w:rPr>
          <w:rFonts w:ascii="宋体" w:hAnsi="宋体"/>
          <w:color w:val="auto"/>
          <w:szCs w:val="21"/>
          <w:highlight w:val="none"/>
        </w:rPr>
        <w:t>因发包人原因导致工期延误</w:t>
      </w:r>
      <w:r>
        <w:rPr>
          <w:rFonts w:hint="eastAsia" w:ascii="宋体" w:hAnsi="宋体"/>
          <w:color w:val="auto"/>
          <w:szCs w:val="21"/>
          <w:highlight w:val="none"/>
        </w:rPr>
        <w:t>]约定办理。</w:t>
      </w:r>
    </w:p>
    <w:p w14:paraId="07C9BB73">
      <w:pPr>
        <w:pStyle w:val="153"/>
        <w:keepNext w:val="0"/>
        <w:keepLines w:val="0"/>
        <w:pageBreakBefore w:val="0"/>
        <w:kinsoku/>
        <w:wordWrap/>
        <w:overflowPunct/>
        <w:topLinePunct w:val="0"/>
        <w:autoSpaceDE/>
        <w:autoSpaceDN/>
        <w:bidi w:val="0"/>
        <w:spacing w:after="120"/>
        <w:ind w:firstLine="422" w:firstLineChars="200"/>
        <w:textAlignment w:val="auto"/>
        <w:rPr>
          <w:b/>
          <w:bCs/>
          <w:color w:val="auto"/>
          <w:sz w:val="21"/>
          <w:highlight w:val="none"/>
        </w:rPr>
      </w:pPr>
      <w:bookmarkStart w:id="459" w:name="_Ref4422317"/>
      <w:r>
        <w:rPr>
          <w:rFonts w:hint="eastAsia"/>
          <w:b/>
          <w:bCs/>
          <w:color w:val="auto"/>
          <w:sz w:val="21"/>
          <w:highlight w:val="none"/>
        </w:rPr>
        <w:t>1</w:t>
      </w:r>
      <w:r>
        <w:rPr>
          <w:b/>
          <w:bCs/>
          <w:color w:val="auto"/>
          <w:sz w:val="21"/>
          <w:highlight w:val="none"/>
        </w:rPr>
        <w:t xml:space="preserve">.6.2 </w:t>
      </w:r>
      <w:r>
        <w:rPr>
          <w:rFonts w:hint="eastAsia"/>
          <w:b/>
          <w:bCs/>
          <w:color w:val="auto"/>
          <w:sz w:val="21"/>
          <w:highlight w:val="none"/>
        </w:rPr>
        <w:t>承包人文件的提供</w:t>
      </w:r>
      <w:bookmarkEnd w:id="459"/>
    </w:p>
    <w:p w14:paraId="008141F2">
      <w:pPr>
        <w:keepNext w:val="0"/>
        <w:keepLines w:val="0"/>
        <w:pageBreakBefore w:val="0"/>
        <w:kinsoku/>
        <w:wordWrap/>
        <w:overflowPunct/>
        <w:topLinePunct w:val="0"/>
        <w:autoSpaceDE/>
        <w:autoSpaceDN/>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除专用合同条件另有约定外，承包人文件应包含下列内容，并用第</w:t>
      </w:r>
      <w:r>
        <w:rPr>
          <w:rFonts w:ascii="宋体" w:hAnsi="宋体"/>
          <w:color w:val="auto"/>
          <w:szCs w:val="21"/>
          <w:highlight w:val="none"/>
        </w:rPr>
        <w:t>1.2</w:t>
      </w:r>
      <w:r>
        <w:rPr>
          <w:rFonts w:hint="eastAsia" w:ascii="宋体" w:hAnsi="宋体"/>
          <w:color w:val="auto"/>
          <w:szCs w:val="21"/>
          <w:highlight w:val="none"/>
        </w:rPr>
        <w:t>款[语言文字]约定的语言制作：</w:t>
      </w:r>
    </w:p>
    <w:p w14:paraId="73C83F36">
      <w:pPr>
        <w:keepNext w:val="0"/>
        <w:keepLines w:val="0"/>
        <w:pageBreakBefore w:val="0"/>
        <w:kinsoku/>
        <w:wordWrap/>
        <w:overflowPunct/>
        <w:topLinePunct w:val="0"/>
        <w:autoSpaceDE/>
        <w:autoSpaceDN/>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 《发包人要求》中规定的相关文件；</w:t>
      </w:r>
    </w:p>
    <w:p w14:paraId="76652751">
      <w:pPr>
        <w:keepNext w:val="0"/>
        <w:keepLines w:val="0"/>
        <w:pageBreakBefore w:val="0"/>
        <w:kinsoku/>
        <w:wordWrap/>
        <w:overflowPunct/>
        <w:topLinePunct w:val="0"/>
        <w:autoSpaceDE/>
        <w:autoSpaceDN/>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 满足工程相关行政审批手续所必须的应由承包人负责的相关文件；</w:t>
      </w:r>
    </w:p>
    <w:p w14:paraId="7C40E6A2">
      <w:pPr>
        <w:keepNext w:val="0"/>
        <w:keepLines w:val="0"/>
        <w:pageBreakBefore w:val="0"/>
        <w:kinsoku/>
        <w:wordWrap/>
        <w:overflowPunct/>
        <w:topLinePunct w:val="0"/>
        <w:autoSpaceDE/>
        <w:autoSpaceDN/>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（3） 第</w:t>
      </w:r>
      <w:r>
        <w:rPr>
          <w:rFonts w:ascii="宋体" w:hAnsi="宋体"/>
          <w:color w:val="auto"/>
          <w:szCs w:val="21"/>
          <w:highlight w:val="none"/>
        </w:rPr>
        <w:t>5.4</w:t>
      </w:r>
      <w:r>
        <w:rPr>
          <w:rFonts w:hint="eastAsia" w:ascii="宋体" w:hAnsi="宋体"/>
          <w:color w:val="auto"/>
          <w:szCs w:val="21"/>
          <w:highlight w:val="none"/>
        </w:rPr>
        <w:t>款[竣工文件]与第</w:t>
      </w:r>
      <w:r>
        <w:rPr>
          <w:rFonts w:ascii="宋体" w:hAnsi="宋体"/>
          <w:color w:val="auto"/>
          <w:szCs w:val="21"/>
          <w:highlight w:val="none"/>
        </w:rPr>
        <w:t>5.5</w:t>
      </w:r>
      <w:r>
        <w:rPr>
          <w:rFonts w:hint="eastAsia" w:ascii="宋体" w:hAnsi="宋体"/>
          <w:color w:val="auto"/>
          <w:szCs w:val="21"/>
          <w:highlight w:val="none"/>
        </w:rPr>
        <w:t>款[操作和维修手册]中要求的相关文件。</w:t>
      </w:r>
    </w:p>
    <w:p w14:paraId="474B6669">
      <w:pPr>
        <w:keepNext w:val="0"/>
        <w:keepLines w:val="0"/>
        <w:pageBreakBefore w:val="0"/>
        <w:kinsoku/>
        <w:wordWrap/>
        <w:overflowPunct/>
        <w:topLinePunct w:val="0"/>
        <w:autoSpaceDE/>
        <w:autoSpaceDN/>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承包人应按照专用合同条件约定的期限、名称、数量和形式向工程师提供应当由承包人编制的与工程设计、现场施工等工程实施有关的承包人文件。工程师对承包人文件有异议的，承包人应予以修改，并重新报送工程师。合同约定承包人文件应经审查的，工程师应在合同约定的期限内审查完毕，但工程师的审查并不减轻或免除承包人根据合同约定应当承担的责任。承包人文件的提供和审查还应遵守第</w:t>
      </w:r>
      <w:r>
        <w:rPr>
          <w:rFonts w:ascii="宋体" w:hAnsi="宋体"/>
          <w:color w:val="auto"/>
          <w:szCs w:val="21"/>
          <w:highlight w:val="none"/>
        </w:rPr>
        <w:t>5.2</w:t>
      </w:r>
      <w:r>
        <w:rPr>
          <w:rFonts w:hint="eastAsia" w:ascii="宋体" w:hAnsi="宋体"/>
          <w:color w:val="auto"/>
          <w:szCs w:val="21"/>
          <w:highlight w:val="none"/>
        </w:rPr>
        <w:t>款[承包人文件审查]和第</w:t>
      </w:r>
      <w:r>
        <w:rPr>
          <w:rFonts w:ascii="宋体" w:hAnsi="宋体"/>
          <w:color w:val="auto"/>
          <w:szCs w:val="21"/>
          <w:highlight w:val="none"/>
        </w:rPr>
        <w:t>5.4</w:t>
      </w:r>
      <w:r>
        <w:rPr>
          <w:rFonts w:hint="eastAsia" w:ascii="宋体" w:hAnsi="宋体"/>
          <w:color w:val="auto"/>
          <w:szCs w:val="21"/>
          <w:highlight w:val="none"/>
        </w:rPr>
        <w:t>款[竣工文件]的约定。</w:t>
      </w:r>
    </w:p>
    <w:p w14:paraId="26F9482C">
      <w:pPr>
        <w:pStyle w:val="153"/>
        <w:keepNext w:val="0"/>
        <w:keepLines w:val="0"/>
        <w:pageBreakBefore w:val="0"/>
        <w:kinsoku/>
        <w:wordWrap/>
        <w:overflowPunct/>
        <w:topLinePunct w:val="0"/>
        <w:autoSpaceDE/>
        <w:autoSpaceDN/>
        <w:bidi w:val="0"/>
        <w:spacing w:after="120"/>
        <w:ind w:firstLine="422" w:firstLineChars="200"/>
        <w:textAlignment w:val="auto"/>
        <w:rPr>
          <w:b/>
          <w:bCs/>
          <w:color w:val="auto"/>
          <w:sz w:val="21"/>
          <w:highlight w:val="none"/>
        </w:rPr>
      </w:pPr>
      <w:r>
        <w:rPr>
          <w:rFonts w:hint="eastAsia"/>
          <w:b/>
          <w:bCs/>
          <w:color w:val="auto"/>
          <w:sz w:val="21"/>
          <w:highlight w:val="none"/>
        </w:rPr>
        <w:t>1</w:t>
      </w:r>
      <w:r>
        <w:rPr>
          <w:b/>
          <w:bCs/>
          <w:color w:val="auto"/>
          <w:sz w:val="21"/>
          <w:highlight w:val="none"/>
        </w:rPr>
        <w:t xml:space="preserve">.6.3 </w:t>
      </w:r>
      <w:r>
        <w:rPr>
          <w:rFonts w:hint="eastAsia"/>
          <w:b/>
          <w:bCs/>
          <w:color w:val="auto"/>
          <w:sz w:val="21"/>
          <w:highlight w:val="none"/>
        </w:rPr>
        <w:t>文件错误的通知</w:t>
      </w:r>
    </w:p>
    <w:p w14:paraId="665071AD">
      <w:pPr>
        <w:keepNext w:val="0"/>
        <w:keepLines w:val="0"/>
        <w:pageBreakBefore w:val="0"/>
        <w:kinsoku/>
        <w:wordWrap/>
        <w:overflowPunct/>
        <w:topLinePunct w:val="0"/>
        <w:autoSpaceDE/>
        <w:autoSpaceDN/>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任何一方发现文件中存在明显的错误或疏忽，应及时通知另一方。</w:t>
      </w:r>
    </w:p>
    <w:p w14:paraId="38FE0BFB">
      <w:pPr>
        <w:pStyle w:val="153"/>
        <w:keepNext w:val="0"/>
        <w:keepLines w:val="0"/>
        <w:pageBreakBefore w:val="0"/>
        <w:kinsoku/>
        <w:wordWrap/>
        <w:overflowPunct/>
        <w:topLinePunct w:val="0"/>
        <w:autoSpaceDE/>
        <w:autoSpaceDN/>
        <w:bidi w:val="0"/>
        <w:spacing w:after="120"/>
        <w:ind w:firstLine="422" w:firstLineChars="200"/>
        <w:textAlignment w:val="auto"/>
        <w:rPr>
          <w:b/>
          <w:bCs/>
          <w:color w:val="auto"/>
          <w:sz w:val="21"/>
          <w:highlight w:val="none"/>
        </w:rPr>
      </w:pPr>
      <w:bookmarkStart w:id="460" w:name="_Ref4678410"/>
      <w:bookmarkStart w:id="461" w:name="_Ref11957673"/>
      <w:r>
        <w:rPr>
          <w:rFonts w:hint="eastAsia"/>
          <w:b/>
          <w:bCs/>
          <w:color w:val="auto"/>
          <w:sz w:val="21"/>
          <w:highlight w:val="none"/>
        </w:rPr>
        <w:t>1</w:t>
      </w:r>
      <w:r>
        <w:rPr>
          <w:b/>
          <w:bCs/>
          <w:color w:val="auto"/>
          <w:sz w:val="21"/>
          <w:highlight w:val="none"/>
        </w:rPr>
        <w:t xml:space="preserve">.6.4 </w:t>
      </w:r>
      <w:r>
        <w:rPr>
          <w:rFonts w:hint="eastAsia"/>
          <w:b/>
          <w:bCs/>
          <w:color w:val="auto"/>
          <w:sz w:val="21"/>
          <w:highlight w:val="none"/>
        </w:rPr>
        <w:t>文件的</w:t>
      </w:r>
      <w:bookmarkEnd w:id="460"/>
      <w:r>
        <w:rPr>
          <w:rFonts w:hint="eastAsia"/>
          <w:b/>
          <w:bCs/>
          <w:color w:val="auto"/>
          <w:sz w:val="21"/>
          <w:highlight w:val="none"/>
        </w:rPr>
        <w:t>照管</w:t>
      </w:r>
      <w:bookmarkEnd w:id="461"/>
    </w:p>
    <w:p w14:paraId="66F2F392">
      <w:pPr>
        <w:keepNext w:val="0"/>
        <w:keepLines w:val="0"/>
        <w:pageBreakBefore w:val="0"/>
        <w:kinsoku/>
        <w:wordWrap/>
        <w:overflowPunct/>
        <w:topLinePunct w:val="0"/>
        <w:autoSpaceDE/>
        <w:autoSpaceDN/>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除专用合同条件另有约定外，承包人应在现场保留一份合同、《发包人要求》中列出的所有文件、承包人文件、变更以及其他根据合同收发的往来信函。发包人和工程师有权在任何合理的时间查阅和使用上述所有文件。</w:t>
      </w:r>
    </w:p>
    <w:p w14:paraId="6159F1BA">
      <w:pPr>
        <w:pStyle w:val="167"/>
        <w:keepNext w:val="0"/>
        <w:keepLines w:val="0"/>
        <w:pageBreakBefore w:val="0"/>
        <w:widowControl/>
        <w:kinsoku/>
        <w:wordWrap/>
        <w:overflowPunct/>
        <w:topLinePunct w:val="0"/>
        <w:autoSpaceDE/>
        <w:autoSpaceDN/>
        <w:bidi w:val="0"/>
        <w:spacing w:after="120"/>
        <w:ind w:firstLine="422" w:firstLineChars="200"/>
        <w:textAlignment w:val="auto"/>
        <w:rPr>
          <w:rFonts w:ascii="宋体" w:hAnsi="宋体" w:eastAsia="宋体"/>
          <w:b/>
          <w:bCs w:val="0"/>
          <w:color w:val="auto"/>
          <w:sz w:val="21"/>
          <w:szCs w:val="21"/>
          <w:highlight w:val="none"/>
        </w:rPr>
      </w:pPr>
      <w:bookmarkStart w:id="462" w:name="_Toc13246"/>
      <w:bookmarkStart w:id="463" w:name="_Ref4415170"/>
      <w:bookmarkStart w:id="464" w:name="_Toc15739"/>
      <w:bookmarkStart w:id="465" w:name="_Toc54862184"/>
      <w:bookmarkStart w:id="466" w:name="_Toc4452"/>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.7 </w:t>
      </w:r>
      <w:r>
        <w:rPr>
          <w:rFonts w:hint="eastAsia" w:ascii="宋体" w:hAnsi="宋体" w:eastAsia="宋体"/>
          <w:b/>
          <w:bCs w:val="0"/>
          <w:color w:val="auto"/>
          <w:sz w:val="21"/>
          <w:szCs w:val="21"/>
          <w:highlight w:val="none"/>
        </w:rPr>
        <w:t>联络</w:t>
      </w:r>
      <w:bookmarkEnd w:id="462"/>
      <w:bookmarkEnd w:id="463"/>
      <w:bookmarkEnd w:id="464"/>
      <w:bookmarkEnd w:id="465"/>
      <w:bookmarkEnd w:id="466"/>
    </w:p>
    <w:p w14:paraId="6951A5B6">
      <w:pPr>
        <w:pStyle w:val="153"/>
        <w:keepNext w:val="0"/>
        <w:keepLines w:val="0"/>
        <w:pageBreakBefore w:val="0"/>
        <w:kinsoku/>
        <w:wordWrap/>
        <w:overflowPunct/>
        <w:topLinePunct w:val="0"/>
        <w:autoSpaceDE/>
        <w:autoSpaceDN/>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.7.1 </w:t>
      </w:r>
      <w:r>
        <w:rPr>
          <w:rFonts w:hint="eastAsia"/>
          <w:color w:val="auto"/>
          <w:sz w:val="21"/>
          <w:highlight w:val="none"/>
        </w:rPr>
        <w:t>与合同有关的通知、批准、证明、证书、指示、指令、要求、请求、同意、意见、确定和决定等，均应采用书面形式，并应在合同约定的期限内（如无约定，应在合理期限内）通过特快专递或专人、挂号信、传真或双方商定的电子传输方式送达收件地址。</w:t>
      </w:r>
    </w:p>
    <w:p w14:paraId="45853A52">
      <w:pPr>
        <w:pStyle w:val="153"/>
        <w:keepNext w:val="0"/>
        <w:keepLines w:val="0"/>
        <w:pageBreakBefore w:val="0"/>
        <w:kinsoku/>
        <w:wordWrap/>
        <w:overflowPunct/>
        <w:topLinePunct w:val="0"/>
        <w:autoSpaceDE/>
        <w:autoSpaceDN/>
        <w:bidi w:val="0"/>
        <w:spacing w:after="120"/>
        <w:ind w:firstLine="420" w:firstLineChars="200"/>
        <w:textAlignment w:val="auto"/>
        <w:rPr>
          <w:color w:val="auto"/>
          <w:sz w:val="21"/>
          <w:highlight w:val="none"/>
        </w:rPr>
      </w:pPr>
      <w:bookmarkStart w:id="467" w:name="_Ref531949897"/>
      <w:r>
        <w:rPr>
          <w:rFonts w:hint="eastAsia"/>
          <w:color w:val="auto"/>
          <w:sz w:val="21"/>
          <w:highlight w:val="none"/>
        </w:rPr>
        <w:t>1</w:t>
      </w:r>
      <w:r>
        <w:rPr>
          <w:color w:val="auto"/>
          <w:sz w:val="21"/>
          <w:highlight w:val="none"/>
        </w:rPr>
        <w:t xml:space="preserve">.7.2 </w:t>
      </w:r>
      <w:r>
        <w:rPr>
          <w:rFonts w:hint="eastAsia"/>
          <w:color w:val="auto"/>
          <w:sz w:val="21"/>
          <w:highlight w:val="none"/>
        </w:rPr>
        <w:t>发包人和承包人应在专用合同条件中约定各自的送达方式和收件地址。任何一方合同当事人指定的送达方式或收件地址发生变动的，应提前3天以书面形式通知对方。</w:t>
      </w:r>
      <w:bookmarkEnd w:id="467"/>
    </w:p>
    <w:p w14:paraId="3095E33B">
      <w:pPr>
        <w:pStyle w:val="153"/>
        <w:keepNext w:val="0"/>
        <w:keepLines w:val="0"/>
        <w:pageBreakBefore w:val="0"/>
        <w:kinsoku/>
        <w:wordWrap/>
        <w:overflowPunct/>
        <w:topLinePunct w:val="0"/>
        <w:autoSpaceDE/>
        <w:autoSpaceDN/>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.7.3 </w:t>
      </w:r>
      <w:r>
        <w:rPr>
          <w:rFonts w:hint="eastAsia"/>
          <w:color w:val="auto"/>
          <w:sz w:val="21"/>
          <w:highlight w:val="none"/>
        </w:rPr>
        <w:t>发包人和承包人应当及时签收另一方通过约定的送达方式送达至收件地址的来往文件。拒不签收的，由此增加的费用和（或）延误的工期由拒绝接收一方承担。</w:t>
      </w:r>
    </w:p>
    <w:p w14:paraId="7B61E320">
      <w:pPr>
        <w:pStyle w:val="153"/>
        <w:keepNext w:val="0"/>
        <w:keepLines w:val="0"/>
        <w:pageBreakBefore w:val="0"/>
        <w:kinsoku/>
        <w:wordWrap/>
        <w:overflowPunct/>
        <w:topLinePunct w:val="0"/>
        <w:autoSpaceDE/>
        <w:autoSpaceDN/>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.7.4 </w:t>
      </w:r>
      <w:r>
        <w:rPr>
          <w:rFonts w:hint="eastAsia"/>
          <w:color w:val="auto"/>
          <w:sz w:val="21"/>
          <w:highlight w:val="none"/>
        </w:rPr>
        <w:t>对于工程师向承包人发出的任何通知，均应以书面形式由工程师或其代表签认后送交承包人实施，并抄送发包人；对于合同一方向另一方发出的任何通知，均应抄送工程师。对于由工程师审查后报发包人批准的事项，应由工程师向承包人出具经发包人签认的批准文件。</w:t>
      </w:r>
    </w:p>
    <w:p w14:paraId="5A4DABC9">
      <w:pPr>
        <w:pStyle w:val="167"/>
        <w:keepNext w:val="0"/>
        <w:keepLines w:val="0"/>
        <w:pageBreakBefore w:val="0"/>
        <w:widowControl/>
        <w:kinsoku/>
        <w:wordWrap/>
        <w:overflowPunct/>
        <w:topLinePunct w:val="0"/>
        <w:autoSpaceDE/>
        <w:autoSpaceDN/>
        <w:bidi w:val="0"/>
        <w:spacing w:after="120"/>
        <w:ind w:firstLine="422" w:firstLineChars="200"/>
        <w:textAlignment w:val="auto"/>
        <w:rPr>
          <w:rFonts w:ascii="宋体" w:hAnsi="宋体" w:eastAsia="宋体"/>
          <w:b/>
          <w:bCs w:val="0"/>
          <w:color w:val="auto"/>
          <w:sz w:val="21"/>
          <w:szCs w:val="21"/>
          <w:highlight w:val="none"/>
        </w:rPr>
      </w:pPr>
      <w:bookmarkStart w:id="468" w:name="_Toc21936"/>
      <w:bookmarkStart w:id="469" w:name="_Toc25084"/>
      <w:bookmarkStart w:id="470" w:name="_Toc54862185"/>
      <w:bookmarkStart w:id="471" w:name="_Toc21672"/>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.8 </w:t>
      </w:r>
      <w:r>
        <w:rPr>
          <w:rFonts w:hint="eastAsia" w:ascii="宋体" w:hAnsi="宋体" w:eastAsia="宋体"/>
          <w:b/>
          <w:bCs w:val="0"/>
          <w:color w:val="auto"/>
          <w:sz w:val="21"/>
          <w:szCs w:val="21"/>
          <w:highlight w:val="none"/>
        </w:rPr>
        <w:t>严禁贿赂</w:t>
      </w:r>
      <w:bookmarkEnd w:id="455"/>
      <w:bookmarkEnd w:id="456"/>
      <w:bookmarkEnd w:id="457"/>
      <w:bookmarkEnd w:id="468"/>
      <w:bookmarkEnd w:id="469"/>
      <w:bookmarkEnd w:id="470"/>
      <w:bookmarkEnd w:id="471"/>
    </w:p>
    <w:p w14:paraId="4BBAF9D1">
      <w:pPr>
        <w:keepNext w:val="0"/>
        <w:keepLines w:val="0"/>
        <w:pageBreakBefore w:val="0"/>
        <w:kinsoku/>
        <w:wordWrap/>
        <w:overflowPunct/>
        <w:topLinePunct w:val="0"/>
        <w:autoSpaceDE/>
        <w:autoSpaceDN/>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合同当事人不得以贿赂或变相贿赂的方式，谋取非法利益或损害对方权益。因一方合同当事人的贿赂造成对方损失的，应赔偿损失，并承担相应的法律责任。</w:t>
      </w:r>
    </w:p>
    <w:p w14:paraId="3DD4A08F">
      <w:pPr>
        <w:keepNext w:val="0"/>
        <w:keepLines w:val="0"/>
        <w:pageBreakBefore w:val="0"/>
        <w:kinsoku/>
        <w:wordWrap/>
        <w:overflowPunct/>
        <w:topLinePunct w:val="0"/>
        <w:autoSpaceDE/>
        <w:autoSpaceDN/>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承包人不得与工程师或发包人聘请的第三方串通损害发包人利益。未经发包人书面同意，承包人不得为工程师提供合同约定以外的通讯设备、交通工具及其他任何形式的利益，不得向工程师支付报酬。</w:t>
      </w:r>
    </w:p>
    <w:p w14:paraId="7E7C0F7E">
      <w:pPr>
        <w:pStyle w:val="167"/>
        <w:keepNext w:val="0"/>
        <w:keepLines w:val="0"/>
        <w:pageBreakBefore w:val="0"/>
        <w:widowControl/>
        <w:kinsoku/>
        <w:wordWrap/>
        <w:overflowPunct/>
        <w:topLinePunct w:val="0"/>
        <w:autoSpaceDE/>
        <w:autoSpaceDN/>
        <w:bidi w:val="0"/>
        <w:spacing w:after="120"/>
        <w:ind w:firstLine="422" w:firstLineChars="200"/>
        <w:textAlignment w:val="auto"/>
        <w:rPr>
          <w:rFonts w:ascii="宋体" w:hAnsi="宋体" w:eastAsia="宋体"/>
          <w:b/>
          <w:bCs w:val="0"/>
          <w:color w:val="auto"/>
          <w:sz w:val="21"/>
          <w:szCs w:val="21"/>
          <w:highlight w:val="none"/>
        </w:rPr>
      </w:pPr>
      <w:bookmarkStart w:id="472" w:name="_Toc19584"/>
      <w:bookmarkStart w:id="473" w:name="_Toc54862186"/>
      <w:bookmarkStart w:id="474" w:name="_Toc6670"/>
      <w:bookmarkStart w:id="475" w:name="_Toc16854"/>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.9 化石、文物</w:t>
      </w:r>
      <w:bookmarkEnd w:id="472"/>
      <w:bookmarkEnd w:id="473"/>
      <w:bookmarkEnd w:id="474"/>
      <w:bookmarkEnd w:id="475"/>
    </w:p>
    <w:p w14:paraId="2228A517">
      <w:pPr>
        <w:keepNext w:val="0"/>
        <w:keepLines w:val="0"/>
        <w:pageBreakBefore w:val="0"/>
        <w:kinsoku/>
        <w:wordWrap/>
        <w:overflowPunct/>
        <w:topLinePunct w:val="0"/>
        <w:autoSpaceDE/>
        <w:autoSpaceDN/>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工程师。</w:t>
      </w:r>
    </w:p>
    <w:p w14:paraId="666C3A24">
      <w:pPr>
        <w:keepNext w:val="0"/>
        <w:keepLines w:val="0"/>
        <w:pageBreakBefore w:val="0"/>
        <w:kinsoku/>
        <w:wordWrap/>
        <w:overflowPunct/>
        <w:topLinePunct w:val="0"/>
        <w:autoSpaceDE/>
        <w:autoSpaceDN/>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发包人、工程师和承包人应按有关政府行政管理部门要求采取妥善的保护措施，由此增加的费用和（或）延误的工期由发包人承担。</w:t>
      </w:r>
    </w:p>
    <w:p w14:paraId="5EDB49B5">
      <w:pPr>
        <w:keepNext w:val="0"/>
        <w:keepLines w:val="0"/>
        <w:pageBreakBefore w:val="0"/>
        <w:kinsoku/>
        <w:wordWrap/>
        <w:overflowPunct/>
        <w:topLinePunct w:val="0"/>
        <w:autoSpaceDE/>
        <w:autoSpaceDN/>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承包人发现文物后不及时报告或隐瞒不报，致使文物丢失或损坏的，应赔偿损失，并承担相应的法律责任。</w:t>
      </w:r>
    </w:p>
    <w:p w14:paraId="37234076">
      <w:pPr>
        <w:pStyle w:val="167"/>
        <w:keepNext w:val="0"/>
        <w:keepLines w:val="0"/>
        <w:pageBreakBefore w:val="0"/>
        <w:widowControl/>
        <w:kinsoku/>
        <w:wordWrap/>
        <w:overflowPunct/>
        <w:topLinePunct w:val="0"/>
        <w:autoSpaceDE/>
        <w:autoSpaceDN/>
        <w:bidi w:val="0"/>
        <w:spacing w:after="120"/>
        <w:ind w:firstLine="422" w:firstLineChars="200"/>
        <w:textAlignment w:val="auto"/>
        <w:rPr>
          <w:rFonts w:ascii="宋体" w:hAnsi="宋体" w:eastAsia="宋体"/>
          <w:b/>
          <w:bCs w:val="0"/>
          <w:color w:val="auto"/>
          <w:sz w:val="21"/>
          <w:szCs w:val="21"/>
          <w:highlight w:val="none"/>
        </w:rPr>
      </w:pPr>
      <w:bookmarkStart w:id="476" w:name="_Toc54862187"/>
      <w:bookmarkStart w:id="477" w:name="_Ref531949770"/>
      <w:bookmarkStart w:id="478" w:name="_Ref531949766"/>
      <w:bookmarkStart w:id="479" w:name="_Toc23235"/>
      <w:bookmarkStart w:id="480" w:name="_Ref4423426"/>
      <w:bookmarkStart w:id="481" w:name="_Toc4275"/>
      <w:bookmarkStart w:id="482" w:name="_Toc19471"/>
      <w:bookmarkStart w:id="483" w:name="_Ref531949841"/>
      <w:bookmarkStart w:id="484" w:name="_Ref531949855"/>
      <w:bookmarkStart w:id="485" w:name="_Ref531949826"/>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.10 </w:t>
      </w:r>
      <w:r>
        <w:rPr>
          <w:rFonts w:hint="eastAsia" w:ascii="宋体" w:hAnsi="宋体" w:eastAsia="宋体"/>
          <w:b/>
          <w:bCs w:val="0"/>
          <w:color w:val="auto"/>
          <w:sz w:val="21"/>
          <w:szCs w:val="21"/>
          <w:highlight w:val="none"/>
        </w:rPr>
        <w:t>知识产权</w:t>
      </w:r>
      <w:bookmarkEnd w:id="476"/>
      <w:bookmarkEnd w:id="477"/>
      <w:bookmarkEnd w:id="478"/>
      <w:bookmarkEnd w:id="479"/>
      <w:bookmarkEnd w:id="480"/>
      <w:bookmarkEnd w:id="481"/>
      <w:bookmarkEnd w:id="482"/>
    </w:p>
    <w:p w14:paraId="5F8EEF55">
      <w:pPr>
        <w:pStyle w:val="153"/>
        <w:keepNext w:val="0"/>
        <w:keepLines w:val="0"/>
        <w:pageBreakBefore w:val="0"/>
        <w:kinsoku/>
        <w:wordWrap/>
        <w:overflowPunct/>
        <w:topLinePunct w:val="0"/>
        <w:autoSpaceDE/>
        <w:autoSpaceDN/>
        <w:bidi w:val="0"/>
        <w:spacing w:after="120"/>
        <w:ind w:firstLine="420" w:firstLineChars="200"/>
        <w:textAlignment w:val="auto"/>
        <w:rPr>
          <w:color w:val="auto"/>
          <w:sz w:val="21"/>
          <w:highlight w:val="none"/>
        </w:rPr>
      </w:pPr>
      <w:bookmarkStart w:id="486" w:name="_Ref4423563"/>
      <w:r>
        <w:rPr>
          <w:rFonts w:hint="eastAsia"/>
          <w:color w:val="auto"/>
          <w:sz w:val="21"/>
          <w:highlight w:val="none"/>
        </w:rPr>
        <w:t>1</w:t>
      </w:r>
      <w:r>
        <w:rPr>
          <w:color w:val="auto"/>
          <w:sz w:val="21"/>
          <w:highlight w:val="none"/>
        </w:rPr>
        <w:t xml:space="preserve">.10.1 </w:t>
      </w:r>
      <w:r>
        <w:rPr>
          <w:rFonts w:hint="eastAsia"/>
          <w:color w:val="auto"/>
          <w:sz w:val="21"/>
          <w:highlight w:val="none"/>
        </w:rPr>
        <w:t>除专用合同条件另有约定外，由发包人（或以发包人名义）编制的《发包人要求》和其他文件，就合同当事人之间而言，其著作权和其他知识产权应归发包人所有。承包人可以为实现合同目的而复制、使用此类文件，但不能用于与合同无关的其他事项。未经发包人书面同意，承包人不得为了合同以外的目的而复制、使用上述文件或将之提供给任何第三方。</w:t>
      </w:r>
      <w:bookmarkEnd w:id="486"/>
    </w:p>
    <w:p w14:paraId="4348067D">
      <w:pPr>
        <w:pStyle w:val="153"/>
        <w:keepNext w:val="0"/>
        <w:keepLines w:val="0"/>
        <w:pageBreakBefore w:val="0"/>
        <w:kinsoku/>
        <w:wordWrap/>
        <w:overflowPunct/>
        <w:topLinePunct w:val="0"/>
        <w:autoSpaceDE/>
        <w:autoSpaceDN/>
        <w:bidi w:val="0"/>
        <w:spacing w:after="120"/>
        <w:ind w:firstLine="420" w:firstLineChars="200"/>
        <w:textAlignment w:val="auto"/>
        <w:rPr>
          <w:color w:val="auto"/>
          <w:sz w:val="21"/>
          <w:highlight w:val="none"/>
        </w:rPr>
      </w:pPr>
      <w:bookmarkStart w:id="487" w:name="_Ref4423604"/>
      <w:r>
        <w:rPr>
          <w:rFonts w:hint="eastAsia"/>
          <w:color w:val="auto"/>
          <w:sz w:val="21"/>
          <w:highlight w:val="none"/>
        </w:rPr>
        <w:t>1</w:t>
      </w:r>
      <w:r>
        <w:rPr>
          <w:color w:val="auto"/>
          <w:sz w:val="21"/>
          <w:highlight w:val="none"/>
        </w:rPr>
        <w:t xml:space="preserve">.10.2 </w:t>
      </w:r>
      <w:r>
        <w:rPr>
          <w:rFonts w:hint="eastAsia"/>
          <w:color w:val="auto"/>
          <w:sz w:val="21"/>
          <w:highlight w:val="none"/>
        </w:rPr>
        <w:t>除专用合同条件另有约定外，由承包人（或以承包人名义）为实施工程所编制的文件、承包人完成的设计工作成果和建造完成的建筑物，就合同当事人之间而言，其著作权和其他知识产权应归承包人享有。发包人可因实施工程的运行、调试、维修、改造等目的而复制、使用此类文件，但不能用于与合同无关的其他事项。未经承包人书面同意，发包人不得为了合同以外的目的而复制、使用上述文件或将之提供给任何第三方。</w:t>
      </w:r>
      <w:bookmarkEnd w:id="487"/>
    </w:p>
    <w:p w14:paraId="50AF2141">
      <w:pPr>
        <w:pStyle w:val="153"/>
        <w:keepNext w:val="0"/>
        <w:keepLines w:val="0"/>
        <w:pageBreakBefore w:val="0"/>
        <w:kinsoku/>
        <w:wordWrap/>
        <w:overflowPunct/>
        <w:topLinePunct w:val="0"/>
        <w:autoSpaceDE/>
        <w:autoSpaceDN/>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.10.3 </w:t>
      </w:r>
      <w:r>
        <w:rPr>
          <w:rFonts w:hint="eastAsia"/>
          <w:color w:val="auto"/>
          <w:sz w:val="21"/>
          <w:highlight w:val="none"/>
        </w:rPr>
        <w:t>合同当事人保证在履行合同过程中不侵犯对方及第三方的知识产权。承包人在工程设计、使用材料、施工设备、工程设备或采用施工工艺时，因侵犯他人的专利权或其他知识产权所引起的责任，由承包人承担；因发包人提供的材料、施工设备、工程设备或施工工艺导致侵权的，由发包人承担责任。</w:t>
      </w:r>
    </w:p>
    <w:p w14:paraId="42E471A8">
      <w:pPr>
        <w:pStyle w:val="153"/>
        <w:keepNext w:val="0"/>
        <w:keepLines w:val="0"/>
        <w:pageBreakBefore w:val="0"/>
        <w:kinsoku/>
        <w:wordWrap/>
        <w:overflowPunct/>
        <w:topLinePunct w:val="0"/>
        <w:autoSpaceDE/>
        <w:autoSpaceDN/>
        <w:bidi w:val="0"/>
        <w:spacing w:after="120"/>
        <w:ind w:firstLine="420" w:firstLineChars="200"/>
        <w:textAlignment w:val="auto"/>
        <w:rPr>
          <w:color w:val="auto"/>
          <w:sz w:val="21"/>
          <w:highlight w:val="none"/>
        </w:rPr>
      </w:pPr>
      <w:bookmarkStart w:id="488" w:name="_Ref4423695"/>
      <w:r>
        <w:rPr>
          <w:rFonts w:hint="eastAsia"/>
          <w:color w:val="auto"/>
          <w:sz w:val="21"/>
          <w:highlight w:val="none"/>
        </w:rPr>
        <w:t>1</w:t>
      </w:r>
      <w:r>
        <w:rPr>
          <w:color w:val="auto"/>
          <w:sz w:val="21"/>
          <w:highlight w:val="none"/>
        </w:rPr>
        <w:t xml:space="preserve">.10.4 </w:t>
      </w:r>
      <w:r>
        <w:rPr>
          <w:rFonts w:hint="eastAsia"/>
          <w:color w:val="auto"/>
          <w:sz w:val="21"/>
          <w:highlight w:val="none"/>
        </w:rPr>
        <w:t>除专用合同条件另有约定外，承包人在投标文件中采用的专利、专有技术、商业软件、技术秘密的使用费已包含在签约合同价中。</w:t>
      </w:r>
      <w:bookmarkEnd w:id="488"/>
    </w:p>
    <w:p w14:paraId="18970F5A">
      <w:pPr>
        <w:pStyle w:val="153"/>
        <w:keepNext w:val="0"/>
        <w:keepLines w:val="0"/>
        <w:pageBreakBefore w:val="0"/>
        <w:kinsoku/>
        <w:wordWrap/>
        <w:overflowPunct/>
        <w:topLinePunct w:val="0"/>
        <w:autoSpaceDE/>
        <w:autoSpaceDN/>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.10.5 </w:t>
      </w:r>
      <w:r>
        <w:rPr>
          <w:rFonts w:hint="eastAsia"/>
          <w:color w:val="auto"/>
          <w:sz w:val="21"/>
          <w:highlight w:val="none"/>
        </w:rPr>
        <w:t>合同当事人可就本合同涉及的合同一方、或合同双方（含一方或双方相关的专利商或第三方设计单位)的技术专利、建筑设计方案、专有技术、设计文件著作权等知识产权，订立知识产权及保密协议，作为本合同的组成部分。</w:t>
      </w:r>
    </w:p>
    <w:p w14:paraId="35F652E7">
      <w:pPr>
        <w:pStyle w:val="167"/>
        <w:keepNext w:val="0"/>
        <w:keepLines w:val="0"/>
        <w:pageBreakBefore w:val="0"/>
        <w:widowControl/>
        <w:kinsoku/>
        <w:wordWrap/>
        <w:overflowPunct/>
        <w:topLinePunct w:val="0"/>
        <w:autoSpaceDE/>
        <w:autoSpaceDN/>
        <w:bidi w:val="0"/>
        <w:spacing w:after="120"/>
        <w:ind w:firstLine="422" w:firstLineChars="200"/>
        <w:textAlignment w:val="auto"/>
        <w:rPr>
          <w:rFonts w:ascii="宋体" w:hAnsi="宋体" w:eastAsia="宋体"/>
          <w:b/>
          <w:bCs w:val="0"/>
          <w:color w:val="auto"/>
          <w:sz w:val="21"/>
          <w:szCs w:val="21"/>
          <w:highlight w:val="none"/>
        </w:rPr>
      </w:pPr>
      <w:bookmarkStart w:id="489" w:name="_Ref4423873"/>
      <w:bookmarkStart w:id="490" w:name="_Toc15077"/>
      <w:bookmarkStart w:id="491" w:name="_Toc21108"/>
      <w:bookmarkStart w:id="492" w:name="_Toc54862188"/>
      <w:bookmarkStart w:id="493" w:name="_Ref4423898"/>
      <w:bookmarkStart w:id="494" w:name="_Toc31377"/>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.11 </w:t>
      </w:r>
      <w:r>
        <w:rPr>
          <w:rFonts w:hint="eastAsia" w:ascii="宋体" w:hAnsi="宋体" w:eastAsia="宋体"/>
          <w:b/>
          <w:bCs w:val="0"/>
          <w:color w:val="auto"/>
          <w:sz w:val="21"/>
          <w:szCs w:val="21"/>
          <w:highlight w:val="none"/>
        </w:rPr>
        <w:t>保密</w:t>
      </w:r>
      <w:bookmarkEnd w:id="483"/>
      <w:bookmarkEnd w:id="484"/>
      <w:bookmarkEnd w:id="485"/>
      <w:bookmarkEnd w:id="489"/>
      <w:bookmarkEnd w:id="490"/>
      <w:bookmarkEnd w:id="491"/>
      <w:bookmarkEnd w:id="492"/>
      <w:bookmarkEnd w:id="493"/>
      <w:bookmarkEnd w:id="494"/>
    </w:p>
    <w:p w14:paraId="551C1C0D">
      <w:pPr>
        <w:keepNext w:val="0"/>
        <w:keepLines w:val="0"/>
        <w:pageBreakBefore w:val="0"/>
        <w:kinsoku/>
        <w:wordWrap/>
        <w:overflowPunct/>
        <w:topLinePunct w:val="0"/>
        <w:autoSpaceDE/>
        <w:autoSpaceDN/>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合同当事人一方对在订立和履行合同过程中知悉的另一方的商业秘密、技术秘密，以及任何一方明确要求保密的其它信息，负有保密责任。</w:t>
      </w:r>
    </w:p>
    <w:p w14:paraId="666F3DEC">
      <w:pPr>
        <w:keepNext w:val="0"/>
        <w:keepLines w:val="0"/>
        <w:pageBreakBefore w:val="0"/>
        <w:kinsoku/>
        <w:wordWrap/>
        <w:overflowPunct/>
        <w:topLinePunct w:val="0"/>
        <w:autoSpaceDE/>
        <w:autoSpaceDN/>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除法律规定或合同另有约定外，未经对方同意，任何一方当事人不得将对方提供的文件、技术秘密以及声明需要保密的资料信息等商业秘密泄露给第三方或者用于本合同以外的目的。</w:t>
      </w:r>
    </w:p>
    <w:p w14:paraId="5255EE21">
      <w:pPr>
        <w:keepNext w:val="0"/>
        <w:keepLines w:val="0"/>
        <w:pageBreakBefore w:val="0"/>
        <w:kinsoku/>
        <w:wordWrap/>
        <w:overflowPunct/>
        <w:topLinePunct w:val="0"/>
        <w:autoSpaceDE/>
        <w:autoSpaceDN/>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一方泄露或者在本合同以外使用该商业秘密、技术秘密等保密信息给另一方造成损失的，应承担损害赔偿责任。当事人为履行合同所需要的信息，另一方应予以提供。当事人认为必要时，可订立保密协议，作为合同附件。</w:t>
      </w:r>
    </w:p>
    <w:p w14:paraId="5A3C60BC">
      <w:pPr>
        <w:pStyle w:val="167"/>
        <w:keepNext w:val="0"/>
        <w:keepLines w:val="0"/>
        <w:pageBreakBefore w:val="0"/>
        <w:widowControl/>
        <w:kinsoku/>
        <w:wordWrap/>
        <w:overflowPunct/>
        <w:topLinePunct w:val="0"/>
        <w:autoSpaceDE/>
        <w:autoSpaceDN/>
        <w:bidi w:val="0"/>
        <w:spacing w:after="120"/>
        <w:ind w:firstLine="422" w:firstLineChars="200"/>
        <w:textAlignment w:val="auto"/>
        <w:rPr>
          <w:rFonts w:ascii="宋体" w:hAnsi="宋体" w:eastAsia="宋体"/>
          <w:b/>
          <w:bCs w:val="0"/>
          <w:color w:val="auto"/>
          <w:sz w:val="21"/>
          <w:szCs w:val="21"/>
          <w:highlight w:val="none"/>
        </w:rPr>
      </w:pPr>
      <w:bookmarkStart w:id="495" w:name="_Ref532336812"/>
      <w:bookmarkStart w:id="496" w:name="_Toc4575"/>
      <w:bookmarkStart w:id="497" w:name="_Toc47"/>
      <w:bookmarkStart w:id="498" w:name="_Toc31782"/>
      <w:bookmarkStart w:id="499" w:name="_Toc54862189"/>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.12 </w:t>
      </w:r>
      <w:bookmarkStart w:id="500" w:name="_Hlk55215423"/>
      <w:r>
        <w:rPr>
          <w:rFonts w:hint="eastAsia" w:ascii="宋体" w:hAnsi="宋体" w:eastAsia="宋体"/>
          <w:b/>
          <w:bCs w:val="0"/>
          <w:color w:val="auto"/>
          <w:sz w:val="21"/>
          <w:szCs w:val="21"/>
          <w:highlight w:val="none"/>
        </w:rPr>
        <w:t>《发包人要求》和基础资料中的错误</w:t>
      </w:r>
      <w:bookmarkEnd w:id="495"/>
      <w:bookmarkEnd w:id="496"/>
      <w:bookmarkEnd w:id="497"/>
      <w:bookmarkEnd w:id="498"/>
      <w:bookmarkEnd w:id="499"/>
      <w:bookmarkEnd w:id="500"/>
    </w:p>
    <w:p w14:paraId="0ECEED65">
      <w:pPr>
        <w:keepNext w:val="0"/>
        <w:keepLines w:val="0"/>
        <w:pageBreakBefore w:val="0"/>
        <w:kinsoku/>
        <w:wordWrap/>
        <w:overflowPunct/>
        <w:topLinePunct w:val="0"/>
        <w:autoSpaceDE/>
        <w:autoSpaceDN/>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承包人应尽早认真阅读、复核《发包人要求》以及其提供的基础资料，发现错误的，应及时书面通知发包人补正。发包人作相应修改的，按照第</w:t>
      </w:r>
      <w:r>
        <w:rPr>
          <w:rFonts w:ascii="宋体" w:hAnsi="宋体"/>
          <w:color w:val="auto"/>
          <w:szCs w:val="21"/>
          <w:highlight w:val="none"/>
        </w:rPr>
        <w:t>13条</w:t>
      </w:r>
      <w:r>
        <w:rPr>
          <w:rFonts w:hint="eastAsia" w:ascii="宋体" w:hAnsi="宋体"/>
          <w:color w:val="auto"/>
          <w:szCs w:val="21"/>
          <w:highlight w:val="none"/>
        </w:rPr>
        <w:t>[变更与调整</w:t>
      </w:r>
      <w:bookmarkStart w:id="501" w:name="_Ref523403776"/>
      <w:bookmarkStart w:id="502" w:name="_Ref523403409"/>
      <w:r>
        <w:rPr>
          <w:rFonts w:hint="eastAsia" w:ascii="宋体" w:hAnsi="宋体"/>
          <w:color w:val="auto"/>
          <w:szCs w:val="21"/>
          <w:highlight w:val="none"/>
        </w:rPr>
        <w:t>]的约定处理。</w:t>
      </w:r>
    </w:p>
    <w:p w14:paraId="657E1BAA">
      <w:pPr>
        <w:keepNext w:val="0"/>
        <w:keepLines w:val="0"/>
        <w:pageBreakBefore w:val="0"/>
        <w:kinsoku/>
        <w:wordWrap/>
        <w:overflowPunct/>
        <w:topLinePunct w:val="0"/>
        <w:autoSpaceDE/>
        <w:autoSpaceDN/>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《发包人要求》或其提供的基础资料中的错误导致承包人增加费用和（或）工期延误的，发包人应承担由此增加的费用和（或）工期延误，并向承包人支付合理利润。</w:t>
      </w:r>
    </w:p>
    <w:bookmarkEnd w:id="501"/>
    <w:bookmarkEnd w:id="502"/>
    <w:p w14:paraId="0BFB4D36">
      <w:pPr>
        <w:pStyle w:val="167"/>
        <w:keepNext w:val="0"/>
        <w:keepLines w:val="0"/>
        <w:pageBreakBefore w:val="0"/>
        <w:widowControl/>
        <w:kinsoku/>
        <w:wordWrap/>
        <w:overflowPunct/>
        <w:topLinePunct w:val="0"/>
        <w:autoSpaceDE/>
        <w:autoSpaceDN/>
        <w:bidi w:val="0"/>
        <w:spacing w:after="120"/>
        <w:ind w:firstLine="422" w:firstLineChars="200"/>
        <w:textAlignment w:val="auto"/>
        <w:rPr>
          <w:rFonts w:ascii="宋体" w:hAnsi="宋体" w:eastAsia="宋体"/>
          <w:b/>
          <w:bCs w:val="0"/>
          <w:color w:val="auto"/>
          <w:sz w:val="21"/>
          <w:szCs w:val="21"/>
          <w:highlight w:val="none"/>
        </w:rPr>
      </w:pPr>
      <w:bookmarkStart w:id="503" w:name="_Toc19563"/>
      <w:bookmarkStart w:id="504" w:name="_Toc1069"/>
      <w:bookmarkStart w:id="505" w:name="_Ref531949937"/>
      <w:bookmarkStart w:id="506" w:name="_Toc54862190"/>
      <w:bookmarkStart w:id="507" w:name="_Toc12758"/>
      <w:bookmarkStart w:id="508" w:name="_Ref531949933"/>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.13 </w:t>
      </w:r>
      <w:r>
        <w:rPr>
          <w:rFonts w:hint="eastAsia" w:ascii="宋体" w:hAnsi="宋体" w:eastAsia="宋体"/>
          <w:b/>
          <w:bCs w:val="0"/>
          <w:color w:val="auto"/>
          <w:sz w:val="21"/>
          <w:szCs w:val="21"/>
          <w:highlight w:val="none"/>
        </w:rPr>
        <w:t>责任限制</w:t>
      </w:r>
      <w:bookmarkEnd w:id="503"/>
      <w:bookmarkEnd w:id="504"/>
      <w:bookmarkEnd w:id="505"/>
      <w:bookmarkEnd w:id="506"/>
      <w:bookmarkEnd w:id="507"/>
      <w:bookmarkEnd w:id="508"/>
    </w:p>
    <w:p w14:paraId="30244025">
      <w:pPr>
        <w:keepNext w:val="0"/>
        <w:keepLines w:val="0"/>
        <w:pageBreakBefore w:val="0"/>
        <w:kinsoku/>
        <w:wordWrap/>
        <w:overflowPunct/>
        <w:topLinePunct w:val="0"/>
        <w:autoSpaceDE/>
        <w:autoSpaceDN/>
        <w:bidi w:val="0"/>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承包人对发包人的赔偿责任不应超过专用合同条件约定的赔偿最高限额。若专用合同条件未约定，则承包人对发包人的赔偿责任不应超过</w:t>
      </w:r>
      <w:r>
        <w:rPr>
          <w:rFonts w:hint="eastAsia" w:ascii="宋体" w:hAnsi="宋体"/>
          <w:color w:val="auto"/>
          <w:szCs w:val="21"/>
          <w:highlight w:val="none"/>
        </w:rPr>
        <w:t>签约合同价。</w:t>
      </w:r>
      <w:r>
        <w:rPr>
          <w:rFonts w:ascii="宋体" w:hAnsi="宋体"/>
          <w:color w:val="auto"/>
          <w:szCs w:val="21"/>
          <w:highlight w:val="none"/>
        </w:rPr>
        <w:t>但对于因欺诈、</w:t>
      </w:r>
      <w:r>
        <w:rPr>
          <w:rFonts w:hint="eastAsia" w:ascii="宋体" w:hAnsi="宋体"/>
          <w:color w:val="auto"/>
          <w:szCs w:val="21"/>
          <w:highlight w:val="none"/>
        </w:rPr>
        <w:t>犯罪、</w:t>
      </w:r>
      <w:r>
        <w:rPr>
          <w:rFonts w:ascii="宋体" w:hAnsi="宋体"/>
          <w:color w:val="auto"/>
          <w:szCs w:val="21"/>
          <w:highlight w:val="none"/>
        </w:rPr>
        <w:t>故意、</w:t>
      </w:r>
      <w:r>
        <w:rPr>
          <w:rFonts w:hint="eastAsia" w:ascii="宋体" w:hAnsi="宋体"/>
          <w:color w:val="auto"/>
          <w:szCs w:val="21"/>
          <w:highlight w:val="none"/>
        </w:rPr>
        <w:t>重大过失、人身伤害</w:t>
      </w:r>
      <w:r>
        <w:rPr>
          <w:rFonts w:ascii="宋体" w:hAnsi="宋体"/>
          <w:color w:val="auto"/>
          <w:szCs w:val="21"/>
          <w:highlight w:val="none"/>
        </w:rPr>
        <w:t>等不当行为造成的损失，赔偿的责任限度不受</w:t>
      </w:r>
      <w:r>
        <w:rPr>
          <w:rFonts w:hint="eastAsia" w:ascii="宋体" w:hAnsi="宋体"/>
          <w:color w:val="auto"/>
          <w:szCs w:val="21"/>
          <w:highlight w:val="none"/>
        </w:rPr>
        <w:t>上述最高</w:t>
      </w:r>
      <w:r>
        <w:rPr>
          <w:rFonts w:ascii="宋体" w:hAnsi="宋体"/>
          <w:color w:val="auto"/>
          <w:szCs w:val="21"/>
          <w:highlight w:val="none"/>
        </w:rPr>
        <w:t>限额的限制</w:t>
      </w:r>
      <w:r>
        <w:rPr>
          <w:rFonts w:hint="eastAsia" w:ascii="宋体" w:hAnsi="宋体"/>
          <w:color w:val="auto"/>
          <w:szCs w:val="21"/>
          <w:highlight w:val="none"/>
        </w:rPr>
        <w:t>。</w:t>
      </w:r>
    </w:p>
    <w:p w14:paraId="74B572D6">
      <w:pPr>
        <w:pStyle w:val="167"/>
        <w:keepNext w:val="0"/>
        <w:keepLines w:val="0"/>
        <w:pageBreakBefore w:val="0"/>
        <w:widowControl/>
        <w:kinsoku/>
        <w:wordWrap/>
        <w:overflowPunct/>
        <w:topLinePunct w:val="0"/>
        <w:autoSpaceDE/>
        <w:autoSpaceDN/>
        <w:bidi w:val="0"/>
        <w:spacing w:after="120"/>
        <w:ind w:firstLine="422" w:firstLineChars="200"/>
        <w:textAlignment w:val="auto"/>
        <w:rPr>
          <w:rFonts w:ascii="宋体" w:hAnsi="宋体" w:eastAsia="宋体"/>
          <w:b/>
          <w:bCs w:val="0"/>
          <w:color w:val="auto"/>
          <w:sz w:val="21"/>
          <w:szCs w:val="21"/>
          <w:highlight w:val="none"/>
        </w:rPr>
      </w:pPr>
      <w:bookmarkStart w:id="509" w:name="_Toc54862191"/>
      <w:bookmarkStart w:id="510" w:name="_Toc30328"/>
      <w:bookmarkStart w:id="511" w:name="_Toc24014"/>
      <w:bookmarkStart w:id="512" w:name="_Toc13195"/>
      <w:bookmarkStart w:id="513" w:name="_Hlk51506160"/>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.14 建筑信息模型技术的应用</w:t>
      </w:r>
      <w:bookmarkEnd w:id="509"/>
      <w:bookmarkEnd w:id="510"/>
      <w:bookmarkEnd w:id="511"/>
      <w:bookmarkEnd w:id="512"/>
    </w:p>
    <w:bookmarkEnd w:id="513"/>
    <w:p w14:paraId="69AEE425">
      <w:pPr>
        <w:keepNext w:val="0"/>
        <w:keepLines w:val="0"/>
        <w:pageBreakBefore w:val="0"/>
        <w:kinsoku/>
        <w:wordWrap/>
        <w:overflowPunct/>
        <w:topLinePunct w:val="0"/>
        <w:autoSpaceDE/>
        <w:autoSpaceDN/>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如果项目中拟采用建筑信息模型技术，合同双方应遵守国家现行相关标准的规定，并符合项目所在地的相关地方标准或指南。合同双方应在专用合同条件中就建筑信息模型的开发、使用、存储、传输、交付及费用等相关内容进行约定。除专用合同条件另有约定外，承包人应负责与本项目中其他使用方协商。</w:t>
      </w:r>
    </w:p>
    <w:p w14:paraId="7ACC7D9B">
      <w:pPr>
        <w:pStyle w:val="178"/>
        <w:keepNext w:val="0"/>
        <w:keepLines w:val="0"/>
        <w:pageBreakBefore w:val="0"/>
        <w:numPr>
          <w:ilvl w:val="0"/>
          <w:numId w:val="0"/>
        </w:numPr>
        <w:kinsoku/>
        <w:wordWrap/>
        <w:overflowPunct/>
        <w:topLinePunct w:val="0"/>
        <w:autoSpaceDE/>
        <w:autoSpaceDN/>
        <w:bidi w:val="0"/>
        <w:spacing w:after="120"/>
        <w:ind w:firstLine="422" w:firstLineChars="200"/>
        <w:textAlignment w:val="auto"/>
        <w:rPr>
          <w:rFonts w:ascii="宋体" w:hAnsi="宋体" w:eastAsia="宋体"/>
          <w:b/>
          <w:bCs w:val="0"/>
          <w:color w:val="auto"/>
          <w:sz w:val="21"/>
          <w:szCs w:val="21"/>
          <w:highlight w:val="none"/>
        </w:rPr>
      </w:pPr>
      <w:bookmarkStart w:id="514" w:name="_Toc5787"/>
      <w:bookmarkStart w:id="515" w:name="_Toc10311"/>
      <w:bookmarkStart w:id="516" w:name="_Toc54862192"/>
      <w:bookmarkStart w:id="517" w:name="_Ref4796511"/>
      <w:bookmarkStart w:id="518" w:name="_Toc29541"/>
      <w:bookmarkStart w:id="519" w:name="_Toc4059"/>
      <w:r>
        <w:rPr>
          <w:rFonts w:hint="eastAsia" w:ascii="宋体" w:hAnsi="宋体" w:eastAsia="宋体"/>
          <w:b/>
          <w:bCs w:val="0"/>
          <w:color w:val="auto"/>
          <w:sz w:val="21"/>
          <w:szCs w:val="21"/>
          <w:highlight w:val="none"/>
        </w:rPr>
        <w:t>第2条 发包人</w:t>
      </w:r>
      <w:bookmarkEnd w:id="514"/>
      <w:bookmarkEnd w:id="515"/>
      <w:bookmarkEnd w:id="516"/>
      <w:bookmarkEnd w:id="517"/>
      <w:bookmarkEnd w:id="518"/>
      <w:bookmarkEnd w:id="519"/>
    </w:p>
    <w:p w14:paraId="35014CEE">
      <w:pPr>
        <w:pStyle w:val="167"/>
        <w:keepNext w:val="0"/>
        <w:keepLines w:val="0"/>
        <w:pageBreakBefore w:val="0"/>
        <w:widowControl/>
        <w:kinsoku/>
        <w:wordWrap/>
        <w:overflowPunct/>
        <w:topLinePunct w:val="0"/>
        <w:autoSpaceDE/>
        <w:autoSpaceDN/>
        <w:bidi w:val="0"/>
        <w:spacing w:after="120"/>
        <w:ind w:firstLine="422" w:firstLineChars="200"/>
        <w:textAlignment w:val="auto"/>
        <w:rPr>
          <w:rFonts w:ascii="宋体" w:hAnsi="宋体" w:eastAsia="宋体"/>
          <w:b/>
          <w:bCs w:val="0"/>
          <w:color w:val="auto"/>
          <w:sz w:val="21"/>
          <w:szCs w:val="21"/>
          <w:highlight w:val="none"/>
        </w:rPr>
      </w:pPr>
      <w:bookmarkStart w:id="520" w:name="_Toc54862193"/>
      <w:bookmarkStart w:id="521" w:name="_Toc26718"/>
      <w:bookmarkStart w:id="522" w:name="_Toc9803"/>
      <w:bookmarkStart w:id="523" w:name="_Toc18405"/>
      <w:r>
        <w:rPr>
          <w:rFonts w:hint="eastAsia" w:ascii="宋体" w:hAnsi="宋体" w:eastAsia="宋体"/>
          <w:b/>
          <w:bCs w:val="0"/>
          <w:color w:val="auto"/>
          <w:sz w:val="21"/>
          <w:szCs w:val="21"/>
          <w:highlight w:val="none"/>
        </w:rPr>
        <w:t>2</w:t>
      </w:r>
      <w:r>
        <w:rPr>
          <w:rFonts w:ascii="宋体" w:hAnsi="宋体" w:eastAsia="宋体"/>
          <w:b/>
          <w:bCs w:val="0"/>
          <w:color w:val="auto"/>
          <w:sz w:val="21"/>
          <w:szCs w:val="21"/>
          <w:highlight w:val="none"/>
        </w:rPr>
        <w:t xml:space="preserve">.1 </w:t>
      </w:r>
      <w:r>
        <w:rPr>
          <w:rFonts w:hint="eastAsia" w:ascii="宋体" w:hAnsi="宋体" w:eastAsia="宋体"/>
          <w:b/>
          <w:bCs w:val="0"/>
          <w:color w:val="auto"/>
          <w:sz w:val="21"/>
          <w:szCs w:val="21"/>
          <w:highlight w:val="none"/>
        </w:rPr>
        <w:t>遵守法律</w:t>
      </w:r>
      <w:bookmarkEnd w:id="520"/>
      <w:bookmarkEnd w:id="521"/>
      <w:bookmarkEnd w:id="522"/>
      <w:bookmarkEnd w:id="523"/>
    </w:p>
    <w:p w14:paraId="12261FE7">
      <w:pPr>
        <w:keepNext w:val="0"/>
        <w:keepLines w:val="0"/>
        <w:pageBreakBefore w:val="0"/>
        <w:kinsoku/>
        <w:wordWrap/>
        <w:overflowPunct/>
        <w:topLinePunct w:val="0"/>
        <w:autoSpaceDE/>
        <w:autoSpaceDN/>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发包人在履行合同过程中应遵守法律，并承担因发包人违反法律给承包人造成的任何费用和损失。发包人不得以任何理由，要求承包人在工程实施过程中违反法律、行政法规以及建设工程质量、安全、环保标准，任意压缩合理工期或者降低工程质量。</w:t>
      </w:r>
    </w:p>
    <w:p w14:paraId="5D000EA1">
      <w:pPr>
        <w:pStyle w:val="167"/>
        <w:keepNext w:val="0"/>
        <w:keepLines w:val="0"/>
        <w:pageBreakBefore w:val="0"/>
        <w:widowControl/>
        <w:kinsoku/>
        <w:wordWrap/>
        <w:overflowPunct/>
        <w:topLinePunct w:val="0"/>
        <w:autoSpaceDE/>
        <w:autoSpaceDN/>
        <w:bidi w:val="0"/>
        <w:spacing w:after="120"/>
        <w:ind w:firstLine="422" w:firstLineChars="200"/>
        <w:textAlignment w:val="auto"/>
        <w:rPr>
          <w:rFonts w:ascii="宋体" w:hAnsi="宋体" w:eastAsia="宋体"/>
          <w:b/>
          <w:bCs w:val="0"/>
          <w:color w:val="auto"/>
          <w:sz w:val="21"/>
          <w:szCs w:val="21"/>
          <w:highlight w:val="none"/>
        </w:rPr>
      </w:pPr>
      <w:bookmarkStart w:id="524" w:name="_Ref11917995"/>
      <w:bookmarkStart w:id="525" w:name="_Toc20643"/>
      <w:bookmarkStart w:id="526" w:name="_Toc15132"/>
      <w:bookmarkStart w:id="527" w:name="_Toc12750"/>
      <w:bookmarkStart w:id="528" w:name="_Ref11917977"/>
      <w:bookmarkStart w:id="529" w:name="_Toc54862194"/>
      <w:r>
        <w:rPr>
          <w:rFonts w:hint="eastAsia" w:ascii="宋体" w:hAnsi="宋体" w:eastAsia="宋体"/>
          <w:b/>
          <w:bCs w:val="0"/>
          <w:color w:val="auto"/>
          <w:sz w:val="21"/>
          <w:szCs w:val="21"/>
          <w:highlight w:val="none"/>
        </w:rPr>
        <w:t>2</w:t>
      </w:r>
      <w:r>
        <w:rPr>
          <w:rFonts w:ascii="宋体" w:hAnsi="宋体" w:eastAsia="宋体"/>
          <w:b/>
          <w:bCs w:val="0"/>
          <w:color w:val="auto"/>
          <w:sz w:val="21"/>
          <w:szCs w:val="21"/>
          <w:highlight w:val="none"/>
        </w:rPr>
        <w:t xml:space="preserve">.2 </w:t>
      </w:r>
      <w:r>
        <w:rPr>
          <w:rFonts w:hint="eastAsia" w:ascii="宋体" w:hAnsi="宋体" w:eastAsia="宋体"/>
          <w:b/>
          <w:bCs w:val="0"/>
          <w:color w:val="auto"/>
          <w:sz w:val="21"/>
          <w:szCs w:val="21"/>
          <w:highlight w:val="none"/>
        </w:rPr>
        <w:t>提供施工现场和工作条件</w:t>
      </w:r>
      <w:bookmarkEnd w:id="524"/>
      <w:bookmarkEnd w:id="525"/>
      <w:bookmarkEnd w:id="526"/>
      <w:bookmarkEnd w:id="527"/>
      <w:bookmarkEnd w:id="528"/>
      <w:bookmarkEnd w:id="529"/>
      <w:bookmarkStart w:id="530" w:name="_Toc51505123"/>
      <w:bookmarkEnd w:id="530"/>
      <w:bookmarkStart w:id="531" w:name="_Toc51505125"/>
      <w:bookmarkEnd w:id="531"/>
      <w:bookmarkStart w:id="532" w:name="_Toc54862197"/>
      <w:bookmarkEnd w:id="532"/>
      <w:bookmarkStart w:id="533" w:name="_Toc51505124"/>
      <w:bookmarkEnd w:id="533"/>
      <w:bookmarkStart w:id="534" w:name="_Toc54862196"/>
      <w:bookmarkEnd w:id="534"/>
      <w:bookmarkStart w:id="535" w:name="_Toc54862195"/>
      <w:bookmarkEnd w:id="535"/>
      <w:bookmarkStart w:id="536" w:name="_Ref531950085"/>
    </w:p>
    <w:p w14:paraId="72E5EBE7">
      <w:pPr>
        <w:pStyle w:val="153"/>
        <w:keepNext w:val="0"/>
        <w:keepLines w:val="0"/>
        <w:pageBreakBefore w:val="0"/>
        <w:kinsoku/>
        <w:wordWrap/>
        <w:overflowPunct/>
        <w:topLinePunct w:val="0"/>
        <w:autoSpaceDE/>
        <w:autoSpaceDN/>
        <w:bidi w:val="0"/>
        <w:spacing w:after="120"/>
        <w:ind w:firstLine="422" w:firstLineChars="200"/>
        <w:textAlignment w:val="auto"/>
        <w:rPr>
          <w:b/>
          <w:bCs w:val="0"/>
          <w:color w:val="auto"/>
          <w:sz w:val="21"/>
          <w:highlight w:val="none"/>
        </w:rPr>
      </w:pPr>
      <w:r>
        <w:rPr>
          <w:rFonts w:hint="eastAsia"/>
          <w:b/>
          <w:bCs w:val="0"/>
          <w:color w:val="auto"/>
          <w:sz w:val="21"/>
          <w:highlight w:val="none"/>
        </w:rPr>
        <w:t>2</w:t>
      </w:r>
      <w:r>
        <w:rPr>
          <w:b/>
          <w:bCs w:val="0"/>
          <w:color w:val="auto"/>
          <w:sz w:val="21"/>
          <w:highlight w:val="none"/>
        </w:rPr>
        <w:t xml:space="preserve">.2.1 </w:t>
      </w:r>
      <w:r>
        <w:rPr>
          <w:rFonts w:hint="eastAsia"/>
          <w:b/>
          <w:bCs w:val="0"/>
          <w:color w:val="auto"/>
          <w:sz w:val="21"/>
          <w:highlight w:val="none"/>
        </w:rPr>
        <w:t>提供施工</w:t>
      </w:r>
      <w:bookmarkEnd w:id="536"/>
      <w:r>
        <w:rPr>
          <w:rFonts w:hint="eastAsia"/>
          <w:b/>
          <w:bCs w:val="0"/>
          <w:color w:val="auto"/>
          <w:sz w:val="21"/>
          <w:highlight w:val="none"/>
        </w:rPr>
        <w:t>现场</w:t>
      </w:r>
    </w:p>
    <w:p w14:paraId="3FF63B59">
      <w:pPr>
        <w:keepNext w:val="0"/>
        <w:keepLines w:val="0"/>
        <w:pageBreakBefore w:val="0"/>
        <w:kinsoku/>
        <w:wordWrap/>
        <w:overflowPunct/>
        <w:topLinePunct w:val="0"/>
        <w:autoSpaceDE/>
        <w:autoSpaceDN/>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发包人应按专用合同条件约定向承包人移交施工现场，给承包人进入和占用施工现场各部分的权利，并明确与承包人的交接界面，上述进入和占用权可不为承包人独享。如专用合同条件没有约定移交时间的，则发包人应最迟于计划开始现场施工日期7天前向承包人移交施工现场，但承包人未能按照第4.2款[履约担保]提供履约担保的除外。</w:t>
      </w:r>
    </w:p>
    <w:p w14:paraId="3B393C64">
      <w:pPr>
        <w:pStyle w:val="153"/>
        <w:keepNext w:val="0"/>
        <w:keepLines w:val="0"/>
        <w:pageBreakBefore w:val="0"/>
        <w:kinsoku/>
        <w:wordWrap/>
        <w:overflowPunct/>
        <w:topLinePunct w:val="0"/>
        <w:autoSpaceDE/>
        <w:autoSpaceDN/>
        <w:bidi w:val="0"/>
        <w:spacing w:after="120"/>
        <w:ind w:firstLine="422" w:firstLineChars="200"/>
        <w:textAlignment w:val="auto"/>
        <w:rPr>
          <w:b/>
          <w:bCs/>
          <w:color w:val="auto"/>
          <w:sz w:val="21"/>
          <w:highlight w:val="none"/>
        </w:rPr>
      </w:pPr>
      <w:bookmarkStart w:id="537" w:name="_Ref531950101"/>
      <w:r>
        <w:rPr>
          <w:rFonts w:hint="eastAsia"/>
          <w:b/>
          <w:bCs/>
          <w:color w:val="auto"/>
          <w:sz w:val="21"/>
          <w:highlight w:val="none"/>
        </w:rPr>
        <w:t>2</w:t>
      </w:r>
      <w:r>
        <w:rPr>
          <w:b/>
          <w:bCs/>
          <w:color w:val="auto"/>
          <w:sz w:val="21"/>
          <w:highlight w:val="none"/>
        </w:rPr>
        <w:t xml:space="preserve">.2.2 </w:t>
      </w:r>
      <w:r>
        <w:rPr>
          <w:rFonts w:hint="eastAsia"/>
          <w:b/>
          <w:bCs/>
          <w:color w:val="auto"/>
          <w:sz w:val="21"/>
          <w:highlight w:val="none"/>
        </w:rPr>
        <w:t>提供工作条件</w:t>
      </w:r>
      <w:bookmarkEnd w:id="537"/>
    </w:p>
    <w:p w14:paraId="620F846F">
      <w:pPr>
        <w:keepNext w:val="0"/>
        <w:keepLines w:val="0"/>
        <w:pageBreakBefore w:val="0"/>
        <w:kinsoku/>
        <w:wordWrap/>
        <w:overflowPunct/>
        <w:topLinePunct w:val="0"/>
        <w:autoSpaceDE/>
        <w:autoSpaceDN/>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发包人应按专用合同条件约定向承包人提供工作条件。专用合同条件对此没有约定的，发包人应负责提供开展本合同相关工作所需要的条件，包括：</w:t>
      </w:r>
    </w:p>
    <w:p w14:paraId="462A4FC3">
      <w:pPr>
        <w:keepNext w:val="0"/>
        <w:keepLines w:val="0"/>
        <w:pageBreakBefore w:val="0"/>
        <w:kinsoku/>
        <w:wordWrap/>
        <w:overflowPunct/>
        <w:topLinePunct w:val="0"/>
        <w:autoSpaceDE/>
        <w:autoSpaceDN/>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 将施工用水、电力、通讯线路等施工所必需的条件接至施工现场内；</w:t>
      </w:r>
    </w:p>
    <w:p w14:paraId="1FC1B588">
      <w:pPr>
        <w:keepNext w:val="0"/>
        <w:keepLines w:val="0"/>
        <w:pageBreakBefore w:val="0"/>
        <w:kinsoku/>
        <w:wordWrap/>
        <w:overflowPunct/>
        <w:topLinePunct w:val="0"/>
        <w:autoSpaceDE/>
        <w:autoSpaceDN/>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 保证向承包人提供正常施工所需要的进入施工现场的交通条件；</w:t>
      </w:r>
    </w:p>
    <w:p w14:paraId="57276BC5">
      <w:pPr>
        <w:keepNext w:val="0"/>
        <w:keepLines w:val="0"/>
        <w:pageBreakBefore w:val="0"/>
        <w:kinsoku/>
        <w:wordWrap/>
        <w:overflowPunct/>
        <w:topLinePunct w:val="0"/>
        <w:autoSpaceDE/>
        <w:autoSpaceDN/>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（3） 协调处理施工现场周围地下线路和邻近建筑物、构筑物、古树名木、文物、化石及坟墓等的保护工作，并承担相关费用；</w:t>
      </w:r>
    </w:p>
    <w:p w14:paraId="0AC4B5D5">
      <w:pPr>
        <w:keepNext w:val="0"/>
        <w:keepLines w:val="0"/>
        <w:pageBreakBefore w:val="0"/>
        <w:kinsoku/>
        <w:wordWrap/>
        <w:overflowPunct/>
        <w:topLinePunct w:val="0"/>
        <w:autoSpaceDE/>
        <w:autoSpaceDN/>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（4） 对工程现场临近发包人正在使用、运行、或由发包人用于生产的建筑物、构筑物、生产装置、设施、设备等，设置隔离设施，竖立禁止入内、禁止动火的明显标志，</w:t>
      </w:r>
      <w:r>
        <w:rPr>
          <w:rFonts w:ascii="宋体" w:hAnsi="宋体"/>
          <w:color w:val="auto"/>
          <w:szCs w:val="21"/>
          <w:highlight w:val="none"/>
        </w:rPr>
        <w:t xml:space="preserve"> 并以书面形式通知承包人须遵守的安全规定和位置范围；</w:t>
      </w:r>
    </w:p>
    <w:p w14:paraId="15D09B70">
      <w:pPr>
        <w:keepNext w:val="0"/>
        <w:keepLines w:val="0"/>
        <w:pageBreakBefore w:val="0"/>
        <w:kinsoku/>
        <w:wordWrap/>
        <w:overflowPunct/>
        <w:topLinePunct w:val="0"/>
        <w:autoSpaceDE/>
        <w:autoSpaceDN/>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（5） 按照专用合同条件约定应提供的其他设施和条件。</w:t>
      </w:r>
    </w:p>
    <w:p w14:paraId="078C7E7C">
      <w:pPr>
        <w:pStyle w:val="153"/>
        <w:keepNext w:val="0"/>
        <w:keepLines w:val="0"/>
        <w:pageBreakBefore w:val="0"/>
        <w:kinsoku/>
        <w:wordWrap/>
        <w:overflowPunct/>
        <w:topLinePunct w:val="0"/>
        <w:autoSpaceDE/>
        <w:autoSpaceDN/>
        <w:bidi w:val="0"/>
        <w:spacing w:after="120"/>
        <w:ind w:firstLine="422" w:firstLineChars="200"/>
        <w:textAlignment w:val="auto"/>
        <w:rPr>
          <w:b/>
          <w:bCs/>
          <w:color w:val="auto"/>
          <w:sz w:val="21"/>
          <w:highlight w:val="none"/>
        </w:rPr>
      </w:pPr>
      <w:r>
        <w:rPr>
          <w:rFonts w:hint="eastAsia"/>
          <w:b/>
          <w:bCs/>
          <w:color w:val="auto"/>
          <w:sz w:val="21"/>
          <w:highlight w:val="none"/>
        </w:rPr>
        <w:t>2</w:t>
      </w:r>
      <w:r>
        <w:rPr>
          <w:b/>
          <w:bCs/>
          <w:color w:val="auto"/>
          <w:sz w:val="21"/>
          <w:highlight w:val="none"/>
        </w:rPr>
        <w:t xml:space="preserve">.2.3 </w:t>
      </w:r>
      <w:r>
        <w:rPr>
          <w:rFonts w:hint="eastAsia"/>
          <w:b/>
          <w:bCs/>
          <w:color w:val="auto"/>
          <w:sz w:val="21"/>
          <w:highlight w:val="none"/>
        </w:rPr>
        <w:t>逾期提供的责任</w:t>
      </w:r>
    </w:p>
    <w:p w14:paraId="24295F38">
      <w:pPr>
        <w:keepNext w:val="0"/>
        <w:keepLines w:val="0"/>
        <w:pageBreakBefore w:val="0"/>
        <w:kinsoku/>
        <w:wordWrap/>
        <w:overflowPunct/>
        <w:topLinePunct w:val="0"/>
        <w:autoSpaceDE/>
        <w:autoSpaceDN/>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因发包人原因未能按合同约定及时向承包人提供施工现场和施工条件的，由发包人承担由此增加的费用和（或）延误的工期。</w:t>
      </w:r>
    </w:p>
    <w:p w14:paraId="522A6906">
      <w:pPr>
        <w:pStyle w:val="167"/>
        <w:keepNext w:val="0"/>
        <w:keepLines w:val="0"/>
        <w:pageBreakBefore w:val="0"/>
        <w:widowControl/>
        <w:kinsoku/>
        <w:wordWrap/>
        <w:overflowPunct/>
        <w:topLinePunct w:val="0"/>
        <w:autoSpaceDE/>
        <w:autoSpaceDN/>
        <w:bidi w:val="0"/>
        <w:spacing w:after="120"/>
        <w:ind w:firstLine="422" w:firstLineChars="200"/>
        <w:textAlignment w:val="auto"/>
        <w:rPr>
          <w:rFonts w:ascii="宋体" w:hAnsi="宋体" w:eastAsia="宋体"/>
          <w:b/>
          <w:bCs w:val="0"/>
          <w:color w:val="auto"/>
          <w:sz w:val="21"/>
          <w:szCs w:val="21"/>
          <w:highlight w:val="none"/>
        </w:rPr>
      </w:pPr>
      <w:bookmarkStart w:id="538" w:name="_Ref11918036"/>
      <w:bookmarkStart w:id="539" w:name="_Ref11918025"/>
      <w:bookmarkStart w:id="540" w:name="_Toc15793"/>
      <w:bookmarkStart w:id="541" w:name="_Toc28673"/>
      <w:bookmarkStart w:id="542" w:name="_Ref11956647"/>
      <w:bookmarkStart w:id="543" w:name="_Toc54862198"/>
      <w:bookmarkStart w:id="544" w:name="_Toc25332"/>
      <w:bookmarkStart w:id="545" w:name="_Ref11956654"/>
      <w:r>
        <w:rPr>
          <w:rFonts w:hint="eastAsia" w:ascii="宋体" w:hAnsi="宋体" w:eastAsia="宋体"/>
          <w:b/>
          <w:bCs w:val="0"/>
          <w:color w:val="auto"/>
          <w:sz w:val="21"/>
          <w:szCs w:val="21"/>
          <w:highlight w:val="none"/>
        </w:rPr>
        <w:t>2</w:t>
      </w:r>
      <w:r>
        <w:rPr>
          <w:rFonts w:ascii="宋体" w:hAnsi="宋体" w:eastAsia="宋体"/>
          <w:b/>
          <w:bCs w:val="0"/>
          <w:color w:val="auto"/>
          <w:sz w:val="21"/>
          <w:szCs w:val="21"/>
          <w:highlight w:val="none"/>
        </w:rPr>
        <w:t xml:space="preserve">.3 </w:t>
      </w:r>
      <w:r>
        <w:rPr>
          <w:rFonts w:hint="eastAsia" w:ascii="宋体" w:hAnsi="宋体" w:eastAsia="宋体"/>
          <w:b/>
          <w:bCs w:val="0"/>
          <w:color w:val="auto"/>
          <w:sz w:val="21"/>
          <w:szCs w:val="21"/>
          <w:highlight w:val="none"/>
        </w:rPr>
        <w:t>提供基础资料</w:t>
      </w:r>
      <w:bookmarkEnd w:id="538"/>
      <w:bookmarkEnd w:id="539"/>
      <w:bookmarkEnd w:id="540"/>
      <w:bookmarkEnd w:id="541"/>
      <w:bookmarkEnd w:id="542"/>
      <w:bookmarkEnd w:id="543"/>
      <w:bookmarkEnd w:id="544"/>
      <w:bookmarkEnd w:id="545"/>
    </w:p>
    <w:p w14:paraId="69160472">
      <w:pPr>
        <w:keepNext w:val="0"/>
        <w:keepLines w:val="0"/>
        <w:pageBreakBefore w:val="0"/>
        <w:kinsoku/>
        <w:wordWrap/>
        <w:overflowPunct/>
        <w:topLinePunct w:val="0"/>
        <w:autoSpaceDE/>
        <w:autoSpaceDN/>
        <w:bidi w:val="0"/>
        <w:spacing w:line="360" w:lineRule="auto"/>
        <w:ind w:firstLine="420" w:firstLineChars="200"/>
        <w:textAlignment w:val="auto"/>
        <w:rPr>
          <w:rFonts w:ascii="宋体" w:hAnsi="宋体"/>
          <w:color w:val="auto"/>
          <w:szCs w:val="21"/>
          <w:highlight w:val="none"/>
        </w:rPr>
      </w:pPr>
      <w:bookmarkStart w:id="546" w:name="_Hlk51506429"/>
      <w:r>
        <w:rPr>
          <w:rFonts w:hint="eastAsia" w:ascii="宋体" w:hAnsi="宋体"/>
          <w:color w:val="auto"/>
          <w:szCs w:val="21"/>
          <w:highlight w:val="none"/>
        </w:rPr>
        <w:t>发包人应按专用合同条件和《发包人要求》中的约定向承包人提供</w:t>
      </w:r>
      <w:bookmarkEnd w:id="546"/>
      <w:r>
        <w:rPr>
          <w:rFonts w:hint="eastAsia" w:ascii="宋体" w:hAnsi="宋体"/>
          <w:color w:val="auto"/>
          <w:szCs w:val="21"/>
          <w:highlight w:val="none"/>
        </w:rPr>
        <w:t>施工现场及工程实施所必需的毗邻区域内的供水、排水、供电、供气、供热、通信、广播电视等地上、地下线路和设施资料，气象和水文观测资料，地质勘察资料，相邻建筑物、构筑物和地下工程等有关基础资料，并根据第</w:t>
      </w:r>
      <w:r>
        <w:rPr>
          <w:rFonts w:ascii="宋体" w:hAnsi="宋体"/>
          <w:color w:val="auto"/>
          <w:szCs w:val="21"/>
          <w:highlight w:val="none"/>
        </w:rPr>
        <w:t>1.12</w:t>
      </w:r>
      <w:r>
        <w:rPr>
          <w:rFonts w:hint="eastAsia" w:ascii="宋体" w:hAnsi="宋体"/>
          <w:color w:val="auto"/>
          <w:szCs w:val="21"/>
          <w:highlight w:val="none"/>
        </w:rPr>
        <w:t>款[</w:t>
      </w:r>
      <w:r>
        <w:rPr>
          <w:rFonts w:ascii="宋体" w:hAnsi="宋体"/>
          <w:color w:val="auto"/>
          <w:szCs w:val="21"/>
          <w:highlight w:val="none"/>
        </w:rPr>
        <w:t>《发包人要求》和基础资料中的错误</w:t>
      </w:r>
      <w:r>
        <w:rPr>
          <w:rFonts w:hint="eastAsia" w:ascii="宋体" w:hAnsi="宋体"/>
          <w:color w:val="auto"/>
          <w:szCs w:val="21"/>
          <w:highlight w:val="none"/>
        </w:rPr>
        <w:t>]承担基础资料错误造成的责任。按照法律规定确需在开工后方能提供的基础资料，发包人应尽其努力及时地在相应工程实施前的合理期限内提供，合理期限应以不影响承包人的正常履约为限。因发包人原因未能在合理期限内提供相应基础资料的，由发包人承担由此增加的费用和延误的工期。</w:t>
      </w:r>
    </w:p>
    <w:p w14:paraId="6AC5B6A0">
      <w:pPr>
        <w:pStyle w:val="167"/>
        <w:keepNext w:val="0"/>
        <w:keepLines w:val="0"/>
        <w:pageBreakBefore w:val="0"/>
        <w:widowControl/>
        <w:kinsoku/>
        <w:wordWrap/>
        <w:overflowPunct/>
        <w:topLinePunct w:val="0"/>
        <w:autoSpaceDE/>
        <w:autoSpaceDN/>
        <w:bidi w:val="0"/>
        <w:spacing w:after="120"/>
        <w:ind w:firstLine="422" w:firstLineChars="200"/>
        <w:textAlignment w:val="auto"/>
        <w:rPr>
          <w:rFonts w:ascii="宋体" w:hAnsi="宋体" w:eastAsia="宋体"/>
          <w:b/>
          <w:bCs w:val="0"/>
          <w:color w:val="auto"/>
          <w:sz w:val="21"/>
          <w:szCs w:val="21"/>
          <w:highlight w:val="none"/>
        </w:rPr>
      </w:pPr>
      <w:bookmarkStart w:id="547" w:name="_Toc54862199"/>
      <w:bookmarkStart w:id="548" w:name="_Ref531950045"/>
      <w:bookmarkStart w:id="549" w:name="_Ref531950041"/>
      <w:bookmarkStart w:id="550" w:name="_Toc27558"/>
      <w:bookmarkStart w:id="551" w:name="_Toc27122"/>
      <w:bookmarkStart w:id="552" w:name="_Toc10387"/>
      <w:r>
        <w:rPr>
          <w:rFonts w:hint="eastAsia" w:ascii="宋体" w:hAnsi="宋体" w:eastAsia="宋体"/>
          <w:b/>
          <w:bCs w:val="0"/>
          <w:color w:val="auto"/>
          <w:sz w:val="21"/>
          <w:szCs w:val="21"/>
          <w:highlight w:val="none"/>
        </w:rPr>
        <w:t>2</w:t>
      </w:r>
      <w:r>
        <w:rPr>
          <w:rFonts w:ascii="宋体" w:hAnsi="宋体" w:eastAsia="宋体"/>
          <w:b/>
          <w:bCs w:val="0"/>
          <w:color w:val="auto"/>
          <w:sz w:val="21"/>
          <w:szCs w:val="21"/>
          <w:highlight w:val="none"/>
        </w:rPr>
        <w:t xml:space="preserve">.4 </w:t>
      </w:r>
      <w:r>
        <w:rPr>
          <w:rFonts w:hint="eastAsia" w:ascii="宋体" w:hAnsi="宋体" w:eastAsia="宋体"/>
          <w:b/>
          <w:bCs w:val="0"/>
          <w:color w:val="auto"/>
          <w:sz w:val="21"/>
          <w:szCs w:val="21"/>
          <w:highlight w:val="none"/>
        </w:rPr>
        <w:t>办理许可和批准</w:t>
      </w:r>
      <w:bookmarkEnd w:id="547"/>
      <w:bookmarkEnd w:id="548"/>
      <w:bookmarkEnd w:id="549"/>
      <w:bookmarkEnd w:id="550"/>
      <w:bookmarkEnd w:id="551"/>
      <w:bookmarkEnd w:id="552"/>
    </w:p>
    <w:p w14:paraId="5633A453">
      <w:pPr>
        <w:pStyle w:val="153"/>
        <w:keepNext w:val="0"/>
        <w:keepLines w:val="0"/>
        <w:pageBreakBefore w:val="0"/>
        <w:kinsoku/>
        <w:wordWrap/>
        <w:overflowPunct/>
        <w:topLinePunct w:val="0"/>
        <w:autoSpaceDE/>
        <w:autoSpaceDN/>
        <w:bidi w:val="0"/>
        <w:spacing w:after="120"/>
        <w:ind w:firstLine="420" w:firstLineChars="200"/>
        <w:textAlignment w:val="auto"/>
        <w:rPr>
          <w:color w:val="auto"/>
          <w:sz w:val="21"/>
          <w:highlight w:val="none"/>
        </w:rPr>
      </w:pPr>
      <w:bookmarkStart w:id="553" w:name="_Toc51505128"/>
      <w:r>
        <w:rPr>
          <w:rFonts w:hint="eastAsia"/>
          <w:color w:val="auto"/>
          <w:sz w:val="21"/>
          <w:highlight w:val="none"/>
        </w:rPr>
        <w:t>2</w:t>
      </w:r>
      <w:r>
        <w:rPr>
          <w:color w:val="auto"/>
          <w:sz w:val="21"/>
          <w:highlight w:val="none"/>
        </w:rPr>
        <w:t xml:space="preserve">.4.1 </w:t>
      </w:r>
      <w:r>
        <w:rPr>
          <w:rFonts w:hint="eastAsia"/>
          <w:color w:val="auto"/>
          <w:sz w:val="21"/>
          <w:highlight w:val="none"/>
        </w:rPr>
        <w:t>发包人在履行合同过程中应遵守法律，并办理法律规定或合同约定由其办理的许可、批准或备案，包括但不限于建设用地规划许可证、建设工程规划许可证、建设工程施工许可证等许可和批准。对于法律规定或合同约定由承包人负责的有关设计、施工证件、批件或备案，发包人应给予必要的协助。</w:t>
      </w:r>
      <w:bookmarkEnd w:id="553"/>
    </w:p>
    <w:p w14:paraId="4D16750C">
      <w:pPr>
        <w:pStyle w:val="153"/>
        <w:keepNext w:val="0"/>
        <w:keepLines w:val="0"/>
        <w:pageBreakBefore w:val="0"/>
        <w:kinsoku/>
        <w:wordWrap/>
        <w:overflowPunct/>
        <w:topLinePunct w:val="0"/>
        <w:autoSpaceDE/>
        <w:autoSpaceDN/>
        <w:bidi w:val="0"/>
        <w:spacing w:after="120"/>
        <w:ind w:firstLine="420" w:firstLineChars="200"/>
        <w:textAlignment w:val="auto"/>
        <w:rPr>
          <w:color w:val="auto"/>
          <w:sz w:val="21"/>
          <w:highlight w:val="none"/>
        </w:rPr>
      </w:pPr>
      <w:bookmarkStart w:id="554" w:name="_Toc51505129"/>
      <w:r>
        <w:rPr>
          <w:rFonts w:hint="eastAsia"/>
          <w:color w:val="auto"/>
          <w:sz w:val="21"/>
          <w:highlight w:val="none"/>
        </w:rPr>
        <w:t>2</w:t>
      </w:r>
      <w:r>
        <w:rPr>
          <w:color w:val="auto"/>
          <w:sz w:val="21"/>
          <w:highlight w:val="none"/>
        </w:rPr>
        <w:t xml:space="preserve">.4.2 </w:t>
      </w:r>
      <w:r>
        <w:rPr>
          <w:rFonts w:hint="eastAsia"/>
          <w:color w:val="auto"/>
          <w:sz w:val="21"/>
          <w:highlight w:val="none"/>
        </w:rPr>
        <w:t>因发包人原因未能及时办理完毕前述许可、批准或备案，由发包人承担由此增加的费用和（或）延误的工期，并支付承包人合理的利润。</w:t>
      </w:r>
      <w:bookmarkEnd w:id="554"/>
    </w:p>
    <w:p w14:paraId="25BFFA7B">
      <w:pPr>
        <w:pStyle w:val="167"/>
        <w:keepNext w:val="0"/>
        <w:keepLines w:val="0"/>
        <w:pageBreakBefore w:val="0"/>
        <w:widowControl/>
        <w:kinsoku/>
        <w:wordWrap/>
        <w:overflowPunct/>
        <w:topLinePunct w:val="0"/>
        <w:autoSpaceDE/>
        <w:autoSpaceDN/>
        <w:bidi w:val="0"/>
        <w:spacing w:after="120"/>
        <w:ind w:firstLine="422" w:firstLineChars="200"/>
        <w:textAlignment w:val="auto"/>
        <w:rPr>
          <w:rFonts w:ascii="宋体" w:hAnsi="宋体" w:eastAsia="宋体"/>
          <w:b/>
          <w:bCs w:val="0"/>
          <w:color w:val="auto"/>
          <w:sz w:val="21"/>
          <w:szCs w:val="21"/>
          <w:highlight w:val="none"/>
        </w:rPr>
      </w:pPr>
      <w:bookmarkStart w:id="555" w:name="_Ref11918070"/>
      <w:bookmarkStart w:id="556" w:name="_Ref11956525"/>
      <w:bookmarkStart w:id="557" w:name="_Ref11918060"/>
      <w:bookmarkStart w:id="558" w:name="_Toc3243"/>
      <w:bookmarkStart w:id="559" w:name="_Toc54862200"/>
      <w:bookmarkStart w:id="560" w:name="_Toc12061"/>
      <w:bookmarkStart w:id="561" w:name="_Ref11956533"/>
      <w:bookmarkStart w:id="562" w:name="_Toc2091"/>
      <w:r>
        <w:rPr>
          <w:rFonts w:hint="eastAsia" w:ascii="宋体" w:hAnsi="宋体" w:eastAsia="宋体"/>
          <w:b/>
          <w:bCs w:val="0"/>
          <w:color w:val="auto"/>
          <w:sz w:val="21"/>
          <w:szCs w:val="21"/>
          <w:highlight w:val="none"/>
        </w:rPr>
        <w:t>2</w:t>
      </w:r>
      <w:r>
        <w:rPr>
          <w:rFonts w:ascii="宋体" w:hAnsi="宋体" w:eastAsia="宋体"/>
          <w:b/>
          <w:bCs w:val="0"/>
          <w:color w:val="auto"/>
          <w:sz w:val="21"/>
          <w:szCs w:val="21"/>
          <w:highlight w:val="none"/>
        </w:rPr>
        <w:t>.5 支付合同价款</w:t>
      </w:r>
      <w:bookmarkEnd w:id="555"/>
      <w:bookmarkEnd w:id="556"/>
      <w:bookmarkEnd w:id="557"/>
      <w:bookmarkEnd w:id="558"/>
      <w:bookmarkEnd w:id="559"/>
      <w:bookmarkEnd w:id="560"/>
      <w:bookmarkEnd w:id="561"/>
      <w:bookmarkEnd w:id="562"/>
    </w:p>
    <w:p w14:paraId="1D3353F0">
      <w:pPr>
        <w:pStyle w:val="153"/>
        <w:keepNext w:val="0"/>
        <w:keepLines w:val="0"/>
        <w:pageBreakBefore w:val="0"/>
        <w:kinsoku/>
        <w:wordWrap/>
        <w:overflowPunct/>
        <w:topLinePunct w:val="0"/>
        <w:autoSpaceDE/>
        <w:autoSpaceDN/>
        <w:bidi w:val="0"/>
        <w:spacing w:after="120"/>
        <w:ind w:firstLine="420" w:firstLineChars="200"/>
        <w:textAlignment w:val="auto"/>
        <w:rPr>
          <w:color w:val="auto"/>
          <w:sz w:val="21"/>
          <w:highlight w:val="none"/>
        </w:rPr>
      </w:pPr>
      <w:bookmarkStart w:id="563" w:name="_Toc51505131"/>
      <w:bookmarkStart w:id="564" w:name="_Ref531950147"/>
      <w:r>
        <w:rPr>
          <w:rFonts w:hint="eastAsia"/>
          <w:color w:val="auto"/>
          <w:sz w:val="21"/>
          <w:highlight w:val="none"/>
        </w:rPr>
        <w:t>2</w:t>
      </w:r>
      <w:r>
        <w:rPr>
          <w:color w:val="auto"/>
          <w:sz w:val="21"/>
          <w:highlight w:val="none"/>
        </w:rPr>
        <w:t xml:space="preserve">.5.1 </w:t>
      </w:r>
      <w:r>
        <w:rPr>
          <w:rFonts w:hint="eastAsia"/>
          <w:color w:val="auto"/>
          <w:sz w:val="21"/>
          <w:highlight w:val="none"/>
        </w:rPr>
        <w:t>发包人应按合同约定向承包人及时支付合同价款。</w:t>
      </w:r>
      <w:bookmarkEnd w:id="563"/>
    </w:p>
    <w:bookmarkEnd w:id="564"/>
    <w:p w14:paraId="7CB05546">
      <w:pPr>
        <w:pStyle w:val="153"/>
        <w:keepNext w:val="0"/>
        <w:keepLines w:val="0"/>
        <w:pageBreakBefore w:val="0"/>
        <w:kinsoku/>
        <w:wordWrap/>
        <w:overflowPunct/>
        <w:topLinePunct w:val="0"/>
        <w:autoSpaceDE/>
        <w:autoSpaceDN/>
        <w:bidi w:val="0"/>
        <w:spacing w:after="120"/>
        <w:ind w:firstLine="420" w:firstLineChars="200"/>
        <w:textAlignment w:val="auto"/>
        <w:rPr>
          <w:color w:val="auto"/>
          <w:sz w:val="21"/>
          <w:highlight w:val="none"/>
        </w:rPr>
      </w:pPr>
      <w:bookmarkStart w:id="565" w:name="_Toc51505132"/>
      <w:r>
        <w:rPr>
          <w:rFonts w:hint="eastAsia"/>
          <w:color w:val="auto"/>
          <w:sz w:val="21"/>
          <w:highlight w:val="none"/>
        </w:rPr>
        <w:t>2</w:t>
      </w:r>
      <w:r>
        <w:rPr>
          <w:color w:val="auto"/>
          <w:sz w:val="21"/>
          <w:highlight w:val="none"/>
        </w:rPr>
        <w:t xml:space="preserve">.5.2 </w:t>
      </w:r>
      <w:r>
        <w:rPr>
          <w:rFonts w:hint="eastAsia"/>
          <w:color w:val="auto"/>
          <w:sz w:val="21"/>
          <w:highlight w:val="none"/>
        </w:rPr>
        <w:t>发包人应当制定资金安排计划，除专用合同条件另有约定外，如发包人拟对资金安排做任何重要变更，应将变更的详细情况通知承包人。如发生承包人收到价格大于签约合同价</w:t>
      </w:r>
      <w:r>
        <w:rPr>
          <w:color w:val="auto"/>
          <w:sz w:val="21"/>
          <w:highlight w:val="none"/>
        </w:rPr>
        <w:t>10%</w:t>
      </w:r>
      <w:r>
        <w:rPr>
          <w:rFonts w:hint="eastAsia"/>
          <w:color w:val="auto"/>
          <w:sz w:val="21"/>
          <w:highlight w:val="none"/>
        </w:rPr>
        <w:t>的变更指示或累计变更的总价超过签约合同价</w:t>
      </w:r>
      <w:r>
        <w:rPr>
          <w:color w:val="auto"/>
          <w:sz w:val="21"/>
          <w:highlight w:val="none"/>
        </w:rPr>
        <w:t>30%；或承包人未能根据</w:t>
      </w:r>
      <w:r>
        <w:rPr>
          <w:rFonts w:hint="eastAsia"/>
          <w:color w:val="auto"/>
          <w:sz w:val="21"/>
          <w:highlight w:val="none"/>
        </w:rPr>
        <w:t>第</w:t>
      </w:r>
      <w:r>
        <w:rPr>
          <w:color w:val="auto"/>
          <w:sz w:val="21"/>
          <w:highlight w:val="none"/>
        </w:rPr>
        <w:t>14条</w:t>
      </w:r>
      <w:r>
        <w:rPr>
          <w:rFonts w:hint="eastAsia"/>
          <w:color w:val="auto"/>
          <w:sz w:val="21"/>
          <w:highlight w:val="none"/>
        </w:rPr>
        <w:t>[合同价格与支付]收到付款，或承包人得知发包人的资金安排发生重要变更但并未收到发包人上述重要变更通知的情况，则承包人可随时要求发包人在</w:t>
      </w:r>
      <w:r>
        <w:rPr>
          <w:color w:val="auto"/>
          <w:sz w:val="21"/>
          <w:highlight w:val="none"/>
        </w:rPr>
        <w:t>28</w:t>
      </w:r>
      <w:r>
        <w:rPr>
          <w:rFonts w:hint="eastAsia"/>
          <w:color w:val="auto"/>
          <w:sz w:val="21"/>
          <w:highlight w:val="none"/>
        </w:rPr>
        <w:t>天内补充提供能够按照合同约定支付合同价款的相应资金来源证明。</w:t>
      </w:r>
      <w:bookmarkEnd w:id="565"/>
    </w:p>
    <w:p w14:paraId="797F543F">
      <w:pPr>
        <w:pStyle w:val="153"/>
        <w:keepNext w:val="0"/>
        <w:keepLines w:val="0"/>
        <w:pageBreakBefore w:val="0"/>
        <w:kinsoku/>
        <w:wordWrap/>
        <w:overflowPunct/>
        <w:topLinePunct w:val="0"/>
        <w:autoSpaceDE/>
        <w:autoSpaceDN/>
        <w:bidi w:val="0"/>
        <w:spacing w:after="120"/>
        <w:ind w:firstLine="420" w:firstLineChars="200"/>
        <w:textAlignment w:val="auto"/>
        <w:rPr>
          <w:color w:val="auto"/>
          <w:sz w:val="21"/>
          <w:highlight w:val="none"/>
        </w:rPr>
      </w:pPr>
      <w:bookmarkStart w:id="566" w:name="_Ref531950161"/>
      <w:bookmarkStart w:id="567" w:name="_Toc51505133"/>
      <w:r>
        <w:rPr>
          <w:rFonts w:hint="eastAsia"/>
          <w:color w:val="auto"/>
          <w:sz w:val="21"/>
          <w:highlight w:val="none"/>
        </w:rPr>
        <w:t>2</w:t>
      </w:r>
      <w:r>
        <w:rPr>
          <w:color w:val="auto"/>
          <w:sz w:val="21"/>
          <w:highlight w:val="none"/>
        </w:rPr>
        <w:t xml:space="preserve">.5.3 </w:t>
      </w:r>
      <w:r>
        <w:rPr>
          <w:rFonts w:hint="eastAsia"/>
          <w:color w:val="auto"/>
          <w:sz w:val="21"/>
          <w:highlight w:val="none"/>
        </w:rPr>
        <w:t>发包人应当向承包人提供支付担保。支付担保可以采用银行保函或担保公司担保等形式，具体由合同当事人在专用合同条件中约定。</w:t>
      </w:r>
      <w:bookmarkEnd w:id="566"/>
      <w:bookmarkEnd w:id="567"/>
    </w:p>
    <w:p w14:paraId="1070C484">
      <w:pPr>
        <w:pStyle w:val="167"/>
        <w:keepNext w:val="0"/>
        <w:keepLines w:val="0"/>
        <w:pageBreakBefore w:val="0"/>
        <w:widowControl/>
        <w:kinsoku/>
        <w:wordWrap/>
        <w:overflowPunct/>
        <w:topLinePunct w:val="0"/>
        <w:autoSpaceDE/>
        <w:autoSpaceDN/>
        <w:bidi w:val="0"/>
        <w:spacing w:after="120"/>
        <w:ind w:firstLine="422" w:firstLineChars="200"/>
        <w:textAlignment w:val="auto"/>
        <w:rPr>
          <w:rFonts w:ascii="宋体" w:hAnsi="宋体" w:eastAsia="宋体"/>
          <w:b/>
          <w:bCs w:val="0"/>
          <w:color w:val="auto"/>
          <w:sz w:val="21"/>
          <w:szCs w:val="21"/>
          <w:highlight w:val="none"/>
        </w:rPr>
      </w:pPr>
      <w:bookmarkStart w:id="568" w:name="_Toc2473"/>
      <w:bookmarkStart w:id="569" w:name="_Toc4100"/>
      <w:bookmarkStart w:id="570" w:name="_Toc54862201"/>
      <w:bookmarkStart w:id="571" w:name="_Toc9590"/>
      <w:r>
        <w:rPr>
          <w:rFonts w:hint="eastAsia" w:ascii="宋体" w:hAnsi="宋体" w:eastAsia="宋体"/>
          <w:b/>
          <w:bCs w:val="0"/>
          <w:color w:val="auto"/>
          <w:sz w:val="21"/>
          <w:szCs w:val="21"/>
          <w:highlight w:val="none"/>
        </w:rPr>
        <w:t>2</w:t>
      </w:r>
      <w:r>
        <w:rPr>
          <w:rFonts w:ascii="宋体" w:hAnsi="宋体" w:eastAsia="宋体"/>
          <w:b/>
          <w:bCs w:val="0"/>
          <w:color w:val="auto"/>
          <w:sz w:val="21"/>
          <w:szCs w:val="21"/>
          <w:highlight w:val="none"/>
        </w:rPr>
        <w:t xml:space="preserve">.6 </w:t>
      </w:r>
      <w:r>
        <w:rPr>
          <w:rFonts w:hint="eastAsia" w:ascii="宋体" w:hAnsi="宋体" w:eastAsia="宋体"/>
          <w:b/>
          <w:bCs w:val="0"/>
          <w:color w:val="auto"/>
          <w:sz w:val="21"/>
          <w:szCs w:val="21"/>
          <w:highlight w:val="none"/>
        </w:rPr>
        <w:t>现场管理配合</w:t>
      </w:r>
      <w:bookmarkEnd w:id="568"/>
      <w:bookmarkEnd w:id="569"/>
      <w:bookmarkEnd w:id="570"/>
      <w:bookmarkEnd w:id="571"/>
    </w:p>
    <w:p w14:paraId="4F04FD1D">
      <w:pPr>
        <w:keepNext w:val="0"/>
        <w:keepLines w:val="0"/>
        <w:pageBreakBefore w:val="0"/>
        <w:kinsoku/>
        <w:wordWrap/>
        <w:overflowPunct/>
        <w:topLinePunct w:val="0"/>
        <w:autoSpaceDE/>
        <w:autoSpaceDN/>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发包人应负责保证在现场或现场附近的发包人人员和发包人的其他承包人（如有）：</w:t>
      </w:r>
    </w:p>
    <w:p w14:paraId="048A0067">
      <w:pPr>
        <w:keepNext w:val="0"/>
        <w:keepLines w:val="0"/>
        <w:pageBreakBefore w:val="0"/>
        <w:kinsoku/>
        <w:wordWrap/>
        <w:overflowPunct/>
        <w:topLinePunct w:val="0"/>
        <w:autoSpaceDE/>
        <w:autoSpaceDN/>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（1）根据第</w:t>
      </w:r>
      <w:r>
        <w:rPr>
          <w:rFonts w:ascii="宋体" w:hAnsi="宋体"/>
          <w:color w:val="auto"/>
          <w:szCs w:val="21"/>
          <w:highlight w:val="none"/>
        </w:rPr>
        <w:t>7.3</w:t>
      </w:r>
      <w:r>
        <w:rPr>
          <w:rFonts w:hint="eastAsia" w:ascii="宋体" w:hAnsi="宋体"/>
          <w:color w:val="auto"/>
          <w:szCs w:val="21"/>
          <w:highlight w:val="none"/>
        </w:rPr>
        <w:t>款[现场合作]的约定，与承包人进行合作；</w:t>
      </w:r>
    </w:p>
    <w:p w14:paraId="1CD49AC4">
      <w:pPr>
        <w:keepNext w:val="0"/>
        <w:keepLines w:val="0"/>
        <w:pageBreakBefore w:val="0"/>
        <w:kinsoku/>
        <w:wordWrap/>
        <w:overflowPunct/>
        <w:topLinePunct w:val="0"/>
        <w:autoSpaceDE/>
        <w:autoSpaceDN/>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（2）遵守第</w:t>
      </w:r>
      <w:r>
        <w:rPr>
          <w:rFonts w:ascii="宋体" w:hAnsi="宋体"/>
          <w:color w:val="auto"/>
          <w:szCs w:val="21"/>
          <w:highlight w:val="none"/>
        </w:rPr>
        <w:t>7.5</w:t>
      </w:r>
      <w:r>
        <w:rPr>
          <w:rFonts w:hint="eastAsia" w:ascii="宋体" w:hAnsi="宋体"/>
          <w:color w:val="auto"/>
          <w:szCs w:val="21"/>
          <w:highlight w:val="none"/>
        </w:rPr>
        <w:t>款[现场劳动用工</w:t>
      </w:r>
      <w:r>
        <w:rPr>
          <w:rFonts w:ascii="宋体" w:hAnsi="宋体"/>
          <w:color w:val="auto"/>
          <w:szCs w:val="21"/>
          <w:highlight w:val="none"/>
        </w:rPr>
        <w:t>]</w:t>
      </w:r>
      <w:r>
        <w:rPr>
          <w:rFonts w:hint="eastAsia" w:ascii="宋体" w:hAnsi="宋体"/>
          <w:color w:val="auto"/>
          <w:szCs w:val="21"/>
          <w:highlight w:val="none"/>
        </w:rPr>
        <w:t>、第7</w:t>
      </w:r>
      <w:r>
        <w:rPr>
          <w:rFonts w:ascii="宋体" w:hAnsi="宋体"/>
          <w:color w:val="auto"/>
          <w:szCs w:val="21"/>
          <w:highlight w:val="none"/>
        </w:rPr>
        <w:t>.6</w:t>
      </w:r>
      <w:r>
        <w:rPr>
          <w:rFonts w:hint="eastAsia" w:ascii="宋体" w:hAnsi="宋体"/>
          <w:color w:val="auto"/>
          <w:szCs w:val="21"/>
          <w:highlight w:val="none"/>
        </w:rPr>
        <w:t>款[安全文明施工]、第</w:t>
      </w:r>
      <w:r>
        <w:rPr>
          <w:rFonts w:ascii="宋体" w:hAnsi="宋体"/>
          <w:color w:val="auto"/>
          <w:szCs w:val="21"/>
          <w:highlight w:val="none"/>
        </w:rPr>
        <w:t>7.7</w:t>
      </w:r>
      <w:r>
        <w:rPr>
          <w:rFonts w:hint="eastAsia" w:ascii="宋体" w:hAnsi="宋体"/>
          <w:color w:val="auto"/>
          <w:szCs w:val="21"/>
          <w:highlight w:val="none"/>
        </w:rPr>
        <w:t>款[职业健康</w:t>
      </w:r>
      <w:bookmarkStart w:id="572" w:name="_Ref531952756"/>
      <w:bookmarkStart w:id="573" w:name="_Ref531952761"/>
      <w:r>
        <w:rPr>
          <w:rFonts w:hint="eastAsia" w:ascii="宋体" w:hAnsi="宋体"/>
          <w:color w:val="auto"/>
          <w:szCs w:val="21"/>
          <w:highlight w:val="none"/>
        </w:rPr>
        <w:t>]和第</w:t>
      </w:r>
      <w:r>
        <w:rPr>
          <w:rFonts w:ascii="宋体" w:hAnsi="宋体"/>
          <w:color w:val="auto"/>
          <w:szCs w:val="21"/>
          <w:highlight w:val="none"/>
        </w:rPr>
        <w:t>7.8</w:t>
      </w:r>
      <w:r>
        <w:rPr>
          <w:rFonts w:hint="eastAsia" w:ascii="宋体" w:hAnsi="宋体"/>
          <w:color w:val="auto"/>
          <w:szCs w:val="21"/>
          <w:highlight w:val="none"/>
        </w:rPr>
        <w:t>款[</w:t>
      </w:r>
      <w:r>
        <w:rPr>
          <w:rFonts w:ascii="宋体" w:hAnsi="宋体"/>
          <w:color w:val="auto"/>
          <w:szCs w:val="21"/>
          <w:highlight w:val="none"/>
        </w:rPr>
        <w:t>环境保护</w:t>
      </w:r>
      <w:r>
        <w:rPr>
          <w:rFonts w:hint="eastAsia" w:ascii="宋体" w:hAnsi="宋体"/>
          <w:color w:val="auto"/>
          <w:szCs w:val="21"/>
          <w:highlight w:val="none"/>
        </w:rPr>
        <w:t>]的相关约定。</w:t>
      </w:r>
    </w:p>
    <w:p w14:paraId="5FCD7AEC">
      <w:pPr>
        <w:keepNext w:val="0"/>
        <w:keepLines w:val="0"/>
        <w:pageBreakBefore w:val="0"/>
        <w:kinsoku/>
        <w:wordWrap/>
        <w:overflowPunct/>
        <w:topLinePunct w:val="0"/>
        <w:autoSpaceDE/>
        <w:autoSpaceDN/>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发包人应与承包人、由发包人直接发包的其他承包人（如有）订立施工现场统一管理协议，明确各方的权利义务。</w:t>
      </w:r>
    </w:p>
    <w:p w14:paraId="40401548">
      <w:pPr>
        <w:pStyle w:val="167"/>
        <w:keepNext w:val="0"/>
        <w:keepLines w:val="0"/>
        <w:pageBreakBefore w:val="0"/>
        <w:widowControl/>
        <w:kinsoku/>
        <w:wordWrap/>
        <w:overflowPunct/>
        <w:topLinePunct w:val="0"/>
        <w:autoSpaceDE/>
        <w:autoSpaceDN/>
        <w:bidi w:val="0"/>
        <w:spacing w:after="120"/>
        <w:ind w:firstLine="422" w:firstLineChars="200"/>
        <w:textAlignment w:val="auto"/>
        <w:rPr>
          <w:rFonts w:ascii="宋体" w:hAnsi="宋体" w:eastAsia="宋体"/>
          <w:b/>
          <w:bCs w:val="0"/>
          <w:color w:val="auto"/>
          <w:sz w:val="21"/>
          <w:szCs w:val="21"/>
          <w:highlight w:val="none"/>
        </w:rPr>
      </w:pPr>
      <w:bookmarkStart w:id="574" w:name="_Toc24248"/>
      <w:bookmarkStart w:id="575" w:name="_Ref11959372"/>
      <w:bookmarkStart w:id="576" w:name="_Ref11959376"/>
      <w:bookmarkStart w:id="577" w:name="_Toc54862202"/>
      <w:bookmarkStart w:id="578" w:name="_Toc29066"/>
      <w:bookmarkStart w:id="579" w:name="_Toc28942"/>
      <w:r>
        <w:rPr>
          <w:rFonts w:hint="eastAsia" w:ascii="宋体" w:hAnsi="宋体" w:eastAsia="宋体"/>
          <w:b/>
          <w:bCs w:val="0"/>
          <w:color w:val="auto"/>
          <w:sz w:val="21"/>
          <w:szCs w:val="21"/>
          <w:highlight w:val="none"/>
        </w:rPr>
        <w:t>2</w:t>
      </w:r>
      <w:r>
        <w:rPr>
          <w:rFonts w:ascii="宋体" w:hAnsi="宋体" w:eastAsia="宋体"/>
          <w:b/>
          <w:bCs w:val="0"/>
          <w:color w:val="auto"/>
          <w:sz w:val="21"/>
          <w:szCs w:val="21"/>
          <w:highlight w:val="none"/>
        </w:rPr>
        <w:t xml:space="preserve">.7 </w:t>
      </w:r>
      <w:r>
        <w:rPr>
          <w:rFonts w:hint="eastAsia" w:ascii="宋体" w:hAnsi="宋体" w:eastAsia="宋体"/>
          <w:b/>
          <w:bCs w:val="0"/>
          <w:color w:val="auto"/>
          <w:sz w:val="21"/>
          <w:szCs w:val="21"/>
          <w:highlight w:val="none"/>
        </w:rPr>
        <w:t>其他义务</w:t>
      </w:r>
      <w:bookmarkEnd w:id="574"/>
      <w:bookmarkEnd w:id="575"/>
      <w:bookmarkEnd w:id="576"/>
      <w:bookmarkEnd w:id="577"/>
      <w:bookmarkEnd w:id="578"/>
      <w:bookmarkEnd w:id="579"/>
    </w:p>
    <w:p w14:paraId="2D1EFDCC">
      <w:pPr>
        <w:keepNext w:val="0"/>
        <w:keepLines w:val="0"/>
        <w:pageBreakBefore w:val="0"/>
        <w:kinsoku/>
        <w:wordWrap/>
        <w:overflowPunct/>
        <w:topLinePunct w:val="0"/>
        <w:autoSpaceDE/>
        <w:autoSpaceDN/>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发包人应履行合同约定的其他义务，双方可在专用合同条件内对发包人应履行的其他义务进行补充约定。</w:t>
      </w:r>
    </w:p>
    <w:bookmarkEnd w:id="572"/>
    <w:bookmarkEnd w:id="573"/>
    <w:p w14:paraId="14B699C0">
      <w:pPr>
        <w:pStyle w:val="178"/>
        <w:keepNext w:val="0"/>
        <w:keepLines w:val="0"/>
        <w:pageBreakBefore w:val="0"/>
        <w:numPr>
          <w:ilvl w:val="0"/>
          <w:numId w:val="0"/>
        </w:numPr>
        <w:kinsoku/>
        <w:wordWrap/>
        <w:overflowPunct/>
        <w:topLinePunct w:val="0"/>
        <w:autoSpaceDE/>
        <w:autoSpaceDN/>
        <w:bidi w:val="0"/>
        <w:spacing w:after="120"/>
        <w:ind w:firstLine="422" w:firstLineChars="200"/>
        <w:textAlignment w:val="auto"/>
        <w:rPr>
          <w:rFonts w:ascii="宋体" w:hAnsi="宋体" w:eastAsia="宋体"/>
          <w:b/>
          <w:bCs w:val="0"/>
          <w:color w:val="auto"/>
          <w:sz w:val="21"/>
          <w:szCs w:val="21"/>
          <w:highlight w:val="none"/>
        </w:rPr>
      </w:pPr>
      <w:bookmarkStart w:id="580" w:name="_Toc16374"/>
      <w:bookmarkStart w:id="581" w:name="_Toc30436"/>
      <w:bookmarkStart w:id="582" w:name="_Toc23754"/>
      <w:bookmarkStart w:id="583" w:name="_Ref531952791"/>
      <w:bookmarkStart w:id="584" w:name="_Toc25229"/>
      <w:bookmarkStart w:id="585" w:name="_Toc54862203"/>
      <w:r>
        <w:rPr>
          <w:rFonts w:hint="eastAsia" w:ascii="宋体" w:hAnsi="宋体" w:eastAsia="宋体"/>
          <w:b/>
          <w:bCs w:val="0"/>
          <w:color w:val="auto"/>
          <w:sz w:val="21"/>
          <w:szCs w:val="21"/>
          <w:highlight w:val="none"/>
        </w:rPr>
        <w:t>第3条 发包人的管理</w:t>
      </w:r>
      <w:bookmarkEnd w:id="580"/>
      <w:bookmarkEnd w:id="581"/>
      <w:bookmarkEnd w:id="582"/>
      <w:bookmarkEnd w:id="583"/>
      <w:bookmarkEnd w:id="584"/>
      <w:bookmarkEnd w:id="585"/>
    </w:p>
    <w:p w14:paraId="270E9E9E">
      <w:pPr>
        <w:pStyle w:val="167"/>
        <w:keepNext w:val="0"/>
        <w:keepLines w:val="0"/>
        <w:pageBreakBefore w:val="0"/>
        <w:widowControl/>
        <w:kinsoku/>
        <w:wordWrap/>
        <w:overflowPunct/>
        <w:topLinePunct w:val="0"/>
        <w:autoSpaceDE/>
        <w:autoSpaceDN/>
        <w:bidi w:val="0"/>
        <w:spacing w:after="120"/>
        <w:ind w:firstLine="422" w:firstLineChars="200"/>
        <w:textAlignment w:val="auto"/>
        <w:rPr>
          <w:rFonts w:ascii="宋体" w:hAnsi="宋体" w:eastAsia="宋体"/>
          <w:b/>
          <w:bCs w:val="0"/>
          <w:color w:val="auto"/>
          <w:sz w:val="21"/>
          <w:szCs w:val="21"/>
          <w:highlight w:val="none"/>
        </w:rPr>
      </w:pPr>
      <w:bookmarkStart w:id="586" w:name="_Ref522810094"/>
      <w:bookmarkStart w:id="587" w:name="_Ref522810097"/>
      <w:bookmarkStart w:id="588" w:name="_Toc13834"/>
      <w:bookmarkStart w:id="589" w:name="_Toc15535"/>
      <w:bookmarkStart w:id="590" w:name="_Ref531951538"/>
      <w:bookmarkStart w:id="591" w:name="_Toc17211"/>
      <w:bookmarkStart w:id="592" w:name="_Toc54862204"/>
      <w:bookmarkStart w:id="593" w:name="_Ref531951533"/>
      <w:r>
        <w:rPr>
          <w:rFonts w:hint="eastAsia" w:ascii="宋体" w:hAnsi="宋体" w:eastAsia="宋体"/>
          <w:b/>
          <w:bCs w:val="0"/>
          <w:color w:val="auto"/>
          <w:sz w:val="21"/>
          <w:szCs w:val="21"/>
          <w:highlight w:val="none"/>
        </w:rPr>
        <w:t>3</w:t>
      </w:r>
      <w:r>
        <w:rPr>
          <w:rFonts w:ascii="宋体" w:hAnsi="宋体" w:eastAsia="宋体"/>
          <w:b/>
          <w:bCs w:val="0"/>
          <w:color w:val="auto"/>
          <w:sz w:val="21"/>
          <w:szCs w:val="21"/>
          <w:highlight w:val="none"/>
        </w:rPr>
        <w:t xml:space="preserve">.1 </w:t>
      </w:r>
      <w:r>
        <w:rPr>
          <w:rFonts w:hint="eastAsia" w:ascii="宋体" w:hAnsi="宋体" w:eastAsia="宋体"/>
          <w:b/>
          <w:bCs w:val="0"/>
          <w:color w:val="auto"/>
          <w:sz w:val="21"/>
          <w:szCs w:val="21"/>
          <w:highlight w:val="none"/>
        </w:rPr>
        <w:t>发包人</w:t>
      </w:r>
      <w:bookmarkEnd w:id="586"/>
      <w:bookmarkEnd w:id="587"/>
      <w:r>
        <w:rPr>
          <w:rFonts w:hint="eastAsia" w:ascii="宋体" w:hAnsi="宋体" w:eastAsia="宋体"/>
          <w:b/>
          <w:bCs w:val="0"/>
          <w:color w:val="auto"/>
          <w:sz w:val="21"/>
          <w:szCs w:val="21"/>
          <w:highlight w:val="none"/>
        </w:rPr>
        <w:t>代表</w:t>
      </w:r>
      <w:bookmarkEnd w:id="588"/>
      <w:bookmarkEnd w:id="589"/>
      <w:bookmarkEnd w:id="590"/>
      <w:bookmarkEnd w:id="591"/>
      <w:bookmarkEnd w:id="592"/>
      <w:bookmarkEnd w:id="593"/>
    </w:p>
    <w:p w14:paraId="04E652F0">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发包人应任命发包人代表，并在专用合同条件中明确发包人代表的姓名、职务、联系方式及授权范围等事项。发包人代表应在发包人的授权范围内，负责处理合同履行过程中与发包人有关的具体事宜。发包人代表在授权范围内的行为由发包人承担法律责任。</w:t>
      </w:r>
    </w:p>
    <w:p w14:paraId="2708903F">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除非发包人另行通知承包人，发包人代表应被授予并且被认为具有发包人在授权范围内享有的相应权利，涉及第</w:t>
      </w:r>
      <w:r>
        <w:rPr>
          <w:rFonts w:ascii="宋体" w:hAnsi="宋体"/>
          <w:color w:val="auto"/>
          <w:szCs w:val="21"/>
          <w:highlight w:val="none"/>
        </w:rPr>
        <w:t>16.1</w:t>
      </w:r>
      <w:r>
        <w:rPr>
          <w:rFonts w:hint="eastAsia" w:ascii="宋体" w:hAnsi="宋体"/>
          <w:color w:val="auto"/>
          <w:szCs w:val="21"/>
          <w:highlight w:val="none"/>
        </w:rPr>
        <w:t>款[由发包人解除合同]的权利除外。</w:t>
      </w:r>
    </w:p>
    <w:p w14:paraId="705C1343">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发包人代表（或者在其为法人的情况下，被任命代表其行事的自然人）应：</w:t>
      </w:r>
    </w:p>
    <w:p w14:paraId="688BD1AE">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 履行指派给其的职责，行使发包人托付给的权利；</w:t>
      </w:r>
    </w:p>
    <w:p w14:paraId="718E3100">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 具备履行这些职责、行使这些权利的能力；</w:t>
      </w:r>
    </w:p>
    <w:p w14:paraId="3D183EE9">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（3） 作为熟练的专业人员行事。</w:t>
      </w:r>
    </w:p>
    <w:p w14:paraId="6D1B3B6E">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如果发包人代表为法人且在签订本合同时未能确定授权代表的，发包人代表应在本合同签订之日起</w:t>
      </w:r>
      <w:r>
        <w:rPr>
          <w:rFonts w:ascii="宋体" w:hAnsi="宋体"/>
          <w:color w:val="auto"/>
          <w:szCs w:val="21"/>
          <w:highlight w:val="none"/>
        </w:rPr>
        <w:t>3日内</w:t>
      </w:r>
      <w:r>
        <w:rPr>
          <w:rFonts w:hint="eastAsia" w:ascii="宋体" w:hAnsi="宋体"/>
          <w:color w:val="auto"/>
          <w:szCs w:val="21"/>
          <w:highlight w:val="none"/>
        </w:rPr>
        <w:t>向双方发出书面通知，告知被任命和授权的自然人以及任何替代人员。此授权在双方收到本通知后生效。发包人代表撤销该授权或者变更授权代表时也应同样发出该通知。</w:t>
      </w:r>
    </w:p>
    <w:p w14:paraId="4744B81C">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发包人更换发包人代表的，应提前14天将更换人的姓名、地址、任务和权利、以及任命的日期书面通知承包人。发包人不得将发包人代表更换为承包人根据本款发出通知提出合理反对意见的人员，不论是法人还是自然人。</w:t>
      </w:r>
    </w:p>
    <w:p w14:paraId="23D8D290">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发包人代表不能按照合同约定履行其职责及义务，并导致合同无法继续正常履行的，承包人可以要求发包人撤换发包人代表。</w:t>
      </w:r>
    </w:p>
    <w:p w14:paraId="596BBFE1">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594" w:name="_Toc54862205"/>
      <w:bookmarkStart w:id="595" w:name="_Ref531951557"/>
      <w:bookmarkStart w:id="596" w:name="_Toc3001"/>
      <w:bookmarkStart w:id="597" w:name="_Toc11352"/>
      <w:bookmarkStart w:id="598" w:name="_Ref531951553"/>
      <w:bookmarkStart w:id="599" w:name="_Toc4968"/>
      <w:r>
        <w:rPr>
          <w:rFonts w:hint="eastAsia" w:ascii="宋体" w:hAnsi="宋体" w:eastAsia="宋体"/>
          <w:b/>
          <w:bCs w:val="0"/>
          <w:color w:val="auto"/>
          <w:sz w:val="21"/>
          <w:szCs w:val="21"/>
          <w:highlight w:val="none"/>
        </w:rPr>
        <w:t>3</w:t>
      </w:r>
      <w:r>
        <w:rPr>
          <w:rFonts w:ascii="宋体" w:hAnsi="宋体" w:eastAsia="宋体"/>
          <w:b/>
          <w:bCs w:val="0"/>
          <w:color w:val="auto"/>
          <w:sz w:val="21"/>
          <w:szCs w:val="21"/>
          <w:highlight w:val="none"/>
        </w:rPr>
        <w:t xml:space="preserve">.2 </w:t>
      </w:r>
      <w:r>
        <w:rPr>
          <w:rFonts w:hint="eastAsia" w:ascii="宋体" w:hAnsi="宋体" w:eastAsia="宋体"/>
          <w:b/>
          <w:bCs w:val="0"/>
          <w:color w:val="auto"/>
          <w:sz w:val="21"/>
          <w:szCs w:val="21"/>
          <w:highlight w:val="none"/>
        </w:rPr>
        <w:t>发包人人员</w:t>
      </w:r>
      <w:bookmarkEnd w:id="594"/>
      <w:bookmarkEnd w:id="595"/>
      <w:bookmarkEnd w:id="596"/>
      <w:bookmarkEnd w:id="597"/>
      <w:bookmarkEnd w:id="598"/>
      <w:bookmarkEnd w:id="599"/>
    </w:p>
    <w:p w14:paraId="016EA9E7">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发包人人员包括发包人代表、工程师及其他由发包人派驻施工现场的人员，发包人可以在专用合同条件中明确发包人人员的姓名、职务及职责等事项。发包人或发包人代表可随时对一些助手指派和托付一定的任务和权利，也可撤销这些指派和托付。这些助手可包括驻地工程师或担任检验、试验各项工程设备和材料的独立检查员。这些助手应具有适当的资质、履行其任务和权利的能力。以上指派、托付或撤销，在承包人收到通知后生效。承包人对于可能影响正常履约或工程安全质量的发包人人员保有随时提出沟通的权利。</w:t>
      </w:r>
    </w:p>
    <w:p w14:paraId="78D68B11">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发包人应要求在施工现场的发包人人员遵守法律及有关安全、质量、环境保护、文明施工等规定，因发包人人员未遵守上述要求给承包人造成的损失和责任由发包人承担。</w:t>
      </w:r>
    </w:p>
    <w:p w14:paraId="26D0CDA1">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600" w:name="_Toc28016"/>
      <w:bookmarkStart w:id="601" w:name="_Toc54862206"/>
      <w:bookmarkStart w:id="602" w:name="_Toc22291"/>
      <w:bookmarkStart w:id="603" w:name="_Toc5989"/>
      <w:r>
        <w:rPr>
          <w:rFonts w:hint="eastAsia" w:ascii="宋体" w:hAnsi="宋体" w:eastAsia="宋体"/>
          <w:b/>
          <w:bCs w:val="0"/>
          <w:color w:val="auto"/>
          <w:sz w:val="21"/>
          <w:szCs w:val="21"/>
          <w:highlight w:val="none"/>
        </w:rPr>
        <w:t>3</w:t>
      </w:r>
      <w:r>
        <w:rPr>
          <w:rFonts w:ascii="宋体" w:hAnsi="宋体" w:eastAsia="宋体"/>
          <w:b/>
          <w:bCs w:val="0"/>
          <w:color w:val="auto"/>
          <w:sz w:val="21"/>
          <w:szCs w:val="21"/>
          <w:highlight w:val="none"/>
        </w:rPr>
        <w:t>.3 工程师</w:t>
      </w:r>
      <w:bookmarkEnd w:id="600"/>
      <w:bookmarkEnd w:id="601"/>
      <w:bookmarkEnd w:id="602"/>
      <w:bookmarkEnd w:id="603"/>
    </w:p>
    <w:p w14:paraId="65B48644">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3</w:t>
      </w:r>
      <w:r>
        <w:rPr>
          <w:color w:val="auto"/>
          <w:sz w:val="21"/>
          <w:highlight w:val="none"/>
        </w:rPr>
        <w:t xml:space="preserve">.3.1 </w:t>
      </w:r>
      <w:r>
        <w:rPr>
          <w:rFonts w:hint="eastAsia"/>
          <w:color w:val="auto"/>
          <w:sz w:val="21"/>
          <w:highlight w:val="none"/>
        </w:rPr>
        <w:t>发包人需对承包人的设计、采购、施工、服务等工作过程或过程节点实施监督管理的，有权委任工程师。工程师的名称、监督管理范围、内容和权限在专用合同条件中写明。根据国家相关法律法规规定，如本合同工程属于强制监理项目的，由工程师履行法定的监理相关职责，但发包人另行授权第三方进行监理的除外。</w:t>
      </w:r>
    </w:p>
    <w:p w14:paraId="3B52DED7">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3</w:t>
      </w:r>
      <w:r>
        <w:rPr>
          <w:color w:val="auto"/>
          <w:sz w:val="21"/>
          <w:highlight w:val="none"/>
        </w:rPr>
        <w:t xml:space="preserve">.3.2 </w:t>
      </w:r>
      <w:r>
        <w:rPr>
          <w:rFonts w:hint="eastAsia"/>
          <w:color w:val="auto"/>
          <w:sz w:val="21"/>
          <w:highlight w:val="none"/>
        </w:rPr>
        <w:t>工程师按发包人委托的范围、内容、职权和权限，代表发包人对承包人实施监督管理。若承包人认为工程师行使的职权不在发包人委托的授权范围之内的，则其有权拒绝执行工程师的相关指示，同时应及时通知发包人，发包人书面确认工程师相关指示的，承包人应遵照执行。</w:t>
      </w:r>
    </w:p>
    <w:p w14:paraId="10154E93">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3</w:t>
      </w:r>
      <w:r>
        <w:rPr>
          <w:color w:val="auto"/>
          <w:sz w:val="21"/>
          <w:highlight w:val="none"/>
        </w:rPr>
        <w:t xml:space="preserve">.3.3 </w:t>
      </w:r>
      <w:r>
        <w:rPr>
          <w:rFonts w:hint="eastAsia"/>
          <w:color w:val="auto"/>
          <w:sz w:val="21"/>
          <w:highlight w:val="none"/>
        </w:rPr>
        <w:t>在发包人和承包人之间提供证明、行使决定权或处理权时，工程师应作为独立专业的第三方，根据自己的专业技能和判断进行工作。但工程师或其人员均无权修改合同，且无权减轻或免除合同当事人的任何责任与义务。</w:t>
      </w:r>
    </w:p>
    <w:p w14:paraId="7995B349">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3</w:t>
      </w:r>
      <w:r>
        <w:rPr>
          <w:color w:val="auto"/>
          <w:sz w:val="21"/>
          <w:highlight w:val="none"/>
        </w:rPr>
        <w:t xml:space="preserve">.3.4 </w:t>
      </w:r>
      <w:r>
        <w:rPr>
          <w:rFonts w:hint="eastAsia"/>
          <w:color w:val="auto"/>
          <w:sz w:val="21"/>
          <w:highlight w:val="none"/>
        </w:rPr>
        <w:t>通用合同条件中约定由工程师行使的职权如不在发包人对工程师的授权范围内的，则视为没有取得授权，该职权应由发包人或发包人指定的其他人员行使。若承包人认为工程师的职权与发包人（包括其人员）的职权相重叠或不明确时，应及时通知发包人，由发包人予以协调和明确并以书面形式通知承包人。</w:t>
      </w:r>
    </w:p>
    <w:p w14:paraId="5F547EEC">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604" w:name="_Toc26974"/>
      <w:bookmarkStart w:id="605" w:name="_Toc54862207"/>
      <w:bookmarkStart w:id="606" w:name="_Toc28851"/>
      <w:bookmarkStart w:id="607" w:name="_Toc29553"/>
      <w:bookmarkStart w:id="608" w:name="_Ref531951597"/>
      <w:bookmarkStart w:id="609" w:name="_Ref531951594"/>
      <w:r>
        <w:rPr>
          <w:rFonts w:hint="eastAsia" w:ascii="宋体" w:hAnsi="宋体" w:eastAsia="宋体"/>
          <w:b/>
          <w:bCs w:val="0"/>
          <w:color w:val="auto"/>
          <w:sz w:val="21"/>
          <w:szCs w:val="21"/>
          <w:highlight w:val="none"/>
        </w:rPr>
        <w:t>3</w:t>
      </w:r>
      <w:r>
        <w:rPr>
          <w:rFonts w:ascii="宋体" w:hAnsi="宋体" w:eastAsia="宋体"/>
          <w:b/>
          <w:bCs w:val="0"/>
          <w:color w:val="auto"/>
          <w:sz w:val="21"/>
          <w:szCs w:val="21"/>
          <w:highlight w:val="none"/>
        </w:rPr>
        <w:t xml:space="preserve">.4 </w:t>
      </w:r>
      <w:r>
        <w:rPr>
          <w:rFonts w:hint="eastAsia" w:ascii="宋体" w:hAnsi="宋体" w:eastAsia="宋体"/>
          <w:b/>
          <w:bCs w:val="0"/>
          <w:color w:val="auto"/>
          <w:sz w:val="21"/>
          <w:szCs w:val="21"/>
          <w:highlight w:val="none"/>
        </w:rPr>
        <w:t>任命和授权</w:t>
      </w:r>
      <w:bookmarkEnd w:id="604"/>
      <w:bookmarkEnd w:id="605"/>
      <w:bookmarkEnd w:id="606"/>
      <w:bookmarkEnd w:id="607"/>
    </w:p>
    <w:p w14:paraId="7C01998C">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3</w:t>
      </w:r>
      <w:r>
        <w:rPr>
          <w:color w:val="auto"/>
          <w:sz w:val="21"/>
          <w:highlight w:val="none"/>
        </w:rPr>
        <w:t xml:space="preserve">.4.1 </w:t>
      </w:r>
      <w:r>
        <w:rPr>
          <w:rFonts w:hint="eastAsia"/>
          <w:color w:val="auto"/>
          <w:sz w:val="21"/>
          <w:highlight w:val="none"/>
        </w:rPr>
        <w:t>发包人应在发出开始工作通知前将工程师的任命通知承包人。更换工程师的，发包人应提前7天以书面形式通知承包人，并在通知中写明替换者的姓名、职务、职权、权限和任命时间。工程师超过2天不能履行职责的，应委派代表代行其职责，并通知承包人。</w:t>
      </w:r>
    </w:p>
    <w:p w14:paraId="11E8B939">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3</w:t>
      </w:r>
      <w:r>
        <w:rPr>
          <w:color w:val="auto"/>
          <w:sz w:val="21"/>
          <w:highlight w:val="none"/>
        </w:rPr>
        <w:t xml:space="preserve">.4.2 </w:t>
      </w:r>
      <w:r>
        <w:rPr>
          <w:rFonts w:hint="eastAsia"/>
          <w:color w:val="auto"/>
          <w:sz w:val="21"/>
          <w:highlight w:val="none"/>
        </w:rPr>
        <w:t>工程师可以授权其他人员负责执行其指派的一项或多项工作，但第</w:t>
      </w:r>
      <w:r>
        <w:rPr>
          <w:color w:val="auto"/>
          <w:sz w:val="21"/>
          <w:highlight w:val="none"/>
        </w:rPr>
        <w:t>3.6</w:t>
      </w:r>
      <w:r>
        <w:rPr>
          <w:rFonts w:hint="eastAsia"/>
          <w:color w:val="auto"/>
          <w:sz w:val="21"/>
          <w:highlight w:val="none"/>
        </w:rPr>
        <w:t>款[商定或确定]下的权利除外。工程师应将被授权人员的姓名及其授权范围通知承包人。被授权的人员在授权范围内发出的指示视为已得到工程师的同意，与工程师发出的指示具有同等效力。工程师撤销某项授权时，应将撤销授权的决定及时通知承包人。</w:t>
      </w:r>
    </w:p>
    <w:p w14:paraId="51890A9C">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610" w:name="_Toc7271"/>
      <w:bookmarkStart w:id="611" w:name="_Ref20165400"/>
      <w:bookmarkStart w:id="612" w:name="_Toc14813"/>
      <w:bookmarkStart w:id="613" w:name="_Toc54862208"/>
      <w:bookmarkStart w:id="614" w:name="_Toc31683"/>
      <w:r>
        <w:rPr>
          <w:rFonts w:hint="eastAsia" w:ascii="宋体" w:hAnsi="宋体" w:eastAsia="宋体"/>
          <w:b/>
          <w:bCs w:val="0"/>
          <w:color w:val="auto"/>
          <w:sz w:val="21"/>
          <w:szCs w:val="21"/>
          <w:highlight w:val="none"/>
        </w:rPr>
        <w:t>3</w:t>
      </w:r>
      <w:r>
        <w:rPr>
          <w:rFonts w:ascii="宋体" w:hAnsi="宋体" w:eastAsia="宋体"/>
          <w:b/>
          <w:bCs w:val="0"/>
          <w:color w:val="auto"/>
          <w:sz w:val="21"/>
          <w:szCs w:val="21"/>
          <w:highlight w:val="none"/>
        </w:rPr>
        <w:t>.5 指示</w:t>
      </w:r>
      <w:bookmarkEnd w:id="608"/>
      <w:bookmarkEnd w:id="609"/>
      <w:bookmarkEnd w:id="610"/>
      <w:bookmarkEnd w:id="611"/>
      <w:bookmarkEnd w:id="612"/>
      <w:bookmarkEnd w:id="613"/>
      <w:bookmarkEnd w:id="614"/>
    </w:p>
    <w:p w14:paraId="4EC4A72E">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3</w:t>
      </w:r>
      <w:r>
        <w:rPr>
          <w:color w:val="auto"/>
          <w:sz w:val="21"/>
          <w:highlight w:val="none"/>
        </w:rPr>
        <w:t xml:space="preserve">.5.1 </w:t>
      </w:r>
      <w:r>
        <w:rPr>
          <w:rFonts w:hint="eastAsia"/>
          <w:color w:val="auto"/>
          <w:sz w:val="21"/>
          <w:highlight w:val="none"/>
        </w:rPr>
        <w:t>工程师应按照发包人的授权发出指示。工程师的指示应采用书面形式，盖有工程师授权的项目管理机构章，并由工程师的授权人员签字。在紧急情况下，工程师的授权人员可以口头形式发出指示或当场签发临时书面指示，承包人应遵照执行。工程师应在授权人员发出口头指示或临时书面指示后24小时内发出书面确认函，在24小时内未发出书面确认函的，该口头指示或临时书面指示应被视为工程师的正式指示。</w:t>
      </w:r>
    </w:p>
    <w:p w14:paraId="705609F0">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3</w:t>
      </w:r>
      <w:r>
        <w:rPr>
          <w:color w:val="auto"/>
          <w:sz w:val="21"/>
          <w:highlight w:val="none"/>
        </w:rPr>
        <w:t xml:space="preserve">.5.2 </w:t>
      </w:r>
      <w:r>
        <w:rPr>
          <w:rFonts w:hint="eastAsia"/>
          <w:color w:val="auto"/>
          <w:sz w:val="21"/>
          <w:highlight w:val="none"/>
        </w:rPr>
        <w:t>承包人收到工程师作出的指示后应遵照执行。如果任何此类指示构成一项变更时，应按照第</w:t>
      </w:r>
      <w:r>
        <w:rPr>
          <w:color w:val="auto"/>
          <w:sz w:val="21"/>
          <w:highlight w:val="none"/>
        </w:rPr>
        <w:t>13条</w:t>
      </w:r>
      <w:r>
        <w:rPr>
          <w:rFonts w:hint="eastAsia"/>
          <w:color w:val="auto"/>
          <w:sz w:val="21"/>
          <w:highlight w:val="none"/>
        </w:rPr>
        <w:t>[变更与调整]的约定办理。</w:t>
      </w:r>
    </w:p>
    <w:p w14:paraId="1C409F52">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3</w:t>
      </w:r>
      <w:r>
        <w:rPr>
          <w:color w:val="auto"/>
          <w:sz w:val="21"/>
          <w:highlight w:val="none"/>
        </w:rPr>
        <w:t xml:space="preserve">.5.3 </w:t>
      </w:r>
      <w:r>
        <w:rPr>
          <w:rFonts w:hint="eastAsia"/>
          <w:color w:val="auto"/>
          <w:sz w:val="21"/>
          <w:highlight w:val="none"/>
        </w:rPr>
        <w:t>由于工程师未能按合同约定发出指示、指示延误或指示错误而导致承包人费用增加和（或）工期延误的，发包人应承担由此增加的费用和（或）工期延误，并向承包人支付合理利润。</w:t>
      </w:r>
    </w:p>
    <w:p w14:paraId="57B95145">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615" w:name="_Toc13751"/>
      <w:bookmarkStart w:id="616" w:name="_Toc19135"/>
      <w:bookmarkStart w:id="617" w:name="_Ref531951609"/>
      <w:bookmarkStart w:id="618" w:name="_Toc54862209"/>
      <w:bookmarkStart w:id="619" w:name="_Toc12761"/>
      <w:bookmarkStart w:id="620" w:name="_Ref531951611"/>
      <w:r>
        <w:rPr>
          <w:rFonts w:hint="eastAsia" w:ascii="宋体" w:hAnsi="宋体" w:eastAsia="宋体"/>
          <w:b/>
          <w:bCs w:val="0"/>
          <w:color w:val="auto"/>
          <w:sz w:val="21"/>
          <w:szCs w:val="21"/>
          <w:highlight w:val="none"/>
        </w:rPr>
        <w:t>3</w:t>
      </w:r>
      <w:r>
        <w:rPr>
          <w:rFonts w:ascii="宋体" w:hAnsi="宋体" w:eastAsia="宋体"/>
          <w:b/>
          <w:bCs w:val="0"/>
          <w:color w:val="auto"/>
          <w:sz w:val="21"/>
          <w:szCs w:val="21"/>
          <w:highlight w:val="none"/>
        </w:rPr>
        <w:t>.6 商定或确定</w:t>
      </w:r>
      <w:bookmarkEnd w:id="615"/>
      <w:bookmarkEnd w:id="616"/>
      <w:bookmarkEnd w:id="617"/>
      <w:bookmarkEnd w:id="618"/>
      <w:bookmarkEnd w:id="619"/>
      <w:bookmarkEnd w:id="620"/>
    </w:p>
    <w:p w14:paraId="00233D39">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3</w:t>
      </w:r>
      <w:r>
        <w:rPr>
          <w:color w:val="auto"/>
          <w:sz w:val="21"/>
          <w:highlight w:val="none"/>
        </w:rPr>
        <w:t xml:space="preserve">.6.1 </w:t>
      </w:r>
      <w:r>
        <w:rPr>
          <w:rFonts w:hint="eastAsia"/>
          <w:color w:val="auto"/>
          <w:sz w:val="21"/>
          <w:highlight w:val="none"/>
        </w:rPr>
        <w:t>合同约定工程师应按照本款对任何事项进行商定或确定时，工程师应及时与合同当事人协商，尽量达成一致。工程师应将商定的结果以书面形式通知发包人和承包人，并由双方签署确认。</w:t>
      </w:r>
    </w:p>
    <w:p w14:paraId="3C10E980">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3</w:t>
      </w:r>
      <w:r>
        <w:rPr>
          <w:color w:val="auto"/>
          <w:sz w:val="21"/>
          <w:highlight w:val="none"/>
        </w:rPr>
        <w:t xml:space="preserve">.6.2 </w:t>
      </w:r>
      <w:r>
        <w:rPr>
          <w:rFonts w:hint="eastAsia"/>
          <w:color w:val="auto"/>
          <w:sz w:val="21"/>
          <w:highlight w:val="none"/>
        </w:rPr>
        <w:t>除专用合同条件另有约定外，商定的期限应为工程师收到任何一方就商定事由发出的通知后42天内或工程师提出并经双方同意的其他期限。未能在该期限内达成一致的，由工程师按照合同约定审慎做出公正的确定。确定的期限应为商定的期限届满后42天内或工程师提出并经双方同意的其他期限。工程师应将确定的结果以书面形式通知发包人和承包人，并附详细依据。</w:t>
      </w:r>
    </w:p>
    <w:p w14:paraId="5704E41C">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bookmarkStart w:id="621" w:name="_Ref532287856"/>
      <w:r>
        <w:rPr>
          <w:rFonts w:hint="eastAsia"/>
          <w:color w:val="auto"/>
          <w:sz w:val="21"/>
          <w:highlight w:val="none"/>
        </w:rPr>
        <w:t>3</w:t>
      </w:r>
      <w:r>
        <w:rPr>
          <w:color w:val="auto"/>
          <w:sz w:val="21"/>
          <w:highlight w:val="none"/>
        </w:rPr>
        <w:t xml:space="preserve">.6.3 </w:t>
      </w:r>
      <w:r>
        <w:rPr>
          <w:rFonts w:hint="eastAsia"/>
          <w:color w:val="auto"/>
          <w:sz w:val="21"/>
          <w:highlight w:val="none"/>
        </w:rPr>
        <w:t>任何一方对工程师的确定有异议的，应在收到确定的结果后28天内向另一方发出书面异议通知并抄送工程师。除第</w:t>
      </w:r>
      <w:r>
        <w:rPr>
          <w:color w:val="auto"/>
          <w:sz w:val="21"/>
          <w:highlight w:val="none"/>
        </w:rPr>
        <w:t>19.2</w:t>
      </w:r>
      <w:r>
        <w:rPr>
          <w:rFonts w:hint="eastAsia"/>
          <w:color w:val="auto"/>
          <w:sz w:val="21"/>
          <w:highlight w:val="none"/>
        </w:rPr>
        <w:t>款[</w:t>
      </w:r>
      <w:r>
        <w:rPr>
          <w:color w:val="auto"/>
          <w:sz w:val="21"/>
          <w:highlight w:val="none"/>
        </w:rPr>
        <w:t>承包人索赔的处理程序</w:t>
      </w:r>
      <w:r>
        <w:rPr>
          <w:rFonts w:hint="eastAsia"/>
          <w:color w:val="auto"/>
          <w:sz w:val="21"/>
          <w:highlight w:val="none"/>
        </w:rPr>
        <w:t>]另有约定外，工程师未能在确定的期限内发出确定的结果通知的，或者任何一方发出对确定的结果有异议的通知的，则构成争议并应按照第</w:t>
      </w:r>
      <w:r>
        <w:rPr>
          <w:color w:val="auto"/>
          <w:sz w:val="21"/>
          <w:highlight w:val="none"/>
        </w:rPr>
        <w:t>20条</w:t>
      </w:r>
      <w:r>
        <w:rPr>
          <w:rFonts w:hint="eastAsia"/>
          <w:color w:val="auto"/>
          <w:sz w:val="21"/>
          <w:highlight w:val="none"/>
        </w:rPr>
        <w:t>[争议解决]的约定处理。如未在28天内发出上述通知的，工程师的确定应被视为已被双方接受并对双方具有约束力，但专用合同条件另有约定的除外。</w:t>
      </w:r>
      <w:bookmarkEnd w:id="621"/>
    </w:p>
    <w:p w14:paraId="232108ED">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3</w:t>
      </w:r>
      <w:r>
        <w:rPr>
          <w:color w:val="auto"/>
          <w:sz w:val="21"/>
          <w:highlight w:val="none"/>
        </w:rPr>
        <w:t xml:space="preserve">.6.4 </w:t>
      </w:r>
      <w:r>
        <w:rPr>
          <w:rFonts w:hint="eastAsia"/>
          <w:color w:val="auto"/>
          <w:sz w:val="21"/>
          <w:highlight w:val="none"/>
        </w:rPr>
        <w:t>在该争议解决前，双方应暂按工程师的确定执行。按照第</w:t>
      </w:r>
      <w:r>
        <w:rPr>
          <w:color w:val="auto"/>
          <w:sz w:val="21"/>
          <w:highlight w:val="none"/>
        </w:rPr>
        <w:t>20条</w:t>
      </w:r>
      <w:r>
        <w:rPr>
          <w:rFonts w:hint="eastAsia"/>
          <w:color w:val="auto"/>
          <w:sz w:val="21"/>
          <w:highlight w:val="none"/>
        </w:rPr>
        <w:t>[争议解决]的约定对工程师的确定作出修改的，按修改后的结果执行，由此导致承包人增加的费用和延误的工期由责任方承担。</w:t>
      </w:r>
    </w:p>
    <w:p w14:paraId="411C5D82">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622" w:name="_Toc30011"/>
      <w:bookmarkStart w:id="623" w:name="_Toc2970"/>
      <w:bookmarkStart w:id="624" w:name="_Toc54862210"/>
      <w:bookmarkStart w:id="625" w:name="_Ref531951749"/>
      <w:bookmarkStart w:id="626" w:name="_Toc6586"/>
      <w:bookmarkStart w:id="627" w:name="_Ref531951747"/>
      <w:r>
        <w:rPr>
          <w:rFonts w:hint="eastAsia" w:ascii="宋体" w:hAnsi="宋体" w:eastAsia="宋体"/>
          <w:b/>
          <w:bCs w:val="0"/>
          <w:color w:val="auto"/>
          <w:sz w:val="21"/>
          <w:szCs w:val="21"/>
          <w:highlight w:val="none"/>
        </w:rPr>
        <w:t>3</w:t>
      </w:r>
      <w:r>
        <w:rPr>
          <w:rFonts w:ascii="宋体" w:hAnsi="宋体" w:eastAsia="宋体"/>
          <w:b/>
          <w:bCs w:val="0"/>
          <w:color w:val="auto"/>
          <w:sz w:val="21"/>
          <w:szCs w:val="21"/>
          <w:highlight w:val="none"/>
        </w:rPr>
        <w:t xml:space="preserve">.7 </w:t>
      </w:r>
      <w:r>
        <w:rPr>
          <w:rFonts w:hint="eastAsia" w:ascii="宋体" w:hAnsi="宋体" w:eastAsia="宋体"/>
          <w:b/>
          <w:bCs w:val="0"/>
          <w:color w:val="auto"/>
          <w:sz w:val="21"/>
          <w:szCs w:val="21"/>
          <w:highlight w:val="none"/>
        </w:rPr>
        <w:t>会议</w:t>
      </w:r>
      <w:bookmarkEnd w:id="622"/>
      <w:bookmarkEnd w:id="623"/>
      <w:bookmarkEnd w:id="624"/>
      <w:bookmarkEnd w:id="625"/>
      <w:bookmarkEnd w:id="626"/>
      <w:bookmarkEnd w:id="627"/>
    </w:p>
    <w:p w14:paraId="105BFA95">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3</w:t>
      </w:r>
      <w:r>
        <w:rPr>
          <w:color w:val="auto"/>
          <w:sz w:val="21"/>
          <w:highlight w:val="none"/>
        </w:rPr>
        <w:t xml:space="preserve">.7.1 </w:t>
      </w:r>
      <w:r>
        <w:rPr>
          <w:rFonts w:hint="eastAsia"/>
          <w:color w:val="auto"/>
          <w:sz w:val="21"/>
          <w:highlight w:val="none"/>
        </w:rPr>
        <w:t>除专用合同条件另有约定外，任何一方可向另一方发出通知，要求另一方出席会议，讨论工程的实施安排或与本合同履行有关的其他事项。发包人的其他承包人、承包人的分包人和其他第三方可应任何一方的请求出席任何此类会议。</w:t>
      </w:r>
    </w:p>
    <w:p w14:paraId="3EBBB73B">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3</w:t>
      </w:r>
      <w:r>
        <w:rPr>
          <w:color w:val="auto"/>
          <w:sz w:val="21"/>
          <w:highlight w:val="none"/>
        </w:rPr>
        <w:t xml:space="preserve">.7.2 </w:t>
      </w:r>
      <w:r>
        <w:rPr>
          <w:rFonts w:hint="eastAsia"/>
          <w:color w:val="auto"/>
          <w:sz w:val="21"/>
          <w:highlight w:val="none"/>
        </w:rPr>
        <w:t>除专用合同条件另有约定外，发包人应保存每次会议参加人签名的记录，并将会议纪要提供给出席会议的人员。任何根据此类会议以及会议纪要采取的行动应符合本合同的约定。</w:t>
      </w:r>
    </w:p>
    <w:p w14:paraId="69CB8C18">
      <w:pPr>
        <w:pStyle w:val="178"/>
        <w:keepNext w:val="0"/>
        <w:keepLines w:val="0"/>
        <w:pageBreakBefore w:val="0"/>
        <w:numPr>
          <w:ilvl w:val="0"/>
          <w:numId w:val="0"/>
        </w:numPr>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628" w:name="_Toc30681"/>
      <w:bookmarkStart w:id="629" w:name="_Toc23986"/>
      <w:bookmarkStart w:id="630" w:name="_Toc54862211"/>
      <w:bookmarkStart w:id="631" w:name="_Toc14675"/>
      <w:bookmarkStart w:id="632" w:name="_Ref531952805"/>
      <w:bookmarkStart w:id="633" w:name="_Toc21713"/>
      <w:r>
        <w:rPr>
          <w:rFonts w:hint="eastAsia" w:ascii="宋体" w:hAnsi="宋体" w:eastAsia="宋体"/>
          <w:b/>
          <w:bCs w:val="0"/>
          <w:color w:val="auto"/>
          <w:sz w:val="21"/>
          <w:szCs w:val="21"/>
          <w:highlight w:val="none"/>
        </w:rPr>
        <w:t>第4条 承包人</w:t>
      </w:r>
      <w:bookmarkEnd w:id="628"/>
      <w:bookmarkEnd w:id="629"/>
      <w:bookmarkEnd w:id="630"/>
      <w:bookmarkEnd w:id="631"/>
      <w:bookmarkEnd w:id="632"/>
      <w:bookmarkEnd w:id="633"/>
    </w:p>
    <w:p w14:paraId="4A42D2AA">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634" w:name="_Ref531951961"/>
      <w:bookmarkStart w:id="635" w:name="_Ref531951945"/>
      <w:bookmarkStart w:id="636" w:name="_Ref531951958"/>
      <w:bookmarkStart w:id="637" w:name="_Toc16112"/>
      <w:bookmarkStart w:id="638" w:name="_Toc54862212"/>
      <w:bookmarkStart w:id="639" w:name="_Ref531951941"/>
      <w:bookmarkStart w:id="640" w:name="_Ref531951975"/>
      <w:bookmarkStart w:id="641" w:name="_Toc579"/>
      <w:bookmarkStart w:id="642" w:name="_Toc20638"/>
      <w:r>
        <w:rPr>
          <w:rFonts w:hint="eastAsia" w:ascii="宋体" w:hAnsi="宋体" w:eastAsia="宋体"/>
          <w:b/>
          <w:bCs w:val="0"/>
          <w:color w:val="auto"/>
          <w:sz w:val="21"/>
          <w:szCs w:val="21"/>
          <w:highlight w:val="none"/>
        </w:rPr>
        <w:t>4</w:t>
      </w:r>
      <w:r>
        <w:rPr>
          <w:rFonts w:ascii="宋体" w:hAnsi="宋体" w:eastAsia="宋体"/>
          <w:b/>
          <w:bCs w:val="0"/>
          <w:color w:val="auto"/>
          <w:sz w:val="21"/>
          <w:szCs w:val="21"/>
          <w:highlight w:val="none"/>
        </w:rPr>
        <w:t>.1 承包人的一般义务</w:t>
      </w:r>
      <w:bookmarkEnd w:id="634"/>
      <w:bookmarkEnd w:id="635"/>
      <w:bookmarkEnd w:id="636"/>
      <w:bookmarkEnd w:id="637"/>
      <w:bookmarkEnd w:id="638"/>
      <w:bookmarkEnd w:id="639"/>
      <w:bookmarkEnd w:id="640"/>
      <w:bookmarkEnd w:id="641"/>
      <w:bookmarkEnd w:id="642"/>
    </w:p>
    <w:p w14:paraId="50B9F5D3">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bookmarkStart w:id="643" w:name="_Ref509046929"/>
      <w:r>
        <w:rPr>
          <w:rFonts w:hint="eastAsia" w:ascii="宋体" w:hAnsi="宋体"/>
          <w:color w:val="auto"/>
          <w:szCs w:val="21"/>
          <w:highlight w:val="none"/>
        </w:rPr>
        <w:t>除专用合同条件另有约定外，承包人在履行合同过程中应遵守法律和工程建设标准规范，并履行以下义务：</w:t>
      </w:r>
    </w:p>
    <w:p w14:paraId="10BF9803">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 办理法律规定和合同约定由承包人办理的许可和批准，将办理结果书面报送发包人留存，并承担因承包人违反法律或合同约定给发包人造成的任何费用和损失；</w:t>
      </w:r>
    </w:p>
    <w:p w14:paraId="31F50A69">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 按合同约定完成全部工作并在缺陷责任期和保修期内承担缺陷保证责任和保修义务，对工作中的任何缺陷进行整改、完善和修补，使其满足合同约定的目的；</w:t>
      </w:r>
    </w:p>
    <w:p w14:paraId="1ECCA132">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（3） 提供合同约定的工程设备和承包人文件，以及为完成合同工作所需的劳务、材料、施工设备和其他物品，并按合同约定负责临时设施的设计、施工、运行、维护、管理和拆除；</w:t>
      </w:r>
    </w:p>
    <w:p w14:paraId="2E7B46CF">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（4） 按合同约定的工作内容和进度要求，编制设计、施工的组织和实施计划，保证项目进度计划的实现，并对所有设计、施工作业和施工方法，以及全部工程的完备性和安全可靠性负责；</w:t>
      </w:r>
    </w:p>
    <w:p w14:paraId="2699A47A">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（5） 按法律规定和合同约定采取安全文明施工、职业健康和环境保护措施，办理员工工伤保险等相关保险，确保工程及人员、材料、设备和设施的安全，防止因工程实施造成的人身伤害和财产损失；</w:t>
      </w:r>
    </w:p>
    <w:p w14:paraId="6FD3886D">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（6） 将发包人按合同约定支付的各项价款专用于合同工程，且应及时支付其雇用人员（包括建筑工人）工资，并及时向分包人支付合同价款；</w:t>
      </w:r>
    </w:p>
    <w:p w14:paraId="0D33403A">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（7） 在进行合同约定的各项工作时，不得侵害发包人与他人使用公用道路、水源、市政管网等公共设施的权利，避免对邻近的公共设施产生干扰。</w:t>
      </w:r>
    </w:p>
    <w:p w14:paraId="105DB0BE">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644" w:name="_Ref4426803"/>
      <w:bookmarkStart w:id="645" w:name="_Toc3997"/>
      <w:bookmarkStart w:id="646" w:name="_Toc27375"/>
      <w:bookmarkStart w:id="647" w:name="_Toc31121"/>
      <w:bookmarkStart w:id="648" w:name="_Toc54862213"/>
      <w:bookmarkStart w:id="649" w:name="_Ref4428418"/>
      <w:r>
        <w:rPr>
          <w:rFonts w:hint="eastAsia" w:ascii="宋体" w:hAnsi="宋体" w:eastAsia="宋体"/>
          <w:b/>
          <w:bCs w:val="0"/>
          <w:color w:val="auto"/>
          <w:sz w:val="21"/>
          <w:szCs w:val="21"/>
          <w:highlight w:val="none"/>
        </w:rPr>
        <w:t>4</w:t>
      </w:r>
      <w:r>
        <w:rPr>
          <w:rFonts w:ascii="宋体" w:hAnsi="宋体" w:eastAsia="宋体"/>
          <w:b/>
          <w:bCs w:val="0"/>
          <w:color w:val="auto"/>
          <w:sz w:val="21"/>
          <w:szCs w:val="21"/>
          <w:highlight w:val="none"/>
        </w:rPr>
        <w:t xml:space="preserve">.2 </w:t>
      </w:r>
      <w:r>
        <w:rPr>
          <w:rFonts w:hint="eastAsia" w:ascii="宋体" w:hAnsi="宋体" w:eastAsia="宋体"/>
          <w:b/>
          <w:bCs w:val="0"/>
          <w:color w:val="auto"/>
          <w:sz w:val="21"/>
          <w:szCs w:val="21"/>
          <w:highlight w:val="none"/>
        </w:rPr>
        <w:t>履约担保</w:t>
      </w:r>
      <w:bookmarkEnd w:id="644"/>
      <w:bookmarkEnd w:id="645"/>
      <w:bookmarkEnd w:id="646"/>
      <w:bookmarkEnd w:id="647"/>
      <w:bookmarkEnd w:id="648"/>
    </w:p>
    <w:p w14:paraId="428D3044">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发包人需要承包人提供履约担保的，由合同当事人在专用合同条件中约定履约担保的方式、金额及提交的时间等，并应符合第</w:t>
      </w:r>
      <w:r>
        <w:rPr>
          <w:rFonts w:ascii="宋体" w:hAnsi="宋体"/>
          <w:color w:val="auto"/>
          <w:szCs w:val="21"/>
          <w:highlight w:val="none"/>
        </w:rPr>
        <w:t>2.5</w:t>
      </w:r>
      <w:r>
        <w:rPr>
          <w:rFonts w:hint="eastAsia" w:ascii="宋体" w:hAnsi="宋体"/>
          <w:color w:val="auto"/>
          <w:szCs w:val="21"/>
          <w:highlight w:val="none"/>
        </w:rPr>
        <w:t>款[支付合同价款]的规定。履约担保可以采用银行保函或担保公司担保等形式，承包人为联合体的，其履约担保由联合体各方或者联合体中牵头人的名义代表联合体提交，具体由合同当事人在专用合同条件中约定。</w:t>
      </w:r>
    </w:p>
    <w:p w14:paraId="454B5388">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承包人应保证其履约担保在发包人竣工验收前一直有效，发包人应在竣工验收合格后</w:t>
      </w:r>
      <w:r>
        <w:rPr>
          <w:rFonts w:ascii="宋体" w:hAnsi="宋体"/>
          <w:color w:val="auto"/>
          <w:szCs w:val="21"/>
          <w:highlight w:val="none"/>
        </w:rPr>
        <w:t>7</w:t>
      </w:r>
      <w:r>
        <w:rPr>
          <w:rFonts w:hint="eastAsia" w:ascii="宋体" w:hAnsi="宋体"/>
          <w:color w:val="auto"/>
          <w:szCs w:val="21"/>
          <w:highlight w:val="none"/>
        </w:rPr>
        <w:t>天内将履约担保款项退还给承包人或者解除履约担保。</w:t>
      </w:r>
    </w:p>
    <w:p w14:paraId="3A95B167">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因承包人原因导致工期延长的，继续提供履约担保所增加的费用由承包人承担；非因承包人原因导致工期延长的，继续提供履约担保所增加的费用由发包人承担。</w:t>
      </w:r>
    </w:p>
    <w:bookmarkEnd w:id="643"/>
    <w:bookmarkEnd w:id="649"/>
    <w:p w14:paraId="119FE431">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650" w:name="_Ref532689108"/>
      <w:bookmarkStart w:id="651" w:name="_Toc345"/>
      <w:bookmarkStart w:id="652" w:name="_Ref532689105"/>
      <w:bookmarkStart w:id="653" w:name="_Toc54862214"/>
      <w:bookmarkStart w:id="654" w:name="_Toc13535"/>
      <w:bookmarkStart w:id="655" w:name="_Toc29995"/>
      <w:r>
        <w:rPr>
          <w:rFonts w:hint="eastAsia" w:ascii="宋体" w:hAnsi="宋体" w:eastAsia="宋体"/>
          <w:b/>
          <w:bCs w:val="0"/>
          <w:color w:val="auto"/>
          <w:sz w:val="21"/>
          <w:szCs w:val="21"/>
          <w:highlight w:val="none"/>
        </w:rPr>
        <w:t>4</w:t>
      </w:r>
      <w:r>
        <w:rPr>
          <w:rFonts w:ascii="宋体" w:hAnsi="宋体" w:eastAsia="宋体"/>
          <w:b/>
          <w:bCs w:val="0"/>
          <w:color w:val="auto"/>
          <w:sz w:val="21"/>
          <w:szCs w:val="21"/>
          <w:highlight w:val="none"/>
        </w:rPr>
        <w:t xml:space="preserve">.3 </w:t>
      </w:r>
      <w:r>
        <w:rPr>
          <w:rFonts w:hint="eastAsia" w:ascii="宋体" w:hAnsi="宋体" w:eastAsia="宋体"/>
          <w:b/>
          <w:bCs w:val="0"/>
          <w:color w:val="auto"/>
          <w:sz w:val="21"/>
          <w:szCs w:val="21"/>
          <w:highlight w:val="none"/>
        </w:rPr>
        <w:t>工程总承包项目经理</w:t>
      </w:r>
      <w:bookmarkEnd w:id="650"/>
      <w:bookmarkEnd w:id="651"/>
      <w:bookmarkEnd w:id="652"/>
      <w:bookmarkEnd w:id="653"/>
      <w:bookmarkEnd w:id="654"/>
      <w:bookmarkEnd w:id="655"/>
    </w:p>
    <w:p w14:paraId="0C559706">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bookmarkStart w:id="656" w:name="_Ref532351726"/>
      <w:r>
        <w:rPr>
          <w:rFonts w:hint="eastAsia"/>
          <w:color w:val="auto"/>
          <w:sz w:val="21"/>
          <w:highlight w:val="none"/>
        </w:rPr>
        <w:t>4</w:t>
      </w:r>
      <w:r>
        <w:rPr>
          <w:color w:val="auto"/>
          <w:sz w:val="21"/>
          <w:highlight w:val="none"/>
        </w:rPr>
        <w:t xml:space="preserve">.3.1 </w:t>
      </w:r>
      <w:r>
        <w:rPr>
          <w:rFonts w:hint="eastAsia"/>
          <w:color w:val="auto"/>
          <w:sz w:val="21"/>
          <w:highlight w:val="none"/>
        </w:rPr>
        <w:t>工程总承包项目经理应为合同当事人所确认的人选，并在专用合同条件中明确工程总承包项目经理的姓名、注册执业资格或职称、联系方式及授权范围等事项。工程总承包项目经理应具备履行其职责所需的资格、经验和能力，并为承包人正式聘用的员工，承包人应向发包人提交工程总承包项目经理与承包人之间的劳动合同，以及承包人为工程总承包项目经理缴纳社会保险的有效证明。承包人不提交上述文件的，工程总承包项目经理无权履行职责，发包人有权要求更换工程总承包项目经理，由此增加的费用和（或）延误的工期由承包人承担。同时，发包人有权根据专用合同条件约定要求承包人承担违约责任。</w:t>
      </w:r>
      <w:bookmarkEnd w:id="656"/>
    </w:p>
    <w:p w14:paraId="13486116">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bookmarkStart w:id="657" w:name="_Ref532689263"/>
      <w:r>
        <w:rPr>
          <w:rFonts w:hint="eastAsia"/>
          <w:color w:val="auto"/>
          <w:sz w:val="21"/>
          <w:highlight w:val="none"/>
        </w:rPr>
        <w:t>4</w:t>
      </w:r>
      <w:r>
        <w:rPr>
          <w:color w:val="auto"/>
          <w:sz w:val="21"/>
          <w:highlight w:val="none"/>
        </w:rPr>
        <w:t xml:space="preserve">.3.2 </w:t>
      </w:r>
      <w:r>
        <w:rPr>
          <w:rFonts w:hint="eastAsia"/>
          <w:color w:val="auto"/>
          <w:sz w:val="21"/>
          <w:highlight w:val="none"/>
        </w:rPr>
        <w:t>承包人应按合同协议书的约定指派工程总承包项目经理，并在约定的期限内到职。工程总承包项目经理不得同时担任其他工程项目的工程总承包项目经理或施工工程总承包项目经理（含施工总承包工程、专业承包工程）。工程在现场实施的全部时间内，工程总承包项目经理每月在施工现场时间不得少于专用合同条件约定的天数。工程总承包项目经理确需离开施工现场时，应事先通知工程师，并取得发包人的书面同意。工程总承包项目经理未经批准擅自离开施工现场的，承包人应按照专用合同条件的约定承担违约责任。工程总承包项目经理的通知中应当载明临时代行其职责的人员的注册执业资格、管理经验等资料，该人员应具备履行相应职责的资格、经验和能力。</w:t>
      </w:r>
      <w:bookmarkEnd w:id="657"/>
    </w:p>
    <w:p w14:paraId="4E7AD1A7">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bookmarkStart w:id="658" w:name="_Ref532689178"/>
      <w:bookmarkStart w:id="659" w:name="_Ref531952112"/>
      <w:r>
        <w:rPr>
          <w:rFonts w:hint="eastAsia"/>
          <w:color w:val="auto"/>
          <w:sz w:val="21"/>
          <w:highlight w:val="none"/>
        </w:rPr>
        <w:t>4</w:t>
      </w:r>
      <w:r>
        <w:rPr>
          <w:color w:val="auto"/>
          <w:sz w:val="21"/>
          <w:highlight w:val="none"/>
        </w:rPr>
        <w:t xml:space="preserve">.3.3 </w:t>
      </w:r>
      <w:r>
        <w:rPr>
          <w:rFonts w:hint="eastAsia"/>
          <w:color w:val="auto"/>
          <w:sz w:val="21"/>
          <w:highlight w:val="none"/>
        </w:rPr>
        <w:t>承包人应根据本合同的约定授予工程总承包项目经理代表承包人履行合同所需的权利，工程总承包项目经理权限以专用合同条件中约定的权限为准。经承包人授权后，工程总承包项目经理应按合同约定以及工程师按第</w:t>
      </w:r>
      <w:r>
        <w:rPr>
          <w:color w:val="auto"/>
          <w:sz w:val="21"/>
          <w:highlight w:val="none"/>
        </w:rPr>
        <w:t>3.5</w:t>
      </w:r>
      <w:r>
        <w:rPr>
          <w:rFonts w:hint="eastAsia"/>
          <w:color w:val="auto"/>
          <w:sz w:val="21"/>
          <w:highlight w:val="none"/>
        </w:rPr>
        <w:t>款[指示]作出的指示，代表承包人负责组织合同的实施。在紧急情况下，且无法与发包人和工程师取得联系时，工程总承包项目经理有权采取必要的措施保证人身、工程和财产的安全，但须在事后48小时内向工程师送交书面报告。</w:t>
      </w:r>
      <w:bookmarkEnd w:id="658"/>
    </w:p>
    <w:bookmarkEnd w:id="659"/>
    <w:p w14:paraId="605FDD97">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bookmarkStart w:id="660" w:name="_Ref4426412"/>
      <w:r>
        <w:rPr>
          <w:rFonts w:hint="eastAsia"/>
          <w:color w:val="auto"/>
          <w:sz w:val="21"/>
          <w:highlight w:val="none"/>
        </w:rPr>
        <w:t>4</w:t>
      </w:r>
      <w:r>
        <w:rPr>
          <w:color w:val="auto"/>
          <w:sz w:val="21"/>
          <w:highlight w:val="none"/>
        </w:rPr>
        <w:t xml:space="preserve">.3.4 </w:t>
      </w:r>
      <w:r>
        <w:rPr>
          <w:rFonts w:hint="eastAsia"/>
          <w:color w:val="auto"/>
          <w:sz w:val="21"/>
          <w:highlight w:val="none"/>
        </w:rPr>
        <w:t>承包人需要更换工程总承包项目经理的，应提前14天书面通知发包人并抄送工程师，征得发包人书面同意。通知中应当载明继任工程总承包项目经理的注册执业资格、管理经验等资料，继任工程总承包项目经理继续履行本合同约定的职责。未经发包人书面同意，承包人不得擅自更换工程总承包项目经理，在发包人未予以书面回复期间内，工程总承包项目经理将继续履行其职责。工程总承包项目经理突发丧失履行职务能力的，承包人应当及时委派一位具有相应资格能力的人员担任临时工程总承包项目经理，履行工程总承包项目经理的职责，临时工程总承包项目经理将履行职责直至发包人同意新的工程总承包项目经理的任命之日止。承包人擅自更换工程总承包项目经理的，</w:t>
      </w:r>
      <w:bookmarkStart w:id="661" w:name="_Hlk55056591"/>
      <w:r>
        <w:rPr>
          <w:rFonts w:hint="eastAsia"/>
          <w:color w:val="auto"/>
          <w:sz w:val="21"/>
          <w:highlight w:val="none"/>
        </w:rPr>
        <w:t>应按照专用合同条件的约定承担违约责任。</w:t>
      </w:r>
      <w:bookmarkEnd w:id="660"/>
      <w:bookmarkEnd w:id="661"/>
    </w:p>
    <w:p w14:paraId="39439059">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bookmarkStart w:id="662" w:name="_Ref531952137"/>
      <w:r>
        <w:rPr>
          <w:rFonts w:hint="eastAsia"/>
          <w:color w:val="auto"/>
          <w:sz w:val="21"/>
          <w:highlight w:val="none"/>
        </w:rPr>
        <w:t>4</w:t>
      </w:r>
      <w:r>
        <w:rPr>
          <w:color w:val="auto"/>
          <w:sz w:val="21"/>
          <w:highlight w:val="none"/>
        </w:rPr>
        <w:t xml:space="preserve">.3.5 </w:t>
      </w:r>
      <w:r>
        <w:rPr>
          <w:rFonts w:hint="eastAsia"/>
          <w:color w:val="auto"/>
          <w:sz w:val="21"/>
          <w:highlight w:val="none"/>
        </w:rPr>
        <w:t>发包人有权书面通知承包人要求更换其认为不称职的工程总承包项目经理，通知中应当载明要求更换的理由。承包人应在接到更换通知后14天内向发包人提出书面的改进报告。如承包人没有提出改进报告，应在收到更换通知后</w:t>
      </w:r>
      <w:r>
        <w:rPr>
          <w:color w:val="auto"/>
          <w:sz w:val="21"/>
          <w:highlight w:val="none"/>
        </w:rPr>
        <w:t>28天内更换项目经理。</w:t>
      </w:r>
      <w:r>
        <w:rPr>
          <w:rFonts w:hint="eastAsia"/>
          <w:color w:val="auto"/>
          <w:sz w:val="21"/>
          <w:highlight w:val="none"/>
        </w:rPr>
        <w:t>发包人收到改进报告后仍要求更换的，承包人应在接到第二次更换通知的28天内进行更换，并将新任命的工程总承包项目经理的注册执业资格、管理经验等资料书面通知发包人。继任工程总承包项目经理继续履行本合同约定的职责。承包人无正当理由拒绝更换工程总承包项目经理的，应按照专用合同条件的约定承担违约责任。</w:t>
      </w:r>
      <w:bookmarkEnd w:id="662"/>
    </w:p>
    <w:p w14:paraId="08CDF093">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bookmarkStart w:id="663" w:name="_Ref122620"/>
      <w:r>
        <w:rPr>
          <w:rFonts w:hint="eastAsia"/>
          <w:color w:val="auto"/>
          <w:sz w:val="21"/>
          <w:highlight w:val="none"/>
        </w:rPr>
        <w:t>4</w:t>
      </w:r>
      <w:r>
        <w:rPr>
          <w:color w:val="auto"/>
          <w:sz w:val="21"/>
          <w:highlight w:val="none"/>
        </w:rPr>
        <w:t xml:space="preserve">.3.6 </w:t>
      </w:r>
      <w:r>
        <w:rPr>
          <w:rFonts w:hint="eastAsia"/>
          <w:color w:val="auto"/>
          <w:sz w:val="21"/>
          <w:highlight w:val="none"/>
        </w:rPr>
        <w:t>工程总承包项目经理因特殊情况授权其下属人员履行其某项工作职责的，该下属人员应具备履行相应职责的能力，并应事先将上述人员的姓名、注册执业资格、管理经验等信息和授权范围书面通知发包人并抄送工程师，征得发包人书面同意。</w:t>
      </w:r>
      <w:bookmarkEnd w:id="663"/>
    </w:p>
    <w:p w14:paraId="2C0CA02F">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664" w:name="_Toc8183"/>
      <w:bookmarkStart w:id="665" w:name="_Ref531952175"/>
      <w:bookmarkStart w:id="666" w:name="_Toc54862215"/>
      <w:bookmarkStart w:id="667" w:name="_Ref531952172"/>
      <w:bookmarkStart w:id="668" w:name="_Toc8596"/>
      <w:bookmarkStart w:id="669" w:name="_Toc2780"/>
      <w:r>
        <w:rPr>
          <w:rFonts w:hint="eastAsia" w:ascii="宋体" w:hAnsi="宋体" w:eastAsia="宋体"/>
          <w:b/>
          <w:bCs w:val="0"/>
          <w:color w:val="auto"/>
          <w:sz w:val="21"/>
          <w:szCs w:val="21"/>
          <w:highlight w:val="none"/>
        </w:rPr>
        <w:t>4</w:t>
      </w:r>
      <w:r>
        <w:rPr>
          <w:rFonts w:ascii="宋体" w:hAnsi="宋体" w:eastAsia="宋体"/>
          <w:b/>
          <w:bCs w:val="0"/>
          <w:color w:val="auto"/>
          <w:sz w:val="21"/>
          <w:szCs w:val="21"/>
          <w:highlight w:val="none"/>
        </w:rPr>
        <w:t xml:space="preserve">.4 </w:t>
      </w:r>
      <w:r>
        <w:rPr>
          <w:rFonts w:hint="eastAsia" w:ascii="宋体" w:hAnsi="宋体" w:eastAsia="宋体"/>
          <w:b/>
          <w:bCs w:val="0"/>
          <w:color w:val="auto"/>
          <w:sz w:val="21"/>
          <w:szCs w:val="21"/>
          <w:highlight w:val="none"/>
        </w:rPr>
        <w:t>承包人人员</w:t>
      </w:r>
      <w:bookmarkEnd w:id="664"/>
      <w:bookmarkEnd w:id="665"/>
      <w:bookmarkEnd w:id="666"/>
      <w:bookmarkEnd w:id="667"/>
      <w:bookmarkEnd w:id="668"/>
      <w:bookmarkEnd w:id="669"/>
    </w:p>
    <w:p w14:paraId="650D883E">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670" w:name="_Ref531952185"/>
      <w:r>
        <w:rPr>
          <w:rFonts w:hint="eastAsia"/>
          <w:b/>
          <w:bCs/>
          <w:color w:val="auto"/>
          <w:sz w:val="21"/>
          <w:highlight w:val="none"/>
        </w:rPr>
        <w:t>4</w:t>
      </w:r>
      <w:r>
        <w:rPr>
          <w:b/>
          <w:bCs/>
          <w:color w:val="auto"/>
          <w:sz w:val="21"/>
          <w:highlight w:val="none"/>
        </w:rPr>
        <w:t xml:space="preserve">.4.1 </w:t>
      </w:r>
      <w:r>
        <w:rPr>
          <w:rFonts w:hint="eastAsia"/>
          <w:b/>
          <w:bCs/>
          <w:color w:val="auto"/>
          <w:sz w:val="21"/>
          <w:highlight w:val="none"/>
        </w:rPr>
        <w:t>人员安排</w:t>
      </w:r>
      <w:bookmarkEnd w:id="670"/>
    </w:p>
    <w:p w14:paraId="7B11DC85">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承包人人员的资质、数量、配置和管理应能满足工程实施的需要。除专用合同条件另有约定外，承包人应在接到开始工作通知之日起14天内，向工程师提交承包人的项目管理机构以及人员安排的报告，其内容应包括管理机构的设置、各主要岗位的关键人员名单及注册执业资格等证明其具备担任关键人员能力的相关文件，以及设计人员和各工种技术负责人的安排状况。</w:t>
      </w:r>
    </w:p>
    <w:p w14:paraId="4BA942ED">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关键人员</w:t>
      </w:r>
      <w:bookmarkStart w:id="671" w:name="_Hlk16210335"/>
      <w:r>
        <w:rPr>
          <w:rFonts w:hint="eastAsia" w:ascii="宋体" w:hAnsi="宋体"/>
          <w:color w:val="auto"/>
          <w:szCs w:val="21"/>
          <w:highlight w:val="none"/>
        </w:rPr>
        <w:t>是发包人及承包人一致认为对工程建设起重要作用的承包人主要管理人员或技术人员。关键人员的具体范围由发包人及承包人在附件</w:t>
      </w:r>
      <w:r>
        <w:rPr>
          <w:rFonts w:ascii="宋体" w:hAnsi="宋体"/>
          <w:color w:val="auto"/>
          <w:szCs w:val="21"/>
          <w:highlight w:val="none"/>
        </w:rPr>
        <w:t>5[承包人主要管理人员表]</w:t>
      </w:r>
      <w:r>
        <w:rPr>
          <w:rFonts w:hint="eastAsia" w:ascii="宋体" w:hAnsi="宋体"/>
          <w:color w:val="auto"/>
          <w:szCs w:val="21"/>
          <w:highlight w:val="none"/>
        </w:rPr>
        <w:t>中另行约定。</w:t>
      </w:r>
    </w:p>
    <w:bookmarkEnd w:id="671"/>
    <w:p w14:paraId="5AACB1BC">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672" w:name="_Ref531952211"/>
      <w:bookmarkStart w:id="673" w:name="_Ref4426641"/>
      <w:r>
        <w:rPr>
          <w:rFonts w:hint="eastAsia"/>
          <w:b/>
          <w:bCs/>
          <w:color w:val="auto"/>
          <w:sz w:val="21"/>
          <w:highlight w:val="none"/>
        </w:rPr>
        <w:t>4</w:t>
      </w:r>
      <w:r>
        <w:rPr>
          <w:b/>
          <w:bCs/>
          <w:color w:val="auto"/>
          <w:sz w:val="21"/>
          <w:highlight w:val="none"/>
        </w:rPr>
        <w:t xml:space="preserve">.4.2 </w:t>
      </w:r>
      <w:r>
        <w:rPr>
          <w:rFonts w:hint="eastAsia"/>
          <w:b/>
          <w:bCs/>
          <w:color w:val="auto"/>
          <w:sz w:val="21"/>
          <w:highlight w:val="none"/>
        </w:rPr>
        <w:t>关键人员更换</w:t>
      </w:r>
      <w:bookmarkEnd w:id="672"/>
      <w:bookmarkEnd w:id="673"/>
    </w:p>
    <w:p w14:paraId="5A1D5741">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承包人派驻到施工现场的关键人员应相对稳定。承包人更换关键人员时，应提前14天将继任关键人员信息及相关证明文件提交给工程师，并由工程师报发包人征求同意。在发包人未予以书面回复期间内，关键人员将继续履行其职务。关键人员突发丧失履行职务能力的，承包人应当及时委派一位具有相应资格能力的人员临时继任该关键人员职位，履行该关键人员职责，临时继任关键人员将履行职责直至发包人同意新的关键人员任命之日止。承包人擅自更换关键人员，应按照专用合同条件约定承担违约责任。</w:t>
      </w:r>
    </w:p>
    <w:p w14:paraId="22742FD4">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工程师对于承包人关键人员的资格或能力有异议的，承包人应提供资料证明被质疑人员有能力完成其岗位工作或不存在工程师所质疑的情形。工程师指示撤换不能按照合同约定履行职责及义务的主要施工管理人员的，承包人应当撤换。承包人无正当理由拒绝撤换的，应按照专用合同条件的约定承担违约责任。</w:t>
      </w:r>
    </w:p>
    <w:p w14:paraId="41AB6D5F">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674" w:name="_Ref531952227"/>
      <w:r>
        <w:rPr>
          <w:rFonts w:hint="eastAsia"/>
          <w:b/>
          <w:bCs/>
          <w:color w:val="auto"/>
          <w:sz w:val="21"/>
          <w:highlight w:val="none"/>
        </w:rPr>
        <w:t>4</w:t>
      </w:r>
      <w:r>
        <w:rPr>
          <w:b/>
          <w:bCs/>
          <w:color w:val="auto"/>
          <w:sz w:val="21"/>
          <w:highlight w:val="none"/>
        </w:rPr>
        <w:t xml:space="preserve">.4.3 </w:t>
      </w:r>
      <w:r>
        <w:rPr>
          <w:rFonts w:hint="eastAsia"/>
          <w:b/>
          <w:bCs/>
          <w:color w:val="auto"/>
          <w:sz w:val="21"/>
          <w:highlight w:val="none"/>
        </w:rPr>
        <w:t>现场管理关键人员在岗要求</w:t>
      </w:r>
      <w:bookmarkEnd w:id="674"/>
    </w:p>
    <w:p w14:paraId="1D46E5F8">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除专用合同条件另有约定外，承包人的现场管理关键人员离开施工现场每月累计不超过7天的，应报工程师同意；离开施工现场每月累计超过7天的，应书面通知发包人并抄送工程师，征得发包人书面同意。现场管理关键人员因故离开施工现场的，可授权有经验的人员临时代行其职责，但承包人应将被授权人员信息及授权范围书面通知发包人并取得其同意。现场管理关键人员未经工程师或发包人同意擅自离开施工现场的，应按照专用合同条件约定承担违约责任。</w:t>
      </w:r>
    </w:p>
    <w:p w14:paraId="7DCF804B">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675" w:name="_Toc54862216"/>
      <w:bookmarkStart w:id="676" w:name="_Toc30478"/>
      <w:bookmarkStart w:id="677" w:name="_Ref531952259"/>
      <w:bookmarkStart w:id="678" w:name="_Toc11235"/>
      <w:bookmarkStart w:id="679" w:name="_Toc3571"/>
      <w:bookmarkStart w:id="680" w:name="_Ref531952262"/>
      <w:r>
        <w:rPr>
          <w:rFonts w:hint="eastAsia" w:ascii="宋体" w:hAnsi="宋体" w:eastAsia="宋体"/>
          <w:b/>
          <w:bCs w:val="0"/>
          <w:color w:val="auto"/>
          <w:sz w:val="21"/>
          <w:szCs w:val="21"/>
          <w:highlight w:val="none"/>
        </w:rPr>
        <w:t>4</w:t>
      </w:r>
      <w:r>
        <w:rPr>
          <w:rFonts w:ascii="宋体" w:hAnsi="宋体" w:eastAsia="宋体"/>
          <w:b/>
          <w:bCs w:val="0"/>
          <w:color w:val="auto"/>
          <w:sz w:val="21"/>
          <w:szCs w:val="21"/>
          <w:highlight w:val="none"/>
        </w:rPr>
        <w:t xml:space="preserve">.5 </w:t>
      </w:r>
      <w:r>
        <w:rPr>
          <w:rFonts w:hint="eastAsia" w:ascii="宋体" w:hAnsi="宋体" w:eastAsia="宋体"/>
          <w:b/>
          <w:bCs w:val="0"/>
          <w:color w:val="auto"/>
          <w:sz w:val="21"/>
          <w:szCs w:val="21"/>
          <w:highlight w:val="none"/>
        </w:rPr>
        <w:t>分包</w:t>
      </w:r>
      <w:bookmarkEnd w:id="675"/>
      <w:bookmarkEnd w:id="676"/>
      <w:bookmarkEnd w:id="677"/>
      <w:bookmarkEnd w:id="678"/>
      <w:bookmarkEnd w:id="679"/>
      <w:bookmarkEnd w:id="680"/>
    </w:p>
    <w:p w14:paraId="78789AF6">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681" w:name="_Ref531952273"/>
      <w:r>
        <w:rPr>
          <w:rFonts w:hint="eastAsia"/>
          <w:b/>
          <w:bCs/>
          <w:color w:val="auto"/>
          <w:sz w:val="21"/>
          <w:highlight w:val="none"/>
        </w:rPr>
        <w:t>4</w:t>
      </w:r>
      <w:r>
        <w:rPr>
          <w:b/>
          <w:bCs/>
          <w:color w:val="auto"/>
          <w:sz w:val="21"/>
          <w:highlight w:val="none"/>
        </w:rPr>
        <w:t xml:space="preserve">.5.1 </w:t>
      </w:r>
      <w:r>
        <w:rPr>
          <w:rFonts w:hint="eastAsia"/>
          <w:b/>
          <w:bCs/>
          <w:color w:val="auto"/>
          <w:sz w:val="21"/>
          <w:highlight w:val="none"/>
        </w:rPr>
        <w:t>一般约定</w:t>
      </w:r>
      <w:bookmarkEnd w:id="681"/>
    </w:p>
    <w:p w14:paraId="0A799326">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承包人不得将其承包的全部工程转包给第三人，或将其承包的全部工程支解后以分包的名义转包给第三人。承包人不得将法律或专用合同条件中禁止分包的工作事项分包给第三人，不得以劳务分包的名义转包或违法分包工程。</w:t>
      </w:r>
    </w:p>
    <w:p w14:paraId="15291243">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682" w:name="_Ref531952286"/>
      <w:r>
        <w:rPr>
          <w:rFonts w:hint="eastAsia"/>
          <w:b/>
          <w:bCs/>
          <w:color w:val="auto"/>
          <w:sz w:val="21"/>
          <w:highlight w:val="none"/>
        </w:rPr>
        <w:t>4</w:t>
      </w:r>
      <w:r>
        <w:rPr>
          <w:b/>
          <w:bCs/>
          <w:color w:val="auto"/>
          <w:sz w:val="21"/>
          <w:highlight w:val="none"/>
        </w:rPr>
        <w:t xml:space="preserve">.5.2 </w:t>
      </w:r>
      <w:r>
        <w:rPr>
          <w:rFonts w:hint="eastAsia"/>
          <w:b/>
          <w:bCs/>
          <w:color w:val="auto"/>
          <w:sz w:val="21"/>
          <w:highlight w:val="none"/>
        </w:rPr>
        <w:t>分包的确定</w:t>
      </w:r>
      <w:bookmarkEnd w:id="682"/>
    </w:p>
    <w:p w14:paraId="0CE2BC58">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承包人应按照专用合同条件约定对工作事项进行分包，确定分包人。</w:t>
      </w:r>
    </w:p>
    <w:p w14:paraId="31D7D48E">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专用合同条件未列出的分包事项，承包人可在工程实施阶段分批分期就分包事项向发包人提交申请，发包人在接到分包事项申请后的14天内，予以批准或提出意见。未经发包人同意，承包人不得将提出的拟分包事项对外分包。发包人未能在14天内批准亦未提出意见的，承包人有权将提出的拟分包事项对外分包，但应在分包人确定后通知发包人。</w:t>
      </w:r>
    </w:p>
    <w:p w14:paraId="07306DFC">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r>
        <w:rPr>
          <w:rFonts w:hint="eastAsia"/>
          <w:b/>
          <w:bCs/>
          <w:color w:val="auto"/>
          <w:sz w:val="21"/>
          <w:highlight w:val="none"/>
        </w:rPr>
        <w:t>4</w:t>
      </w:r>
      <w:r>
        <w:rPr>
          <w:b/>
          <w:bCs/>
          <w:color w:val="auto"/>
          <w:sz w:val="21"/>
          <w:highlight w:val="none"/>
        </w:rPr>
        <w:t xml:space="preserve">.5.3 </w:t>
      </w:r>
      <w:r>
        <w:rPr>
          <w:rFonts w:hint="eastAsia"/>
          <w:b/>
          <w:bCs/>
          <w:color w:val="auto"/>
          <w:sz w:val="21"/>
          <w:highlight w:val="none"/>
        </w:rPr>
        <w:t>分包人资质</w:t>
      </w:r>
    </w:p>
    <w:p w14:paraId="2C851E8C">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分包人应符合国家法律规定的资质等级，否则不能作为分包人。承包人有义务对分包人的资质进行审查。</w:t>
      </w:r>
    </w:p>
    <w:p w14:paraId="613D49E6">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r>
        <w:rPr>
          <w:rFonts w:hint="eastAsia"/>
          <w:b/>
          <w:bCs/>
          <w:color w:val="auto"/>
          <w:sz w:val="21"/>
          <w:highlight w:val="none"/>
        </w:rPr>
        <w:t>4</w:t>
      </w:r>
      <w:r>
        <w:rPr>
          <w:b/>
          <w:bCs/>
          <w:color w:val="auto"/>
          <w:sz w:val="21"/>
          <w:highlight w:val="none"/>
        </w:rPr>
        <w:t xml:space="preserve">.5.4 </w:t>
      </w:r>
      <w:r>
        <w:rPr>
          <w:rFonts w:hint="eastAsia"/>
          <w:b/>
          <w:bCs/>
          <w:color w:val="auto"/>
          <w:sz w:val="21"/>
          <w:highlight w:val="none"/>
        </w:rPr>
        <w:t>分包管理</w:t>
      </w:r>
    </w:p>
    <w:p w14:paraId="008554FC">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承包人应当对分包人的工作进行必要的协调与管理，确保分包人严格执行国家有关分包事项的管理规定。承包人应向工程师提交分包人的主要管理人员表，并对分包人的工作人员进行实名制管理，包括但不限于进出场管理、登记造册以及各种证照的办理。</w:t>
      </w:r>
    </w:p>
    <w:p w14:paraId="7485EC79">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683" w:name="_Ref531952298"/>
      <w:r>
        <w:rPr>
          <w:rFonts w:hint="eastAsia"/>
          <w:b/>
          <w:bCs/>
          <w:color w:val="auto"/>
          <w:sz w:val="21"/>
          <w:highlight w:val="none"/>
        </w:rPr>
        <w:t>4</w:t>
      </w:r>
      <w:r>
        <w:rPr>
          <w:b/>
          <w:bCs/>
          <w:color w:val="auto"/>
          <w:sz w:val="21"/>
          <w:highlight w:val="none"/>
        </w:rPr>
        <w:t xml:space="preserve">.5.5 </w:t>
      </w:r>
      <w:r>
        <w:rPr>
          <w:rFonts w:hint="eastAsia"/>
          <w:b/>
          <w:bCs/>
          <w:color w:val="auto"/>
          <w:sz w:val="21"/>
          <w:highlight w:val="none"/>
        </w:rPr>
        <w:t>分包合同价款支付</w:t>
      </w:r>
      <w:bookmarkEnd w:id="683"/>
    </w:p>
    <w:p w14:paraId="4D3CE4E6">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 除本项第（2）目约定的情况或专用合同条件另有约定外，分包合同价款由承包人与分包人结算，未经承包人同意，发包人不得向分包人支付分包合同价款；</w:t>
      </w:r>
    </w:p>
    <w:p w14:paraId="79CAD87D">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bookmarkStart w:id="684" w:name="_Ref4613798"/>
      <w:r>
        <w:rPr>
          <w:rFonts w:hint="eastAsia" w:ascii="宋体" w:hAnsi="宋体"/>
          <w:color w:val="auto"/>
          <w:szCs w:val="21"/>
          <w:highlight w:val="none"/>
        </w:rPr>
        <w:t>（2） 生效法律文书要求发包人向分包人支付分包合同价款的，发包人有权从应付承包人工程款中扣除该部分款项</w:t>
      </w:r>
      <w:bookmarkEnd w:id="684"/>
      <w:r>
        <w:rPr>
          <w:rFonts w:hint="eastAsia" w:ascii="宋体" w:hAnsi="宋体"/>
          <w:color w:val="auto"/>
          <w:szCs w:val="21"/>
          <w:highlight w:val="none"/>
        </w:rPr>
        <w:t>，将扣款直接支付给分包人，并书面通知承包人。</w:t>
      </w:r>
    </w:p>
    <w:p w14:paraId="5127EC76">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r>
        <w:rPr>
          <w:rFonts w:hint="eastAsia"/>
          <w:b/>
          <w:bCs/>
          <w:color w:val="auto"/>
          <w:sz w:val="21"/>
          <w:highlight w:val="none"/>
        </w:rPr>
        <w:t>4</w:t>
      </w:r>
      <w:r>
        <w:rPr>
          <w:b/>
          <w:bCs/>
          <w:color w:val="auto"/>
          <w:sz w:val="21"/>
          <w:highlight w:val="none"/>
        </w:rPr>
        <w:t xml:space="preserve">.5.6 </w:t>
      </w:r>
      <w:r>
        <w:rPr>
          <w:rFonts w:hint="eastAsia"/>
          <w:b/>
          <w:bCs/>
          <w:color w:val="auto"/>
          <w:sz w:val="21"/>
          <w:highlight w:val="none"/>
        </w:rPr>
        <w:t>责任承担</w:t>
      </w:r>
    </w:p>
    <w:p w14:paraId="5BD11B1A">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承包人对分包人的行为向发包人负责，承包人和分包人就分包工作向发包人承担连带责任。</w:t>
      </w:r>
    </w:p>
    <w:p w14:paraId="594A9DB9">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685" w:name="_Toc26804"/>
      <w:bookmarkStart w:id="686" w:name="_Toc24382"/>
      <w:bookmarkStart w:id="687" w:name="_Toc54862217"/>
      <w:bookmarkStart w:id="688" w:name="_Ref4426916"/>
      <w:bookmarkStart w:id="689" w:name="_Toc20656"/>
      <w:bookmarkStart w:id="690" w:name="_Ref531952317"/>
      <w:bookmarkStart w:id="691" w:name="_Ref531952321"/>
      <w:bookmarkStart w:id="692" w:name="_Ref4768805"/>
      <w:r>
        <w:rPr>
          <w:rFonts w:hint="eastAsia" w:ascii="宋体" w:hAnsi="宋体" w:eastAsia="宋体"/>
          <w:b/>
          <w:bCs w:val="0"/>
          <w:color w:val="auto"/>
          <w:sz w:val="21"/>
          <w:szCs w:val="21"/>
          <w:highlight w:val="none"/>
        </w:rPr>
        <w:t>4</w:t>
      </w:r>
      <w:r>
        <w:rPr>
          <w:rFonts w:ascii="宋体" w:hAnsi="宋体" w:eastAsia="宋体"/>
          <w:b/>
          <w:bCs w:val="0"/>
          <w:color w:val="auto"/>
          <w:sz w:val="21"/>
          <w:szCs w:val="21"/>
          <w:highlight w:val="none"/>
        </w:rPr>
        <w:t xml:space="preserve">.6 </w:t>
      </w:r>
      <w:r>
        <w:rPr>
          <w:rFonts w:hint="eastAsia" w:ascii="宋体" w:hAnsi="宋体" w:eastAsia="宋体"/>
          <w:b/>
          <w:bCs w:val="0"/>
          <w:color w:val="auto"/>
          <w:sz w:val="21"/>
          <w:szCs w:val="21"/>
          <w:highlight w:val="none"/>
        </w:rPr>
        <w:t>联合体</w:t>
      </w:r>
      <w:bookmarkEnd w:id="685"/>
      <w:bookmarkEnd w:id="686"/>
      <w:bookmarkEnd w:id="687"/>
      <w:bookmarkEnd w:id="688"/>
      <w:bookmarkEnd w:id="689"/>
    </w:p>
    <w:p w14:paraId="08620358">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bookmarkStart w:id="693" w:name="_Hlk16235129"/>
      <w:r>
        <w:rPr>
          <w:rFonts w:hint="eastAsia"/>
          <w:color w:val="auto"/>
          <w:sz w:val="21"/>
          <w:highlight w:val="none"/>
        </w:rPr>
        <w:t>4</w:t>
      </w:r>
      <w:r>
        <w:rPr>
          <w:color w:val="auto"/>
          <w:sz w:val="21"/>
          <w:highlight w:val="none"/>
        </w:rPr>
        <w:t xml:space="preserve">.6.1 </w:t>
      </w:r>
      <w:r>
        <w:rPr>
          <w:rFonts w:hint="eastAsia"/>
          <w:color w:val="auto"/>
          <w:sz w:val="21"/>
          <w:highlight w:val="none"/>
        </w:rPr>
        <w:t>经发包人同意，</w:t>
      </w:r>
      <w:bookmarkEnd w:id="693"/>
      <w:r>
        <w:rPr>
          <w:rFonts w:hint="eastAsia"/>
          <w:color w:val="auto"/>
          <w:sz w:val="21"/>
          <w:highlight w:val="none"/>
        </w:rPr>
        <w:t>以联合体方式承包工程的，联合体各方应共同与发包人订立合同协议书。联合体各方应为履行合同向发包人承担连带责任。</w:t>
      </w:r>
    </w:p>
    <w:p w14:paraId="60A31F8A">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4</w:t>
      </w:r>
      <w:r>
        <w:rPr>
          <w:color w:val="auto"/>
          <w:sz w:val="21"/>
          <w:highlight w:val="none"/>
        </w:rPr>
        <w:t xml:space="preserve">.6.2 </w:t>
      </w:r>
      <w:r>
        <w:rPr>
          <w:rFonts w:hint="eastAsia"/>
          <w:color w:val="auto"/>
          <w:sz w:val="21"/>
          <w:highlight w:val="none"/>
        </w:rPr>
        <w:t>承包人应在专用合同条件中明确联合体各成员的分工、费用收取、发票开具等事项。联合体各成员分工承担的工作内容必须与适用法律规定的该成员的资质资格相适应，并应具有相应的项目管理体系和项目管理能力，且不应根据其就承包工作的分工而减免对发包人的任何合同责任。</w:t>
      </w:r>
    </w:p>
    <w:p w14:paraId="4E437A5F">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4</w:t>
      </w:r>
      <w:r>
        <w:rPr>
          <w:color w:val="auto"/>
          <w:sz w:val="21"/>
          <w:highlight w:val="none"/>
        </w:rPr>
        <w:t xml:space="preserve">.6.3 </w:t>
      </w:r>
      <w:r>
        <w:rPr>
          <w:rFonts w:hint="eastAsia"/>
          <w:color w:val="auto"/>
          <w:sz w:val="21"/>
          <w:highlight w:val="none"/>
        </w:rPr>
        <w:t>联合体协议经发包人确认后作为合同附件。在履行合同过程中，未经发包人同意，不得变更联合体成员和其负责的工作范围，或者修改联合体协议中与本合同履行相关的内容。</w:t>
      </w:r>
    </w:p>
    <w:p w14:paraId="60A64D5C">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694" w:name="_Toc54862218"/>
      <w:bookmarkStart w:id="695" w:name="_Toc30712"/>
      <w:bookmarkStart w:id="696" w:name="_Toc14087"/>
      <w:bookmarkStart w:id="697" w:name="_Ref11926629"/>
      <w:bookmarkStart w:id="698" w:name="_Ref11926631"/>
      <w:bookmarkStart w:id="699" w:name="_Toc28504"/>
      <w:r>
        <w:rPr>
          <w:rFonts w:hint="eastAsia" w:ascii="宋体" w:hAnsi="宋体" w:eastAsia="宋体"/>
          <w:b/>
          <w:bCs w:val="0"/>
          <w:color w:val="auto"/>
          <w:sz w:val="21"/>
          <w:szCs w:val="21"/>
          <w:highlight w:val="none"/>
        </w:rPr>
        <w:t>4</w:t>
      </w:r>
      <w:r>
        <w:rPr>
          <w:rFonts w:ascii="宋体" w:hAnsi="宋体" w:eastAsia="宋体"/>
          <w:b/>
          <w:bCs w:val="0"/>
          <w:color w:val="auto"/>
          <w:sz w:val="21"/>
          <w:szCs w:val="21"/>
          <w:highlight w:val="none"/>
        </w:rPr>
        <w:t xml:space="preserve">.7 </w:t>
      </w:r>
      <w:r>
        <w:rPr>
          <w:rFonts w:hint="eastAsia" w:ascii="宋体" w:hAnsi="宋体" w:eastAsia="宋体"/>
          <w:b/>
          <w:bCs w:val="0"/>
          <w:color w:val="auto"/>
          <w:sz w:val="21"/>
          <w:szCs w:val="21"/>
          <w:highlight w:val="none"/>
        </w:rPr>
        <w:t>承包人现场查勘</w:t>
      </w:r>
      <w:bookmarkEnd w:id="694"/>
      <w:bookmarkEnd w:id="695"/>
      <w:bookmarkEnd w:id="696"/>
      <w:bookmarkEnd w:id="697"/>
      <w:bookmarkEnd w:id="698"/>
      <w:bookmarkEnd w:id="699"/>
    </w:p>
    <w:p w14:paraId="6305C012">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4</w:t>
      </w:r>
      <w:r>
        <w:rPr>
          <w:color w:val="auto"/>
          <w:sz w:val="21"/>
          <w:highlight w:val="none"/>
        </w:rPr>
        <w:t xml:space="preserve">.7.1 </w:t>
      </w:r>
      <w:r>
        <w:rPr>
          <w:rFonts w:hint="eastAsia"/>
          <w:color w:val="auto"/>
          <w:sz w:val="21"/>
          <w:highlight w:val="none"/>
        </w:rPr>
        <w:t>除专用合同条件另有约定外，承包人应对基于发包人提交的基础资料所做出的解释和推断负责，因基础资料存在错误、遗漏导致承包人解释或推断失实的，按照第</w:t>
      </w:r>
      <w:r>
        <w:rPr>
          <w:color w:val="auto"/>
          <w:sz w:val="21"/>
          <w:highlight w:val="none"/>
        </w:rPr>
        <w:t>2.3</w:t>
      </w:r>
      <w:r>
        <w:rPr>
          <w:rFonts w:hint="eastAsia"/>
          <w:color w:val="auto"/>
          <w:sz w:val="21"/>
          <w:highlight w:val="none"/>
        </w:rPr>
        <w:t>项[</w:t>
      </w:r>
      <w:r>
        <w:rPr>
          <w:color w:val="auto"/>
          <w:sz w:val="21"/>
          <w:highlight w:val="none"/>
        </w:rPr>
        <w:t>提供基础资料</w:t>
      </w:r>
      <w:r>
        <w:rPr>
          <w:rFonts w:hint="eastAsia"/>
          <w:color w:val="auto"/>
          <w:sz w:val="21"/>
          <w:highlight w:val="none"/>
        </w:rPr>
        <w:t>]的规定承担责任。承包人发现基础资料中存在明显错误或疏忽的，应及时书面通知发包人。</w:t>
      </w:r>
    </w:p>
    <w:p w14:paraId="6695BAF9">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4</w:t>
      </w:r>
      <w:r>
        <w:rPr>
          <w:color w:val="auto"/>
          <w:sz w:val="21"/>
          <w:highlight w:val="none"/>
        </w:rPr>
        <w:t xml:space="preserve">.7.2 </w:t>
      </w:r>
      <w:r>
        <w:rPr>
          <w:rFonts w:hint="eastAsia"/>
          <w:color w:val="auto"/>
          <w:sz w:val="21"/>
          <w:highlight w:val="none"/>
        </w:rPr>
        <w:t>承包人应对现场和工程实施条件进行查勘，并充分了解工程所在地的气象条件、交通条件、风俗习惯以及其他与完成合同工作有关的其他资料。承包人提交投标文件，视为承包人已对施工现场及周围环境进行了踏勘，并已充分了解评估施工现场及周围环境对工程可能产生的影响，自愿承担相应风险与责任。在全部合同工作中，视为承包人已充分估计了应承担的责任和风险，但属于</w:t>
      </w:r>
      <w:r>
        <w:rPr>
          <w:color w:val="auto"/>
          <w:sz w:val="21"/>
          <w:highlight w:val="none"/>
        </w:rPr>
        <w:t>4.8</w:t>
      </w:r>
      <w:r>
        <w:rPr>
          <w:rFonts w:hint="eastAsia"/>
          <w:color w:val="auto"/>
          <w:sz w:val="21"/>
          <w:highlight w:val="none"/>
        </w:rPr>
        <w:t>款</w:t>
      </w:r>
      <w:r>
        <w:rPr>
          <w:color w:val="auto"/>
          <w:sz w:val="21"/>
          <w:highlight w:val="none"/>
        </w:rPr>
        <w:t>[</w:t>
      </w:r>
      <w:r>
        <w:rPr>
          <w:rFonts w:hint="eastAsia"/>
          <w:color w:val="auto"/>
          <w:sz w:val="21"/>
          <w:highlight w:val="none"/>
        </w:rPr>
        <w:t>不可预见的困难</w:t>
      </w:r>
      <w:r>
        <w:rPr>
          <w:color w:val="auto"/>
          <w:sz w:val="21"/>
          <w:highlight w:val="none"/>
        </w:rPr>
        <w:t>]约定的情形除外</w:t>
      </w:r>
      <w:r>
        <w:rPr>
          <w:rFonts w:hint="eastAsia"/>
          <w:color w:val="auto"/>
          <w:sz w:val="21"/>
          <w:highlight w:val="none"/>
        </w:rPr>
        <w:t>。</w:t>
      </w:r>
    </w:p>
    <w:p w14:paraId="700AA834">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700" w:name="_Toc54862219"/>
      <w:bookmarkStart w:id="701" w:name="_Ref11918789"/>
      <w:bookmarkStart w:id="702" w:name="_Toc9280"/>
      <w:bookmarkStart w:id="703" w:name="_Ref11918626"/>
      <w:bookmarkStart w:id="704" w:name="不可预见的困难"/>
      <w:bookmarkStart w:id="705" w:name="_Toc26112"/>
      <w:bookmarkStart w:id="706" w:name="_Toc695"/>
      <w:bookmarkStart w:id="707" w:name="_Ref11918693"/>
      <w:r>
        <w:rPr>
          <w:rFonts w:hint="eastAsia" w:ascii="宋体" w:hAnsi="宋体" w:eastAsia="宋体"/>
          <w:b/>
          <w:bCs w:val="0"/>
          <w:color w:val="auto"/>
          <w:sz w:val="21"/>
          <w:szCs w:val="21"/>
          <w:highlight w:val="none"/>
        </w:rPr>
        <w:t>4</w:t>
      </w:r>
      <w:r>
        <w:rPr>
          <w:rFonts w:ascii="宋体" w:hAnsi="宋体" w:eastAsia="宋体"/>
          <w:b/>
          <w:bCs w:val="0"/>
          <w:color w:val="auto"/>
          <w:sz w:val="21"/>
          <w:szCs w:val="21"/>
          <w:highlight w:val="none"/>
        </w:rPr>
        <w:t xml:space="preserve">.8 </w:t>
      </w:r>
      <w:r>
        <w:rPr>
          <w:rFonts w:hint="eastAsia" w:ascii="宋体" w:hAnsi="宋体" w:eastAsia="宋体"/>
          <w:b/>
          <w:bCs w:val="0"/>
          <w:color w:val="auto"/>
          <w:sz w:val="21"/>
          <w:szCs w:val="21"/>
          <w:highlight w:val="none"/>
        </w:rPr>
        <w:t>不可预见的困难</w:t>
      </w:r>
      <w:bookmarkEnd w:id="690"/>
      <w:bookmarkEnd w:id="691"/>
      <w:bookmarkEnd w:id="692"/>
      <w:bookmarkEnd w:id="700"/>
      <w:bookmarkEnd w:id="701"/>
      <w:bookmarkEnd w:id="702"/>
      <w:bookmarkEnd w:id="703"/>
      <w:bookmarkEnd w:id="704"/>
      <w:bookmarkEnd w:id="705"/>
      <w:bookmarkEnd w:id="706"/>
      <w:bookmarkEnd w:id="707"/>
    </w:p>
    <w:p w14:paraId="72194E25">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不可预见的困难是指有经验的承包人在施工现场遇到的不可预见的自然物质条件、非自然的物质障碍和污染物，包括地表以下物质条件和水文条件以及专用合同条件约定的其他情形，但不包括气候条件。</w:t>
      </w:r>
    </w:p>
    <w:p w14:paraId="1037C3B0">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承包人遇到不可预见的困难时，应采取克服不可预见的困难的合理措施继续施工，并及时通知工程师并抄送发包人。通知应载明不可预见的困难的内容、承包人认为不可预见的理由以及承包人制定的处理方案。工程师应当及时发出指示，指示构成变更的，按第</w:t>
      </w:r>
      <w:r>
        <w:rPr>
          <w:rFonts w:ascii="宋体" w:hAnsi="宋体"/>
          <w:color w:val="auto"/>
          <w:szCs w:val="21"/>
          <w:highlight w:val="none"/>
        </w:rPr>
        <w:t>13条</w:t>
      </w:r>
      <w:r>
        <w:rPr>
          <w:rFonts w:hint="eastAsia" w:ascii="宋体" w:hAnsi="宋体"/>
          <w:color w:val="auto"/>
          <w:szCs w:val="21"/>
          <w:highlight w:val="none"/>
        </w:rPr>
        <w:t>[变更与调整]约定执行。承包人因采取合理措施而增加的费用和（或）延误的工期由发包人承担。</w:t>
      </w:r>
    </w:p>
    <w:p w14:paraId="49FC7814">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708" w:name="_Toc23494"/>
      <w:bookmarkStart w:id="709" w:name="_Ref11926570"/>
      <w:bookmarkStart w:id="710" w:name="_Toc14654"/>
      <w:bookmarkStart w:id="711" w:name="_Toc16393"/>
      <w:bookmarkStart w:id="712" w:name="_Toc54862220"/>
      <w:bookmarkStart w:id="713" w:name="_Ref11926566"/>
      <w:r>
        <w:rPr>
          <w:rFonts w:hint="eastAsia" w:ascii="宋体" w:hAnsi="宋体" w:eastAsia="宋体"/>
          <w:b/>
          <w:bCs w:val="0"/>
          <w:color w:val="auto"/>
          <w:sz w:val="21"/>
          <w:szCs w:val="21"/>
          <w:highlight w:val="none"/>
        </w:rPr>
        <w:t>4</w:t>
      </w:r>
      <w:r>
        <w:rPr>
          <w:rFonts w:ascii="宋体" w:hAnsi="宋体" w:eastAsia="宋体"/>
          <w:b/>
          <w:bCs w:val="0"/>
          <w:color w:val="auto"/>
          <w:sz w:val="21"/>
          <w:szCs w:val="21"/>
          <w:highlight w:val="none"/>
        </w:rPr>
        <w:t xml:space="preserve">.9 </w:t>
      </w:r>
      <w:r>
        <w:rPr>
          <w:rFonts w:hint="eastAsia" w:ascii="宋体" w:hAnsi="宋体" w:eastAsia="宋体"/>
          <w:b/>
          <w:bCs w:val="0"/>
          <w:color w:val="auto"/>
          <w:sz w:val="21"/>
          <w:szCs w:val="21"/>
          <w:highlight w:val="none"/>
        </w:rPr>
        <w:t>工程质量管理</w:t>
      </w:r>
      <w:bookmarkEnd w:id="708"/>
      <w:bookmarkEnd w:id="709"/>
      <w:bookmarkEnd w:id="710"/>
      <w:bookmarkEnd w:id="711"/>
      <w:bookmarkEnd w:id="712"/>
      <w:bookmarkEnd w:id="713"/>
    </w:p>
    <w:p w14:paraId="7D9533AA">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4</w:t>
      </w:r>
      <w:r>
        <w:rPr>
          <w:color w:val="auto"/>
          <w:sz w:val="21"/>
          <w:highlight w:val="none"/>
        </w:rPr>
        <w:t xml:space="preserve">.9.1 </w:t>
      </w:r>
      <w:r>
        <w:rPr>
          <w:rFonts w:hint="eastAsia"/>
          <w:color w:val="auto"/>
          <w:sz w:val="21"/>
          <w:highlight w:val="none"/>
        </w:rPr>
        <w:t>承包人应按合同约定的质量标准规范，建立有效的质量管理系统，确保设计、采购、加工制造、施工、竣工试验等各项工作的质量，并按照国家有关规定，通过质量保修责任书的形式约定保修范围、保修期限和保修责任。</w:t>
      </w:r>
    </w:p>
    <w:p w14:paraId="78DB04D7">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color w:val="auto"/>
          <w:sz w:val="21"/>
          <w:highlight w:val="none"/>
        </w:rPr>
        <w:t xml:space="preserve">4.9.2 </w:t>
      </w:r>
      <w:r>
        <w:rPr>
          <w:rFonts w:hint="eastAsia"/>
          <w:color w:val="auto"/>
          <w:sz w:val="21"/>
          <w:highlight w:val="none"/>
        </w:rPr>
        <w:t>承包人按照第</w:t>
      </w:r>
      <w:r>
        <w:rPr>
          <w:color w:val="auto"/>
          <w:sz w:val="21"/>
          <w:highlight w:val="none"/>
        </w:rPr>
        <w:t>8.4</w:t>
      </w:r>
      <w:r>
        <w:rPr>
          <w:rFonts w:hint="eastAsia"/>
          <w:color w:val="auto"/>
          <w:sz w:val="21"/>
          <w:highlight w:val="none"/>
        </w:rPr>
        <w:t>款[项目进度计划]约定向工程师提交工程质量保证体系及措施文件，建立完善的质量检查制度，并提交相应的工程质量文件。对于发包人和工程师违反法律规定和合同约定的错误指示，承包人有权拒绝实施。</w:t>
      </w:r>
    </w:p>
    <w:p w14:paraId="48C4536B">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4</w:t>
      </w:r>
      <w:r>
        <w:rPr>
          <w:color w:val="auto"/>
          <w:sz w:val="21"/>
          <w:highlight w:val="none"/>
        </w:rPr>
        <w:t xml:space="preserve">.9.3 </w:t>
      </w:r>
      <w:r>
        <w:rPr>
          <w:rFonts w:hint="eastAsia"/>
          <w:color w:val="auto"/>
          <w:sz w:val="21"/>
          <w:highlight w:val="none"/>
        </w:rPr>
        <w:t>承包人应对其人员进行质量教育和技术培训，定期考核人员的劳动技能，严格执行相关规范和操作规程。</w:t>
      </w:r>
    </w:p>
    <w:p w14:paraId="41D5982F">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4</w:t>
      </w:r>
      <w:r>
        <w:rPr>
          <w:color w:val="auto"/>
          <w:sz w:val="21"/>
          <w:highlight w:val="none"/>
        </w:rPr>
        <w:t xml:space="preserve">.9.4 </w:t>
      </w:r>
      <w:r>
        <w:rPr>
          <w:rFonts w:hint="eastAsia"/>
          <w:color w:val="auto"/>
          <w:sz w:val="21"/>
          <w:highlight w:val="none"/>
        </w:rPr>
        <w:t>承包人应按照法律规定和合同约定，对设计、材料、工程设备以及全部工程内容及其施工工艺进行全过程的质量检查和检验，并作详细记录，编制工程质量报表，报送工程师审查。此外，承包人还应按照法律规定和合同约定，进行施工现场取样试验、工程复核测量和设备性能检测，提供试验样品、提交试验报告和测量成果以及其他工作。</w:t>
      </w:r>
    </w:p>
    <w:p w14:paraId="53EC109D">
      <w:pPr>
        <w:pStyle w:val="178"/>
        <w:keepNext w:val="0"/>
        <w:keepLines w:val="0"/>
        <w:pageBreakBefore w:val="0"/>
        <w:numPr>
          <w:ilvl w:val="0"/>
          <w:numId w:val="0"/>
        </w:numPr>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714" w:name="_Toc15332"/>
      <w:bookmarkStart w:id="715" w:name="_Ref531952837"/>
      <w:bookmarkStart w:id="716" w:name="_Toc25514"/>
      <w:bookmarkStart w:id="717" w:name="_Toc5697"/>
      <w:bookmarkStart w:id="718" w:name="_Toc54862221"/>
      <w:bookmarkStart w:id="719" w:name="_Toc10214"/>
      <w:r>
        <w:rPr>
          <w:rFonts w:hint="eastAsia" w:ascii="宋体" w:hAnsi="宋体" w:eastAsia="宋体"/>
          <w:b/>
          <w:bCs w:val="0"/>
          <w:color w:val="auto"/>
          <w:sz w:val="21"/>
          <w:szCs w:val="21"/>
          <w:highlight w:val="none"/>
        </w:rPr>
        <w:t>第5条 设计</w:t>
      </w:r>
      <w:bookmarkEnd w:id="714"/>
      <w:bookmarkEnd w:id="715"/>
      <w:bookmarkEnd w:id="716"/>
      <w:bookmarkEnd w:id="717"/>
      <w:bookmarkEnd w:id="718"/>
      <w:bookmarkEnd w:id="719"/>
    </w:p>
    <w:p w14:paraId="63E9C63F">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720" w:name="_Toc54862222"/>
      <w:bookmarkStart w:id="721" w:name="_Toc5143"/>
      <w:bookmarkStart w:id="722" w:name="_Ref531952863"/>
      <w:bookmarkStart w:id="723" w:name="_Toc23314"/>
      <w:bookmarkStart w:id="724" w:name="_Toc25331"/>
      <w:bookmarkStart w:id="725" w:name="_Ref531952860"/>
      <w:r>
        <w:rPr>
          <w:rFonts w:hint="eastAsia" w:ascii="宋体" w:hAnsi="宋体" w:eastAsia="宋体"/>
          <w:b/>
          <w:bCs w:val="0"/>
          <w:color w:val="auto"/>
          <w:sz w:val="21"/>
          <w:szCs w:val="21"/>
          <w:highlight w:val="none"/>
        </w:rPr>
        <w:t>5</w:t>
      </w:r>
      <w:r>
        <w:rPr>
          <w:rFonts w:ascii="宋体" w:hAnsi="宋体" w:eastAsia="宋体"/>
          <w:b/>
          <w:bCs w:val="0"/>
          <w:color w:val="auto"/>
          <w:sz w:val="21"/>
          <w:szCs w:val="21"/>
          <w:highlight w:val="none"/>
        </w:rPr>
        <w:t xml:space="preserve">.1 </w:t>
      </w:r>
      <w:r>
        <w:rPr>
          <w:rFonts w:hint="eastAsia" w:ascii="宋体" w:hAnsi="宋体" w:eastAsia="宋体"/>
          <w:b/>
          <w:bCs w:val="0"/>
          <w:color w:val="auto"/>
          <w:sz w:val="21"/>
          <w:szCs w:val="21"/>
          <w:highlight w:val="none"/>
        </w:rPr>
        <w:t>承包人的设计义务</w:t>
      </w:r>
      <w:bookmarkEnd w:id="720"/>
      <w:bookmarkEnd w:id="721"/>
      <w:bookmarkEnd w:id="722"/>
      <w:bookmarkEnd w:id="723"/>
      <w:bookmarkEnd w:id="724"/>
      <w:bookmarkEnd w:id="725"/>
    </w:p>
    <w:p w14:paraId="053ED3E5">
      <w:pPr>
        <w:pStyle w:val="153"/>
        <w:keepNext w:val="0"/>
        <w:keepLines w:val="0"/>
        <w:pageBreakBefore w:val="0"/>
        <w:kinsoku/>
        <w:wordWrap/>
        <w:overflowPunct/>
        <w:topLinePunct w:val="0"/>
        <w:bidi w:val="0"/>
        <w:spacing w:after="120"/>
        <w:ind w:firstLine="422" w:firstLineChars="200"/>
        <w:textAlignment w:val="auto"/>
        <w:rPr>
          <w:b/>
          <w:bCs w:val="0"/>
          <w:color w:val="auto"/>
          <w:sz w:val="21"/>
          <w:highlight w:val="none"/>
        </w:rPr>
      </w:pPr>
      <w:bookmarkStart w:id="726" w:name="_Ref531952881"/>
      <w:r>
        <w:rPr>
          <w:rFonts w:hint="eastAsia"/>
          <w:b/>
          <w:bCs w:val="0"/>
          <w:color w:val="auto"/>
          <w:sz w:val="21"/>
          <w:highlight w:val="none"/>
        </w:rPr>
        <w:t>5</w:t>
      </w:r>
      <w:r>
        <w:rPr>
          <w:b/>
          <w:bCs w:val="0"/>
          <w:color w:val="auto"/>
          <w:sz w:val="21"/>
          <w:highlight w:val="none"/>
        </w:rPr>
        <w:t xml:space="preserve">.1.1 </w:t>
      </w:r>
      <w:r>
        <w:rPr>
          <w:rFonts w:hint="eastAsia"/>
          <w:b/>
          <w:bCs w:val="0"/>
          <w:color w:val="auto"/>
          <w:sz w:val="21"/>
          <w:highlight w:val="none"/>
        </w:rPr>
        <w:t>设计义务的一般要求</w:t>
      </w:r>
      <w:bookmarkEnd w:id="726"/>
    </w:p>
    <w:p w14:paraId="34455957">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承包人应当按照法律规定，国家、行业和地方的规范和标准，以及《发包人要求》和合同约定完成设计工作和设计相关的其他服务，并对工程的设计负责。承包人应根据工程实施的需要及时向发包人和工程师说明设计文件的意图，解释设计文件。</w:t>
      </w:r>
    </w:p>
    <w:p w14:paraId="56DF8B41">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727" w:name="_Ref531952952"/>
      <w:bookmarkStart w:id="728" w:name="_Ref531952899"/>
      <w:r>
        <w:rPr>
          <w:rFonts w:hint="eastAsia"/>
          <w:b/>
          <w:bCs/>
          <w:color w:val="auto"/>
          <w:sz w:val="21"/>
          <w:highlight w:val="none"/>
        </w:rPr>
        <w:t>5</w:t>
      </w:r>
      <w:r>
        <w:rPr>
          <w:b/>
          <w:bCs/>
          <w:color w:val="auto"/>
          <w:sz w:val="21"/>
          <w:highlight w:val="none"/>
        </w:rPr>
        <w:t xml:space="preserve">.1.2 </w:t>
      </w:r>
      <w:r>
        <w:rPr>
          <w:rFonts w:hint="eastAsia"/>
          <w:b/>
          <w:bCs/>
          <w:color w:val="auto"/>
          <w:sz w:val="21"/>
          <w:highlight w:val="none"/>
        </w:rPr>
        <w:t>对设计人员的要求</w:t>
      </w:r>
      <w:bookmarkEnd w:id="727"/>
    </w:p>
    <w:p w14:paraId="5184778D">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承包人应保证其或其设计分包人的设计资质在合同有效期内满足法律法规、行业标准或合同约定的相关要求，并指派符合法律法规、行业标准或合同约定的资质要求并具有从事设计所必需的经验与能力的设计人员完成设计工作。承包人应保证其设计人员（包括分包人的设计人员）在合同期限内，都能按时参加发包人或工程师组织的工作会议。</w:t>
      </w:r>
    </w:p>
    <w:bookmarkEnd w:id="728"/>
    <w:p w14:paraId="529AE7AE">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r>
        <w:rPr>
          <w:rFonts w:hint="eastAsia"/>
          <w:b/>
          <w:bCs/>
          <w:color w:val="auto"/>
          <w:sz w:val="21"/>
          <w:highlight w:val="none"/>
        </w:rPr>
        <w:t>5</w:t>
      </w:r>
      <w:r>
        <w:rPr>
          <w:b/>
          <w:bCs/>
          <w:color w:val="auto"/>
          <w:sz w:val="21"/>
          <w:highlight w:val="none"/>
        </w:rPr>
        <w:t xml:space="preserve">.1.3 </w:t>
      </w:r>
      <w:r>
        <w:rPr>
          <w:rFonts w:hint="eastAsia"/>
          <w:b/>
          <w:bCs/>
          <w:color w:val="auto"/>
          <w:sz w:val="21"/>
          <w:highlight w:val="none"/>
        </w:rPr>
        <w:t>法律和标准的变化</w:t>
      </w:r>
    </w:p>
    <w:p w14:paraId="763563F2">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除合同另有约定外，承包人完成设计工作所应遵守的法律规定，以及国家、行业和地方的规范和标准，均应视为在基准日期适用的版本。基准日期之后，前述版本发生重大变化，或者有新的法律，以及国家、行业和地方的规范和标准实施的，承包人应向工程师提出遵守新规定的建议。发包人或其委托的工程师应在收到建议后7天内发出是否遵守新规定的指示。如果该项建议构成变更的，按照第</w:t>
      </w:r>
      <w:r>
        <w:rPr>
          <w:rFonts w:ascii="宋体" w:hAnsi="宋体"/>
          <w:color w:val="auto"/>
          <w:szCs w:val="21"/>
          <w:highlight w:val="none"/>
        </w:rPr>
        <w:t>13.2</w:t>
      </w:r>
      <w:r>
        <w:rPr>
          <w:rFonts w:hint="eastAsia" w:ascii="宋体" w:hAnsi="宋体"/>
          <w:color w:val="auto"/>
          <w:szCs w:val="21"/>
          <w:highlight w:val="none"/>
        </w:rPr>
        <w:t>款[承包人的合理化建议]的约定执行。</w:t>
      </w:r>
    </w:p>
    <w:p w14:paraId="7C6AE4EC">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在基准日期之后，因国家颁布新的强制性规范、标准导致承包人的费用变化的，发包人应合理调整合同价格；导致工期延误的，发包人应合理延长工期。</w:t>
      </w:r>
    </w:p>
    <w:p w14:paraId="7025AE85">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729" w:name="_Toc12938"/>
      <w:bookmarkStart w:id="730" w:name="_Ref531953051"/>
      <w:bookmarkStart w:id="731" w:name="_Toc6371"/>
      <w:bookmarkStart w:id="732" w:name="_Ref531953054"/>
      <w:bookmarkStart w:id="733" w:name="_Toc54862223"/>
      <w:bookmarkStart w:id="734" w:name="_Toc11499"/>
      <w:r>
        <w:rPr>
          <w:rFonts w:hint="eastAsia" w:ascii="宋体" w:hAnsi="宋体" w:eastAsia="宋体"/>
          <w:b/>
          <w:bCs w:val="0"/>
          <w:color w:val="auto"/>
          <w:sz w:val="21"/>
          <w:szCs w:val="21"/>
          <w:highlight w:val="none"/>
        </w:rPr>
        <w:t>5</w:t>
      </w:r>
      <w:r>
        <w:rPr>
          <w:rFonts w:ascii="宋体" w:hAnsi="宋体" w:eastAsia="宋体"/>
          <w:b/>
          <w:bCs w:val="0"/>
          <w:color w:val="auto"/>
          <w:sz w:val="21"/>
          <w:szCs w:val="21"/>
          <w:highlight w:val="none"/>
        </w:rPr>
        <w:t xml:space="preserve">.2 </w:t>
      </w:r>
      <w:r>
        <w:rPr>
          <w:rFonts w:hint="eastAsia" w:ascii="宋体" w:hAnsi="宋体" w:eastAsia="宋体"/>
          <w:b/>
          <w:bCs w:val="0"/>
          <w:color w:val="auto"/>
          <w:sz w:val="21"/>
          <w:szCs w:val="21"/>
          <w:highlight w:val="none"/>
        </w:rPr>
        <w:t>承包人文件审查</w:t>
      </w:r>
      <w:bookmarkEnd w:id="729"/>
      <w:bookmarkEnd w:id="730"/>
      <w:bookmarkEnd w:id="731"/>
      <w:bookmarkEnd w:id="732"/>
      <w:bookmarkEnd w:id="733"/>
      <w:bookmarkEnd w:id="734"/>
    </w:p>
    <w:p w14:paraId="4B37E106">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bookmarkStart w:id="735" w:name="_Ref531953064"/>
      <w:r>
        <w:rPr>
          <w:rFonts w:hint="eastAsia"/>
          <w:color w:val="auto"/>
          <w:sz w:val="21"/>
          <w:highlight w:val="none"/>
        </w:rPr>
        <w:t>5</w:t>
      </w:r>
      <w:r>
        <w:rPr>
          <w:color w:val="auto"/>
          <w:sz w:val="21"/>
          <w:highlight w:val="none"/>
        </w:rPr>
        <w:t xml:space="preserve">.2.1 </w:t>
      </w:r>
      <w:r>
        <w:rPr>
          <w:rFonts w:hint="eastAsia"/>
          <w:color w:val="auto"/>
          <w:sz w:val="21"/>
          <w:highlight w:val="none"/>
        </w:rPr>
        <w:t>根据《发包人要求》应当通过工程师报发包人审查同意的承包人文件，承包人应当按照《发包人要求》约定的范围和内容及时报送审查。</w:t>
      </w:r>
      <w:bookmarkEnd w:id="735"/>
    </w:p>
    <w:p w14:paraId="4BCC4CCC">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除专用合同条件另有约定外，自工程师收到承包人文件以及承包人的通知之日起，发包人对承包人文件审查期不超过21天。承包人的设计文件对于合同约定有偏离的，应在通知中说明。承包人需要修改已提交的承包人文件的，应立即通知工程师，并向工程师提交修改后的承包人文件，审查期重新起算。</w:t>
      </w:r>
    </w:p>
    <w:p w14:paraId="6FFBE634">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发包人同意承包人文件的，应及时通知承包人，发包人不同意承包人文件的，应在审查期限内通过工程师以书面形式通知承包人，并说明不同意的具体内容和理由。</w:t>
      </w:r>
    </w:p>
    <w:p w14:paraId="7983CE67">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承包人对发包人的意见按以下方式处理：</w:t>
      </w:r>
    </w:p>
    <w:p w14:paraId="6384D1C3">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 发包人的意见构成变更的，承包人应在7天内通知发包人按照第1</w:t>
      </w:r>
      <w:r>
        <w:rPr>
          <w:rFonts w:ascii="宋体" w:hAnsi="宋体"/>
          <w:color w:val="auto"/>
          <w:szCs w:val="21"/>
          <w:highlight w:val="none"/>
        </w:rPr>
        <w:t>3</w:t>
      </w:r>
      <w:r>
        <w:rPr>
          <w:rFonts w:hint="eastAsia" w:ascii="宋体" w:hAnsi="宋体"/>
          <w:color w:val="auto"/>
          <w:szCs w:val="21"/>
          <w:highlight w:val="none"/>
        </w:rPr>
        <w:t>条</w:t>
      </w:r>
      <w:r>
        <w:rPr>
          <w:rFonts w:ascii="宋体" w:hAnsi="宋体"/>
          <w:color w:val="auto"/>
          <w:szCs w:val="21"/>
          <w:highlight w:val="none"/>
        </w:rPr>
        <w:t>[</w:t>
      </w:r>
      <w:r>
        <w:rPr>
          <w:rFonts w:hint="eastAsia" w:ascii="宋体" w:hAnsi="宋体"/>
          <w:color w:val="auto"/>
          <w:szCs w:val="21"/>
          <w:highlight w:val="none"/>
        </w:rPr>
        <w:t>变更与调整</w:t>
      </w:r>
      <w:r>
        <w:rPr>
          <w:rFonts w:ascii="宋体" w:hAnsi="宋体"/>
          <w:color w:val="auto"/>
          <w:szCs w:val="21"/>
          <w:highlight w:val="none"/>
        </w:rPr>
        <w:t>]</w:t>
      </w:r>
      <w:r>
        <w:rPr>
          <w:rFonts w:hint="eastAsia" w:ascii="宋体" w:hAnsi="宋体"/>
          <w:color w:val="auto"/>
          <w:szCs w:val="21"/>
          <w:highlight w:val="none"/>
        </w:rPr>
        <w:t>中关于发包人指示变更的约定执行，双方对是否构成变更无法达成一致的，按照第</w:t>
      </w:r>
      <w:r>
        <w:rPr>
          <w:rFonts w:ascii="宋体" w:hAnsi="宋体"/>
          <w:color w:val="auto"/>
          <w:szCs w:val="21"/>
          <w:highlight w:val="none"/>
        </w:rPr>
        <w:t>20条[</w:t>
      </w:r>
      <w:r>
        <w:rPr>
          <w:rFonts w:hint="eastAsia" w:ascii="宋体" w:hAnsi="宋体"/>
          <w:color w:val="auto"/>
          <w:szCs w:val="21"/>
          <w:highlight w:val="none"/>
        </w:rPr>
        <w:t>争议解决</w:t>
      </w:r>
      <w:r>
        <w:rPr>
          <w:rFonts w:ascii="宋体" w:hAnsi="宋体"/>
          <w:color w:val="auto"/>
          <w:szCs w:val="21"/>
          <w:highlight w:val="none"/>
        </w:rPr>
        <w:t>]</w:t>
      </w:r>
      <w:r>
        <w:rPr>
          <w:rFonts w:hint="eastAsia" w:ascii="宋体" w:hAnsi="宋体"/>
          <w:color w:val="auto"/>
          <w:szCs w:val="21"/>
          <w:highlight w:val="none"/>
        </w:rPr>
        <w:t>的约定执行；</w:t>
      </w:r>
    </w:p>
    <w:p w14:paraId="1D0D0E75">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 因承包人原因导致无法通过审查的，承包人应根据发包人的书面说明，对承包人文件进行修改后重新报送发包人审查，审查期重新起算。因此引起的工期延长和必要的工程费用增加，由承包人负责。</w:t>
      </w:r>
    </w:p>
    <w:p w14:paraId="0E33D6A6">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合同约定的审查期满，发包人没有做出审查结论也没有提出异议的，视为承包人文件已获发包人同意。</w:t>
      </w:r>
    </w:p>
    <w:p w14:paraId="485D6BFE">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发包人对承包人文件的审查和同意不得被理解为对合同的修改或改变，也并不减轻或免除承包人任何的责任和义务。</w:t>
      </w:r>
    </w:p>
    <w:p w14:paraId="6E4787EC">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5</w:t>
      </w:r>
      <w:r>
        <w:rPr>
          <w:color w:val="auto"/>
          <w:sz w:val="21"/>
          <w:highlight w:val="none"/>
        </w:rPr>
        <w:t xml:space="preserve">.2.2 </w:t>
      </w:r>
      <w:r>
        <w:rPr>
          <w:rFonts w:hint="eastAsia"/>
          <w:color w:val="auto"/>
          <w:sz w:val="21"/>
          <w:highlight w:val="none"/>
        </w:rPr>
        <w:t>承包人文件不需要政府有关部门或专用合同条件约定的第三方审查单位审查或批准的，承包人应当严格按照经发包人审查同意的承包人文件设计和实施工程。</w:t>
      </w:r>
    </w:p>
    <w:p w14:paraId="6EDD32BB">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发包人需要组织审查会议对承包人文件进行审查的，审查会议的审查形式、时间安排、费用承担，在专用合同条件中约定。发包人负责组织承包人文件审查会议，承包人有义务参加发包人组织的审查会议，向审查者介绍、解答、解释承包人文件，并提供有关补充资料。</w:t>
      </w:r>
    </w:p>
    <w:p w14:paraId="2637C6A0">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发包人有义务向承包人提供审查会议的批准文件和纪要。承包人有义务按照相关审查会议批准的文件和纪要，并依据合同约定及相关技术标准，对承包人文件进行修改、补充和完善。</w:t>
      </w:r>
    </w:p>
    <w:p w14:paraId="4EC4BA1E">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bookmarkStart w:id="736" w:name="_Ref531953074"/>
      <w:r>
        <w:rPr>
          <w:rFonts w:hint="eastAsia"/>
          <w:color w:val="auto"/>
          <w:sz w:val="21"/>
          <w:highlight w:val="none"/>
        </w:rPr>
        <w:t>5</w:t>
      </w:r>
      <w:r>
        <w:rPr>
          <w:color w:val="auto"/>
          <w:sz w:val="21"/>
          <w:highlight w:val="none"/>
        </w:rPr>
        <w:t xml:space="preserve">.2.3 </w:t>
      </w:r>
      <w:r>
        <w:rPr>
          <w:rFonts w:hint="eastAsia"/>
          <w:color w:val="auto"/>
          <w:sz w:val="21"/>
          <w:highlight w:val="none"/>
        </w:rPr>
        <w:t>承包人文件需政府有关部门或专用合同条件约定的第三方审查单位审查或批准的，发包人应在发包人审查同意承包人文件后7天内，向政府有关部门或第三方报送承包人文件，承包人应予以协助。</w:t>
      </w:r>
      <w:bookmarkEnd w:id="736"/>
    </w:p>
    <w:p w14:paraId="19DAEED3">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对于政府有关部门或第三方审查单位的审查意见，不需要修改《发包人要求》的，承包人需按该审查意见修改承包人的设计文件；需要修改《发包人要求》的，承包人应按第</w:t>
      </w:r>
      <w:r>
        <w:rPr>
          <w:rFonts w:ascii="宋体" w:hAnsi="宋体"/>
          <w:color w:val="auto"/>
          <w:szCs w:val="21"/>
          <w:highlight w:val="none"/>
        </w:rPr>
        <w:t>13.2</w:t>
      </w:r>
      <w:r>
        <w:rPr>
          <w:rFonts w:hint="eastAsia" w:ascii="宋体" w:hAnsi="宋体"/>
          <w:color w:val="auto"/>
          <w:szCs w:val="21"/>
          <w:highlight w:val="none"/>
        </w:rPr>
        <w:t>款[承包人的合理化建议]的约定执行。上述情形还应适用第</w:t>
      </w:r>
      <w:r>
        <w:rPr>
          <w:rFonts w:ascii="宋体" w:hAnsi="宋体"/>
          <w:color w:val="auto"/>
          <w:szCs w:val="21"/>
          <w:highlight w:val="none"/>
        </w:rPr>
        <w:t>5.1</w:t>
      </w:r>
      <w:r>
        <w:rPr>
          <w:rFonts w:hint="eastAsia" w:ascii="宋体" w:hAnsi="宋体"/>
          <w:color w:val="auto"/>
          <w:szCs w:val="21"/>
          <w:highlight w:val="none"/>
        </w:rPr>
        <w:t>款[承包人的设计义务]和第</w:t>
      </w:r>
      <w:r>
        <w:rPr>
          <w:rFonts w:ascii="宋体" w:hAnsi="宋体"/>
          <w:color w:val="auto"/>
          <w:szCs w:val="21"/>
          <w:highlight w:val="none"/>
        </w:rPr>
        <w:t>13条</w:t>
      </w:r>
      <w:r>
        <w:rPr>
          <w:rFonts w:hint="eastAsia" w:ascii="宋体" w:hAnsi="宋体"/>
          <w:color w:val="auto"/>
          <w:szCs w:val="21"/>
          <w:highlight w:val="none"/>
        </w:rPr>
        <w:t>[变更与调整]的有关约定。</w:t>
      </w:r>
    </w:p>
    <w:p w14:paraId="1EFE4B0E">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政府有关部门或第三方审查单位审查批准后，承包人应当严格按照批准后的承包人文件实施工程。政府有关部门或第三方审查单位批准时间较合同约定时间延长的，竣工日期相应顺延。因此给双方带来的费用增加，由双方在负责的范围内各自承担。</w:t>
      </w:r>
    </w:p>
    <w:p w14:paraId="1A1CDECF">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737" w:name="_Toc54862224"/>
      <w:bookmarkStart w:id="738" w:name="_Toc21137"/>
      <w:bookmarkStart w:id="739" w:name="_Ref531953095"/>
      <w:bookmarkStart w:id="740" w:name="_Toc28671"/>
      <w:bookmarkStart w:id="741" w:name="_Toc27933"/>
      <w:bookmarkStart w:id="742" w:name="_Ref531953097"/>
      <w:r>
        <w:rPr>
          <w:rFonts w:hint="eastAsia" w:ascii="宋体" w:hAnsi="宋体" w:eastAsia="宋体"/>
          <w:b/>
          <w:bCs w:val="0"/>
          <w:color w:val="auto"/>
          <w:sz w:val="21"/>
          <w:szCs w:val="21"/>
          <w:highlight w:val="none"/>
        </w:rPr>
        <w:t>5</w:t>
      </w:r>
      <w:r>
        <w:rPr>
          <w:rFonts w:ascii="宋体" w:hAnsi="宋体" w:eastAsia="宋体"/>
          <w:b/>
          <w:bCs w:val="0"/>
          <w:color w:val="auto"/>
          <w:sz w:val="21"/>
          <w:szCs w:val="21"/>
          <w:highlight w:val="none"/>
        </w:rPr>
        <w:t xml:space="preserve">.3 </w:t>
      </w:r>
      <w:r>
        <w:rPr>
          <w:rFonts w:hint="eastAsia" w:ascii="宋体" w:hAnsi="宋体" w:eastAsia="宋体"/>
          <w:b/>
          <w:bCs w:val="0"/>
          <w:color w:val="auto"/>
          <w:sz w:val="21"/>
          <w:szCs w:val="21"/>
          <w:highlight w:val="none"/>
        </w:rPr>
        <w:t>培训</w:t>
      </w:r>
      <w:bookmarkEnd w:id="737"/>
      <w:bookmarkEnd w:id="738"/>
      <w:bookmarkEnd w:id="739"/>
      <w:bookmarkEnd w:id="740"/>
      <w:bookmarkEnd w:id="741"/>
      <w:bookmarkEnd w:id="742"/>
    </w:p>
    <w:p w14:paraId="2B3D380A">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承包人应按照《发包人要求》，对发包人的雇员或其它发包人指定的人员进行工程操作、维修或其它合同中约定的培训。合同约定接收之前进行培训的，应在第</w:t>
      </w:r>
      <w:r>
        <w:rPr>
          <w:rFonts w:ascii="宋体" w:hAnsi="宋体"/>
          <w:color w:val="auto"/>
          <w:szCs w:val="21"/>
          <w:highlight w:val="none"/>
        </w:rPr>
        <w:t>10.1</w:t>
      </w:r>
      <w:r>
        <w:rPr>
          <w:rFonts w:hint="eastAsia" w:ascii="宋体" w:hAnsi="宋体"/>
          <w:color w:val="auto"/>
          <w:szCs w:val="21"/>
          <w:highlight w:val="none"/>
        </w:rPr>
        <w:t>款[</w:t>
      </w:r>
      <w:r>
        <w:rPr>
          <w:rFonts w:ascii="宋体" w:hAnsi="宋体"/>
          <w:color w:val="auto"/>
          <w:szCs w:val="21"/>
          <w:highlight w:val="none"/>
        </w:rPr>
        <w:t>竣工验收</w:t>
      </w:r>
      <w:r>
        <w:rPr>
          <w:rFonts w:hint="eastAsia" w:ascii="宋体" w:hAnsi="宋体"/>
          <w:color w:val="auto"/>
          <w:szCs w:val="21"/>
          <w:highlight w:val="none"/>
        </w:rPr>
        <w:t>]约定的竣工验收前或试运行结束前完成培训。</w:t>
      </w:r>
    </w:p>
    <w:p w14:paraId="5397EB13">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培训的时长应由双方在专用合同条件中约定，承包人应为培训提供有经验的人员、设施和其它必要条件。</w:t>
      </w:r>
    </w:p>
    <w:p w14:paraId="4C670B18">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743" w:name="_Ref531953108"/>
      <w:bookmarkStart w:id="744" w:name="_Toc864"/>
      <w:bookmarkStart w:id="745" w:name="_Toc17495"/>
      <w:bookmarkStart w:id="746" w:name="_Toc54862225"/>
      <w:bookmarkStart w:id="747" w:name="_Toc25580"/>
      <w:bookmarkStart w:id="748" w:name="_Ref531953105"/>
      <w:r>
        <w:rPr>
          <w:rFonts w:hint="eastAsia" w:ascii="宋体" w:hAnsi="宋体" w:eastAsia="宋体"/>
          <w:b/>
          <w:bCs w:val="0"/>
          <w:color w:val="auto"/>
          <w:sz w:val="21"/>
          <w:szCs w:val="21"/>
          <w:highlight w:val="none"/>
        </w:rPr>
        <w:t>5</w:t>
      </w:r>
      <w:r>
        <w:rPr>
          <w:rFonts w:ascii="宋体" w:hAnsi="宋体" w:eastAsia="宋体"/>
          <w:b/>
          <w:bCs w:val="0"/>
          <w:color w:val="auto"/>
          <w:sz w:val="21"/>
          <w:szCs w:val="21"/>
          <w:highlight w:val="none"/>
        </w:rPr>
        <w:t xml:space="preserve">.4 </w:t>
      </w:r>
      <w:r>
        <w:rPr>
          <w:rFonts w:hint="eastAsia" w:ascii="宋体" w:hAnsi="宋体" w:eastAsia="宋体"/>
          <w:b/>
          <w:bCs w:val="0"/>
          <w:color w:val="auto"/>
          <w:sz w:val="21"/>
          <w:szCs w:val="21"/>
          <w:highlight w:val="none"/>
        </w:rPr>
        <w:t>竣工文件</w:t>
      </w:r>
      <w:bookmarkEnd w:id="743"/>
      <w:bookmarkEnd w:id="744"/>
      <w:bookmarkEnd w:id="745"/>
      <w:bookmarkEnd w:id="746"/>
      <w:bookmarkEnd w:id="747"/>
      <w:bookmarkEnd w:id="748"/>
    </w:p>
    <w:p w14:paraId="7775E23B">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bookmarkStart w:id="749" w:name="_Ref531953134"/>
      <w:r>
        <w:rPr>
          <w:rFonts w:hint="eastAsia"/>
          <w:color w:val="auto"/>
          <w:sz w:val="21"/>
          <w:highlight w:val="none"/>
        </w:rPr>
        <w:t>5</w:t>
      </w:r>
      <w:r>
        <w:rPr>
          <w:color w:val="auto"/>
          <w:sz w:val="21"/>
          <w:highlight w:val="none"/>
        </w:rPr>
        <w:t xml:space="preserve">.4.1 </w:t>
      </w:r>
      <w:r>
        <w:rPr>
          <w:rFonts w:hint="eastAsia"/>
          <w:color w:val="auto"/>
          <w:sz w:val="21"/>
          <w:highlight w:val="none"/>
        </w:rPr>
        <w:t>承包人应编制并及时更新反映工程实施结果的竣工记录，如实记载竣工工程的确切位置、尺寸和已实施工作的详细说明。竣工文件的形式、技术标准以及其它相关内容应按照相关法律法规、行业标准与《发包人要求》执行。竣工记录应保存在施工现场，并在竣工试验开始前，按照专用合同条件约定的份数提交给工程师。</w:t>
      </w:r>
      <w:bookmarkEnd w:id="749"/>
    </w:p>
    <w:p w14:paraId="5FF72014">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5</w:t>
      </w:r>
      <w:r>
        <w:rPr>
          <w:color w:val="auto"/>
          <w:sz w:val="21"/>
          <w:highlight w:val="none"/>
        </w:rPr>
        <w:t xml:space="preserve">.4.2 </w:t>
      </w:r>
      <w:r>
        <w:rPr>
          <w:rFonts w:hint="eastAsia"/>
          <w:color w:val="auto"/>
          <w:sz w:val="21"/>
          <w:highlight w:val="none"/>
        </w:rPr>
        <w:t>在颁发工程接收证书之前，承包人应按照《发包人要求》的份数和形式向工程师提交相应竣工图纸，并取得工程师对尺寸、参照系统及其他有关细节的认可。工程师应按照第</w:t>
      </w:r>
      <w:r>
        <w:rPr>
          <w:color w:val="auto"/>
          <w:sz w:val="21"/>
          <w:highlight w:val="none"/>
        </w:rPr>
        <w:t>5.2</w:t>
      </w:r>
      <w:r>
        <w:rPr>
          <w:rFonts w:hint="eastAsia"/>
          <w:color w:val="auto"/>
          <w:sz w:val="21"/>
          <w:highlight w:val="none"/>
        </w:rPr>
        <w:t>款[</w:t>
      </w:r>
      <w:r>
        <w:rPr>
          <w:color w:val="auto"/>
          <w:sz w:val="21"/>
          <w:highlight w:val="none"/>
        </w:rPr>
        <w:t>承包人文件审查</w:t>
      </w:r>
      <w:r>
        <w:rPr>
          <w:rFonts w:hint="eastAsia"/>
          <w:color w:val="auto"/>
          <w:sz w:val="21"/>
          <w:highlight w:val="none"/>
        </w:rPr>
        <w:t>]的约定进行审查。</w:t>
      </w:r>
    </w:p>
    <w:p w14:paraId="76D608D9">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5</w:t>
      </w:r>
      <w:r>
        <w:rPr>
          <w:color w:val="auto"/>
          <w:sz w:val="21"/>
          <w:highlight w:val="none"/>
        </w:rPr>
        <w:t xml:space="preserve">.4.3 </w:t>
      </w:r>
      <w:r>
        <w:rPr>
          <w:rFonts w:hint="eastAsia"/>
          <w:color w:val="auto"/>
          <w:sz w:val="21"/>
          <w:highlight w:val="none"/>
        </w:rPr>
        <w:t>除专用合同条件另有约定外，在工程师收到本款下的文件前，不应认为工程已根据第</w:t>
      </w:r>
      <w:r>
        <w:rPr>
          <w:color w:val="auto"/>
          <w:sz w:val="21"/>
          <w:highlight w:val="none"/>
        </w:rPr>
        <w:t>10.1</w:t>
      </w:r>
      <w:r>
        <w:rPr>
          <w:rFonts w:hint="eastAsia"/>
          <w:color w:val="auto"/>
          <w:sz w:val="21"/>
          <w:highlight w:val="none"/>
        </w:rPr>
        <w:t>款[竣工验收]和第</w:t>
      </w:r>
      <w:r>
        <w:rPr>
          <w:color w:val="auto"/>
          <w:sz w:val="21"/>
          <w:highlight w:val="none"/>
        </w:rPr>
        <w:t>10.2</w:t>
      </w:r>
      <w:r>
        <w:rPr>
          <w:rFonts w:hint="eastAsia"/>
          <w:color w:val="auto"/>
          <w:sz w:val="21"/>
          <w:highlight w:val="none"/>
        </w:rPr>
        <w:t>款[</w:t>
      </w:r>
      <w:r>
        <w:rPr>
          <w:color w:val="auto"/>
          <w:sz w:val="21"/>
          <w:highlight w:val="none"/>
        </w:rPr>
        <w:t>单位/区段工程的验收</w:t>
      </w:r>
      <w:r>
        <w:rPr>
          <w:rFonts w:hint="eastAsia"/>
          <w:color w:val="auto"/>
          <w:sz w:val="21"/>
          <w:highlight w:val="none"/>
        </w:rPr>
        <w:t>]的约定完成验收。</w:t>
      </w:r>
    </w:p>
    <w:p w14:paraId="750F86F1">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750" w:name="_Ref531953117"/>
      <w:bookmarkStart w:id="751" w:name="_Toc27144"/>
      <w:bookmarkStart w:id="752" w:name="_Ref531953119"/>
      <w:bookmarkStart w:id="753" w:name="_Toc25661"/>
      <w:bookmarkStart w:id="754" w:name="_Toc54862226"/>
      <w:bookmarkStart w:id="755" w:name="_Toc25453"/>
      <w:r>
        <w:rPr>
          <w:rFonts w:hint="eastAsia" w:ascii="宋体" w:hAnsi="宋体" w:eastAsia="宋体"/>
          <w:b/>
          <w:bCs w:val="0"/>
          <w:color w:val="auto"/>
          <w:sz w:val="21"/>
          <w:szCs w:val="21"/>
          <w:highlight w:val="none"/>
        </w:rPr>
        <w:t>5</w:t>
      </w:r>
      <w:r>
        <w:rPr>
          <w:rFonts w:ascii="宋体" w:hAnsi="宋体" w:eastAsia="宋体"/>
          <w:b/>
          <w:bCs w:val="0"/>
          <w:color w:val="auto"/>
          <w:sz w:val="21"/>
          <w:szCs w:val="21"/>
          <w:highlight w:val="none"/>
        </w:rPr>
        <w:t xml:space="preserve">.5 </w:t>
      </w:r>
      <w:r>
        <w:rPr>
          <w:rFonts w:hint="eastAsia" w:ascii="宋体" w:hAnsi="宋体" w:eastAsia="宋体"/>
          <w:b/>
          <w:bCs w:val="0"/>
          <w:color w:val="auto"/>
          <w:sz w:val="21"/>
          <w:szCs w:val="21"/>
          <w:highlight w:val="none"/>
        </w:rPr>
        <w:t>操作和维修手册</w:t>
      </w:r>
      <w:bookmarkEnd w:id="750"/>
      <w:bookmarkEnd w:id="751"/>
      <w:bookmarkEnd w:id="752"/>
      <w:bookmarkEnd w:id="753"/>
      <w:bookmarkEnd w:id="754"/>
      <w:bookmarkEnd w:id="755"/>
    </w:p>
    <w:p w14:paraId="3248C186">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bookmarkStart w:id="756" w:name="_Ref531953145"/>
      <w:r>
        <w:rPr>
          <w:rFonts w:hint="eastAsia"/>
          <w:color w:val="auto"/>
          <w:sz w:val="21"/>
          <w:highlight w:val="none"/>
        </w:rPr>
        <w:t>5</w:t>
      </w:r>
      <w:r>
        <w:rPr>
          <w:color w:val="auto"/>
          <w:sz w:val="21"/>
          <w:highlight w:val="none"/>
        </w:rPr>
        <w:t xml:space="preserve">.5.1 </w:t>
      </w:r>
      <w:r>
        <w:rPr>
          <w:rFonts w:hint="eastAsia"/>
          <w:color w:val="auto"/>
          <w:sz w:val="21"/>
          <w:highlight w:val="none"/>
        </w:rPr>
        <w:t>在竣工试验开始前，承包人应向工程师提交暂行的操作和维修手册并负责及时更新，该手册应足够详细，以便发包人能够对工程设备进行操作、维修、拆卸、重新安装、调整及修理，以及实现《发包人要求》。同时，手册还应包含发包人未来可能需要的备品备件清单。</w:t>
      </w:r>
      <w:bookmarkEnd w:id="756"/>
    </w:p>
    <w:p w14:paraId="1C5762FD">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5</w:t>
      </w:r>
      <w:r>
        <w:rPr>
          <w:color w:val="auto"/>
          <w:sz w:val="21"/>
          <w:highlight w:val="none"/>
        </w:rPr>
        <w:t xml:space="preserve">.5.2 </w:t>
      </w:r>
      <w:r>
        <w:rPr>
          <w:rFonts w:hint="eastAsia"/>
          <w:color w:val="auto"/>
          <w:sz w:val="21"/>
          <w:highlight w:val="none"/>
        </w:rPr>
        <w:t>工程师收到承包人提交的文件后，应依据第</w:t>
      </w:r>
      <w:r>
        <w:rPr>
          <w:color w:val="auto"/>
          <w:sz w:val="21"/>
          <w:highlight w:val="none"/>
        </w:rPr>
        <w:t>5.2</w:t>
      </w:r>
      <w:r>
        <w:rPr>
          <w:rFonts w:hint="eastAsia"/>
          <w:color w:val="auto"/>
          <w:sz w:val="21"/>
          <w:highlight w:val="none"/>
        </w:rPr>
        <w:t>款[</w:t>
      </w:r>
      <w:r>
        <w:rPr>
          <w:color w:val="auto"/>
          <w:sz w:val="21"/>
          <w:highlight w:val="none"/>
        </w:rPr>
        <w:t>承包人文件审查</w:t>
      </w:r>
      <w:r>
        <w:rPr>
          <w:rFonts w:hint="eastAsia"/>
          <w:color w:val="auto"/>
          <w:sz w:val="21"/>
          <w:highlight w:val="none"/>
        </w:rPr>
        <w:t>]的约定对操作和维修手册进行审查，竣工试验工程中，承包人应为任何因操作和维修手册错误或遗漏引起的风险或损失承担责任。</w:t>
      </w:r>
    </w:p>
    <w:p w14:paraId="7C6C7D53">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5</w:t>
      </w:r>
      <w:r>
        <w:rPr>
          <w:color w:val="auto"/>
          <w:sz w:val="21"/>
          <w:highlight w:val="none"/>
        </w:rPr>
        <w:t xml:space="preserve">.5.3 </w:t>
      </w:r>
      <w:r>
        <w:rPr>
          <w:rFonts w:hint="eastAsia"/>
          <w:color w:val="auto"/>
          <w:sz w:val="21"/>
          <w:highlight w:val="none"/>
        </w:rPr>
        <w:t>除专用合同条件另有约定外，承包人应提交足够详细的最终操作和维修手册，以及在《发包人要求》中明确的相关操作和维修手册。除专用合同条件另有约定外，在工程师收到上述文件前，不应认为工程已根据第</w:t>
      </w:r>
      <w:r>
        <w:rPr>
          <w:color w:val="auto"/>
          <w:sz w:val="21"/>
          <w:highlight w:val="none"/>
        </w:rPr>
        <w:t>10.1</w:t>
      </w:r>
      <w:r>
        <w:rPr>
          <w:rFonts w:hint="eastAsia"/>
          <w:color w:val="auto"/>
          <w:sz w:val="21"/>
          <w:highlight w:val="none"/>
        </w:rPr>
        <w:t>款[竣工验收]和第</w:t>
      </w:r>
      <w:r>
        <w:rPr>
          <w:color w:val="auto"/>
          <w:sz w:val="21"/>
          <w:highlight w:val="none"/>
        </w:rPr>
        <w:t>10.2</w:t>
      </w:r>
      <w:r>
        <w:rPr>
          <w:rFonts w:hint="eastAsia"/>
          <w:color w:val="auto"/>
          <w:sz w:val="21"/>
          <w:highlight w:val="none"/>
        </w:rPr>
        <w:t>款[</w:t>
      </w:r>
      <w:r>
        <w:rPr>
          <w:color w:val="auto"/>
          <w:sz w:val="21"/>
          <w:highlight w:val="none"/>
        </w:rPr>
        <w:t>单位/区段工程的验收</w:t>
      </w:r>
      <w:r>
        <w:rPr>
          <w:rFonts w:hint="eastAsia"/>
          <w:color w:val="auto"/>
          <w:sz w:val="21"/>
          <w:highlight w:val="none"/>
        </w:rPr>
        <w:t>]的约定完成验收。</w:t>
      </w:r>
    </w:p>
    <w:p w14:paraId="22CBEC32">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757" w:name="_Toc54862227"/>
      <w:bookmarkStart w:id="758" w:name="_Toc15468"/>
      <w:bookmarkStart w:id="759" w:name="_Toc16795"/>
      <w:bookmarkStart w:id="760" w:name="_Toc21568"/>
      <w:r>
        <w:rPr>
          <w:rFonts w:hint="eastAsia" w:ascii="宋体" w:hAnsi="宋体" w:eastAsia="宋体"/>
          <w:b/>
          <w:bCs w:val="0"/>
          <w:color w:val="auto"/>
          <w:sz w:val="21"/>
          <w:szCs w:val="21"/>
          <w:highlight w:val="none"/>
        </w:rPr>
        <w:t>5</w:t>
      </w:r>
      <w:r>
        <w:rPr>
          <w:rFonts w:ascii="宋体" w:hAnsi="宋体" w:eastAsia="宋体"/>
          <w:b/>
          <w:bCs w:val="0"/>
          <w:color w:val="auto"/>
          <w:sz w:val="21"/>
          <w:szCs w:val="21"/>
          <w:highlight w:val="none"/>
        </w:rPr>
        <w:t xml:space="preserve">.6 </w:t>
      </w:r>
      <w:r>
        <w:rPr>
          <w:rFonts w:hint="eastAsia" w:ascii="宋体" w:hAnsi="宋体" w:eastAsia="宋体"/>
          <w:b/>
          <w:bCs w:val="0"/>
          <w:color w:val="auto"/>
          <w:sz w:val="21"/>
          <w:szCs w:val="21"/>
          <w:highlight w:val="none"/>
        </w:rPr>
        <w:t>承包人文件错误</w:t>
      </w:r>
      <w:bookmarkEnd w:id="757"/>
      <w:bookmarkEnd w:id="758"/>
      <w:bookmarkEnd w:id="759"/>
      <w:bookmarkEnd w:id="760"/>
    </w:p>
    <w:p w14:paraId="376ABABE">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承包人文件存在错误、遗漏、含混、矛盾、不充分之处或其他缺陷，无论承包人是否根据本款获得了同意，承包人均应自费对前述问题带来的缺陷和工程问题进行改正，并按照第</w:t>
      </w:r>
      <w:r>
        <w:rPr>
          <w:rFonts w:ascii="宋体" w:hAnsi="宋体"/>
          <w:color w:val="auto"/>
          <w:szCs w:val="21"/>
          <w:highlight w:val="none"/>
        </w:rPr>
        <w:t>5.2</w:t>
      </w:r>
      <w:r>
        <w:rPr>
          <w:rFonts w:hint="eastAsia" w:ascii="宋体" w:hAnsi="宋体"/>
          <w:color w:val="auto"/>
          <w:szCs w:val="21"/>
          <w:highlight w:val="none"/>
        </w:rPr>
        <w:t>款[承包人文件审查]的要求，重新送工程师审查，审查日期从工程师收到文件开始重新计算。因此款原因重新提交审查文件导致的工程延误和必要费用增加由承包人承担。《发包人要求》的错误导致承包人文件错误、遗漏、含混、矛盾、不充分或其他缺陷的除外。</w:t>
      </w:r>
    </w:p>
    <w:p w14:paraId="5F278BAA">
      <w:pPr>
        <w:pStyle w:val="178"/>
        <w:keepNext w:val="0"/>
        <w:keepLines w:val="0"/>
        <w:pageBreakBefore w:val="0"/>
        <w:numPr>
          <w:ilvl w:val="0"/>
          <w:numId w:val="0"/>
        </w:numPr>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761" w:name="_Toc5059"/>
      <w:bookmarkStart w:id="762" w:name="_Toc3681"/>
      <w:bookmarkStart w:id="763" w:name="_Toc54862228"/>
      <w:bookmarkStart w:id="764" w:name="_Ref531953765"/>
      <w:bookmarkStart w:id="765" w:name="_Toc12013"/>
      <w:bookmarkStart w:id="766" w:name="_Toc29658"/>
      <w:bookmarkStart w:id="767" w:name="_Ref531953761"/>
      <w:r>
        <w:rPr>
          <w:rFonts w:hint="eastAsia" w:ascii="宋体" w:hAnsi="宋体" w:eastAsia="宋体"/>
          <w:b/>
          <w:bCs w:val="0"/>
          <w:color w:val="auto"/>
          <w:sz w:val="21"/>
          <w:szCs w:val="21"/>
          <w:highlight w:val="none"/>
        </w:rPr>
        <w:t>第6条 材料、工程设备</w:t>
      </w:r>
      <w:bookmarkEnd w:id="761"/>
      <w:bookmarkEnd w:id="762"/>
      <w:bookmarkEnd w:id="763"/>
      <w:bookmarkEnd w:id="764"/>
      <w:bookmarkEnd w:id="765"/>
      <w:bookmarkEnd w:id="766"/>
      <w:bookmarkEnd w:id="767"/>
    </w:p>
    <w:p w14:paraId="17FF2DB3">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768" w:name="_Toc16191"/>
      <w:bookmarkStart w:id="769" w:name="_Toc54862229"/>
      <w:bookmarkStart w:id="770" w:name="_Toc14692"/>
      <w:bookmarkStart w:id="771" w:name="_Ref531953832"/>
      <w:bookmarkStart w:id="772" w:name="_Ref531953828"/>
      <w:bookmarkStart w:id="773" w:name="_Toc25627"/>
      <w:r>
        <w:rPr>
          <w:rFonts w:hint="eastAsia" w:ascii="宋体" w:hAnsi="宋体" w:eastAsia="宋体"/>
          <w:b/>
          <w:bCs w:val="0"/>
          <w:color w:val="auto"/>
          <w:sz w:val="21"/>
          <w:szCs w:val="21"/>
          <w:highlight w:val="none"/>
        </w:rPr>
        <w:t>6</w:t>
      </w:r>
      <w:r>
        <w:rPr>
          <w:rFonts w:ascii="宋体" w:hAnsi="宋体" w:eastAsia="宋体"/>
          <w:b/>
          <w:bCs w:val="0"/>
          <w:color w:val="auto"/>
          <w:sz w:val="21"/>
          <w:szCs w:val="21"/>
          <w:highlight w:val="none"/>
        </w:rPr>
        <w:t xml:space="preserve">.1 </w:t>
      </w:r>
      <w:r>
        <w:rPr>
          <w:rFonts w:hint="eastAsia" w:ascii="宋体" w:hAnsi="宋体" w:eastAsia="宋体"/>
          <w:b/>
          <w:bCs w:val="0"/>
          <w:color w:val="auto"/>
          <w:sz w:val="21"/>
          <w:szCs w:val="21"/>
          <w:highlight w:val="none"/>
        </w:rPr>
        <w:t>实施方法</w:t>
      </w:r>
      <w:bookmarkEnd w:id="768"/>
      <w:bookmarkEnd w:id="769"/>
      <w:bookmarkEnd w:id="770"/>
      <w:bookmarkEnd w:id="771"/>
      <w:bookmarkEnd w:id="772"/>
      <w:bookmarkEnd w:id="773"/>
    </w:p>
    <w:p w14:paraId="179EBC99">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承包人应按以下方法进行材料的加工、工程设备的采购、制造和安装、以及工程的所有其他实施作业：</w:t>
      </w:r>
    </w:p>
    <w:p w14:paraId="20BB26F6">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bookmarkStart w:id="774" w:name="_Ref531953847"/>
      <w:r>
        <w:rPr>
          <w:rFonts w:hint="eastAsia" w:ascii="宋体" w:hAnsi="宋体"/>
          <w:color w:val="auto"/>
          <w:szCs w:val="21"/>
          <w:highlight w:val="none"/>
        </w:rPr>
        <w:t>（1） 按照法律规定和合同约定的方法；</w:t>
      </w:r>
      <w:bookmarkEnd w:id="774"/>
    </w:p>
    <w:p w14:paraId="79CA1D01">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 按照公认的良好行业习惯，使用恰当、审慎、先进的方法；</w:t>
      </w:r>
    </w:p>
    <w:p w14:paraId="5487BEA4">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（3） 除专用合同条件另有规定外，应使用适当配备的实施方法、设备、设施和无危险的材料。</w:t>
      </w:r>
    </w:p>
    <w:p w14:paraId="4FF10EBE">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775" w:name="_Ref11926422"/>
      <w:bookmarkStart w:id="776" w:name="_Toc54862230"/>
      <w:bookmarkStart w:id="777" w:name="_Toc29869"/>
      <w:bookmarkStart w:id="778" w:name="_Toc20207"/>
      <w:bookmarkStart w:id="779" w:name="_Toc32351"/>
      <w:bookmarkStart w:id="780" w:name="_Ref4427594"/>
      <w:r>
        <w:rPr>
          <w:rFonts w:hint="eastAsia" w:ascii="宋体" w:hAnsi="宋体" w:eastAsia="宋体"/>
          <w:b/>
          <w:bCs w:val="0"/>
          <w:color w:val="auto"/>
          <w:sz w:val="21"/>
          <w:szCs w:val="21"/>
          <w:highlight w:val="none"/>
        </w:rPr>
        <w:t>6</w:t>
      </w:r>
      <w:r>
        <w:rPr>
          <w:rFonts w:ascii="宋体" w:hAnsi="宋体" w:eastAsia="宋体"/>
          <w:b/>
          <w:bCs w:val="0"/>
          <w:color w:val="auto"/>
          <w:sz w:val="21"/>
          <w:szCs w:val="21"/>
          <w:highlight w:val="none"/>
        </w:rPr>
        <w:t xml:space="preserve">.2 </w:t>
      </w:r>
      <w:r>
        <w:rPr>
          <w:rFonts w:hint="eastAsia" w:ascii="宋体" w:hAnsi="宋体" w:eastAsia="宋体"/>
          <w:b/>
          <w:bCs w:val="0"/>
          <w:color w:val="auto"/>
          <w:sz w:val="21"/>
          <w:szCs w:val="21"/>
          <w:highlight w:val="none"/>
        </w:rPr>
        <w:t>材料和工程设备</w:t>
      </w:r>
      <w:bookmarkEnd w:id="775"/>
      <w:bookmarkEnd w:id="776"/>
      <w:bookmarkEnd w:id="777"/>
      <w:bookmarkEnd w:id="778"/>
      <w:bookmarkEnd w:id="779"/>
    </w:p>
    <w:p w14:paraId="2B5F5A23">
      <w:pPr>
        <w:pStyle w:val="153"/>
        <w:keepNext w:val="0"/>
        <w:keepLines w:val="0"/>
        <w:pageBreakBefore w:val="0"/>
        <w:kinsoku/>
        <w:wordWrap/>
        <w:overflowPunct/>
        <w:topLinePunct w:val="0"/>
        <w:bidi w:val="0"/>
        <w:spacing w:after="120"/>
        <w:ind w:firstLine="422" w:firstLineChars="200"/>
        <w:textAlignment w:val="auto"/>
        <w:rPr>
          <w:b/>
          <w:bCs w:val="0"/>
          <w:color w:val="auto"/>
          <w:sz w:val="21"/>
          <w:highlight w:val="none"/>
        </w:rPr>
      </w:pPr>
      <w:bookmarkStart w:id="781" w:name="_Ref11960295"/>
      <w:r>
        <w:rPr>
          <w:rFonts w:hint="eastAsia"/>
          <w:b/>
          <w:bCs w:val="0"/>
          <w:color w:val="auto"/>
          <w:sz w:val="21"/>
          <w:highlight w:val="none"/>
        </w:rPr>
        <w:t>6</w:t>
      </w:r>
      <w:r>
        <w:rPr>
          <w:b/>
          <w:bCs w:val="0"/>
          <w:color w:val="auto"/>
          <w:sz w:val="21"/>
          <w:highlight w:val="none"/>
        </w:rPr>
        <w:t xml:space="preserve">.2.1 </w:t>
      </w:r>
      <w:r>
        <w:rPr>
          <w:rFonts w:hint="eastAsia"/>
          <w:b/>
          <w:bCs w:val="0"/>
          <w:color w:val="auto"/>
          <w:sz w:val="21"/>
          <w:highlight w:val="none"/>
        </w:rPr>
        <w:t>发包人提供的材料和工程设备</w:t>
      </w:r>
      <w:bookmarkEnd w:id="780"/>
      <w:bookmarkEnd w:id="781"/>
    </w:p>
    <w:p w14:paraId="3ADD6059">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发包人自行供应材料、工程设备的，应在订立合同时在专用合同条件的附件《发包人供应材料设备一览表》中明确材料、工程设备的品种、规格、型号、主要参数、数量、单价、质量等级和交接地点等。</w:t>
      </w:r>
    </w:p>
    <w:p w14:paraId="0DC0C6D9">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承包人应根据项目进度计划的安排，提前28天以书面形式通知工程师供应材料与工程设备的进场计划。承包人按照第</w:t>
      </w:r>
      <w:r>
        <w:rPr>
          <w:rFonts w:ascii="宋体" w:hAnsi="宋体"/>
          <w:color w:val="auto"/>
          <w:szCs w:val="21"/>
          <w:highlight w:val="none"/>
        </w:rPr>
        <w:t>8.4</w:t>
      </w:r>
      <w:r>
        <w:rPr>
          <w:rFonts w:hint="eastAsia" w:ascii="宋体" w:hAnsi="宋体"/>
          <w:color w:val="auto"/>
          <w:szCs w:val="21"/>
          <w:highlight w:val="none"/>
        </w:rPr>
        <w:t>款[项目进度计划]约定修订项目进度计划时，需同时提交经修订后的发包人供应材料与工程设备的进场计划。发包人应按照上述进场计划，向承包人提交材料和工程设备。</w:t>
      </w:r>
    </w:p>
    <w:p w14:paraId="5C32DDE7">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发包人应在材料和工程设备到货7天前通知承包人，承包人应会同工程师在约定的时间内，赴交货地点共同进行验收。除专用合同条件另有约定外，发包人提供的材料和工程设备验收后，由承包人负责接收、运输和保管。</w:t>
      </w:r>
    </w:p>
    <w:p w14:paraId="4D67E0B7">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发包人需要对进场计划进行变更的，承包人不得拒绝，应根据第1</w:t>
      </w:r>
      <w:r>
        <w:rPr>
          <w:rFonts w:ascii="宋体" w:hAnsi="宋体"/>
          <w:color w:val="auto"/>
          <w:szCs w:val="21"/>
          <w:highlight w:val="none"/>
        </w:rPr>
        <w:t>3</w:t>
      </w:r>
      <w:r>
        <w:rPr>
          <w:rFonts w:hint="eastAsia" w:ascii="宋体" w:hAnsi="宋体"/>
          <w:color w:val="auto"/>
          <w:szCs w:val="21"/>
          <w:highlight w:val="none"/>
        </w:rPr>
        <w:t>条[变更与调整]的规定执行，并由发包人承担承包人由此增加的费用，以及引起的工期延误。承包人需要对进场计划进行变更的，应事先报请工程师批准，由此增加的费用和（或）工期延误由承包人承担。</w:t>
      </w:r>
    </w:p>
    <w:p w14:paraId="2873A9CE">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发包人提供的材料和工程设备的规格、数量或质量不符合合同要求，或由于发包人原因发生交货日期延误及交货地点变更等情况的，发包人应承担由此增加的费用和（或）工期延误，并向承包人支付合理利润。</w:t>
      </w:r>
    </w:p>
    <w:p w14:paraId="666ECCAD">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782" w:name="_Ref531953918"/>
      <w:r>
        <w:rPr>
          <w:rFonts w:hint="eastAsia"/>
          <w:b/>
          <w:bCs/>
          <w:color w:val="auto"/>
          <w:sz w:val="21"/>
          <w:highlight w:val="none"/>
        </w:rPr>
        <w:t>6</w:t>
      </w:r>
      <w:r>
        <w:rPr>
          <w:b/>
          <w:bCs/>
          <w:color w:val="auto"/>
          <w:sz w:val="21"/>
          <w:highlight w:val="none"/>
        </w:rPr>
        <w:t xml:space="preserve">.2.2 </w:t>
      </w:r>
      <w:r>
        <w:rPr>
          <w:rFonts w:hint="eastAsia"/>
          <w:b/>
          <w:bCs/>
          <w:color w:val="auto"/>
          <w:sz w:val="21"/>
          <w:highlight w:val="none"/>
        </w:rPr>
        <w:t>承包人提供的材料和工程设备</w:t>
      </w:r>
      <w:bookmarkEnd w:id="782"/>
    </w:p>
    <w:p w14:paraId="625970EF">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承包人应按照专用合同条件的约定，将各项材料和工程设备的供货人及品种、技术要求、规格、数量和供货时间等报送工程师批准。承包人应向工程师提交其负责提供的材料和工程设备的质量证明文件，并根据合同约定的质量标准，对材料、工程设备质量负责。</w:t>
      </w:r>
    </w:p>
    <w:p w14:paraId="29D48EDC">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承包人应按照已被批准的第</w:t>
      </w:r>
      <w:r>
        <w:rPr>
          <w:rFonts w:ascii="宋体" w:hAnsi="宋体"/>
          <w:color w:val="auto"/>
          <w:szCs w:val="21"/>
          <w:highlight w:val="none"/>
        </w:rPr>
        <w:t>8.4</w:t>
      </w:r>
      <w:r>
        <w:rPr>
          <w:rFonts w:hint="eastAsia" w:ascii="宋体" w:hAnsi="宋体"/>
          <w:color w:val="auto"/>
          <w:szCs w:val="21"/>
          <w:highlight w:val="none"/>
        </w:rPr>
        <w:t>款[项目进度计划]规定的数量要求及时间要求，负责组织材料和工程设备采购（包括备品备件、专用工具及厂商提供的技术文件），负责运抵现场。合同约定由承包人采购的材料、工程设备，除专用合同条件另有约定外，发包人不得指定生产厂家或供应商，发包人违反本款约定指定生产厂家或供应商的，承包人有权拒绝，并由发包人承担相应责任。</w:t>
      </w:r>
    </w:p>
    <w:p w14:paraId="72AFB1A0">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对承包人提供的材料和工程设备，承包人应会同工程师进行检验和交货验收，查验材料合格证明和产品合格证书，并按合同约定和工程师指示，进行材料的抽样检验和工程设备的检验测试，检验和测试结果应提交工程师，所需费用由承包人承担。</w:t>
      </w:r>
    </w:p>
    <w:p w14:paraId="2FE0B0B1">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因承包人提供的材料和工程设备不符合国家强制性标准、规范的规定或合同约定的标准、规范，所造成的质量缺陷，由承包人自费修复，竣工日期不予延长。在履行合同过程中，由于国家新颁布的强制性标准、规范，造成承包人负责提供的材料和工程设备，虽符合合同约定的标准，但不符合新颁布的强制性标准时，由承包人负责修复或重新订货，相关费用支出及导致的工期延长由发包人负责。</w:t>
      </w:r>
    </w:p>
    <w:p w14:paraId="13199134">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783" w:name="_Ref531953991"/>
      <w:bookmarkStart w:id="784" w:name="_Ref531953999"/>
      <w:r>
        <w:rPr>
          <w:rFonts w:hint="eastAsia"/>
          <w:b/>
          <w:bCs/>
          <w:color w:val="auto"/>
          <w:sz w:val="21"/>
          <w:highlight w:val="none"/>
        </w:rPr>
        <w:t>6</w:t>
      </w:r>
      <w:r>
        <w:rPr>
          <w:b/>
          <w:bCs/>
          <w:color w:val="auto"/>
          <w:sz w:val="21"/>
          <w:highlight w:val="none"/>
        </w:rPr>
        <w:t xml:space="preserve">.2.3 </w:t>
      </w:r>
      <w:r>
        <w:rPr>
          <w:rFonts w:hint="eastAsia"/>
          <w:b/>
          <w:bCs/>
          <w:color w:val="auto"/>
          <w:sz w:val="21"/>
          <w:highlight w:val="none"/>
        </w:rPr>
        <w:t>材料和工程设备的保管</w:t>
      </w:r>
      <w:bookmarkEnd w:id="783"/>
      <w:bookmarkEnd w:id="784"/>
    </w:p>
    <w:p w14:paraId="55F4BBBB">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 发包人供应材料与工程设备的保管与使用</w:t>
      </w:r>
    </w:p>
    <w:p w14:paraId="37E0A595">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发包人供应的材料和工程设备，承包人清点并接收后由承包人妥善保管，保管费用由承包人承担，但专用合同条件另有约定除外。因承包人原因发生丢失毁损的，由承包人负责赔偿。</w:t>
      </w:r>
    </w:p>
    <w:p w14:paraId="66437CF7">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发包人供应的材料和工程设备使用前，由承包人负责必要的检验，检验费用由发包人承担，不合格的不得使用。</w:t>
      </w:r>
    </w:p>
    <w:p w14:paraId="28A070AF">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 承包人采购材料与工程设备的保管与使用</w:t>
      </w:r>
    </w:p>
    <w:p w14:paraId="7511C714">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承包人采购的材料和工程设备由承包人妥善保管，保管费用由承包人承担。合同约定或法律规定材料和工程设备使用前必须进行检验或试验的，承包人应按工程师的指示进行检验或试验，检验或试验费用由承包人承担，不合格的不得使用。</w:t>
      </w:r>
    </w:p>
    <w:p w14:paraId="44C436D7">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工程师发现承包人使用不符合设计或有关标准要求的材料和工程设备时，有权要求承包人进行修复、拆除或重新采购，由此增加的费用和（或）延误的工期，由承包人承担。</w:t>
      </w:r>
    </w:p>
    <w:p w14:paraId="3BED488D">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r>
        <w:rPr>
          <w:rFonts w:hint="eastAsia"/>
          <w:b/>
          <w:bCs/>
          <w:color w:val="auto"/>
          <w:sz w:val="21"/>
          <w:highlight w:val="none"/>
        </w:rPr>
        <w:t>6</w:t>
      </w:r>
      <w:r>
        <w:rPr>
          <w:b/>
          <w:bCs/>
          <w:color w:val="auto"/>
          <w:sz w:val="21"/>
          <w:highlight w:val="none"/>
        </w:rPr>
        <w:t xml:space="preserve">.2.4 </w:t>
      </w:r>
      <w:r>
        <w:rPr>
          <w:rFonts w:hint="eastAsia"/>
          <w:b/>
          <w:bCs/>
          <w:color w:val="auto"/>
          <w:sz w:val="21"/>
          <w:highlight w:val="none"/>
        </w:rPr>
        <w:t>材料和工程设备的所有权</w:t>
      </w:r>
    </w:p>
    <w:p w14:paraId="27CC9385">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除本合同另有约定外，承包人根据第</w:t>
      </w:r>
      <w:r>
        <w:rPr>
          <w:rFonts w:ascii="宋体" w:hAnsi="宋体"/>
          <w:color w:val="auto"/>
          <w:szCs w:val="21"/>
          <w:highlight w:val="none"/>
        </w:rPr>
        <w:t>6.2.2</w:t>
      </w:r>
      <w:r>
        <w:rPr>
          <w:rFonts w:hint="eastAsia" w:ascii="宋体" w:hAnsi="宋体"/>
          <w:color w:val="auto"/>
          <w:szCs w:val="21"/>
          <w:highlight w:val="none"/>
        </w:rPr>
        <w:t>项[承包人提供的材料和工程设备]约定提供的材料和工程设备后，材料及工程设备的价款应列入第1</w:t>
      </w:r>
      <w:r>
        <w:rPr>
          <w:rFonts w:ascii="宋体" w:hAnsi="宋体"/>
          <w:color w:val="auto"/>
          <w:szCs w:val="21"/>
          <w:highlight w:val="none"/>
        </w:rPr>
        <w:t>4.3.1</w:t>
      </w:r>
      <w:r>
        <w:rPr>
          <w:rFonts w:hint="eastAsia" w:ascii="宋体" w:hAnsi="宋体"/>
          <w:color w:val="auto"/>
          <w:szCs w:val="21"/>
          <w:highlight w:val="none"/>
        </w:rPr>
        <w:t>项第（2）目的进度款金额中，发包人支付当期进度款之后，其所有权转为发包人所有（周转性材料除外）；在发包人接收工程前，承包人有义务对材料和工程设备进行保管、维护和保养，未经发包人批准不得运出现场。</w:t>
      </w:r>
    </w:p>
    <w:p w14:paraId="559F1B5F">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承包人按第</w:t>
      </w:r>
      <w:r>
        <w:rPr>
          <w:rFonts w:ascii="宋体" w:hAnsi="宋体"/>
          <w:color w:val="auto"/>
          <w:szCs w:val="21"/>
          <w:highlight w:val="none"/>
        </w:rPr>
        <w:t>6.2.2项提供的材料和工程设备</w:t>
      </w:r>
      <w:r>
        <w:rPr>
          <w:rFonts w:hint="eastAsia" w:ascii="宋体" w:hAnsi="宋体"/>
          <w:color w:val="auto"/>
          <w:szCs w:val="21"/>
          <w:highlight w:val="none"/>
        </w:rPr>
        <w:t>，承包人应确保发包人取得无权利负担的材料及工程设备所有权，因承包人与第三人的物权争议导致的增加的费用和（或）延误的工期，由承包人承担。</w:t>
      </w:r>
    </w:p>
    <w:p w14:paraId="73358970">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785" w:name="_Ref4428239"/>
      <w:bookmarkStart w:id="786" w:name="_Toc7694"/>
      <w:bookmarkStart w:id="787" w:name="_Toc2799"/>
      <w:bookmarkStart w:id="788" w:name="_Toc54862231"/>
      <w:bookmarkStart w:id="789" w:name="_Toc12117"/>
      <w:bookmarkStart w:id="790" w:name="_Toc351203565"/>
      <w:bookmarkStart w:id="791" w:name="_Toc337558785"/>
      <w:r>
        <w:rPr>
          <w:rFonts w:hint="eastAsia" w:ascii="宋体" w:hAnsi="宋体" w:eastAsia="宋体"/>
          <w:b/>
          <w:bCs w:val="0"/>
          <w:color w:val="auto"/>
          <w:sz w:val="21"/>
          <w:szCs w:val="21"/>
          <w:highlight w:val="none"/>
        </w:rPr>
        <w:t>6</w:t>
      </w:r>
      <w:r>
        <w:rPr>
          <w:rFonts w:ascii="宋体" w:hAnsi="宋体" w:eastAsia="宋体"/>
          <w:b/>
          <w:bCs w:val="0"/>
          <w:color w:val="auto"/>
          <w:sz w:val="21"/>
          <w:szCs w:val="21"/>
          <w:highlight w:val="none"/>
        </w:rPr>
        <w:t xml:space="preserve">.3 </w:t>
      </w:r>
      <w:r>
        <w:rPr>
          <w:rFonts w:hint="eastAsia" w:ascii="宋体" w:hAnsi="宋体" w:eastAsia="宋体"/>
          <w:b/>
          <w:bCs w:val="0"/>
          <w:color w:val="auto"/>
          <w:sz w:val="21"/>
          <w:szCs w:val="21"/>
          <w:highlight w:val="none"/>
        </w:rPr>
        <w:t>样品</w:t>
      </w:r>
      <w:bookmarkEnd w:id="785"/>
      <w:bookmarkEnd w:id="786"/>
      <w:bookmarkEnd w:id="787"/>
      <w:bookmarkEnd w:id="788"/>
      <w:bookmarkEnd w:id="789"/>
    </w:p>
    <w:p w14:paraId="454C55E3">
      <w:pPr>
        <w:pStyle w:val="153"/>
        <w:keepNext w:val="0"/>
        <w:keepLines w:val="0"/>
        <w:pageBreakBefore w:val="0"/>
        <w:kinsoku/>
        <w:wordWrap/>
        <w:overflowPunct/>
        <w:topLinePunct w:val="0"/>
        <w:bidi w:val="0"/>
        <w:spacing w:after="120"/>
        <w:ind w:firstLine="422" w:firstLineChars="200"/>
        <w:textAlignment w:val="auto"/>
        <w:rPr>
          <w:b/>
          <w:bCs w:val="0"/>
          <w:color w:val="auto"/>
          <w:sz w:val="21"/>
          <w:highlight w:val="none"/>
        </w:rPr>
      </w:pPr>
      <w:r>
        <w:rPr>
          <w:rFonts w:hint="eastAsia"/>
          <w:b/>
          <w:bCs w:val="0"/>
          <w:color w:val="auto"/>
          <w:sz w:val="21"/>
          <w:highlight w:val="none"/>
        </w:rPr>
        <w:t>6</w:t>
      </w:r>
      <w:r>
        <w:rPr>
          <w:b/>
          <w:bCs w:val="0"/>
          <w:color w:val="auto"/>
          <w:sz w:val="21"/>
          <w:highlight w:val="none"/>
        </w:rPr>
        <w:t xml:space="preserve">.3.1 </w:t>
      </w:r>
      <w:r>
        <w:rPr>
          <w:rFonts w:hint="eastAsia"/>
          <w:b/>
          <w:bCs w:val="0"/>
          <w:color w:val="auto"/>
          <w:sz w:val="21"/>
          <w:highlight w:val="none"/>
        </w:rPr>
        <w:t>样品的报送与封存</w:t>
      </w:r>
    </w:p>
    <w:p w14:paraId="4AEAD1EC">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需要承包人报送样品的材料或工程设备，样品的种类、名称、规格、数量等要求均应在专用合同条件中约定。样品的报送程序如下：</w:t>
      </w:r>
    </w:p>
    <w:p w14:paraId="6BF497AB">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 承包人应在计划采购前28天向工程师报送样品。承包人报送的样品均应来自供应材料的实际生产地，且提供的样品的规格、数量足以表明材料或工程设备的质量、型号、颜色、表面处理、质地、误差和其他要求的特征。</w:t>
      </w:r>
    </w:p>
    <w:p w14:paraId="5CFC19B6">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 承包人每次报送样品时应随附申报单，申报单应载明报送样品的相关数据和资料，并标明每件样品对应的图纸号，预留工程师审批意见栏。工程师应在收到承包人报送的样品后7天向承包人回复经发包人签认的样品审批意见。</w:t>
      </w:r>
    </w:p>
    <w:p w14:paraId="04ACE30E">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（3） 经工程师审批确认的样品应按约定的方法封样，封存的样品作为检验工程相关部分的标准之一。承包人在施工过程中不得使用与样品不符的材料或工程设备。</w:t>
      </w:r>
    </w:p>
    <w:p w14:paraId="00107E81">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（4） 工程师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14:paraId="1F6AAD9B">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r>
        <w:rPr>
          <w:rFonts w:hint="eastAsia"/>
          <w:b/>
          <w:bCs/>
          <w:color w:val="auto"/>
          <w:sz w:val="21"/>
          <w:highlight w:val="none"/>
        </w:rPr>
        <w:t>6</w:t>
      </w:r>
      <w:r>
        <w:rPr>
          <w:b/>
          <w:bCs/>
          <w:color w:val="auto"/>
          <w:sz w:val="21"/>
          <w:highlight w:val="none"/>
        </w:rPr>
        <w:t xml:space="preserve">.3.2 </w:t>
      </w:r>
      <w:r>
        <w:rPr>
          <w:rFonts w:hint="eastAsia"/>
          <w:b/>
          <w:bCs/>
          <w:color w:val="auto"/>
          <w:sz w:val="21"/>
          <w:highlight w:val="none"/>
        </w:rPr>
        <w:t>样品的保管</w:t>
      </w:r>
    </w:p>
    <w:p w14:paraId="47994241">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经批准的样品应由工程师负责封存于现场，承包人应在现场为保存样品提供适当和固定的场所并保持适当和良好的存储环境条件。</w:t>
      </w:r>
    </w:p>
    <w:p w14:paraId="140A3921">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792" w:name="_Ref11959210"/>
      <w:bookmarkStart w:id="793" w:name="_Toc18937"/>
      <w:bookmarkStart w:id="794" w:name="_Toc54862232"/>
      <w:bookmarkStart w:id="795" w:name="_Toc13772"/>
      <w:bookmarkStart w:id="796" w:name="_Ref11959204"/>
      <w:bookmarkStart w:id="797" w:name="_Toc6831"/>
      <w:r>
        <w:rPr>
          <w:rFonts w:hint="eastAsia" w:ascii="宋体" w:hAnsi="宋体" w:eastAsia="宋体"/>
          <w:b/>
          <w:bCs w:val="0"/>
          <w:color w:val="auto"/>
          <w:sz w:val="21"/>
          <w:szCs w:val="21"/>
          <w:highlight w:val="none"/>
        </w:rPr>
        <w:t>6</w:t>
      </w:r>
      <w:r>
        <w:rPr>
          <w:rFonts w:ascii="宋体" w:hAnsi="宋体" w:eastAsia="宋体"/>
          <w:b/>
          <w:bCs w:val="0"/>
          <w:color w:val="auto"/>
          <w:sz w:val="21"/>
          <w:szCs w:val="21"/>
          <w:highlight w:val="none"/>
        </w:rPr>
        <w:t xml:space="preserve">.4 </w:t>
      </w:r>
      <w:r>
        <w:rPr>
          <w:rFonts w:hint="eastAsia" w:ascii="宋体" w:hAnsi="宋体" w:eastAsia="宋体"/>
          <w:b/>
          <w:bCs w:val="0"/>
          <w:color w:val="auto"/>
          <w:sz w:val="21"/>
          <w:szCs w:val="21"/>
          <w:highlight w:val="none"/>
        </w:rPr>
        <w:t>质量检查</w:t>
      </w:r>
      <w:bookmarkEnd w:id="792"/>
      <w:bookmarkEnd w:id="793"/>
      <w:bookmarkEnd w:id="794"/>
      <w:bookmarkEnd w:id="795"/>
      <w:bookmarkEnd w:id="796"/>
      <w:bookmarkEnd w:id="797"/>
    </w:p>
    <w:p w14:paraId="129622EC">
      <w:pPr>
        <w:pStyle w:val="153"/>
        <w:keepNext w:val="0"/>
        <w:keepLines w:val="0"/>
        <w:pageBreakBefore w:val="0"/>
        <w:kinsoku/>
        <w:wordWrap/>
        <w:overflowPunct/>
        <w:topLinePunct w:val="0"/>
        <w:bidi w:val="0"/>
        <w:spacing w:after="120"/>
        <w:ind w:firstLine="422" w:firstLineChars="200"/>
        <w:textAlignment w:val="auto"/>
        <w:rPr>
          <w:b/>
          <w:bCs w:val="0"/>
          <w:color w:val="auto"/>
          <w:sz w:val="21"/>
          <w:highlight w:val="none"/>
        </w:rPr>
      </w:pPr>
      <w:bookmarkStart w:id="798" w:name="_Ref18990699"/>
      <w:r>
        <w:rPr>
          <w:rFonts w:hint="eastAsia"/>
          <w:b/>
          <w:bCs w:val="0"/>
          <w:color w:val="auto"/>
          <w:sz w:val="21"/>
          <w:highlight w:val="none"/>
        </w:rPr>
        <w:t>6</w:t>
      </w:r>
      <w:r>
        <w:rPr>
          <w:b/>
          <w:bCs w:val="0"/>
          <w:color w:val="auto"/>
          <w:sz w:val="21"/>
          <w:highlight w:val="none"/>
        </w:rPr>
        <w:t xml:space="preserve">.4.1 </w:t>
      </w:r>
      <w:r>
        <w:rPr>
          <w:rFonts w:hint="eastAsia"/>
          <w:b/>
          <w:bCs w:val="0"/>
          <w:color w:val="auto"/>
          <w:sz w:val="21"/>
          <w:highlight w:val="none"/>
        </w:rPr>
        <w:t>工程质量要求</w:t>
      </w:r>
      <w:bookmarkEnd w:id="798"/>
    </w:p>
    <w:p w14:paraId="0DD54424">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工程质量标准必须符合现行国家有关工程施工质量验收规范和标准的要求。有关工程质量的特殊标准或要求由合同当事人在专用合同条件中约定。</w:t>
      </w:r>
    </w:p>
    <w:p w14:paraId="4487A3F7">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因承包人原因造成工程质量未达到合同约定标准的，发包人有权要求承包人返工直至工程质量达到合同约定的标准为止，并由承包人承担由此增加的费用和（或）延误的工期。因发包人原因造成工程质量未达到合同约定标准的，由发包人承担由此增加的费用和（或）延误的工期，并支付承包人合理的利润。</w:t>
      </w:r>
    </w:p>
    <w:p w14:paraId="4BF825A0">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799" w:name="_Ref18990717"/>
      <w:r>
        <w:rPr>
          <w:rFonts w:hint="eastAsia"/>
          <w:b/>
          <w:bCs/>
          <w:color w:val="auto"/>
          <w:sz w:val="21"/>
          <w:highlight w:val="none"/>
        </w:rPr>
        <w:t>6</w:t>
      </w:r>
      <w:r>
        <w:rPr>
          <w:b/>
          <w:bCs/>
          <w:color w:val="auto"/>
          <w:sz w:val="21"/>
          <w:highlight w:val="none"/>
        </w:rPr>
        <w:t xml:space="preserve">.4.2 </w:t>
      </w:r>
      <w:r>
        <w:rPr>
          <w:rFonts w:hint="eastAsia"/>
          <w:b/>
          <w:bCs/>
          <w:color w:val="auto"/>
          <w:sz w:val="21"/>
          <w:highlight w:val="none"/>
        </w:rPr>
        <w:t>质量检查</w:t>
      </w:r>
      <w:bookmarkEnd w:id="799"/>
    </w:p>
    <w:p w14:paraId="3FC2AAC5">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发包人有权通过工程师或自行对全部工程内容及其施工工艺、材料和工程设备进行检查和检验。承包人应为工程师或发包人的检查和检验提供方便，包括到施工现场，或制造、加工地点，或专用合同条件约定的其他地方进行察看和查阅施工原始记录。承包人还应按工程师或发包人指示，进行施工现场的取样试验，工程复核测量和设备性能检测，提供试验样品、提交试验报告和测量成果以及工程师或发包人指示进行的其他工作。工程师或发包人的检查和检验，不免除承包人按合同约定应负的责任。</w:t>
      </w:r>
    </w:p>
    <w:p w14:paraId="0BE507BB">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800" w:name="_Ref11959222"/>
      <w:r>
        <w:rPr>
          <w:rFonts w:hint="eastAsia"/>
          <w:b/>
          <w:bCs/>
          <w:color w:val="auto"/>
          <w:sz w:val="21"/>
          <w:highlight w:val="none"/>
        </w:rPr>
        <w:t>6</w:t>
      </w:r>
      <w:r>
        <w:rPr>
          <w:b/>
          <w:bCs/>
          <w:color w:val="auto"/>
          <w:sz w:val="21"/>
          <w:highlight w:val="none"/>
        </w:rPr>
        <w:t xml:space="preserve">.4.3 </w:t>
      </w:r>
      <w:r>
        <w:rPr>
          <w:rFonts w:hint="eastAsia"/>
          <w:b/>
          <w:bCs/>
          <w:color w:val="auto"/>
          <w:sz w:val="21"/>
          <w:highlight w:val="none"/>
        </w:rPr>
        <w:t>隐蔽工程检查</w:t>
      </w:r>
      <w:bookmarkEnd w:id="800"/>
    </w:p>
    <w:p w14:paraId="16E7DDD9">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除专用合同条件另有约定外，工程隐蔽部位经承包人自检确认具备覆盖条件的，承包人应书面通知工程师在约定的期限内检查，通知中应载明隐蔽检查的内容、时间和地点，并应附有自检记录和必要的检查资料。</w:t>
      </w:r>
    </w:p>
    <w:p w14:paraId="2A856E70">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工程师应按时到场并对隐蔽工程及其施工工艺、材料和工程设备进行检查。经工程师检查确认质量符合隐蔽要求，并在验收记录上签字后，承包人才能进行覆盖。经工程师检查质量不合格的，承包人应在工程师指示的时间内完成修复，并由工程师重新检查，由此增加的费用和（或）延误的工期由承包人承担。</w:t>
      </w:r>
    </w:p>
    <w:p w14:paraId="51A16431">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除专用合同条件另有约定外，工程师不能按时进行检查的，应提前向承包人提交书面延期要求，顺延时间不得超过</w:t>
      </w:r>
      <w:r>
        <w:rPr>
          <w:rFonts w:ascii="宋体" w:hAnsi="宋体"/>
          <w:color w:val="auto"/>
          <w:szCs w:val="21"/>
          <w:highlight w:val="none"/>
        </w:rPr>
        <w:t>48小时，</w:t>
      </w:r>
      <w:r>
        <w:rPr>
          <w:rFonts w:hint="eastAsia" w:ascii="宋体" w:hAnsi="宋体"/>
          <w:color w:val="auto"/>
          <w:szCs w:val="21"/>
          <w:highlight w:val="none"/>
        </w:rPr>
        <w:t>由此导致工期延误的，工期应予以顺延，顺延超过</w:t>
      </w:r>
      <w:r>
        <w:rPr>
          <w:rFonts w:ascii="宋体" w:hAnsi="宋体"/>
          <w:color w:val="auto"/>
          <w:szCs w:val="21"/>
          <w:highlight w:val="none"/>
        </w:rPr>
        <w:t>48小时的，由此导致的工期延误及费用增加由发包人承担</w:t>
      </w:r>
      <w:r>
        <w:rPr>
          <w:rFonts w:hint="eastAsia" w:ascii="宋体" w:hAnsi="宋体"/>
          <w:color w:val="auto"/>
          <w:szCs w:val="21"/>
          <w:highlight w:val="none"/>
        </w:rPr>
        <w:t>。工程师未按时进行检查，也未提出延期要求的，视为隐蔽工程检查合格，承包人可自行完成覆盖工作，并作相应记录报送工程师，工程师应签字确认。工程师事后对检查记录有疑问的，可按下列约定重新检查。</w:t>
      </w:r>
    </w:p>
    <w:p w14:paraId="7F5D99B7">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承包人覆盖工程隐蔽部位后，工程师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10750D60">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承包人未通知工程师到场检查，私自将工程隐蔽部位覆盖的，工程师有权指示承包人钻孔探测或揭开检查，无论工程隐蔽部位质量是否合格，由此增加的费用和（或）延误的工期均由承包人承担。</w:t>
      </w:r>
    </w:p>
    <w:bookmarkEnd w:id="790"/>
    <w:p w14:paraId="5F8D9F42">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801" w:name="_Ref11927398"/>
      <w:bookmarkStart w:id="802" w:name="_Ref11927389"/>
      <w:bookmarkStart w:id="803" w:name="_Ref11927403"/>
      <w:bookmarkStart w:id="804" w:name="_Toc880"/>
      <w:bookmarkStart w:id="805" w:name="_Ref11959158"/>
      <w:bookmarkStart w:id="806" w:name="_Toc22298"/>
      <w:bookmarkStart w:id="807" w:name="_Toc9246"/>
      <w:bookmarkStart w:id="808" w:name="_Ref11959175"/>
      <w:bookmarkStart w:id="809" w:name="_Toc54862233"/>
      <w:r>
        <w:rPr>
          <w:rFonts w:hint="eastAsia" w:ascii="宋体" w:hAnsi="宋体" w:eastAsia="宋体"/>
          <w:b/>
          <w:bCs w:val="0"/>
          <w:color w:val="auto"/>
          <w:sz w:val="21"/>
          <w:szCs w:val="21"/>
          <w:highlight w:val="none"/>
        </w:rPr>
        <w:t>6</w:t>
      </w:r>
      <w:r>
        <w:rPr>
          <w:rFonts w:ascii="宋体" w:hAnsi="宋体" w:eastAsia="宋体"/>
          <w:b/>
          <w:bCs w:val="0"/>
          <w:color w:val="auto"/>
          <w:sz w:val="21"/>
          <w:szCs w:val="21"/>
          <w:highlight w:val="none"/>
        </w:rPr>
        <w:t xml:space="preserve">.5 </w:t>
      </w:r>
      <w:r>
        <w:rPr>
          <w:rFonts w:hint="eastAsia" w:ascii="宋体" w:hAnsi="宋体" w:eastAsia="宋体"/>
          <w:b/>
          <w:bCs w:val="0"/>
          <w:color w:val="auto"/>
          <w:sz w:val="21"/>
          <w:szCs w:val="21"/>
          <w:highlight w:val="none"/>
        </w:rPr>
        <w:t>由承包人试验</w:t>
      </w:r>
      <w:bookmarkEnd w:id="801"/>
      <w:bookmarkEnd w:id="802"/>
      <w:bookmarkEnd w:id="803"/>
      <w:r>
        <w:rPr>
          <w:rFonts w:hint="eastAsia" w:ascii="宋体" w:hAnsi="宋体" w:eastAsia="宋体"/>
          <w:b/>
          <w:bCs w:val="0"/>
          <w:color w:val="auto"/>
          <w:sz w:val="21"/>
          <w:szCs w:val="21"/>
          <w:highlight w:val="none"/>
        </w:rPr>
        <w:t>和检验</w:t>
      </w:r>
      <w:bookmarkEnd w:id="804"/>
      <w:bookmarkEnd w:id="805"/>
      <w:bookmarkEnd w:id="806"/>
      <w:bookmarkEnd w:id="807"/>
      <w:bookmarkEnd w:id="808"/>
      <w:bookmarkEnd w:id="809"/>
    </w:p>
    <w:bookmarkEnd w:id="791"/>
    <w:p w14:paraId="6DCC6D11">
      <w:pPr>
        <w:pStyle w:val="153"/>
        <w:keepNext w:val="0"/>
        <w:keepLines w:val="0"/>
        <w:pageBreakBefore w:val="0"/>
        <w:kinsoku/>
        <w:wordWrap/>
        <w:overflowPunct/>
        <w:topLinePunct w:val="0"/>
        <w:bidi w:val="0"/>
        <w:spacing w:after="120"/>
        <w:ind w:firstLine="422" w:firstLineChars="200"/>
        <w:textAlignment w:val="auto"/>
        <w:rPr>
          <w:b/>
          <w:bCs w:val="0"/>
          <w:color w:val="auto"/>
          <w:sz w:val="21"/>
          <w:highlight w:val="none"/>
        </w:rPr>
      </w:pPr>
      <w:r>
        <w:rPr>
          <w:rFonts w:hint="eastAsia"/>
          <w:b/>
          <w:bCs w:val="0"/>
          <w:color w:val="auto"/>
          <w:sz w:val="21"/>
          <w:highlight w:val="none"/>
        </w:rPr>
        <w:t>6</w:t>
      </w:r>
      <w:r>
        <w:rPr>
          <w:b/>
          <w:bCs w:val="0"/>
          <w:color w:val="auto"/>
          <w:sz w:val="21"/>
          <w:highlight w:val="none"/>
        </w:rPr>
        <w:t xml:space="preserve">.5.1 </w:t>
      </w:r>
      <w:r>
        <w:rPr>
          <w:rFonts w:hint="eastAsia"/>
          <w:b/>
          <w:bCs w:val="0"/>
          <w:color w:val="auto"/>
          <w:sz w:val="21"/>
          <w:highlight w:val="none"/>
        </w:rPr>
        <w:t>试验设备与试验人员</w:t>
      </w:r>
    </w:p>
    <w:p w14:paraId="1F0CA825">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 承包人根据合同约定或工程师指示进行的现场材料试验，应由承包人提供试验场所、试验人员、试验设备以及其他必要的试验条件。工程师在必要时可以使用承包人提供的试验场所、试验设备以及其他试验条件，进行以工程质量检查为目的的材料复核试验，承包人应予以协助。</w:t>
      </w:r>
    </w:p>
    <w:p w14:paraId="2BFB736D">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 承包人应按专用合同条件约定的试验内容、时间和地点提供试验设备、取样装置、试验场所和试验条件，并向工程师提交相应进场计划表。</w:t>
      </w:r>
    </w:p>
    <w:p w14:paraId="0BBFAC02">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承包人配置的试验设备要符合相应试验规程的要求并经过具有资质的检测单位检测，且在正式使用该试验设备前，需要经过工程师与承包人共同校定。</w:t>
      </w:r>
    </w:p>
    <w:p w14:paraId="48658C93">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（3） 承包人应向工程师提交试验人员的名单及其岗位、资格等证明资料，试验人员必须能够熟练进行相应的检测试验，承包人对试验人员的试验程序和试验结果的正确性负责。</w:t>
      </w:r>
    </w:p>
    <w:p w14:paraId="596EBD3F">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r>
        <w:rPr>
          <w:rFonts w:hint="eastAsia"/>
          <w:b/>
          <w:bCs/>
          <w:color w:val="auto"/>
          <w:sz w:val="21"/>
          <w:highlight w:val="none"/>
        </w:rPr>
        <w:t>6</w:t>
      </w:r>
      <w:r>
        <w:rPr>
          <w:b/>
          <w:bCs/>
          <w:color w:val="auto"/>
          <w:sz w:val="21"/>
          <w:highlight w:val="none"/>
        </w:rPr>
        <w:t xml:space="preserve">.5.2 </w:t>
      </w:r>
      <w:r>
        <w:rPr>
          <w:rFonts w:hint="eastAsia"/>
          <w:b/>
          <w:bCs/>
          <w:color w:val="auto"/>
          <w:sz w:val="21"/>
          <w:highlight w:val="none"/>
        </w:rPr>
        <w:t>取样</w:t>
      </w:r>
    </w:p>
    <w:p w14:paraId="49388680">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试验属于自检性质的，承包人可以单独取样。试验属于工程师抽检性质的，可由工程师取样，也可由承包人的试验人员在工程师的监督下取样。</w:t>
      </w:r>
    </w:p>
    <w:p w14:paraId="7B60D84A">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r>
        <w:rPr>
          <w:rFonts w:hint="eastAsia"/>
          <w:b/>
          <w:bCs/>
          <w:color w:val="auto"/>
          <w:sz w:val="21"/>
          <w:highlight w:val="none"/>
        </w:rPr>
        <w:t>6</w:t>
      </w:r>
      <w:r>
        <w:rPr>
          <w:b/>
          <w:bCs/>
          <w:color w:val="auto"/>
          <w:sz w:val="21"/>
          <w:highlight w:val="none"/>
        </w:rPr>
        <w:t xml:space="preserve">.5.3 </w:t>
      </w:r>
      <w:r>
        <w:rPr>
          <w:rFonts w:hint="eastAsia"/>
          <w:b/>
          <w:bCs/>
          <w:color w:val="auto"/>
          <w:sz w:val="21"/>
          <w:highlight w:val="none"/>
        </w:rPr>
        <w:t>材料、工程设备和工程的试验和检验</w:t>
      </w:r>
    </w:p>
    <w:p w14:paraId="052DF52D">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 承包人应按合同约定进行材料和工程设备的试验和检验，并为工程师对上述材料、工程设备和工程的质量检查提供必要的试验资料和原始记录。按合同约定应由工程师与承包人共同进行试验和检验的，由承包人负责提供必要的试验资料和原始记录。</w:t>
      </w:r>
    </w:p>
    <w:p w14:paraId="7043DB2C">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 试验属于自检性质的，承包人可以单独进行试验。试验属于工程师抽检性质的，工程师可以单独进行试验，也可由承包人与工程师共同进行。承包人对由工程师单独进行的试验结果有异议的，可以申请重新共同进行试验。约定共同进行试验的，工程师未按照约定参加试验的，承包人可自行试验，并将试验结果报送工程师，工程师应承认该试验结果。</w:t>
      </w:r>
    </w:p>
    <w:p w14:paraId="71C03DF4">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（3） 工程师对承包人的试验和检验结果有异议的，或为查清承包人试验和检验成果的可靠性要求承包人重新试验和检验的，可由工程师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14:paraId="41D3E781">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810" w:name="_Toc351203566"/>
      <w:bookmarkStart w:id="811" w:name="_Toc337558786"/>
      <w:r>
        <w:rPr>
          <w:rFonts w:hint="eastAsia"/>
          <w:b/>
          <w:bCs/>
          <w:color w:val="auto"/>
          <w:sz w:val="21"/>
          <w:highlight w:val="none"/>
        </w:rPr>
        <w:t>6</w:t>
      </w:r>
      <w:r>
        <w:rPr>
          <w:b/>
          <w:bCs/>
          <w:color w:val="auto"/>
          <w:sz w:val="21"/>
          <w:highlight w:val="none"/>
        </w:rPr>
        <w:t xml:space="preserve">.5.4 </w:t>
      </w:r>
      <w:r>
        <w:rPr>
          <w:rFonts w:hint="eastAsia"/>
          <w:b/>
          <w:bCs/>
          <w:color w:val="auto"/>
          <w:sz w:val="21"/>
          <w:highlight w:val="none"/>
        </w:rPr>
        <w:t>现场工艺试验</w:t>
      </w:r>
      <w:bookmarkEnd w:id="810"/>
    </w:p>
    <w:bookmarkEnd w:id="811"/>
    <w:p w14:paraId="13EBD191">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承包人应按合同约定进行现场工艺试验。对大型的现场工艺试验，发包人认为必要时，承包人应根据发包人提出的工艺试验要求，编制工艺试验措施计划，报送发包人审查。</w:t>
      </w:r>
    </w:p>
    <w:p w14:paraId="24E290AF">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812" w:name="_Toc4813"/>
      <w:bookmarkStart w:id="813" w:name="_Ref532592787"/>
      <w:bookmarkStart w:id="814" w:name="_Toc8681"/>
      <w:bookmarkStart w:id="815" w:name="_Toc54862234"/>
      <w:bookmarkStart w:id="816" w:name="_Ref532592784"/>
      <w:bookmarkStart w:id="817" w:name="_Toc12122"/>
      <w:r>
        <w:rPr>
          <w:rFonts w:hint="eastAsia" w:ascii="宋体" w:hAnsi="宋体" w:eastAsia="宋体"/>
          <w:b/>
          <w:bCs w:val="0"/>
          <w:color w:val="auto"/>
          <w:sz w:val="21"/>
          <w:szCs w:val="21"/>
          <w:highlight w:val="none"/>
        </w:rPr>
        <w:t>6</w:t>
      </w:r>
      <w:r>
        <w:rPr>
          <w:rFonts w:ascii="宋体" w:hAnsi="宋体" w:eastAsia="宋体"/>
          <w:b/>
          <w:bCs w:val="0"/>
          <w:color w:val="auto"/>
          <w:sz w:val="21"/>
          <w:szCs w:val="21"/>
          <w:highlight w:val="none"/>
        </w:rPr>
        <w:t xml:space="preserve">.6 </w:t>
      </w:r>
      <w:r>
        <w:rPr>
          <w:rFonts w:hint="eastAsia" w:ascii="宋体" w:hAnsi="宋体" w:eastAsia="宋体"/>
          <w:b/>
          <w:bCs w:val="0"/>
          <w:color w:val="auto"/>
          <w:sz w:val="21"/>
          <w:szCs w:val="21"/>
          <w:highlight w:val="none"/>
        </w:rPr>
        <w:t>缺陷和修补</w:t>
      </w:r>
      <w:bookmarkEnd w:id="812"/>
      <w:bookmarkEnd w:id="813"/>
      <w:bookmarkEnd w:id="814"/>
      <w:bookmarkEnd w:id="815"/>
      <w:bookmarkEnd w:id="816"/>
      <w:bookmarkEnd w:id="817"/>
    </w:p>
    <w:p w14:paraId="483B6223">
      <w:pPr>
        <w:pStyle w:val="153"/>
        <w:keepNext w:val="0"/>
        <w:keepLines w:val="0"/>
        <w:pageBreakBefore w:val="0"/>
        <w:kinsoku/>
        <w:wordWrap/>
        <w:overflowPunct/>
        <w:topLinePunct w:val="0"/>
        <w:bidi w:val="0"/>
        <w:spacing w:after="120"/>
        <w:ind w:firstLine="422" w:firstLineChars="200"/>
        <w:textAlignment w:val="auto"/>
        <w:rPr>
          <w:b/>
          <w:bCs w:val="0"/>
          <w:color w:val="auto"/>
          <w:sz w:val="21"/>
          <w:highlight w:val="none"/>
        </w:rPr>
      </w:pPr>
      <w:bookmarkStart w:id="818" w:name="_Ref16875551"/>
      <w:r>
        <w:rPr>
          <w:rFonts w:hint="eastAsia"/>
          <w:b/>
          <w:bCs w:val="0"/>
          <w:color w:val="auto"/>
          <w:sz w:val="21"/>
          <w:highlight w:val="none"/>
        </w:rPr>
        <w:t>6</w:t>
      </w:r>
      <w:r>
        <w:rPr>
          <w:b/>
          <w:bCs w:val="0"/>
          <w:color w:val="auto"/>
          <w:sz w:val="21"/>
          <w:highlight w:val="none"/>
        </w:rPr>
        <w:t xml:space="preserve">.6.1 </w:t>
      </w:r>
      <w:r>
        <w:rPr>
          <w:rFonts w:hint="eastAsia"/>
          <w:b/>
          <w:bCs w:val="0"/>
          <w:color w:val="auto"/>
          <w:sz w:val="21"/>
          <w:highlight w:val="none"/>
        </w:rPr>
        <w:t>发包人可在颁发接收证书前随时指示承包人：</w:t>
      </w:r>
      <w:bookmarkEnd w:id="818"/>
    </w:p>
    <w:p w14:paraId="59680122">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 对不符合合同要求的任何工程设备或材料进行修补，或者将其移出现场并进行更换；</w:t>
      </w:r>
    </w:p>
    <w:p w14:paraId="1E039794">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 xml:space="preserve">（2） 对不符合合同的其他工作进行修补，或者将其去除并重新实施； </w:t>
      </w:r>
    </w:p>
    <w:p w14:paraId="3F81CCEF">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bookmarkStart w:id="819" w:name="_Ref4708991"/>
      <w:r>
        <w:rPr>
          <w:rFonts w:hint="eastAsia" w:ascii="宋体" w:hAnsi="宋体"/>
          <w:color w:val="auto"/>
          <w:szCs w:val="21"/>
          <w:highlight w:val="none"/>
        </w:rPr>
        <w:t>（3） 实施因意外、不可预见的事件或其他原因引起的、为工程的安全迫切需要的任何修补工作。</w:t>
      </w:r>
      <w:bookmarkEnd w:id="819"/>
    </w:p>
    <w:p w14:paraId="67E42CE1">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bookmarkStart w:id="820" w:name="_Ref11956964"/>
      <w:r>
        <w:rPr>
          <w:rFonts w:hint="eastAsia"/>
          <w:color w:val="auto"/>
          <w:sz w:val="21"/>
          <w:highlight w:val="none"/>
        </w:rPr>
        <w:t>6</w:t>
      </w:r>
      <w:r>
        <w:rPr>
          <w:color w:val="auto"/>
          <w:sz w:val="21"/>
          <w:highlight w:val="none"/>
        </w:rPr>
        <w:t xml:space="preserve">.6.2 </w:t>
      </w:r>
      <w:r>
        <w:rPr>
          <w:rFonts w:hint="eastAsia"/>
          <w:color w:val="auto"/>
          <w:sz w:val="21"/>
          <w:highlight w:val="none"/>
        </w:rPr>
        <w:t>承包人应遵守第</w:t>
      </w:r>
      <w:r>
        <w:rPr>
          <w:color w:val="auto"/>
          <w:sz w:val="21"/>
          <w:highlight w:val="none"/>
        </w:rPr>
        <w:t>6.6.1项下</w:t>
      </w:r>
      <w:r>
        <w:rPr>
          <w:rFonts w:hint="eastAsia"/>
          <w:color w:val="auto"/>
          <w:sz w:val="21"/>
          <w:highlight w:val="none"/>
        </w:rPr>
        <w:t>指示，并在合理可行的情况下，根据上述指示中规定的时间完成修补工作。除因下列原因引起的第</w:t>
      </w:r>
      <w:r>
        <w:rPr>
          <w:color w:val="auto"/>
          <w:sz w:val="21"/>
          <w:highlight w:val="none"/>
        </w:rPr>
        <w:t>6.6.1</w:t>
      </w:r>
      <w:r>
        <w:rPr>
          <w:rFonts w:hint="eastAsia"/>
          <w:color w:val="auto"/>
          <w:sz w:val="21"/>
          <w:highlight w:val="none"/>
        </w:rPr>
        <w:t>项第（3）目下的情形外，承包人应承担所有修补工作的费用：</w:t>
      </w:r>
      <w:bookmarkEnd w:id="820"/>
    </w:p>
    <w:p w14:paraId="2F3606A6">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 因发包人或其人员的任何行为导致的情形，且在此情况下发包人应承担因此引起的工期延误和承包人费用损失，并向承包人支付合理的利润。</w:t>
      </w:r>
    </w:p>
    <w:p w14:paraId="2064A726">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 第</w:t>
      </w:r>
      <w:r>
        <w:rPr>
          <w:rFonts w:ascii="宋体" w:hAnsi="宋体"/>
          <w:color w:val="auto"/>
          <w:szCs w:val="21"/>
          <w:highlight w:val="none"/>
        </w:rPr>
        <w:t>17.4</w:t>
      </w:r>
      <w:r>
        <w:rPr>
          <w:rFonts w:hint="eastAsia" w:ascii="宋体" w:hAnsi="宋体"/>
          <w:color w:val="auto"/>
          <w:szCs w:val="21"/>
          <w:highlight w:val="none"/>
        </w:rPr>
        <w:t>款[</w:t>
      </w:r>
      <w:r>
        <w:rPr>
          <w:rFonts w:ascii="宋体" w:hAnsi="宋体"/>
          <w:color w:val="auto"/>
          <w:szCs w:val="21"/>
          <w:highlight w:val="none"/>
        </w:rPr>
        <w:t>不可抗力后果</w:t>
      </w:r>
      <w:r>
        <w:rPr>
          <w:rFonts w:hint="eastAsia" w:ascii="宋体" w:hAnsi="宋体"/>
          <w:color w:val="auto"/>
          <w:szCs w:val="21"/>
          <w:highlight w:val="none"/>
        </w:rPr>
        <w:t>的</w:t>
      </w:r>
      <w:r>
        <w:rPr>
          <w:rFonts w:ascii="宋体" w:hAnsi="宋体"/>
          <w:color w:val="auto"/>
          <w:szCs w:val="21"/>
          <w:highlight w:val="none"/>
        </w:rPr>
        <w:t>承担</w:t>
      </w:r>
      <w:r>
        <w:rPr>
          <w:rFonts w:hint="eastAsia" w:ascii="宋体" w:hAnsi="宋体"/>
          <w:color w:val="auto"/>
          <w:szCs w:val="21"/>
          <w:highlight w:val="none"/>
        </w:rPr>
        <w:t>]中适用的不可抗力事件的情形。</w:t>
      </w:r>
    </w:p>
    <w:p w14:paraId="292DC71C">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6</w:t>
      </w:r>
      <w:r>
        <w:rPr>
          <w:color w:val="auto"/>
          <w:sz w:val="21"/>
          <w:highlight w:val="none"/>
        </w:rPr>
        <w:t xml:space="preserve">.6.3 </w:t>
      </w:r>
      <w:r>
        <w:rPr>
          <w:rFonts w:hint="eastAsia"/>
          <w:color w:val="auto"/>
          <w:sz w:val="21"/>
          <w:highlight w:val="none"/>
        </w:rPr>
        <w:t>如果承包人未能遵守发包人的指示，发包人可以自行决定请第三方完成上述修补工作，并有权要求承包人支付因未履行指示而产生的所有费用，但承包人根据第</w:t>
      </w:r>
      <w:r>
        <w:rPr>
          <w:color w:val="auto"/>
          <w:sz w:val="21"/>
          <w:highlight w:val="none"/>
        </w:rPr>
        <w:t>6.6.2</w:t>
      </w:r>
      <w:r>
        <w:rPr>
          <w:rFonts w:hint="eastAsia"/>
          <w:color w:val="auto"/>
          <w:sz w:val="21"/>
          <w:highlight w:val="none"/>
        </w:rPr>
        <w:t>项有权就修补工作获得支付的情况除外。</w:t>
      </w:r>
    </w:p>
    <w:p w14:paraId="79086048">
      <w:pPr>
        <w:pStyle w:val="178"/>
        <w:keepNext w:val="0"/>
        <w:keepLines w:val="0"/>
        <w:pageBreakBefore w:val="0"/>
        <w:numPr>
          <w:ilvl w:val="0"/>
          <w:numId w:val="0"/>
        </w:numPr>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821" w:name="_Toc7552"/>
      <w:bookmarkStart w:id="822" w:name="_Ref531954214"/>
      <w:bookmarkStart w:id="823" w:name="_Toc13004"/>
      <w:bookmarkStart w:id="824" w:name="_Toc14360"/>
      <w:bookmarkStart w:id="825" w:name="_Toc54862235"/>
      <w:bookmarkStart w:id="826" w:name="_Toc12259"/>
      <w:r>
        <w:rPr>
          <w:rFonts w:hint="eastAsia" w:ascii="宋体" w:hAnsi="宋体" w:eastAsia="宋体"/>
          <w:b/>
          <w:bCs w:val="0"/>
          <w:color w:val="auto"/>
          <w:sz w:val="21"/>
          <w:szCs w:val="21"/>
          <w:highlight w:val="none"/>
        </w:rPr>
        <w:t>第7条 施工</w:t>
      </w:r>
      <w:bookmarkEnd w:id="821"/>
      <w:bookmarkEnd w:id="822"/>
      <w:bookmarkEnd w:id="823"/>
      <w:bookmarkEnd w:id="824"/>
      <w:bookmarkEnd w:id="825"/>
      <w:bookmarkEnd w:id="826"/>
    </w:p>
    <w:p w14:paraId="698A6322">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827" w:name="_Ref531954276"/>
      <w:bookmarkStart w:id="828" w:name="_Toc27177"/>
      <w:bookmarkStart w:id="829" w:name="_Ref531954272"/>
      <w:bookmarkStart w:id="830" w:name="_Toc54862236"/>
      <w:bookmarkStart w:id="831" w:name="_Toc473"/>
      <w:bookmarkStart w:id="832" w:name="_Toc21010"/>
      <w:bookmarkStart w:id="833" w:name="_Ref531954246"/>
      <w:bookmarkStart w:id="834" w:name="_Ref531954260"/>
      <w:r>
        <w:rPr>
          <w:rFonts w:hint="eastAsia" w:ascii="宋体" w:hAnsi="宋体" w:eastAsia="宋体"/>
          <w:b/>
          <w:bCs w:val="0"/>
          <w:color w:val="auto"/>
          <w:sz w:val="21"/>
          <w:szCs w:val="21"/>
          <w:highlight w:val="none"/>
        </w:rPr>
        <w:t>7</w:t>
      </w:r>
      <w:r>
        <w:rPr>
          <w:rFonts w:ascii="宋体" w:hAnsi="宋体" w:eastAsia="宋体"/>
          <w:b/>
          <w:bCs w:val="0"/>
          <w:color w:val="auto"/>
          <w:sz w:val="21"/>
          <w:szCs w:val="21"/>
          <w:highlight w:val="none"/>
        </w:rPr>
        <w:t xml:space="preserve">.1 </w:t>
      </w:r>
      <w:r>
        <w:rPr>
          <w:rFonts w:hint="eastAsia" w:ascii="宋体" w:hAnsi="宋体" w:eastAsia="宋体"/>
          <w:b/>
          <w:bCs w:val="0"/>
          <w:color w:val="auto"/>
          <w:sz w:val="21"/>
          <w:szCs w:val="21"/>
          <w:highlight w:val="none"/>
        </w:rPr>
        <w:t>交通运输</w:t>
      </w:r>
      <w:bookmarkEnd w:id="827"/>
      <w:bookmarkEnd w:id="828"/>
      <w:bookmarkEnd w:id="829"/>
      <w:bookmarkEnd w:id="830"/>
      <w:bookmarkEnd w:id="831"/>
      <w:bookmarkEnd w:id="832"/>
    </w:p>
    <w:p w14:paraId="38F76BAE">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835" w:name="_Ref4422645"/>
      <w:r>
        <w:rPr>
          <w:rFonts w:hint="eastAsia"/>
          <w:b/>
          <w:bCs/>
          <w:color w:val="auto"/>
          <w:sz w:val="21"/>
          <w:highlight w:val="none"/>
        </w:rPr>
        <w:t>7</w:t>
      </w:r>
      <w:r>
        <w:rPr>
          <w:b/>
          <w:bCs/>
          <w:color w:val="auto"/>
          <w:sz w:val="21"/>
          <w:highlight w:val="none"/>
        </w:rPr>
        <w:t xml:space="preserve">.1.1 </w:t>
      </w:r>
      <w:r>
        <w:rPr>
          <w:rFonts w:hint="eastAsia"/>
          <w:b/>
          <w:bCs/>
          <w:color w:val="auto"/>
          <w:sz w:val="21"/>
          <w:highlight w:val="none"/>
        </w:rPr>
        <w:t>出入现场的权利</w:t>
      </w:r>
      <w:bookmarkEnd w:id="835"/>
    </w:p>
    <w:p w14:paraId="28BE0141">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除专用合同条件另有约定外，发包人应根据工程实施需要，负责取得出入施工现场所需的批准手续和全部权利，以及取得因工程实施所需修建道路、桥梁以及其他基础设施的权利，并承担相关手续费用和建设费用。承包人应协助发包人办理修建场内外道路、桥梁以及其他基础设施的手续。</w:t>
      </w:r>
    </w:p>
    <w:p w14:paraId="1AF6B4B5">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836" w:name="_Ref18957045"/>
      <w:r>
        <w:rPr>
          <w:rFonts w:hint="eastAsia"/>
          <w:b/>
          <w:bCs/>
          <w:color w:val="auto"/>
          <w:sz w:val="21"/>
          <w:highlight w:val="none"/>
        </w:rPr>
        <w:t>7</w:t>
      </w:r>
      <w:r>
        <w:rPr>
          <w:b/>
          <w:bCs/>
          <w:color w:val="auto"/>
          <w:sz w:val="21"/>
          <w:highlight w:val="none"/>
        </w:rPr>
        <w:t xml:space="preserve">.1.2 </w:t>
      </w:r>
      <w:r>
        <w:rPr>
          <w:rFonts w:hint="eastAsia"/>
          <w:b/>
          <w:bCs/>
          <w:color w:val="auto"/>
          <w:sz w:val="21"/>
          <w:highlight w:val="none"/>
        </w:rPr>
        <w:t>场外交通</w:t>
      </w:r>
      <w:bookmarkEnd w:id="836"/>
    </w:p>
    <w:p w14:paraId="2C4ED8A6">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除专用合同条件另有约定外，发包人应提供场外交通设施的技术参数和具体条件，场外交通设施无法满足工程施工需要的，由发包人负责承担由此产生的相关费用。承包人应遵守有关交通法规，严格按照道路和桥梁的限制荷载行驶，执行有关道路限速、限行、禁止超载的规定，并配合交通管理部门的监督和检查。承包人车辆外出行驶所需的场外公共道路的通行费、养路费和税款等由承包人承担。</w:t>
      </w:r>
    </w:p>
    <w:p w14:paraId="117B8DA4">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837" w:name="_Ref4622358"/>
      <w:r>
        <w:rPr>
          <w:rFonts w:hint="eastAsia"/>
          <w:b/>
          <w:bCs/>
          <w:color w:val="auto"/>
          <w:sz w:val="21"/>
          <w:highlight w:val="none"/>
        </w:rPr>
        <w:t>7</w:t>
      </w:r>
      <w:r>
        <w:rPr>
          <w:b/>
          <w:bCs/>
          <w:color w:val="auto"/>
          <w:sz w:val="21"/>
          <w:highlight w:val="none"/>
        </w:rPr>
        <w:t xml:space="preserve">.1.3 </w:t>
      </w:r>
      <w:r>
        <w:rPr>
          <w:rFonts w:hint="eastAsia"/>
          <w:b/>
          <w:bCs/>
          <w:color w:val="auto"/>
          <w:sz w:val="21"/>
          <w:highlight w:val="none"/>
        </w:rPr>
        <w:t>场内交通</w:t>
      </w:r>
      <w:bookmarkEnd w:id="837"/>
    </w:p>
    <w:p w14:paraId="3579F8E5">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除专用合同条件另有约定外，承包人应负责修建、维修、养护和管理施工所需的临时道路和交通设施，包括维修、养护和管理发包人提供的道路和交通设施，并承担相应费用。承包人修建的临时道路和交通设施应免费提供发包人和工程师为实现合同目的使用。场内交通与场外交通的边界由合同当事人在专用合同条件中约定。</w:t>
      </w:r>
    </w:p>
    <w:p w14:paraId="5B5E6344">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838" w:name="_Ref4622376"/>
      <w:r>
        <w:rPr>
          <w:rFonts w:hint="eastAsia"/>
          <w:b/>
          <w:bCs/>
          <w:color w:val="auto"/>
          <w:sz w:val="21"/>
          <w:highlight w:val="none"/>
        </w:rPr>
        <w:t>7</w:t>
      </w:r>
      <w:r>
        <w:rPr>
          <w:b/>
          <w:bCs/>
          <w:color w:val="auto"/>
          <w:sz w:val="21"/>
          <w:highlight w:val="none"/>
        </w:rPr>
        <w:t xml:space="preserve">.1.4 </w:t>
      </w:r>
      <w:r>
        <w:rPr>
          <w:rFonts w:hint="eastAsia"/>
          <w:b/>
          <w:bCs/>
          <w:color w:val="auto"/>
          <w:sz w:val="21"/>
          <w:highlight w:val="none"/>
        </w:rPr>
        <w:t>超大件和超重件的运输</w:t>
      </w:r>
      <w:bookmarkEnd w:id="838"/>
    </w:p>
    <w:p w14:paraId="0365F5A2">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件另有约定的除外。</w:t>
      </w:r>
    </w:p>
    <w:p w14:paraId="2735A223">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r>
        <w:rPr>
          <w:rFonts w:hint="eastAsia"/>
          <w:b/>
          <w:bCs/>
          <w:color w:val="auto"/>
          <w:sz w:val="21"/>
          <w:highlight w:val="none"/>
        </w:rPr>
        <w:t>7</w:t>
      </w:r>
      <w:r>
        <w:rPr>
          <w:b/>
          <w:bCs/>
          <w:color w:val="auto"/>
          <w:sz w:val="21"/>
          <w:highlight w:val="none"/>
        </w:rPr>
        <w:t xml:space="preserve">.1.5 </w:t>
      </w:r>
      <w:r>
        <w:rPr>
          <w:rFonts w:hint="eastAsia"/>
          <w:b/>
          <w:bCs/>
          <w:color w:val="auto"/>
          <w:sz w:val="21"/>
          <w:highlight w:val="none"/>
        </w:rPr>
        <w:t>道路和桥梁的损坏责任</w:t>
      </w:r>
    </w:p>
    <w:p w14:paraId="4724448E">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因承包人运输造成施工现场内外公共道路和桥梁损坏的，由承包人承担修复损坏的全部费用和可能引起的赔偿。</w:t>
      </w:r>
    </w:p>
    <w:p w14:paraId="66613B2A">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r>
        <w:rPr>
          <w:rFonts w:hint="eastAsia"/>
          <w:b/>
          <w:bCs/>
          <w:color w:val="auto"/>
          <w:sz w:val="21"/>
          <w:highlight w:val="none"/>
        </w:rPr>
        <w:t>7</w:t>
      </w:r>
      <w:r>
        <w:rPr>
          <w:b/>
          <w:bCs/>
          <w:color w:val="auto"/>
          <w:sz w:val="21"/>
          <w:highlight w:val="none"/>
        </w:rPr>
        <w:t xml:space="preserve">.1.6 </w:t>
      </w:r>
      <w:r>
        <w:rPr>
          <w:rFonts w:hint="eastAsia"/>
          <w:b/>
          <w:bCs/>
          <w:color w:val="auto"/>
          <w:sz w:val="21"/>
          <w:highlight w:val="none"/>
        </w:rPr>
        <w:t>水路和航空运输</w:t>
      </w:r>
    </w:p>
    <w:p w14:paraId="102781D9">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本条上述各款的内容适用于水路运输和航空运输，其中“道路”一词的涵义包括河道、航线、船闸、机场、码头、堤防以及水路或航空运输中其他相似结构物；“车辆”一词的涵义包括船舶和飞机等。</w:t>
      </w:r>
    </w:p>
    <w:p w14:paraId="6A12E79F">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839" w:name="_Ref11919459"/>
      <w:bookmarkStart w:id="840" w:name="_Toc27530"/>
      <w:bookmarkStart w:id="841" w:name="_Ref11919294"/>
      <w:bookmarkStart w:id="842" w:name="_Toc54862237"/>
      <w:bookmarkStart w:id="843" w:name="_Toc31673"/>
      <w:bookmarkStart w:id="844" w:name="_Toc11467"/>
      <w:r>
        <w:rPr>
          <w:rFonts w:hint="eastAsia" w:ascii="宋体" w:hAnsi="宋体" w:eastAsia="宋体"/>
          <w:b/>
          <w:bCs w:val="0"/>
          <w:color w:val="auto"/>
          <w:sz w:val="21"/>
          <w:szCs w:val="21"/>
          <w:highlight w:val="none"/>
        </w:rPr>
        <w:t>7</w:t>
      </w:r>
      <w:r>
        <w:rPr>
          <w:rFonts w:ascii="宋体" w:hAnsi="宋体" w:eastAsia="宋体"/>
          <w:b/>
          <w:bCs w:val="0"/>
          <w:color w:val="auto"/>
          <w:sz w:val="21"/>
          <w:szCs w:val="21"/>
          <w:highlight w:val="none"/>
        </w:rPr>
        <w:t xml:space="preserve">.2 </w:t>
      </w:r>
      <w:r>
        <w:rPr>
          <w:rFonts w:hint="eastAsia" w:ascii="宋体" w:hAnsi="宋体" w:eastAsia="宋体"/>
          <w:b/>
          <w:bCs w:val="0"/>
          <w:color w:val="auto"/>
          <w:sz w:val="21"/>
          <w:szCs w:val="21"/>
          <w:highlight w:val="none"/>
        </w:rPr>
        <w:t>施工设备和临时设施</w:t>
      </w:r>
      <w:bookmarkEnd w:id="833"/>
      <w:bookmarkEnd w:id="834"/>
      <w:bookmarkEnd w:id="839"/>
      <w:bookmarkEnd w:id="840"/>
      <w:bookmarkEnd w:id="841"/>
      <w:bookmarkEnd w:id="842"/>
      <w:bookmarkEnd w:id="843"/>
      <w:bookmarkEnd w:id="844"/>
    </w:p>
    <w:p w14:paraId="5600EA00">
      <w:pPr>
        <w:pStyle w:val="153"/>
        <w:keepNext w:val="0"/>
        <w:keepLines w:val="0"/>
        <w:pageBreakBefore w:val="0"/>
        <w:kinsoku/>
        <w:wordWrap/>
        <w:overflowPunct/>
        <w:topLinePunct w:val="0"/>
        <w:bidi w:val="0"/>
        <w:spacing w:after="120"/>
        <w:ind w:firstLine="422" w:firstLineChars="200"/>
        <w:textAlignment w:val="auto"/>
        <w:rPr>
          <w:b/>
          <w:bCs w:val="0"/>
          <w:color w:val="auto"/>
          <w:sz w:val="21"/>
          <w:highlight w:val="none"/>
        </w:rPr>
      </w:pPr>
      <w:bookmarkStart w:id="845" w:name="_Ref18990767"/>
      <w:bookmarkStart w:id="846" w:name="_Ref509043186"/>
      <w:r>
        <w:rPr>
          <w:rFonts w:hint="eastAsia"/>
          <w:b/>
          <w:bCs w:val="0"/>
          <w:color w:val="auto"/>
          <w:sz w:val="21"/>
          <w:highlight w:val="none"/>
        </w:rPr>
        <w:t>7</w:t>
      </w:r>
      <w:r>
        <w:rPr>
          <w:b/>
          <w:bCs w:val="0"/>
          <w:color w:val="auto"/>
          <w:sz w:val="21"/>
          <w:highlight w:val="none"/>
        </w:rPr>
        <w:t xml:space="preserve">.2.1 </w:t>
      </w:r>
      <w:r>
        <w:rPr>
          <w:rFonts w:hint="eastAsia"/>
          <w:b/>
          <w:bCs w:val="0"/>
          <w:color w:val="auto"/>
          <w:sz w:val="21"/>
          <w:highlight w:val="none"/>
        </w:rPr>
        <w:t>承包人提供的施工设备和临时设施</w:t>
      </w:r>
      <w:bookmarkEnd w:id="845"/>
    </w:p>
    <w:p w14:paraId="29B43A4A">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承包人应按项目进度计划的要求，及时配置施工设备和修建临时设施。进入施工现场的承包人提供的施工设备需经工程师核查后才能投入使用。承包人更换合同约定由承包人提供的施工设备的，应报工程师批准。</w:t>
      </w:r>
    </w:p>
    <w:p w14:paraId="1DBD2CCF">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除专用合同条件另有约定外，承包人应自行承担修建临时设施的费用，需要临时占地的，应由发包人办理申请手续并承担相应费用。承包人应在专用合同条件</w:t>
      </w:r>
      <w:r>
        <w:rPr>
          <w:rFonts w:ascii="宋体" w:hAnsi="宋体"/>
          <w:color w:val="auto"/>
          <w:szCs w:val="21"/>
          <w:highlight w:val="none"/>
        </w:rPr>
        <w:t>7.2</w:t>
      </w:r>
      <w:r>
        <w:rPr>
          <w:rFonts w:hint="eastAsia" w:ascii="宋体" w:hAnsi="宋体"/>
          <w:color w:val="auto"/>
          <w:szCs w:val="21"/>
          <w:highlight w:val="none"/>
        </w:rPr>
        <w:t>款</w:t>
      </w:r>
      <w:r>
        <w:rPr>
          <w:rFonts w:ascii="宋体" w:hAnsi="宋体"/>
          <w:color w:val="auto"/>
          <w:szCs w:val="21"/>
          <w:highlight w:val="none"/>
        </w:rPr>
        <w:t>约定的时间内向发包人提交临时占地资料，因承包人未能按时提交资料，导致工期延误的，由此增加的费用和（或）竣工日期延误，由承包人负责。</w:t>
      </w:r>
    </w:p>
    <w:bookmarkEnd w:id="846"/>
    <w:p w14:paraId="6689CF24">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847" w:name="_Ref18990784"/>
      <w:r>
        <w:rPr>
          <w:rFonts w:hint="eastAsia"/>
          <w:b/>
          <w:bCs/>
          <w:color w:val="auto"/>
          <w:sz w:val="21"/>
          <w:highlight w:val="none"/>
        </w:rPr>
        <w:t>7</w:t>
      </w:r>
      <w:r>
        <w:rPr>
          <w:b/>
          <w:bCs/>
          <w:color w:val="auto"/>
          <w:sz w:val="21"/>
          <w:highlight w:val="none"/>
        </w:rPr>
        <w:t xml:space="preserve">.2.2 </w:t>
      </w:r>
      <w:r>
        <w:rPr>
          <w:rFonts w:hint="eastAsia"/>
          <w:b/>
          <w:bCs/>
          <w:color w:val="auto"/>
          <w:sz w:val="21"/>
          <w:highlight w:val="none"/>
        </w:rPr>
        <w:t>发包人提供的施工设备和临时设施</w:t>
      </w:r>
      <w:bookmarkEnd w:id="847"/>
    </w:p>
    <w:p w14:paraId="044CE75A">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发包人提供的施工设备或临时设施在专用合同条件中约定。</w:t>
      </w:r>
    </w:p>
    <w:p w14:paraId="50E787D0">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r>
        <w:rPr>
          <w:rFonts w:hint="eastAsia"/>
          <w:b/>
          <w:bCs/>
          <w:color w:val="auto"/>
          <w:sz w:val="21"/>
          <w:highlight w:val="none"/>
        </w:rPr>
        <w:t>7</w:t>
      </w:r>
      <w:r>
        <w:rPr>
          <w:b/>
          <w:bCs/>
          <w:color w:val="auto"/>
          <w:sz w:val="21"/>
          <w:highlight w:val="none"/>
        </w:rPr>
        <w:t xml:space="preserve">.2.3 </w:t>
      </w:r>
      <w:r>
        <w:rPr>
          <w:rFonts w:hint="eastAsia"/>
          <w:b/>
          <w:bCs/>
          <w:color w:val="auto"/>
          <w:sz w:val="21"/>
          <w:highlight w:val="none"/>
        </w:rPr>
        <w:t>要求承包人增加或更换施工设备</w:t>
      </w:r>
    </w:p>
    <w:p w14:paraId="770F3D7A">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承包人使用的施工设备不能满足项目进度计划和（或）质量要求时，工程师有权要求承包人增加或更换施工设备，承包人应及时增加或更换，由此增加的费用和（或）延误的工期由承包人承担。</w:t>
      </w:r>
    </w:p>
    <w:p w14:paraId="03469595">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r>
        <w:rPr>
          <w:rFonts w:hint="eastAsia"/>
          <w:b/>
          <w:bCs/>
          <w:color w:val="auto"/>
          <w:sz w:val="21"/>
          <w:highlight w:val="none"/>
        </w:rPr>
        <w:t>7</w:t>
      </w:r>
      <w:r>
        <w:rPr>
          <w:b/>
          <w:bCs/>
          <w:color w:val="auto"/>
          <w:sz w:val="21"/>
          <w:highlight w:val="none"/>
        </w:rPr>
        <w:t xml:space="preserve">.2.4 </w:t>
      </w:r>
      <w:r>
        <w:rPr>
          <w:rFonts w:hint="eastAsia"/>
          <w:b/>
          <w:bCs/>
          <w:color w:val="auto"/>
          <w:sz w:val="21"/>
          <w:highlight w:val="none"/>
        </w:rPr>
        <w:t>施工设备和临时设施专用于合同工程</w:t>
      </w:r>
    </w:p>
    <w:p w14:paraId="3C587448">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承包人运入施工现场的施工设备以及在施工现场建设的临时设施必须专用于工程。未经发包人批准，承包人不得运出施工现场或挪作他用；经发包人批准，承包人可以根据施工进度计划撤走闲置的施工设备和其他物品。</w:t>
      </w:r>
    </w:p>
    <w:p w14:paraId="5DD23372">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848" w:name="_Toc54862238"/>
      <w:bookmarkStart w:id="849" w:name="_Ref11874352"/>
      <w:bookmarkStart w:id="850" w:name="_Toc30290"/>
      <w:bookmarkStart w:id="851" w:name="_Toc16244"/>
      <w:bookmarkStart w:id="852" w:name="_Toc6666"/>
      <w:r>
        <w:rPr>
          <w:rFonts w:hint="eastAsia" w:ascii="宋体" w:hAnsi="宋体" w:eastAsia="宋体"/>
          <w:b/>
          <w:bCs w:val="0"/>
          <w:color w:val="auto"/>
          <w:sz w:val="21"/>
          <w:szCs w:val="21"/>
          <w:highlight w:val="none"/>
        </w:rPr>
        <w:t>7</w:t>
      </w:r>
      <w:r>
        <w:rPr>
          <w:rFonts w:ascii="宋体" w:hAnsi="宋体" w:eastAsia="宋体"/>
          <w:b/>
          <w:bCs w:val="0"/>
          <w:color w:val="auto"/>
          <w:sz w:val="21"/>
          <w:szCs w:val="21"/>
          <w:highlight w:val="none"/>
        </w:rPr>
        <w:t xml:space="preserve">.3 </w:t>
      </w:r>
      <w:r>
        <w:rPr>
          <w:rFonts w:hint="eastAsia" w:ascii="宋体" w:hAnsi="宋体" w:eastAsia="宋体"/>
          <w:b/>
          <w:bCs w:val="0"/>
          <w:color w:val="auto"/>
          <w:sz w:val="21"/>
          <w:szCs w:val="21"/>
          <w:highlight w:val="none"/>
        </w:rPr>
        <w:t>现场合作</w:t>
      </w:r>
      <w:bookmarkEnd w:id="848"/>
      <w:bookmarkEnd w:id="849"/>
      <w:bookmarkEnd w:id="850"/>
      <w:bookmarkEnd w:id="851"/>
      <w:bookmarkEnd w:id="852"/>
    </w:p>
    <w:p w14:paraId="1C906FD1">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承包人应按合同约定或发包人的指示，与发包人人员、发包人的其他承包人等人员就在现场或附近实施与工程有关的各项工作进行合作并提供适当条件，包括使用承包人设备、临时工程或进入现场等。</w:t>
      </w:r>
    </w:p>
    <w:p w14:paraId="61631049">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承包人应对其在现场的施工活动负责，并应尽合理努力按合同约定或发包人的指示，协调自身与发包人人员、发包人的其他承包人等人员的活动。</w:t>
      </w:r>
    </w:p>
    <w:p w14:paraId="4718B912">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除专用合同条件另有约定外，如果承包人提供上述合作、条件或协调在考虑到《发包人要求》所列内容的情况下是不可预见的，则承包人有权就额外费用和合理利润从发包人处获得支付，且因此延误的工期应相应顺延。</w:t>
      </w:r>
    </w:p>
    <w:p w14:paraId="44148DD4">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853" w:name="_Toc27871"/>
      <w:bookmarkStart w:id="854" w:name="_Toc54862239"/>
      <w:bookmarkStart w:id="855" w:name="_Ref531954287"/>
      <w:bookmarkStart w:id="856" w:name="_Toc31874"/>
      <w:bookmarkStart w:id="857" w:name="_Toc20901"/>
      <w:bookmarkStart w:id="858" w:name="_Ref531954285"/>
      <w:r>
        <w:rPr>
          <w:rFonts w:hint="eastAsia" w:ascii="宋体" w:hAnsi="宋体" w:eastAsia="宋体"/>
          <w:b/>
          <w:bCs w:val="0"/>
          <w:color w:val="auto"/>
          <w:sz w:val="21"/>
          <w:szCs w:val="21"/>
          <w:highlight w:val="none"/>
        </w:rPr>
        <w:t>7</w:t>
      </w:r>
      <w:r>
        <w:rPr>
          <w:rFonts w:ascii="宋体" w:hAnsi="宋体" w:eastAsia="宋体"/>
          <w:b/>
          <w:bCs w:val="0"/>
          <w:color w:val="auto"/>
          <w:sz w:val="21"/>
          <w:szCs w:val="21"/>
          <w:highlight w:val="none"/>
        </w:rPr>
        <w:t xml:space="preserve">.4 </w:t>
      </w:r>
      <w:r>
        <w:rPr>
          <w:rFonts w:hint="eastAsia" w:ascii="宋体" w:hAnsi="宋体" w:eastAsia="宋体"/>
          <w:b/>
          <w:bCs w:val="0"/>
          <w:color w:val="auto"/>
          <w:sz w:val="21"/>
          <w:szCs w:val="21"/>
          <w:highlight w:val="none"/>
        </w:rPr>
        <w:t>测量放线</w:t>
      </w:r>
      <w:bookmarkEnd w:id="853"/>
      <w:bookmarkEnd w:id="854"/>
      <w:bookmarkEnd w:id="855"/>
      <w:bookmarkEnd w:id="856"/>
      <w:bookmarkEnd w:id="857"/>
      <w:bookmarkEnd w:id="858"/>
    </w:p>
    <w:p w14:paraId="037000A2">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7</w:t>
      </w:r>
      <w:r>
        <w:rPr>
          <w:color w:val="auto"/>
          <w:sz w:val="21"/>
          <w:highlight w:val="none"/>
        </w:rPr>
        <w:t xml:space="preserve">.4.1 </w:t>
      </w:r>
      <w:r>
        <w:rPr>
          <w:rFonts w:hint="eastAsia"/>
          <w:color w:val="auto"/>
          <w:sz w:val="21"/>
          <w:highlight w:val="none"/>
        </w:rPr>
        <w:t>除专用合同条件另有约定外，承包人应根据国家测绘基准、测绘系统和工程测量技术规范，按基准点（线）以及合同工程精度要求，测设施工控制网，并在专用合同条件约定的期限内，将施工控制网资料报送工程师。</w:t>
      </w:r>
    </w:p>
    <w:p w14:paraId="3D76678D">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7</w:t>
      </w:r>
      <w:r>
        <w:rPr>
          <w:color w:val="auto"/>
          <w:sz w:val="21"/>
          <w:highlight w:val="none"/>
        </w:rPr>
        <w:t xml:space="preserve">.4.2 </w:t>
      </w:r>
      <w:r>
        <w:rPr>
          <w:rFonts w:hint="eastAsia"/>
          <w:color w:val="auto"/>
          <w:sz w:val="21"/>
          <w:highlight w:val="none"/>
        </w:rPr>
        <w:t>承包人应负责管理施工控制网点。施工控制网点丢失或损坏的，承包人应及时修复。承包人应承担施工控制网点的管理与修复费用，并在工程竣工后将施工控制网点移交发包人。承包人负责对工程、单位/区段工程、施工部位放线，并对放线的准确性负责。</w:t>
      </w:r>
    </w:p>
    <w:p w14:paraId="019F546D">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7</w:t>
      </w:r>
      <w:r>
        <w:rPr>
          <w:color w:val="auto"/>
          <w:sz w:val="21"/>
          <w:highlight w:val="none"/>
        </w:rPr>
        <w:t xml:space="preserve">.4.3 </w:t>
      </w:r>
      <w:r>
        <w:rPr>
          <w:rFonts w:hint="eastAsia"/>
          <w:color w:val="auto"/>
          <w:sz w:val="21"/>
          <w:highlight w:val="none"/>
        </w:rPr>
        <w:t>承包人负责施工过程中的全部施工测量放线工作，并配置具有相应资质的人员、合格的仪器、设备和其他物品。承包人应矫正工程的位置、标高、尺寸或基准线中出现的任何差错，并对工程各部分的定位负责。施工过程中对施工现场内水准点等测量标志物的保护工作由承包人负责。</w:t>
      </w:r>
    </w:p>
    <w:p w14:paraId="291D3560">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859" w:name="_Toc5302"/>
      <w:bookmarkStart w:id="860" w:name="_Toc12067"/>
      <w:bookmarkStart w:id="861" w:name="_Toc4965"/>
      <w:bookmarkStart w:id="862" w:name="_Toc54862240"/>
      <w:bookmarkStart w:id="863" w:name="_Ref531954329"/>
      <w:bookmarkStart w:id="864" w:name="_Ref4770992"/>
      <w:bookmarkStart w:id="865" w:name="_Ref531954323"/>
      <w:r>
        <w:rPr>
          <w:rFonts w:hint="eastAsia" w:ascii="宋体" w:hAnsi="宋体" w:eastAsia="宋体"/>
          <w:b/>
          <w:bCs w:val="0"/>
          <w:color w:val="auto"/>
          <w:sz w:val="21"/>
          <w:szCs w:val="21"/>
          <w:highlight w:val="none"/>
        </w:rPr>
        <w:t>7</w:t>
      </w:r>
      <w:r>
        <w:rPr>
          <w:rFonts w:ascii="宋体" w:hAnsi="宋体" w:eastAsia="宋体"/>
          <w:b/>
          <w:bCs w:val="0"/>
          <w:color w:val="auto"/>
          <w:sz w:val="21"/>
          <w:szCs w:val="21"/>
          <w:highlight w:val="none"/>
        </w:rPr>
        <w:t xml:space="preserve">.5 </w:t>
      </w:r>
      <w:r>
        <w:rPr>
          <w:rFonts w:hint="eastAsia" w:ascii="宋体" w:hAnsi="宋体" w:eastAsia="宋体"/>
          <w:b/>
          <w:bCs w:val="0"/>
          <w:color w:val="auto"/>
          <w:sz w:val="21"/>
          <w:szCs w:val="21"/>
          <w:highlight w:val="none"/>
        </w:rPr>
        <w:t>现场劳动用工</w:t>
      </w:r>
      <w:bookmarkEnd w:id="859"/>
      <w:bookmarkEnd w:id="860"/>
      <w:bookmarkEnd w:id="861"/>
      <w:bookmarkEnd w:id="862"/>
    </w:p>
    <w:p w14:paraId="3348DA43">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color w:val="auto"/>
          <w:sz w:val="21"/>
          <w:highlight w:val="none"/>
        </w:rPr>
        <w:t>7.5.1 承包人及其分包人招用建筑工人的，</w:t>
      </w:r>
      <w:r>
        <w:rPr>
          <w:rFonts w:hint="eastAsia"/>
          <w:color w:val="auto"/>
          <w:sz w:val="21"/>
          <w:highlight w:val="none"/>
        </w:rPr>
        <w:t>应当依法与所招用的建筑工人订立</w:t>
      </w:r>
      <w:r>
        <w:rPr>
          <w:color w:val="auto"/>
          <w:sz w:val="21"/>
          <w:highlight w:val="none"/>
        </w:rPr>
        <w:t>劳动合同，实行建筑工人劳动用工实名制管理，</w:t>
      </w:r>
      <w:r>
        <w:rPr>
          <w:rFonts w:hint="eastAsia"/>
          <w:color w:val="auto"/>
          <w:sz w:val="21"/>
          <w:highlight w:val="none"/>
        </w:rPr>
        <w:t>承包人</w:t>
      </w:r>
      <w:r>
        <w:rPr>
          <w:color w:val="auto"/>
          <w:sz w:val="21"/>
          <w:highlight w:val="none"/>
        </w:rPr>
        <w:t>应当按照有关规定开设建筑工人工资专用账户、存储工资保证金，专项用于支付和保障该工程建设项目建筑工人工资。</w:t>
      </w:r>
    </w:p>
    <w:p w14:paraId="117D25AB">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color w:val="auto"/>
          <w:sz w:val="21"/>
          <w:highlight w:val="none"/>
        </w:rPr>
        <w:t>7.5.2 承包人应当在工程项目部配备劳资专管员，对分包单位劳动用工及工资发放实施监督管理。</w:t>
      </w:r>
      <w:r>
        <w:rPr>
          <w:rFonts w:hint="eastAsia"/>
          <w:color w:val="auto"/>
          <w:sz w:val="21"/>
          <w:highlight w:val="none"/>
        </w:rPr>
        <w:t>承包人拖欠建筑工人工资的</w:t>
      </w:r>
      <w:r>
        <w:rPr>
          <w:color w:val="auto"/>
          <w:sz w:val="21"/>
          <w:highlight w:val="none"/>
        </w:rPr>
        <w:t>,应当依法予以清偿。分包人拖欠建筑工人工资的,由承包人先行清偿,再依法进行追偿。</w:t>
      </w:r>
      <w:r>
        <w:rPr>
          <w:rFonts w:hint="eastAsia"/>
          <w:color w:val="auto"/>
          <w:sz w:val="21"/>
          <w:highlight w:val="none"/>
        </w:rPr>
        <w:t>因发包人未按照合同约定及时拨付工程款导致建筑工人工资拖欠的，发包人应当以未结清的工程款为限先行垫付被拖欠的建筑工人工资。合同当事人可在专用合同条件中约定具体的清偿事宜和违约责任。</w:t>
      </w:r>
    </w:p>
    <w:p w14:paraId="7B40563F">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7.5.3 承包人应当按照相关法律法规的要求，进行劳动用工管理和建筑工人工资支付。</w:t>
      </w:r>
    </w:p>
    <w:p w14:paraId="4B98A369">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866" w:name="_Toc32541"/>
      <w:bookmarkStart w:id="867" w:name="_Toc54862241"/>
      <w:bookmarkStart w:id="868" w:name="_Toc8364"/>
      <w:bookmarkStart w:id="869" w:name="_Toc23897"/>
      <w:bookmarkStart w:id="870" w:name="_Ref41554059"/>
      <w:r>
        <w:rPr>
          <w:rFonts w:hint="eastAsia" w:ascii="宋体" w:hAnsi="宋体" w:eastAsia="宋体"/>
          <w:b/>
          <w:bCs w:val="0"/>
          <w:color w:val="auto"/>
          <w:sz w:val="21"/>
          <w:szCs w:val="21"/>
          <w:highlight w:val="none"/>
        </w:rPr>
        <w:t>7</w:t>
      </w:r>
      <w:r>
        <w:rPr>
          <w:rFonts w:ascii="宋体" w:hAnsi="宋体" w:eastAsia="宋体"/>
          <w:b/>
          <w:bCs w:val="0"/>
          <w:color w:val="auto"/>
          <w:sz w:val="21"/>
          <w:szCs w:val="21"/>
          <w:highlight w:val="none"/>
        </w:rPr>
        <w:t xml:space="preserve">.6 </w:t>
      </w:r>
      <w:r>
        <w:rPr>
          <w:rFonts w:hint="eastAsia" w:ascii="宋体" w:hAnsi="宋体" w:eastAsia="宋体"/>
          <w:b/>
          <w:bCs w:val="0"/>
          <w:color w:val="auto"/>
          <w:sz w:val="21"/>
          <w:szCs w:val="21"/>
          <w:highlight w:val="none"/>
        </w:rPr>
        <w:t>安全文明施工</w:t>
      </w:r>
      <w:bookmarkEnd w:id="863"/>
      <w:bookmarkEnd w:id="864"/>
      <w:bookmarkEnd w:id="865"/>
      <w:bookmarkEnd w:id="866"/>
      <w:bookmarkEnd w:id="867"/>
      <w:bookmarkEnd w:id="868"/>
      <w:bookmarkEnd w:id="869"/>
      <w:bookmarkEnd w:id="870"/>
    </w:p>
    <w:p w14:paraId="09D73163">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871" w:name="_Ref18990822"/>
      <w:r>
        <w:rPr>
          <w:rFonts w:hint="eastAsia"/>
          <w:b/>
          <w:bCs/>
          <w:color w:val="auto"/>
          <w:sz w:val="21"/>
          <w:highlight w:val="none"/>
        </w:rPr>
        <w:t>7</w:t>
      </w:r>
      <w:r>
        <w:rPr>
          <w:b/>
          <w:bCs/>
          <w:color w:val="auto"/>
          <w:sz w:val="21"/>
          <w:highlight w:val="none"/>
        </w:rPr>
        <w:t xml:space="preserve">.6.1 </w:t>
      </w:r>
      <w:r>
        <w:rPr>
          <w:rFonts w:hint="eastAsia"/>
          <w:b/>
          <w:bCs/>
          <w:color w:val="auto"/>
          <w:sz w:val="21"/>
          <w:highlight w:val="none"/>
        </w:rPr>
        <w:t>安全生产要求</w:t>
      </w:r>
      <w:bookmarkEnd w:id="871"/>
    </w:p>
    <w:p w14:paraId="0382DDCB">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合同履行期间，合同当事人均应当遵守国家和工程所在地有关安全生产的要求，合同当事人有特别要求的，应在专用合同条件中明确安全生产标准化目标及相应事项。承包人有权拒绝发包人及工程师强令承包人违章作业、冒险施工的任何指示。</w:t>
      </w:r>
    </w:p>
    <w:p w14:paraId="17CA1E18">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在工程实施过程中，如遇到突发的地质变动、事先未知的地下施工障碍等影响施工安全的紧急情况，承包人应及时报告工程师和发包人，发包人应当及时下令停工并采取应急措施，按照相关法律法规的要求需上报政府有关行政管理部门的，应依法上报。</w:t>
      </w:r>
    </w:p>
    <w:p w14:paraId="674BFCB4">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因安全生产需要暂停施工的，按照第</w:t>
      </w:r>
      <w:r>
        <w:rPr>
          <w:rFonts w:ascii="宋体" w:hAnsi="宋体"/>
          <w:color w:val="auto"/>
          <w:szCs w:val="21"/>
          <w:highlight w:val="none"/>
        </w:rPr>
        <w:t>8.9</w:t>
      </w:r>
      <w:r>
        <w:rPr>
          <w:rFonts w:hint="eastAsia" w:ascii="宋体" w:hAnsi="宋体"/>
          <w:color w:val="auto"/>
          <w:szCs w:val="21"/>
          <w:highlight w:val="none"/>
        </w:rPr>
        <w:t>款[暂停工作]的约定执行。</w:t>
      </w:r>
    </w:p>
    <w:p w14:paraId="036B9027">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r>
        <w:rPr>
          <w:rFonts w:hint="eastAsia"/>
          <w:b/>
          <w:bCs/>
          <w:color w:val="auto"/>
          <w:sz w:val="21"/>
          <w:highlight w:val="none"/>
        </w:rPr>
        <w:t>7</w:t>
      </w:r>
      <w:r>
        <w:rPr>
          <w:b/>
          <w:bCs/>
          <w:color w:val="auto"/>
          <w:sz w:val="21"/>
          <w:highlight w:val="none"/>
        </w:rPr>
        <w:t xml:space="preserve">.6.2 </w:t>
      </w:r>
      <w:r>
        <w:rPr>
          <w:rFonts w:hint="eastAsia"/>
          <w:b/>
          <w:bCs/>
          <w:color w:val="auto"/>
          <w:sz w:val="21"/>
          <w:highlight w:val="none"/>
        </w:rPr>
        <w:t>安全生产保证措施</w:t>
      </w:r>
    </w:p>
    <w:p w14:paraId="66431CD8">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承包人应当按照法律、法规和工程建设强制性标准进行设计、在设计文件中注明涉及施工安全的重点部位和环节，提出保障施工作业人员和预防安全事故的措施建议，防止因设计不合理导致生产安全事故的发生。</w:t>
      </w:r>
    </w:p>
    <w:p w14:paraId="02CC1E73">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承包人应当按照有关规定编制安全技术措施或者专项施工方案，建立安全生产责任制度、治安保卫制度及安全生产教育培训制度，并按安全生产法律规定及合同约定履行安全职责，如实编制工程安全生产的有关记录，接受发包人、工程师及政府安全监督部门的检查与监督。</w:t>
      </w:r>
    </w:p>
    <w:p w14:paraId="35DC940F">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承包人应按照法律规定进行施工，开工前做好安全技术交底工作，施工过程中做好各项安全防护措施。承包人为实施合同而雇用的特殊工种的人员应受过专门的培训并已取得政府有关管理机构颁发的上岗证书。承包人应加强施工作业安全管理，特别应加强对于易燃、易爆材料、火工器材、有毒与腐蚀性材料和其他危险品的管理，以及对爆破作业和地下工程施工等危险作业的管理。</w:t>
      </w:r>
    </w:p>
    <w:p w14:paraId="2B281A70">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872" w:name="_Ref18990840"/>
      <w:r>
        <w:rPr>
          <w:rFonts w:hint="eastAsia"/>
          <w:b/>
          <w:bCs/>
          <w:color w:val="auto"/>
          <w:sz w:val="21"/>
          <w:highlight w:val="none"/>
        </w:rPr>
        <w:t>7</w:t>
      </w:r>
      <w:r>
        <w:rPr>
          <w:b/>
          <w:bCs/>
          <w:color w:val="auto"/>
          <w:sz w:val="21"/>
          <w:highlight w:val="none"/>
        </w:rPr>
        <w:t xml:space="preserve">.6.3 </w:t>
      </w:r>
      <w:r>
        <w:rPr>
          <w:rFonts w:hint="eastAsia"/>
          <w:b/>
          <w:bCs/>
          <w:color w:val="auto"/>
          <w:sz w:val="21"/>
          <w:highlight w:val="none"/>
        </w:rPr>
        <w:t>文明施工</w:t>
      </w:r>
      <w:bookmarkEnd w:id="872"/>
    </w:p>
    <w:p w14:paraId="799484AE">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承包人在工程施工期间，应当采取措施保持施工现场平整，物料堆放整齐。工程所在地有关政府行政管理部门有特殊要求的，按照其要求执行。合同当事人对文明施工有其他要求的，可以在专用合同条件中明确。</w:t>
      </w:r>
    </w:p>
    <w:p w14:paraId="08CC29B9">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4B5863A3">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r>
        <w:rPr>
          <w:rFonts w:hint="eastAsia"/>
          <w:b/>
          <w:bCs/>
          <w:color w:val="auto"/>
          <w:sz w:val="21"/>
          <w:highlight w:val="none"/>
        </w:rPr>
        <w:t>7</w:t>
      </w:r>
      <w:r>
        <w:rPr>
          <w:b/>
          <w:bCs/>
          <w:color w:val="auto"/>
          <w:sz w:val="21"/>
          <w:highlight w:val="none"/>
        </w:rPr>
        <w:t xml:space="preserve">.6.4 </w:t>
      </w:r>
      <w:r>
        <w:rPr>
          <w:rFonts w:hint="eastAsia"/>
          <w:b/>
          <w:bCs/>
          <w:color w:val="auto"/>
          <w:sz w:val="21"/>
          <w:highlight w:val="none"/>
        </w:rPr>
        <w:t>事故处理</w:t>
      </w:r>
    </w:p>
    <w:p w14:paraId="5C8F711D">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工程实施过程中发生事故的，承包人应立即通知工程师。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199486F9">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在工程实施期间或缺陷责任期内发生危及工程安全的事件，工程师通知承包人进行抢救和抢修，承包人声明无能力或不愿立即执行的，发包人有权雇佣其他人员进行抢救和抢修。此类抢救和抢修按合同约定属于承包人义务的，由此增加的费用和（或）延误的工期由承包人承担。</w:t>
      </w:r>
    </w:p>
    <w:p w14:paraId="0C8173D9">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r>
        <w:rPr>
          <w:rFonts w:hint="eastAsia"/>
          <w:b/>
          <w:bCs/>
          <w:color w:val="auto"/>
          <w:sz w:val="21"/>
          <w:highlight w:val="none"/>
        </w:rPr>
        <w:t>7</w:t>
      </w:r>
      <w:r>
        <w:rPr>
          <w:b/>
          <w:bCs/>
          <w:color w:val="auto"/>
          <w:sz w:val="21"/>
          <w:highlight w:val="none"/>
        </w:rPr>
        <w:t xml:space="preserve">.6.5 </w:t>
      </w:r>
      <w:r>
        <w:rPr>
          <w:rFonts w:hint="eastAsia"/>
          <w:b/>
          <w:bCs/>
          <w:color w:val="auto"/>
          <w:sz w:val="21"/>
          <w:highlight w:val="none"/>
        </w:rPr>
        <w:t>安全生产责任</w:t>
      </w:r>
    </w:p>
    <w:p w14:paraId="314FF6ED">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发包人应负责赔偿以下各种情况造成的损失：</w:t>
      </w:r>
    </w:p>
    <w:p w14:paraId="08BD2778">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 工程或工程的任何部分对土地的占用所造成的第三者财产损失；</w:t>
      </w:r>
    </w:p>
    <w:p w14:paraId="444F1105">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 由于发包人原因在施工现场及其毗邻地带、履行合同工作中造成的第三者人身伤亡和财产损失；</w:t>
      </w:r>
    </w:p>
    <w:p w14:paraId="5A50A842">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（3） 由于发包人原因对发包人自身、承包人、工程师造成的人身伤害和财产损失。</w:t>
      </w:r>
    </w:p>
    <w:p w14:paraId="459C9244">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承包人应负责赔偿由于承包人原因在施工现场及其毗邻地带、履行合同工作中造成的第三者人身伤亡和财产损失。</w:t>
      </w:r>
    </w:p>
    <w:p w14:paraId="343F1797">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如果上述损失是由于发包人和承包人共同原因导致的，则双方应根据过错情况按比例承担。</w:t>
      </w:r>
    </w:p>
    <w:p w14:paraId="1F1D4BD4">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873" w:name="_Ref11874562"/>
      <w:bookmarkStart w:id="874" w:name="_Ref41554069"/>
      <w:bookmarkStart w:id="875" w:name="_Toc22573"/>
      <w:bookmarkStart w:id="876" w:name="_Toc917"/>
      <w:bookmarkStart w:id="877" w:name="_Toc54862242"/>
      <w:bookmarkStart w:id="878" w:name="_Toc17367"/>
      <w:r>
        <w:rPr>
          <w:rFonts w:hint="eastAsia" w:ascii="宋体" w:hAnsi="宋体" w:eastAsia="宋体"/>
          <w:b/>
          <w:bCs w:val="0"/>
          <w:color w:val="auto"/>
          <w:sz w:val="21"/>
          <w:szCs w:val="21"/>
          <w:highlight w:val="none"/>
        </w:rPr>
        <w:t>7</w:t>
      </w:r>
      <w:r>
        <w:rPr>
          <w:rFonts w:ascii="宋体" w:hAnsi="宋体" w:eastAsia="宋体"/>
          <w:b/>
          <w:bCs w:val="0"/>
          <w:color w:val="auto"/>
          <w:sz w:val="21"/>
          <w:szCs w:val="21"/>
          <w:highlight w:val="none"/>
        </w:rPr>
        <w:t xml:space="preserve">.7 </w:t>
      </w:r>
      <w:r>
        <w:rPr>
          <w:rFonts w:hint="eastAsia" w:ascii="宋体" w:hAnsi="宋体" w:eastAsia="宋体"/>
          <w:b/>
          <w:bCs w:val="0"/>
          <w:color w:val="auto"/>
          <w:sz w:val="21"/>
          <w:szCs w:val="21"/>
          <w:highlight w:val="none"/>
        </w:rPr>
        <w:t>职业健康</w:t>
      </w:r>
      <w:bookmarkEnd w:id="873"/>
      <w:bookmarkEnd w:id="874"/>
      <w:bookmarkEnd w:id="875"/>
      <w:bookmarkEnd w:id="876"/>
      <w:bookmarkEnd w:id="877"/>
      <w:bookmarkEnd w:id="878"/>
    </w:p>
    <w:p w14:paraId="63516842">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承包人应遵守适用的职业健康的法律和合同约定（包括对雇用、职业健康、安全、福利等方面的规定），负责现场实施过程中其人员的职业健康和保护，包括：</w:t>
      </w:r>
    </w:p>
    <w:p w14:paraId="37DCC4A7">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 承包人应遵守适用的劳动法规，保护承包人员工及承包人聘用的第三方人员的合法休假权等合法权益，按照法律规定安排现场施工人员的劳动和休息时间，保障劳动者的休息时间，并支付合理的报酬和费用。因工程施工的特殊需要占用休假日或延长工作时间的，应不超过法律规定的限度，并按法律规定给予补休或酬劳。</w:t>
      </w:r>
    </w:p>
    <w:p w14:paraId="469DD116">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 承包人应依法为承包人</w:t>
      </w:r>
      <w:bookmarkStart w:id="879" w:name="_Hlk46339538"/>
      <w:r>
        <w:rPr>
          <w:rFonts w:hint="eastAsia" w:ascii="宋体" w:hAnsi="宋体"/>
          <w:color w:val="auto"/>
          <w:szCs w:val="21"/>
          <w:highlight w:val="none"/>
        </w:rPr>
        <w:t>员工及承包人聘用的第三方人员</w:t>
      </w:r>
      <w:bookmarkEnd w:id="879"/>
      <w:r>
        <w:rPr>
          <w:rFonts w:hint="eastAsia" w:ascii="宋体" w:hAnsi="宋体"/>
          <w:color w:val="auto"/>
          <w:szCs w:val="21"/>
          <w:highlight w:val="none"/>
        </w:rPr>
        <w:t>办理必要的证件、许可、保险和注册等，承包人应督促其分包人为分包人员工及分包人聘用的第三方人员办理必要的证件、许可、保险和注册等。承包人应为其履行合同所雇用的人员提供必要的膳宿条件和生活环境，必要的现场食宿条件。</w:t>
      </w:r>
    </w:p>
    <w:p w14:paraId="3232E174">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（3） 承包人应对其施工人员进行相关作业的职业健康知识培训、危险及危害因素交底、安全操作规程交底、采取有效措施，按有关规定为其现场人员提供劳动保护用品、防护器具、防暑降温用品和安全生产设施。采取有效的防止粉尘、降低噪声、控制有害气体和保障高温、高寒、高空作业安全等劳动保护措施。</w:t>
      </w:r>
    </w:p>
    <w:p w14:paraId="515733F7">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（4） 承包人应在有毒有害作业区域设置警示标志和说明，对有毒有害岗位进行防治检查，对不合格的防护设施、器具、搭设等及时整改，消除危害职业健康的隐患。发包人人员和工程师人员未经承包人允许、未配备相关保护器具，进入该作业区域所造成的伤害，由发包人承担责任和费用。</w:t>
      </w:r>
    </w:p>
    <w:p w14:paraId="199CA2E9">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（5） 承包人应采取有效措施预防传染病，保持食堂的饮食卫生，保证施工人员的健康，并定期对施工现场、施工人员生活基地和工程进行防疫和卫生的专业检查和处理, 在远离城镇的施工现场，还应配备必要的伤病防治和急救的医务人员与医疗设施。承包人雇佣人员在施工中受到伤害的，承包人应立即采取有效措施进行抢救和治疗。</w:t>
      </w:r>
    </w:p>
    <w:p w14:paraId="48175815">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880" w:name="_Toc20188"/>
      <w:bookmarkStart w:id="881" w:name="_Toc11988"/>
      <w:bookmarkStart w:id="882" w:name="_Toc12969"/>
      <w:bookmarkStart w:id="883" w:name="_Ref11874570"/>
      <w:bookmarkStart w:id="884" w:name="_Toc54862243"/>
      <w:r>
        <w:rPr>
          <w:rFonts w:hint="eastAsia" w:ascii="宋体" w:hAnsi="宋体" w:eastAsia="宋体"/>
          <w:b/>
          <w:bCs w:val="0"/>
          <w:color w:val="auto"/>
          <w:sz w:val="21"/>
          <w:szCs w:val="21"/>
          <w:highlight w:val="none"/>
        </w:rPr>
        <w:t>7</w:t>
      </w:r>
      <w:r>
        <w:rPr>
          <w:rFonts w:ascii="宋体" w:hAnsi="宋体" w:eastAsia="宋体"/>
          <w:b/>
          <w:bCs w:val="0"/>
          <w:color w:val="auto"/>
          <w:sz w:val="21"/>
          <w:szCs w:val="21"/>
          <w:highlight w:val="none"/>
        </w:rPr>
        <w:t xml:space="preserve">.8 </w:t>
      </w:r>
      <w:r>
        <w:rPr>
          <w:rFonts w:hint="eastAsia" w:ascii="宋体" w:hAnsi="宋体" w:eastAsia="宋体"/>
          <w:b/>
          <w:bCs w:val="0"/>
          <w:color w:val="auto"/>
          <w:sz w:val="21"/>
          <w:szCs w:val="21"/>
          <w:highlight w:val="none"/>
        </w:rPr>
        <w:t>环境保护</w:t>
      </w:r>
      <w:bookmarkEnd w:id="880"/>
      <w:bookmarkEnd w:id="881"/>
      <w:bookmarkEnd w:id="882"/>
      <w:bookmarkEnd w:id="883"/>
      <w:bookmarkEnd w:id="884"/>
    </w:p>
    <w:p w14:paraId="64EC3BEA">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7</w:t>
      </w:r>
      <w:r>
        <w:rPr>
          <w:color w:val="auto"/>
          <w:sz w:val="21"/>
          <w:highlight w:val="none"/>
        </w:rPr>
        <w:t xml:space="preserve">.8.1 </w:t>
      </w:r>
      <w:r>
        <w:rPr>
          <w:rFonts w:hint="eastAsia"/>
          <w:color w:val="auto"/>
          <w:sz w:val="21"/>
          <w:highlight w:val="none"/>
        </w:rPr>
        <w:t>承包人负责在现场施工过程中对现场周围的建筑物、构筑物、文物建筑、古树、名木，及地下线路、线缆、构筑物、文物、化石和坟墓等进行保护。因承包人未能通知发包人，并在未能得到发包人进一步指示的情况下，所造成的损害、损失、赔偿等费用增加，和（或）竣工日期延误，由承包人负责。如承包人已及时通知发包人，发包人未能及时作出指示的，所造成的损害、损失、赔偿等费用增加，和（或）竣工日期延误，由发包人负责。</w:t>
      </w:r>
    </w:p>
    <w:p w14:paraId="2216D7D6">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7</w:t>
      </w:r>
      <w:r>
        <w:rPr>
          <w:color w:val="auto"/>
          <w:sz w:val="21"/>
          <w:highlight w:val="none"/>
        </w:rPr>
        <w:t xml:space="preserve">.8.2 </w:t>
      </w:r>
      <w:r>
        <w:rPr>
          <w:rFonts w:hint="eastAsia"/>
          <w:color w:val="auto"/>
          <w:sz w:val="21"/>
          <w:highlight w:val="none"/>
        </w:rPr>
        <w:t>承包人应采取措施，并负责控制和（或）处理现场的粉尘、废气、废水、固体废物和噪声对环境的污染和危害。因此发生的伤害、赔偿、罚款等费用增加，和（或）竣工日期延误，由承包人负责。</w:t>
      </w:r>
    </w:p>
    <w:p w14:paraId="7EBAAF44">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7</w:t>
      </w:r>
      <w:r>
        <w:rPr>
          <w:color w:val="auto"/>
          <w:sz w:val="21"/>
          <w:highlight w:val="none"/>
        </w:rPr>
        <w:t xml:space="preserve">.8.3 </w:t>
      </w:r>
      <w:r>
        <w:rPr>
          <w:rFonts w:hint="eastAsia"/>
          <w:color w:val="auto"/>
          <w:sz w:val="21"/>
          <w:highlight w:val="none"/>
        </w:rPr>
        <w:t>承包人及时或定期将施工现场残留、废弃的垃圾分类后运到发包人或当地有关行政部门指定的地点，防止对周围环境的污染及对作业的影响。承包人应当承担因其原因引起的环境污染侵权损害赔偿责任，因违反上述约定导致当地行政部门的罚款、赔偿等增加的费用，由承包人承担；因上述环境污染引起纠纷而导致暂停施工的，由此增加的费用和（或）延误的工期由承包人承担。</w:t>
      </w:r>
    </w:p>
    <w:p w14:paraId="1B0A32E8">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885" w:name="_Ref4771116"/>
      <w:bookmarkStart w:id="886" w:name="_Toc8619"/>
      <w:bookmarkStart w:id="887" w:name="_Toc24131"/>
      <w:bookmarkStart w:id="888" w:name="_Ref531954344"/>
      <w:bookmarkStart w:id="889" w:name="_Ref531954340"/>
      <w:bookmarkStart w:id="890" w:name="_Toc14351"/>
      <w:bookmarkStart w:id="891" w:name="_Toc54862244"/>
      <w:r>
        <w:rPr>
          <w:rFonts w:hint="eastAsia" w:ascii="宋体" w:hAnsi="宋体" w:eastAsia="宋体"/>
          <w:b/>
          <w:bCs w:val="0"/>
          <w:color w:val="auto"/>
          <w:sz w:val="21"/>
          <w:szCs w:val="21"/>
          <w:highlight w:val="none"/>
        </w:rPr>
        <w:t>7</w:t>
      </w:r>
      <w:r>
        <w:rPr>
          <w:rFonts w:ascii="宋体" w:hAnsi="宋体" w:eastAsia="宋体"/>
          <w:b/>
          <w:bCs w:val="0"/>
          <w:color w:val="auto"/>
          <w:sz w:val="21"/>
          <w:szCs w:val="21"/>
          <w:highlight w:val="none"/>
        </w:rPr>
        <w:t xml:space="preserve">.9 </w:t>
      </w:r>
      <w:r>
        <w:rPr>
          <w:rFonts w:hint="eastAsia" w:ascii="宋体" w:hAnsi="宋体" w:eastAsia="宋体"/>
          <w:b/>
          <w:bCs w:val="0"/>
          <w:color w:val="auto"/>
          <w:sz w:val="21"/>
          <w:szCs w:val="21"/>
          <w:highlight w:val="none"/>
        </w:rPr>
        <w:t>临时性公用设施</w:t>
      </w:r>
      <w:bookmarkEnd w:id="885"/>
      <w:bookmarkEnd w:id="886"/>
      <w:bookmarkEnd w:id="887"/>
      <w:bookmarkEnd w:id="888"/>
      <w:bookmarkEnd w:id="889"/>
      <w:bookmarkEnd w:id="890"/>
      <w:bookmarkEnd w:id="891"/>
    </w:p>
    <w:p w14:paraId="7D704A84">
      <w:pPr>
        <w:pStyle w:val="153"/>
        <w:keepNext w:val="0"/>
        <w:keepLines w:val="0"/>
        <w:pageBreakBefore w:val="0"/>
        <w:kinsoku/>
        <w:wordWrap/>
        <w:overflowPunct/>
        <w:topLinePunct w:val="0"/>
        <w:bidi w:val="0"/>
        <w:spacing w:after="120"/>
        <w:ind w:firstLine="422" w:firstLineChars="200"/>
        <w:textAlignment w:val="auto"/>
        <w:rPr>
          <w:b/>
          <w:bCs w:val="0"/>
          <w:color w:val="auto"/>
          <w:sz w:val="21"/>
          <w:highlight w:val="none"/>
        </w:rPr>
      </w:pPr>
      <w:r>
        <w:rPr>
          <w:rFonts w:hint="eastAsia"/>
          <w:b/>
          <w:bCs w:val="0"/>
          <w:color w:val="auto"/>
          <w:sz w:val="21"/>
          <w:highlight w:val="none"/>
        </w:rPr>
        <w:t>7</w:t>
      </w:r>
      <w:r>
        <w:rPr>
          <w:b/>
          <w:bCs w:val="0"/>
          <w:color w:val="auto"/>
          <w:sz w:val="21"/>
          <w:highlight w:val="none"/>
        </w:rPr>
        <w:t xml:space="preserve">.9.1 </w:t>
      </w:r>
      <w:r>
        <w:rPr>
          <w:rFonts w:hint="eastAsia"/>
          <w:b/>
          <w:bCs w:val="0"/>
          <w:color w:val="auto"/>
          <w:sz w:val="21"/>
          <w:highlight w:val="none"/>
        </w:rPr>
        <w:t>提供临时用水、用电等和节点铺设</w:t>
      </w:r>
    </w:p>
    <w:p w14:paraId="2769CDA1">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除专用合同条件另有约定外，发包人应在承包人进场前将施工临时用水、用电等接至约定的节点位置，并保证其需要。上述临时使用的水、电等的类别、取费单价在专用合同条件中约定，发包人按实际计量结果收费。发包人无法提供的水、电等在专用合同条件中约定，相关费用由承包人纳入报价并承担相关责任。</w:t>
      </w:r>
    </w:p>
    <w:p w14:paraId="09B4358A">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发包人未能按约定的类别和时间完成节点铺设，使开工时间延误，竣工日期相应顺延。未能按约定的品质、数量和时间提供水、电等，给承包人造成的损失由发包人承担，导致工程关键路径延误的，竣工日期相应顺延。</w:t>
      </w:r>
    </w:p>
    <w:p w14:paraId="18C1FB50">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r>
        <w:rPr>
          <w:rFonts w:hint="eastAsia"/>
          <w:b/>
          <w:bCs/>
          <w:color w:val="auto"/>
          <w:sz w:val="21"/>
          <w:highlight w:val="none"/>
        </w:rPr>
        <w:t>7</w:t>
      </w:r>
      <w:r>
        <w:rPr>
          <w:b/>
          <w:bCs/>
          <w:color w:val="auto"/>
          <w:sz w:val="21"/>
          <w:highlight w:val="none"/>
        </w:rPr>
        <w:t xml:space="preserve">.9.2 </w:t>
      </w:r>
      <w:r>
        <w:rPr>
          <w:rFonts w:hint="eastAsia"/>
          <w:b/>
          <w:bCs/>
          <w:color w:val="auto"/>
          <w:sz w:val="21"/>
          <w:highlight w:val="none"/>
        </w:rPr>
        <w:t>临时用水、用电等</w:t>
      </w:r>
    </w:p>
    <w:p w14:paraId="14B40010">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承包人应在计划开始现场施工日期28天前或双方约定的其它时间，按专用合同条件中约定的发包人能够提供的临时用水、用电等类别，向发包人提交施工（含工程物资保管）所需的临时用水、用电等的品质、正常用量、高峰用量、使用时间和节点位置等资料。承包人自费负责计量仪器的购买、安装和维护，并依据专用合同条件中约定的单价向发包人交费，合同当事人另有约定时除外。</w:t>
      </w:r>
    </w:p>
    <w:p w14:paraId="3C5E49F9">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因承包人未能按合同约定提交上述资料，造成发包人费用增加和竣工日期延误时，由承包人负责。</w:t>
      </w:r>
      <w:bookmarkStart w:id="892" w:name="_Ref508893743"/>
    </w:p>
    <w:p w14:paraId="1144E798">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893" w:name="_Toc54862245"/>
      <w:bookmarkStart w:id="894" w:name="_Toc5752"/>
      <w:bookmarkStart w:id="895" w:name="_Toc6485"/>
      <w:bookmarkStart w:id="896" w:name="_Ref531952248"/>
      <w:bookmarkStart w:id="897" w:name="_Toc7337"/>
      <w:bookmarkStart w:id="898" w:name="_Ref531952239"/>
      <w:r>
        <w:rPr>
          <w:rFonts w:hint="eastAsia" w:ascii="宋体" w:hAnsi="宋体" w:eastAsia="宋体"/>
          <w:b/>
          <w:bCs w:val="0"/>
          <w:color w:val="auto"/>
          <w:sz w:val="21"/>
          <w:szCs w:val="21"/>
          <w:highlight w:val="none"/>
        </w:rPr>
        <w:t>7</w:t>
      </w:r>
      <w:r>
        <w:rPr>
          <w:rFonts w:ascii="宋体" w:hAnsi="宋体" w:eastAsia="宋体"/>
          <w:b/>
          <w:bCs w:val="0"/>
          <w:color w:val="auto"/>
          <w:sz w:val="21"/>
          <w:szCs w:val="21"/>
          <w:highlight w:val="none"/>
        </w:rPr>
        <w:t xml:space="preserve">.10 </w:t>
      </w:r>
      <w:r>
        <w:rPr>
          <w:rFonts w:hint="eastAsia" w:ascii="宋体" w:hAnsi="宋体" w:eastAsia="宋体"/>
          <w:b/>
          <w:bCs w:val="0"/>
          <w:color w:val="auto"/>
          <w:sz w:val="21"/>
          <w:szCs w:val="21"/>
          <w:highlight w:val="none"/>
        </w:rPr>
        <w:t>现场安保</w:t>
      </w:r>
      <w:bookmarkEnd w:id="893"/>
      <w:bookmarkEnd w:id="894"/>
      <w:bookmarkEnd w:id="895"/>
      <w:bookmarkEnd w:id="896"/>
      <w:bookmarkEnd w:id="897"/>
      <w:bookmarkEnd w:id="898"/>
    </w:p>
    <w:p w14:paraId="7F46845F">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承包人承担自发包人向其移交施工现场、进入占有施工现场至发包人接收单位/区段工程或（和）工程之前的现场安保责任，并负责编制相关的安保制度、责任制度和报告制度，提交给发包人。除专用合同条件另有约定外，承包人的该等义务不因其与他人共同合法占有施工现场而减免。承包人有权要求发包人负责协调他人就共同合法占有现场的安保事宜接受承包人的管理。</w:t>
      </w:r>
    </w:p>
    <w:p w14:paraId="25C81710">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承包人应将其作业限制在现场区域、合同约定的区域或为履行合同所需的区域内。承包人应采取一切必要的预防措施，以保持承包人的设备和人员处于现场区域内，避免其进入邻近地区。</w:t>
      </w:r>
    </w:p>
    <w:p w14:paraId="2A9EEB55">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承包人为履行合同义务而占用的其他场所（如预制加工场所、办公及生活营区） 的安保适用本款前述关于现场安保的规定。</w:t>
      </w:r>
    </w:p>
    <w:p w14:paraId="5AFA336D">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899" w:name="_Toc4927"/>
      <w:bookmarkStart w:id="900" w:name="_Toc19047"/>
      <w:bookmarkStart w:id="901" w:name="_Toc54862246"/>
      <w:bookmarkStart w:id="902" w:name="_Toc25601"/>
      <w:r>
        <w:rPr>
          <w:rFonts w:hint="eastAsia" w:ascii="宋体" w:hAnsi="宋体" w:eastAsia="宋体"/>
          <w:b/>
          <w:bCs w:val="0"/>
          <w:color w:val="auto"/>
          <w:sz w:val="21"/>
          <w:szCs w:val="21"/>
          <w:highlight w:val="none"/>
        </w:rPr>
        <w:t>7</w:t>
      </w:r>
      <w:r>
        <w:rPr>
          <w:rFonts w:ascii="宋体" w:hAnsi="宋体" w:eastAsia="宋体"/>
          <w:b/>
          <w:bCs w:val="0"/>
          <w:color w:val="auto"/>
          <w:sz w:val="21"/>
          <w:szCs w:val="21"/>
          <w:highlight w:val="none"/>
        </w:rPr>
        <w:t xml:space="preserve">.11 </w:t>
      </w:r>
      <w:r>
        <w:rPr>
          <w:rFonts w:hint="eastAsia" w:ascii="宋体" w:hAnsi="宋体" w:eastAsia="宋体"/>
          <w:b/>
          <w:bCs w:val="0"/>
          <w:color w:val="auto"/>
          <w:sz w:val="21"/>
          <w:szCs w:val="21"/>
          <w:highlight w:val="none"/>
        </w:rPr>
        <w:t>工程照管</w:t>
      </w:r>
      <w:bookmarkEnd w:id="899"/>
      <w:bookmarkEnd w:id="900"/>
      <w:bookmarkEnd w:id="901"/>
      <w:bookmarkEnd w:id="902"/>
    </w:p>
    <w:p w14:paraId="6E4AA7A0">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自开始现场施工日期起至发包人应当接收工程之日止，承包人应承担工程现场、材料、设备及承包人文件的照管和维护工作。</w:t>
      </w:r>
    </w:p>
    <w:p w14:paraId="0A74BC6E">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如部分工程于竣工验收前提前交付发包人的，则自交付之日起，该部分工程照管及维护职责由发包人承担。</w:t>
      </w:r>
    </w:p>
    <w:p w14:paraId="2B9119E2">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如发包人及承包人进行竣工验收时尚有部分未竣工工程的，承包人应负责该未竣工工程的照管和维护工作，直至竣工后移交给发包人。</w:t>
      </w:r>
    </w:p>
    <w:p w14:paraId="54D03E03">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如合同解除或终止的，承包人自合同解除或终止之日起不再对工程承担照管和维护义务。</w:t>
      </w:r>
    </w:p>
    <w:p w14:paraId="763BF301">
      <w:pPr>
        <w:pStyle w:val="178"/>
        <w:keepNext w:val="0"/>
        <w:keepLines w:val="0"/>
        <w:pageBreakBefore w:val="0"/>
        <w:numPr>
          <w:ilvl w:val="0"/>
          <w:numId w:val="0"/>
        </w:numPr>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903" w:name="_Toc10548"/>
      <w:bookmarkStart w:id="904" w:name="_Ref508998009"/>
      <w:bookmarkStart w:id="905" w:name="_Toc22844"/>
      <w:bookmarkStart w:id="906" w:name="_Toc26980"/>
      <w:bookmarkStart w:id="907" w:name="_Toc54862247"/>
      <w:bookmarkStart w:id="908" w:name="_Toc12314"/>
      <w:bookmarkStart w:id="909" w:name="_Ref531954505"/>
      <w:bookmarkStart w:id="910" w:name="_Ref531954518"/>
      <w:r>
        <w:rPr>
          <w:rFonts w:hint="eastAsia" w:ascii="宋体" w:hAnsi="宋体" w:eastAsia="宋体"/>
          <w:b/>
          <w:bCs w:val="0"/>
          <w:color w:val="auto"/>
          <w:sz w:val="21"/>
          <w:szCs w:val="21"/>
          <w:highlight w:val="none"/>
        </w:rPr>
        <w:t>第8条 工期和进度</w:t>
      </w:r>
      <w:bookmarkEnd w:id="903"/>
      <w:bookmarkEnd w:id="904"/>
      <w:bookmarkEnd w:id="905"/>
      <w:bookmarkEnd w:id="906"/>
      <w:bookmarkEnd w:id="907"/>
      <w:bookmarkEnd w:id="908"/>
    </w:p>
    <w:p w14:paraId="1A2F58FB">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911" w:name="_Toc54862248"/>
      <w:bookmarkStart w:id="912" w:name="_Toc31592"/>
      <w:bookmarkStart w:id="913" w:name="_Ref532362777"/>
      <w:bookmarkStart w:id="914" w:name="_Toc2936"/>
      <w:bookmarkStart w:id="915" w:name="_Toc9342"/>
      <w:bookmarkStart w:id="916" w:name="_Ref532362774"/>
      <w:bookmarkStart w:id="917" w:name="_Ref532362072"/>
      <w:bookmarkStart w:id="918" w:name="_Ref532362075"/>
      <w:r>
        <w:rPr>
          <w:rFonts w:hint="eastAsia" w:ascii="宋体" w:hAnsi="宋体" w:eastAsia="宋体"/>
          <w:b/>
          <w:bCs w:val="0"/>
          <w:color w:val="auto"/>
          <w:sz w:val="21"/>
          <w:szCs w:val="21"/>
          <w:highlight w:val="none"/>
        </w:rPr>
        <w:t>8</w:t>
      </w:r>
      <w:r>
        <w:rPr>
          <w:rFonts w:ascii="宋体" w:hAnsi="宋体" w:eastAsia="宋体"/>
          <w:b/>
          <w:bCs w:val="0"/>
          <w:color w:val="auto"/>
          <w:sz w:val="21"/>
          <w:szCs w:val="21"/>
          <w:highlight w:val="none"/>
        </w:rPr>
        <w:t xml:space="preserve">.1 </w:t>
      </w:r>
      <w:r>
        <w:rPr>
          <w:rFonts w:hint="eastAsia" w:ascii="宋体" w:hAnsi="宋体" w:eastAsia="宋体"/>
          <w:b/>
          <w:bCs w:val="0"/>
          <w:color w:val="auto"/>
          <w:sz w:val="21"/>
          <w:szCs w:val="21"/>
          <w:highlight w:val="none"/>
        </w:rPr>
        <w:t>开始工作</w:t>
      </w:r>
      <w:bookmarkEnd w:id="911"/>
      <w:bookmarkEnd w:id="912"/>
      <w:bookmarkEnd w:id="913"/>
      <w:bookmarkEnd w:id="914"/>
      <w:bookmarkEnd w:id="915"/>
      <w:bookmarkEnd w:id="916"/>
      <w:bookmarkEnd w:id="917"/>
      <w:bookmarkEnd w:id="918"/>
    </w:p>
    <w:p w14:paraId="6146EE64">
      <w:pPr>
        <w:pStyle w:val="153"/>
        <w:keepNext w:val="0"/>
        <w:keepLines w:val="0"/>
        <w:pageBreakBefore w:val="0"/>
        <w:kinsoku/>
        <w:wordWrap/>
        <w:overflowPunct/>
        <w:topLinePunct w:val="0"/>
        <w:bidi w:val="0"/>
        <w:spacing w:after="120"/>
        <w:ind w:firstLine="422" w:firstLineChars="200"/>
        <w:textAlignment w:val="auto"/>
        <w:rPr>
          <w:b/>
          <w:bCs w:val="0"/>
          <w:color w:val="auto"/>
          <w:sz w:val="21"/>
          <w:highlight w:val="none"/>
        </w:rPr>
      </w:pPr>
      <w:bookmarkStart w:id="919" w:name="_Ref4428890"/>
      <w:r>
        <w:rPr>
          <w:rFonts w:hint="eastAsia"/>
          <w:b/>
          <w:bCs w:val="0"/>
          <w:color w:val="auto"/>
          <w:sz w:val="21"/>
          <w:highlight w:val="none"/>
        </w:rPr>
        <w:t>8</w:t>
      </w:r>
      <w:r>
        <w:rPr>
          <w:b/>
          <w:bCs w:val="0"/>
          <w:color w:val="auto"/>
          <w:sz w:val="21"/>
          <w:highlight w:val="none"/>
        </w:rPr>
        <w:t xml:space="preserve">.1.1 </w:t>
      </w:r>
      <w:r>
        <w:rPr>
          <w:rFonts w:hint="eastAsia"/>
          <w:b/>
          <w:bCs w:val="0"/>
          <w:color w:val="auto"/>
          <w:sz w:val="21"/>
          <w:highlight w:val="none"/>
        </w:rPr>
        <w:t>开始工作准备</w:t>
      </w:r>
      <w:bookmarkEnd w:id="919"/>
    </w:p>
    <w:p w14:paraId="12893BEC">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合同当事人应按专用合同条件约定完成开始工作准备工作。</w:t>
      </w:r>
    </w:p>
    <w:p w14:paraId="5EFED5B6">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920" w:name="_Ref536790534"/>
      <w:bookmarkStart w:id="921" w:name="_Hlk51506490"/>
      <w:r>
        <w:rPr>
          <w:rFonts w:hint="eastAsia"/>
          <w:b/>
          <w:bCs/>
          <w:color w:val="auto"/>
          <w:sz w:val="21"/>
          <w:highlight w:val="none"/>
        </w:rPr>
        <w:t>8</w:t>
      </w:r>
      <w:r>
        <w:rPr>
          <w:b/>
          <w:bCs/>
          <w:color w:val="auto"/>
          <w:sz w:val="21"/>
          <w:highlight w:val="none"/>
        </w:rPr>
        <w:t xml:space="preserve">.1.2 </w:t>
      </w:r>
      <w:r>
        <w:rPr>
          <w:rFonts w:hint="eastAsia"/>
          <w:b/>
          <w:bCs/>
          <w:color w:val="auto"/>
          <w:sz w:val="21"/>
          <w:highlight w:val="none"/>
        </w:rPr>
        <w:t>开始工作通知</w:t>
      </w:r>
      <w:bookmarkEnd w:id="920"/>
    </w:p>
    <w:bookmarkEnd w:id="921"/>
    <w:p w14:paraId="1FF3D795">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经发包人同意后，工程师应提前7天向承包人发出经发包人签认的开始工作通知，工期自开始工作通知中载明的开始工作日期起算。</w:t>
      </w:r>
    </w:p>
    <w:p w14:paraId="07EAFD17">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除专用合同条件另有约定外，因发包人原因造成实际开始现场施工日期迟于</w:t>
      </w:r>
      <w:bookmarkStart w:id="922" w:name="_Hlk51506566"/>
      <w:r>
        <w:rPr>
          <w:rFonts w:hint="eastAsia" w:ascii="宋体" w:hAnsi="宋体"/>
          <w:color w:val="auto"/>
          <w:szCs w:val="21"/>
          <w:highlight w:val="none"/>
        </w:rPr>
        <w:t>计划开始现场施工日期</w:t>
      </w:r>
      <w:bookmarkEnd w:id="922"/>
      <w:r>
        <w:rPr>
          <w:rFonts w:hint="eastAsia" w:ascii="宋体" w:hAnsi="宋体"/>
          <w:color w:val="auto"/>
          <w:szCs w:val="21"/>
          <w:highlight w:val="none"/>
        </w:rPr>
        <w:t>后第</w:t>
      </w:r>
      <w:r>
        <w:rPr>
          <w:rFonts w:ascii="宋体" w:hAnsi="宋体"/>
          <w:color w:val="auto"/>
          <w:szCs w:val="21"/>
          <w:highlight w:val="none"/>
        </w:rPr>
        <w:t>84</w:t>
      </w:r>
      <w:r>
        <w:rPr>
          <w:rFonts w:hint="eastAsia" w:ascii="宋体" w:hAnsi="宋体"/>
          <w:color w:val="auto"/>
          <w:szCs w:val="21"/>
          <w:highlight w:val="none"/>
        </w:rPr>
        <w:t>天的，承包人有权提出价格调整要求，或者解除合同。发包人应当承担由此增加的费用和（或）延误的工期，并向承包人支付合理利润。</w:t>
      </w:r>
    </w:p>
    <w:p w14:paraId="4088AFC2">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923" w:name="_Toc11024"/>
      <w:bookmarkStart w:id="924" w:name="_Toc23458"/>
      <w:bookmarkStart w:id="925" w:name="_Ref532362124"/>
      <w:bookmarkStart w:id="926" w:name="_Toc23011"/>
      <w:bookmarkStart w:id="927" w:name="_Toc54862249"/>
      <w:r>
        <w:rPr>
          <w:rFonts w:hint="eastAsia" w:ascii="宋体" w:hAnsi="宋体" w:eastAsia="宋体"/>
          <w:b/>
          <w:bCs w:val="0"/>
          <w:color w:val="auto"/>
          <w:sz w:val="21"/>
          <w:szCs w:val="21"/>
          <w:highlight w:val="none"/>
        </w:rPr>
        <w:t>8</w:t>
      </w:r>
      <w:r>
        <w:rPr>
          <w:rFonts w:ascii="宋体" w:hAnsi="宋体" w:eastAsia="宋体"/>
          <w:b/>
          <w:bCs w:val="0"/>
          <w:color w:val="auto"/>
          <w:sz w:val="21"/>
          <w:szCs w:val="21"/>
          <w:highlight w:val="none"/>
        </w:rPr>
        <w:t xml:space="preserve">.2 </w:t>
      </w:r>
      <w:r>
        <w:rPr>
          <w:rFonts w:hint="eastAsia" w:ascii="宋体" w:hAnsi="宋体" w:eastAsia="宋体"/>
          <w:b/>
          <w:bCs w:val="0"/>
          <w:color w:val="auto"/>
          <w:sz w:val="21"/>
          <w:szCs w:val="21"/>
          <w:highlight w:val="none"/>
        </w:rPr>
        <w:t>竣工日期</w:t>
      </w:r>
      <w:bookmarkEnd w:id="923"/>
      <w:bookmarkEnd w:id="924"/>
      <w:bookmarkEnd w:id="925"/>
      <w:bookmarkEnd w:id="926"/>
      <w:bookmarkEnd w:id="927"/>
    </w:p>
    <w:p w14:paraId="1FAEB78F">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承包人应在合同协议书约定的工期内完成合同工作。除专用合同条件另有约定外，工程的竣工日期以第</w:t>
      </w:r>
      <w:r>
        <w:rPr>
          <w:rFonts w:ascii="宋体" w:hAnsi="宋体"/>
          <w:color w:val="auto"/>
          <w:szCs w:val="21"/>
          <w:highlight w:val="none"/>
        </w:rPr>
        <w:t>10.1</w:t>
      </w:r>
      <w:r>
        <w:rPr>
          <w:rFonts w:hint="eastAsia" w:ascii="宋体" w:hAnsi="宋体"/>
          <w:color w:val="auto"/>
          <w:szCs w:val="21"/>
          <w:highlight w:val="none"/>
        </w:rPr>
        <w:t>条[竣工验收]的约定为准，并在工程接收证书中写明。</w:t>
      </w:r>
    </w:p>
    <w:p w14:paraId="180F02DF">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因发包人原因，在工程师收到承包人竣工验收申请报告</w:t>
      </w:r>
      <w:r>
        <w:rPr>
          <w:rFonts w:ascii="宋体" w:hAnsi="宋体"/>
          <w:color w:val="auto"/>
          <w:szCs w:val="21"/>
          <w:highlight w:val="none"/>
        </w:rPr>
        <w:t>42</w:t>
      </w:r>
      <w:r>
        <w:rPr>
          <w:rFonts w:hint="eastAsia" w:ascii="宋体" w:hAnsi="宋体"/>
          <w:color w:val="auto"/>
          <w:szCs w:val="21"/>
          <w:highlight w:val="none"/>
        </w:rPr>
        <w:t>天后未进行验收的，视为验收合格，实际竣工日期以提交竣工验收申请报告的日期为准，但发包人由于不可抗力不能进行验收的除外。</w:t>
      </w:r>
    </w:p>
    <w:p w14:paraId="3B590F84">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928" w:name="_Toc54862250"/>
      <w:bookmarkStart w:id="929" w:name="_Toc17983"/>
      <w:bookmarkStart w:id="930" w:name="_Toc10986"/>
      <w:bookmarkStart w:id="931" w:name="_Ref11863334"/>
      <w:bookmarkStart w:id="932" w:name="_Toc10781"/>
      <w:bookmarkStart w:id="933" w:name="_Ref532352853"/>
      <w:bookmarkStart w:id="934" w:name="_Ref532352856"/>
      <w:bookmarkStart w:id="935" w:name="_Ref532362204"/>
      <w:bookmarkStart w:id="936" w:name="_Ref532362207"/>
      <w:r>
        <w:rPr>
          <w:rFonts w:hint="eastAsia" w:ascii="宋体" w:hAnsi="宋体" w:eastAsia="宋体"/>
          <w:b/>
          <w:bCs w:val="0"/>
          <w:color w:val="auto"/>
          <w:sz w:val="21"/>
          <w:szCs w:val="21"/>
          <w:highlight w:val="none"/>
        </w:rPr>
        <w:t>8</w:t>
      </w:r>
      <w:r>
        <w:rPr>
          <w:rFonts w:ascii="宋体" w:hAnsi="宋体" w:eastAsia="宋体"/>
          <w:b/>
          <w:bCs w:val="0"/>
          <w:color w:val="auto"/>
          <w:sz w:val="21"/>
          <w:szCs w:val="21"/>
          <w:highlight w:val="none"/>
        </w:rPr>
        <w:t xml:space="preserve">.3 </w:t>
      </w:r>
      <w:r>
        <w:rPr>
          <w:rFonts w:hint="eastAsia" w:ascii="宋体" w:hAnsi="宋体" w:eastAsia="宋体"/>
          <w:b/>
          <w:bCs w:val="0"/>
          <w:color w:val="auto"/>
          <w:sz w:val="21"/>
          <w:szCs w:val="21"/>
          <w:highlight w:val="none"/>
        </w:rPr>
        <w:t>项目实施计划</w:t>
      </w:r>
      <w:bookmarkEnd w:id="928"/>
      <w:bookmarkEnd w:id="929"/>
      <w:bookmarkEnd w:id="930"/>
      <w:bookmarkEnd w:id="931"/>
      <w:bookmarkEnd w:id="932"/>
    </w:p>
    <w:p w14:paraId="6C65B0EF">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937" w:name="_Ref18990904"/>
      <w:r>
        <w:rPr>
          <w:rFonts w:hint="eastAsia"/>
          <w:b/>
          <w:bCs/>
          <w:color w:val="auto"/>
          <w:sz w:val="21"/>
          <w:highlight w:val="none"/>
        </w:rPr>
        <w:t>8</w:t>
      </w:r>
      <w:r>
        <w:rPr>
          <w:b/>
          <w:bCs/>
          <w:color w:val="auto"/>
          <w:sz w:val="21"/>
          <w:highlight w:val="none"/>
        </w:rPr>
        <w:t xml:space="preserve">.3.1 </w:t>
      </w:r>
      <w:r>
        <w:rPr>
          <w:rFonts w:hint="eastAsia"/>
          <w:b/>
          <w:bCs/>
          <w:color w:val="auto"/>
          <w:sz w:val="21"/>
          <w:highlight w:val="none"/>
        </w:rPr>
        <w:t>项目实施计划的内容</w:t>
      </w:r>
      <w:bookmarkEnd w:id="937"/>
    </w:p>
    <w:p w14:paraId="7F005440">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项目实施计划是依据合同和经批准的项目管理计划进行编制并用于对项目实施进行管理和控制的文件，应包含概述、总体实施方案、项目实施要点、项目初步进度计划以及合同当事人在专用合同条件中约定的其他内容。</w:t>
      </w:r>
    </w:p>
    <w:p w14:paraId="6DFB64A8">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938" w:name="_Ref18990921"/>
      <w:r>
        <w:rPr>
          <w:rFonts w:hint="eastAsia"/>
          <w:b/>
          <w:bCs/>
          <w:color w:val="auto"/>
          <w:sz w:val="21"/>
          <w:highlight w:val="none"/>
        </w:rPr>
        <w:t>8</w:t>
      </w:r>
      <w:r>
        <w:rPr>
          <w:b/>
          <w:bCs/>
          <w:color w:val="auto"/>
          <w:sz w:val="21"/>
          <w:highlight w:val="none"/>
        </w:rPr>
        <w:t xml:space="preserve">.3.2 </w:t>
      </w:r>
      <w:r>
        <w:rPr>
          <w:rFonts w:hint="eastAsia"/>
          <w:b/>
          <w:bCs/>
          <w:color w:val="auto"/>
          <w:sz w:val="21"/>
          <w:highlight w:val="none"/>
        </w:rPr>
        <w:t>项目实施计划的提交和修改</w:t>
      </w:r>
      <w:bookmarkEnd w:id="938"/>
    </w:p>
    <w:p w14:paraId="5C46AB0B">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除专用合同条件另有约定外，承包人应在合同订立后14天内，向工程师提交项目实施计划，工程师应在收到项目实施计划后21天内确认或提出修改意见。对工程师提出的合理意见和要求，承包人应自费修改完善。根据工程实施的实际情况需要修改项目实施计划的，承包人应向工程师提交修改后的项目实施计划。</w:t>
      </w:r>
    </w:p>
    <w:p w14:paraId="6EC072AC">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项目进度计划的编制和修改按照第</w:t>
      </w:r>
      <w:r>
        <w:rPr>
          <w:rFonts w:ascii="宋体" w:hAnsi="宋体"/>
          <w:color w:val="auto"/>
          <w:szCs w:val="21"/>
          <w:highlight w:val="none"/>
        </w:rPr>
        <w:t>8.4</w:t>
      </w:r>
      <w:r>
        <w:rPr>
          <w:rFonts w:hint="eastAsia" w:ascii="宋体" w:hAnsi="宋体"/>
          <w:color w:val="auto"/>
          <w:szCs w:val="21"/>
          <w:highlight w:val="none"/>
        </w:rPr>
        <w:t>款[项目进度计划]执行。</w:t>
      </w:r>
    </w:p>
    <w:p w14:paraId="7EFB008D">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939" w:name="_Toc54862251"/>
      <w:bookmarkStart w:id="940" w:name="_Ref11865507"/>
      <w:bookmarkStart w:id="941" w:name="_Toc24424"/>
      <w:bookmarkStart w:id="942" w:name="_Toc15027"/>
      <w:bookmarkStart w:id="943" w:name="_Toc24742"/>
      <w:r>
        <w:rPr>
          <w:rFonts w:hint="eastAsia" w:ascii="宋体" w:hAnsi="宋体" w:eastAsia="宋体"/>
          <w:b/>
          <w:bCs w:val="0"/>
          <w:color w:val="auto"/>
          <w:sz w:val="21"/>
          <w:szCs w:val="21"/>
          <w:highlight w:val="none"/>
        </w:rPr>
        <w:t>8</w:t>
      </w:r>
      <w:r>
        <w:rPr>
          <w:rFonts w:ascii="宋体" w:hAnsi="宋体" w:eastAsia="宋体"/>
          <w:b/>
          <w:bCs w:val="0"/>
          <w:color w:val="auto"/>
          <w:sz w:val="21"/>
          <w:szCs w:val="21"/>
          <w:highlight w:val="none"/>
        </w:rPr>
        <w:t xml:space="preserve">.4 </w:t>
      </w:r>
      <w:r>
        <w:rPr>
          <w:rFonts w:hint="eastAsia" w:ascii="宋体" w:hAnsi="宋体" w:eastAsia="宋体"/>
          <w:b/>
          <w:bCs w:val="0"/>
          <w:color w:val="auto"/>
          <w:sz w:val="21"/>
          <w:szCs w:val="21"/>
          <w:highlight w:val="none"/>
        </w:rPr>
        <w:t>项目进度计划</w:t>
      </w:r>
      <w:bookmarkEnd w:id="933"/>
      <w:bookmarkEnd w:id="934"/>
      <w:bookmarkEnd w:id="935"/>
      <w:bookmarkEnd w:id="936"/>
      <w:bookmarkEnd w:id="939"/>
      <w:bookmarkEnd w:id="940"/>
      <w:bookmarkEnd w:id="941"/>
      <w:bookmarkEnd w:id="942"/>
      <w:bookmarkEnd w:id="943"/>
    </w:p>
    <w:p w14:paraId="7229C66F">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944" w:name="_Ref4681217"/>
      <w:r>
        <w:rPr>
          <w:rFonts w:hint="eastAsia"/>
          <w:b/>
          <w:bCs/>
          <w:color w:val="auto"/>
          <w:sz w:val="21"/>
          <w:highlight w:val="none"/>
        </w:rPr>
        <w:t>8</w:t>
      </w:r>
      <w:r>
        <w:rPr>
          <w:b/>
          <w:bCs/>
          <w:color w:val="auto"/>
          <w:sz w:val="21"/>
          <w:highlight w:val="none"/>
        </w:rPr>
        <w:t xml:space="preserve">.4.1 </w:t>
      </w:r>
      <w:r>
        <w:rPr>
          <w:rFonts w:hint="eastAsia"/>
          <w:b/>
          <w:bCs/>
          <w:color w:val="auto"/>
          <w:sz w:val="21"/>
          <w:highlight w:val="none"/>
        </w:rPr>
        <w:t>项目进度计划的提交和修改</w:t>
      </w:r>
      <w:bookmarkEnd w:id="944"/>
    </w:p>
    <w:p w14:paraId="3C82A288">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承包人应按照第</w:t>
      </w:r>
      <w:r>
        <w:rPr>
          <w:rFonts w:ascii="宋体" w:hAnsi="宋体"/>
          <w:color w:val="auto"/>
          <w:szCs w:val="21"/>
          <w:highlight w:val="none"/>
        </w:rPr>
        <w:t>8.3</w:t>
      </w:r>
      <w:r>
        <w:rPr>
          <w:rFonts w:hint="eastAsia" w:ascii="宋体" w:hAnsi="宋体"/>
          <w:color w:val="auto"/>
          <w:szCs w:val="21"/>
          <w:highlight w:val="none"/>
        </w:rPr>
        <w:t>款[项目实施计划]约定编制并向工程师提交项目初步进度计划，经工程师批准后实施。除专用合同条件另有约定外，工程师应在21天内批复或提出修改意见，否则该项目初步进度计划视为已得到批准。对工程师提出的合理意见和要求，承包人应自费修改完善。</w:t>
      </w:r>
    </w:p>
    <w:p w14:paraId="2BE7685A">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经工程师批准的项目初步进度计划称为项目进度计划，是控制合同工程进度的依据，工程师有权按照进度计划检查工程进度情况。承包人还应根据项目进度计划，编制更为详细的分阶段或分项的进度计划，由工程师批准。</w:t>
      </w:r>
    </w:p>
    <w:p w14:paraId="1670CD0F">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945" w:name="_Ref4429079"/>
      <w:r>
        <w:rPr>
          <w:rFonts w:hint="eastAsia"/>
          <w:b/>
          <w:bCs/>
          <w:color w:val="auto"/>
          <w:sz w:val="21"/>
          <w:highlight w:val="none"/>
        </w:rPr>
        <w:t>8</w:t>
      </w:r>
      <w:r>
        <w:rPr>
          <w:b/>
          <w:bCs/>
          <w:color w:val="auto"/>
          <w:sz w:val="21"/>
          <w:highlight w:val="none"/>
        </w:rPr>
        <w:t xml:space="preserve">.4.2 </w:t>
      </w:r>
      <w:r>
        <w:rPr>
          <w:rFonts w:hint="eastAsia"/>
          <w:b/>
          <w:bCs/>
          <w:color w:val="auto"/>
          <w:sz w:val="21"/>
          <w:highlight w:val="none"/>
        </w:rPr>
        <w:t>项目进度计划的内容</w:t>
      </w:r>
      <w:bookmarkEnd w:id="945"/>
    </w:p>
    <w:p w14:paraId="7E622263">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项目进度计划应当包括设计、承包人文件提交、采购、制造、检验、运达现场、施工、安装、试验的各个阶段的预期时间以及设计和施工组织方案说明等，其编制应当符合国家法律规定和一般工程实践惯例。项目进度计划的具体要求、关键路径及关键路径变化的确定原则、承包人提交的份数和时间等，在专用合同条件约定。</w:t>
      </w:r>
    </w:p>
    <w:p w14:paraId="53828EFC">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946" w:name="_Ref3848203"/>
      <w:r>
        <w:rPr>
          <w:rFonts w:hint="eastAsia"/>
          <w:b/>
          <w:bCs/>
          <w:color w:val="auto"/>
          <w:sz w:val="21"/>
          <w:highlight w:val="none"/>
        </w:rPr>
        <w:t>8</w:t>
      </w:r>
      <w:r>
        <w:rPr>
          <w:b/>
          <w:bCs/>
          <w:color w:val="auto"/>
          <w:sz w:val="21"/>
          <w:highlight w:val="none"/>
        </w:rPr>
        <w:t xml:space="preserve">.4.3 </w:t>
      </w:r>
      <w:r>
        <w:rPr>
          <w:rFonts w:hint="eastAsia"/>
          <w:b/>
          <w:bCs/>
          <w:color w:val="auto"/>
          <w:sz w:val="21"/>
          <w:highlight w:val="none"/>
        </w:rPr>
        <w:t>项目进度计划的修订</w:t>
      </w:r>
      <w:bookmarkEnd w:id="946"/>
    </w:p>
    <w:p w14:paraId="6DC298DB">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项目进度计划不符合合同要求或与工程的实际进度不一致的，承包人应向工程师提交修订的项目进度计划，并附具有关措施和相关资料。工程师也可以直接向承包人发出修订项目进度计划的通知，承包人如接受，应按该通知修订项目进度计划，报工程师批准。承包人如不接受，应当在14天内答复，如未按时答复视作已接受修订项目进度计划通知中的内容。</w:t>
      </w:r>
    </w:p>
    <w:p w14:paraId="5655F629">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除专用合同条件另有约定外，工程师应在收到修订的项目进度计划后14天内完成审批或提出修改意见，如未按时答复视作已批准承包人修订后的项目进度计划。工程师对承包人提交的项目进度计划的确认，不能减轻或免除承包人根据法律规定和合同约定应承担的任何责任或义务。</w:t>
      </w:r>
    </w:p>
    <w:p w14:paraId="2225D034">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除合同当事人另有约定外，项目进度计划的修订并不能减轻或者免除双方按第</w:t>
      </w:r>
      <w:r>
        <w:rPr>
          <w:rFonts w:ascii="宋体" w:hAnsi="宋体"/>
          <w:color w:val="auto"/>
          <w:szCs w:val="21"/>
          <w:highlight w:val="none"/>
        </w:rPr>
        <w:t>8.7</w:t>
      </w:r>
      <w:r>
        <w:rPr>
          <w:rFonts w:hint="eastAsia" w:ascii="宋体" w:hAnsi="宋体"/>
          <w:color w:val="auto"/>
          <w:szCs w:val="21"/>
          <w:highlight w:val="none"/>
        </w:rPr>
        <w:t>款[工期延误]、第</w:t>
      </w:r>
      <w:r>
        <w:rPr>
          <w:rFonts w:ascii="宋体" w:hAnsi="宋体"/>
          <w:color w:val="auto"/>
          <w:szCs w:val="21"/>
          <w:highlight w:val="none"/>
        </w:rPr>
        <w:t>8.8</w:t>
      </w:r>
      <w:r>
        <w:rPr>
          <w:rFonts w:hint="eastAsia" w:ascii="宋体" w:hAnsi="宋体"/>
          <w:color w:val="auto"/>
          <w:szCs w:val="21"/>
          <w:highlight w:val="none"/>
        </w:rPr>
        <w:t>款[工期提前]、第</w:t>
      </w:r>
      <w:r>
        <w:rPr>
          <w:rFonts w:ascii="宋体" w:hAnsi="宋体"/>
          <w:color w:val="auto"/>
          <w:szCs w:val="21"/>
          <w:highlight w:val="none"/>
        </w:rPr>
        <w:t>8.9</w:t>
      </w:r>
      <w:r>
        <w:rPr>
          <w:rFonts w:hint="eastAsia" w:ascii="宋体" w:hAnsi="宋体"/>
          <w:color w:val="auto"/>
          <w:szCs w:val="21"/>
          <w:highlight w:val="none"/>
        </w:rPr>
        <w:t>款[暂停工作]应承担的合同责任。</w:t>
      </w:r>
    </w:p>
    <w:p w14:paraId="5A6FC0B2">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947" w:name="_Toc22586"/>
      <w:bookmarkStart w:id="948" w:name="_Toc54862252"/>
      <w:bookmarkStart w:id="949" w:name="_Ref532362278"/>
      <w:bookmarkStart w:id="950" w:name="_Toc4012"/>
      <w:bookmarkStart w:id="951" w:name="_Toc10771"/>
      <w:bookmarkStart w:id="952" w:name="_Ref532362276"/>
      <w:r>
        <w:rPr>
          <w:rFonts w:hint="eastAsia" w:ascii="宋体" w:hAnsi="宋体" w:eastAsia="宋体"/>
          <w:b/>
          <w:bCs w:val="0"/>
          <w:color w:val="auto"/>
          <w:sz w:val="21"/>
          <w:szCs w:val="21"/>
          <w:highlight w:val="none"/>
        </w:rPr>
        <w:t>8</w:t>
      </w:r>
      <w:r>
        <w:rPr>
          <w:rFonts w:ascii="宋体" w:hAnsi="宋体" w:eastAsia="宋体"/>
          <w:b/>
          <w:bCs w:val="0"/>
          <w:color w:val="auto"/>
          <w:sz w:val="21"/>
          <w:szCs w:val="21"/>
          <w:highlight w:val="none"/>
        </w:rPr>
        <w:t xml:space="preserve">.5 </w:t>
      </w:r>
      <w:r>
        <w:rPr>
          <w:rFonts w:hint="eastAsia" w:ascii="宋体" w:hAnsi="宋体" w:eastAsia="宋体"/>
          <w:b/>
          <w:bCs w:val="0"/>
          <w:color w:val="auto"/>
          <w:sz w:val="21"/>
          <w:szCs w:val="21"/>
          <w:highlight w:val="none"/>
        </w:rPr>
        <w:t>进度报告</w:t>
      </w:r>
      <w:bookmarkEnd w:id="947"/>
      <w:bookmarkEnd w:id="948"/>
      <w:bookmarkEnd w:id="949"/>
      <w:bookmarkEnd w:id="950"/>
      <w:bookmarkEnd w:id="951"/>
      <w:bookmarkEnd w:id="952"/>
    </w:p>
    <w:p w14:paraId="43EF5058">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项目实施过程中，承包人应进行实际进度记录，并根据工程师的要求编制月进度报告，并提交给工程师。进度报告应包含以下主要内容：</w:t>
      </w:r>
    </w:p>
    <w:p w14:paraId="34B23EF5">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 工程设计、采购、施工等各个工作内容的进展报告；</w:t>
      </w:r>
    </w:p>
    <w:p w14:paraId="78A86D7F">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 工程施工方法的一般说明；</w:t>
      </w:r>
    </w:p>
    <w:p w14:paraId="5555A85F">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（3） 当月工程实施介入的项目人员、设备和材料的预估明细报告；</w:t>
      </w:r>
    </w:p>
    <w:p w14:paraId="2607AC9E">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 xml:space="preserve">（4） 当月实际进度与进度计划对比分析，以及提出未来可能引起工期延误的情形，同时提出应对措施；需要修订项目进度计划的，应对项目进度计划的修订部分进行说明； </w:t>
      </w:r>
    </w:p>
    <w:p w14:paraId="3338799C">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（5） 承包人对于解决工期延误所提出的建议；</w:t>
      </w:r>
    </w:p>
    <w:p w14:paraId="38547092">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（6） 其他与工程有关的重大事项。</w:t>
      </w:r>
    </w:p>
    <w:p w14:paraId="28E81336">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进度报告的具体要求等，在专用合同条件约定。</w:t>
      </w:r>
    </w:p>
    <w:p w14:paraId="160F9EA1">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953" w:name="_Toc21390"/>
      <w:bookmarkStart w:id="954" w:name="_Toc18874"/>
      <w:bookmarkStart w:id="955" w:name="_Toc54862253"/>
      <w:bookmarkStart w:id="956" w:name="_Toc8474"/>
      <w:r>
        <w:rPr>
          <w:rFonts w:hint="eastAsia" w:ascii="宋体" w:hAnsi="宋体" w:eastAsia="宋体"/>
          <w:b/>
          <w:bCs w:val="0"/>
          <w:color w:val="auto"/>
          <w:sz w:val="21"/>
          <w:szCs w:val="21"/>
          <w:highlight w:val="none"/>
        </w:rPr>
        <w:t>8</w:t>
      </w:r>
      <w:r>
        <w:rPr>
          <w:rFonts w:ascii="宋体" w:hAnsi="宋体" w:eastAsia="宋体"/>
          <w:b/>
          <w:bCs w:val="0"/>
          <w:color w:val="auto"/>
          <w:sz w:val="21"/>
          <w:szCs w:val="21"/>
          <w:highlight w:val="none"/>
        </w:rPr>
        <w:t xml:space="preserve">.6 </w:t>
      </w:r>
      <w:r>
        <w:rPr>
          <w:rFonts w:hint="eastAsia" w:ascii="宋体" w:hAnsi="宋体" w:eastAsia="宋体"/>
          <w:b/>
          <w:bCs w:val="0"/>
          <w:color w:val="auto"/>
          <w:sz w:val="21"/>
          <w:szCs w:val="21"/>
          <w:highlight w:val="none"/>
        </w:rPr>
        <w:t>提前预警</w:t>
      </w:r>
      <w:bookmarkEnd w:id="953"/>
      <w:bookmarkEnd w:id="954"/>
      <w:bookmarkEnd w:id="955"/>
      <w:bookmarkEnd w:id="956"/>
    </w:p>
    <w:p w14:paraId="3FB88E29">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任何一方应当在下列情形发生时尽快书面通知另一方：</w:t>
      </w:r>
    </w:p>
    <w:p w14:paraId="3BF9574F">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 该情形可能对合同的履行或实现合同目的产生不利影响；</w:t>
      </w:r>
    </w:p>
    <w:p w14:paraId="1FD53C4C">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 该情形可能对工程完成后的使用产生不利影响；</w:t>
      </w:r>
    </w:p>
    <w:p w14:paraId="022F7094">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（3） 该情形可能导致合同价款增加；</w:t>
      </w:r>
    </w:p>
    <w:p w14:paraId="518A55D1">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（4） 该情形可能导致整个工程或单位/区段工程的工期延长。</w:t>
      </w:r>
    </w:p>
    <w:p w14:paraId="1A316B22">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发包人有权要求承包人根据第</w:t>
      </w:r>
      <w:r>
        <w:rPr>
          <w:rFonts w:ascii="宋体" w:hAnsi="宋体"/>
          <w:color w:val="auto"/>
          <w:szCs w:val="21"/>
          <w:highlight w:val="none"/>
        </w:rPr>
        <w:t>13.2</w:t>
      </w:r>
      <w:r>
        <w:rPr>
          <w:rFonts w:hint="eastAsia" w:ascii="宋体" w:hAnsi="宋体"/>
          <w:color w:val="auto"/>
          <w:szCs w:val="21"/>
          <w:highlight w:val="none"/>
        </w:rPr>
        <w:t>款[承包人的合理化建议]的约定提交变更建议，采取措施尽量避免或最小化上述情形的发生或影响。</w:t>
      </w:r>
    </w:p>
    <w:p w14:paraId="250FC9C6">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957" w:name="_Toc4784160"/>
      <w:bookmarkEnd w:id="957"/>
      <w:bookmarkStart w:id="958" w:name="_Toc4784168"/>
      <w:bookmarkEnd w:id="958"/>
      <w:bookmarkStart w:id="959" w:name="_Toc4784159"/>
      <w:bookmarkEnd w:id="959"/>
      <w:bookmarkStart w:id="960" w:name="_Toc4784155"/>
      <w:bookmarkEnd w:id="960"/>
      <w:bookmarkStart w:id="961" w:name="_Toc4784164"/>
      <w:bookmarkEnd w:id="961"/>
      <w:bookmarkStart w:id="962" w:name="_Toc4784174"/>
      <w:bookmarkEnd w:id="962"/>
      <w:bookmarkStart w:id="963" w:name="_Toc4784165"/>
      <w:bookmarkEnd w:id="963"/>
      <w:bookmarkStart w:id="964" w:name="_Toc4784163"/>
      <w:bookmarkEnd w:id="964"/>
      <w:bookmarkStart w:id="965" w:name="_Toc4784171"/>
      <w:bookmarkEnd w:id="965"/>
      <w:bookmarkStart w:id="966" w:name="_Toc4784156"/>
      <w:bookmarkEnd w:id="966"/>
      <w:bookmarkStart w:id="967" w:name="_Toc4784175"/>
      <w:bookmarkEnd w:id="967"/>
      <w:bookmarkStart w:id="968" w:name="_Toc4784154"/>
      <w:bookmarkEnd w:id="968"/>
      <w:bookmarkStart w:id="969" w:name="_Toc4784166"/>
      <w:bookmarkEnd w:id="969"/>
      <w:bookmarkStart w:id="970" w:name="_Toc4784167"/>
      <w:bookmarkEnd w:id="970"/>
      <w:bookmarkStart w:id="971" w:name="_Toc4784173"/>
      <w:bookmarkEnd w:id="971"/>
      <w:bookmarkStart w:id="972" w:name="_Toc4784170"/>
      <w:bookmarkEnd w:id="972"/>
      <w:bookmarkStart w:id="973" w:name="_Toc4784161"/>
      <w:bookmarkEnd w:id="973"/>
      <w:bookmarkStart w:id="974" w:name="_Toc4784158"/>
      <w:bookmarkEnd w:id="974"/>
      <w:bookmarkStart w:id="975" w:name="_Toc4784157"/>
      <w:bookmarkEnd w:id="975"/>
      <w:bookmarkStart w:id="976" w:name="_Toc4784162"/>
      <w:bookmarkEnd w:id="976"/>
      <w:bookmarkStart w:id="977" w:name="_Toc4784172"/>
      <w:bookmarkEnd w:id="977"/>
      <w:bookmarkStart w:id="978" w:name="_Toc4784169"/>
      <w:bookmarkEnd w:id="978"/>
      <w:bookmarkStart w:id="979" w:name="_Toc28126"/>
      <w:bookmarkStart w:id="980" w:name="_Toc54862254"/>
      <w:bookmarkStart w:id="981" w:name="_Toc22568"/>
      <w:bookmarkStart w:id="982" w:name="_Toc9147"/>
      <w:bookmarkStart w:id="983" w:name="_Ref4770106"/>
      <w:bookmarkStart w:id="984" w:name="_Ref532362356"/>
      <w:bookmarkStart w:id="985" w:name="_Ref532362359"/>
      <w:r>
        <w:rPr>
          <w:rFonts w:hint="eastAsia" w:ascii="宋体" w:hAnsi="宋体" w:eastAsia="宋体"/>
          <w:b/>
          <w:bCs w:val="0"/>
          <w:color w:val="auto"/>
          <w:sz w:val="21"/>
          <w:szCs w:val="21"/>
          <w:highlight w:val="none"/>
        </w:rPr>
        <w:t>8</w:t>
      </w:r>
      <w:r>
        <w:rPr>
          <w:rFonts w:ascii="宋体" w:hAnsi="宋体" w:eastAsia="宋体"/>
          <w:b/>
          <w:bCs w:val="0"/>
          <w:color w:val="auto"/>
          <w:sz w:val="21"/>
          <w:szCs w:val="21"/>
          <w:highlight w:val="none"/>
        </w:rPr>
        <w:t xml:space="preserve">.7 </w:t>
      </w:r>
      <w:r>
        <w:rPr>
          <w:rFonts w:hint="eastAsia" w:ascii="宋体" w:hAnsi="宋体" w:eastAsia="宋体"/>
          <w:b/>
          <w:bCs w:val="0"/>
          <w:color w:val="auto"/>
          <w:sz w:val="21"/>
          <w:szCs w:val="21"/>
          <w:highlight w:val="none"/>
        </w:rPr>
        <w:t>工期延误</w:t>
      </w:r>
      <w:bookmarkEnd w:id="979"/>
      <w:bookmarkEnd w:id="980"/>
      <w:bookmarkEnd w:id="981"/>
      <w:bookmarkEnd w:id="982"/>
      <w:bookmarkEnd w:id="983"/>
    </w:p>
    <w:p w14:paraId="2C15BB40">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986" w:name="_Ref4796050"/>
      <w:r>
        <w:rPr>
          <w:rFonts w:hint="eastAsia"/>
          <w:b/>
          <w:bCs/>
          <w:color w:val="auto"/>
          <w:sz w:val="21"/>
          <w:highlight w:val="none"/>
        </w:rPr>
        <w:t>8</w:t>
      </w:r>
      <w:r>
        <w:rPr>
          <w:b/>
          <w:bCs/>
          <w:color w:val="auto"/>
          <w:sz w:val="21"/>
          <w:highlight w:val="none"/>
        </w:rPr>
        <w:t xml:space="preserve">.7.1 </w:t>
      </w:r>
      <w:r>
        <w:rPr>
          <w:rFonts w:hint="eastAsia"/>
          <w:b/>
          <w:bCs/>
          <w:color w:val="auto"/>
          <w:sz w:val="21"/>
          <w:highlight w:val="none"/>
        </w:rPr>
        <w:t>因发包人原因导致工期延误</w:t>
      </w:r>
      <w:bookmarkEnd w:id="986"/>
    </w:p>
    <w:p w14:paraId="4BE5EA18">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在合同履行过程中，因下列情况导致工期延误和（或）费用增加的，由发包人承担由此延误的工期和（或）增加的费用，且发包人应支付承包人合理的利润：</w:t>
      </w:r>
    </w:p>
    <w:p w14:paraId="0C8D1F85">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 根据第</w:t>
      </w:r>
      <w:r>
        <w:rPr>
          <w:rFonts w:ascii="宋体" w:hAnsi="宋体"/>
          <w:color w:val="auto"/>
          <w:szCs w:val="21"/>
          <w:highlight w:val="none"/>
        </w:rPr>
        <w:t>13条</w:t>
      </w:r>
      <w:r>
        <w:rPr>
          <w:rFonts w:hint="eastAsia" w:ascii="宋体" w:hAnsi="宋体"/>
          <w:color w:val="auto"/>
          <w:szCs w:val="21"/>
          <w:highlight w:val="none"/>
        </w:rPr>
        <w:t>[变更与调整]的约定构成一项变更的；</w:t>
      </w:r>
    </w:p>
    <w:p w14:paraId="2C82AD62">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 发包人违反本合同约定，导致工期延误和（或）费用增加的；</w:t>
      </w:r>
    </w:p>
    <w:p w14:paraId="2416ECCC">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（3） 发包人、发包人代表、工程师或发包人聘请的任意第三方造成或引起的任何延误、妨碍和阻碍；</w:t>
      </w:r>
    </w:p>
    <w:p w14:paraId="296ECE01">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（4） 发包人未能依据第</w:t>
      </w:r>
      <w:r>
        <w:rPr>
          <w:rFonts w:ascii="宋体" w:hAnsi="宋体"/>
          <w:color w:val="auto"/>
          <w:szCs w:val="21"/>
          <w:highlight w:val="none"/>
        </w:rPr>
        <w:t>6.2.1</w:t>
      </w:r>
      <w:r>
        <w:rPr>
          <w:rFonts w:hint="eastAsia" w:ascii="宋体" w:hAnsi="宋体"/>
          <w:color w:val="auto"/>
          <w:szCs w:val="21"/>
          <w:highlight w:val="none"/>
        </w:rPr>
        <w:t>项[发包人提供的材料和工程设备]的约定提供材料和工程设备导致工期延误和（或）费用增加的；</w:t>
      </w:r>
    </w:p>
    <w:p w14:paraId="6F39BB8D">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（5） 因发包人原因导致的暂停施工；</w:t>
      </w:r>
    </w:p>
    <w:p w14:paraId="002332BF">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（6） 发包人未及时履行相关合同义务，造成工期延误的其他原因。</w:t>
      </w:r>
    </w:p>
    <w:p w14:paraId="6C7D03DB">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987" w:name="_Ref4770209"/>
      <w:r>
        <w:rPr>
          <w:rFonts w:hint="eastAsia"/>
          <w:b/>
          <w:bCs/>
          <w:color w:val="auto"/>
          <w:sz w:val="21"/>
          <w:highlight w:val="none"/>
        </w:rPr>
        <w:t>8</w:t>
      </w:r>
      <w:r>
        <w:rPr>
          <w:b/>
          <w:bCs/>
          <w:color w:val="auto"/>
          <w:sz w:val="21"/>
          <w:highlight w:val="none"/>
        </w:rPr>
        <w:t xml:space="preserve">.7.2 </w:t>
      </w:r>
      <w:r>
        <w:rPr>
          <w:rFonts w:hint="eastAsia"/>
          <w:b/>
          <w:bCs/>
          <w:color w:val="auto"/>
          <w:sz w:val="21"/>
          <w:highlight w:val="none"/>
        </w:rPr>
        <w:t>因承包人原因导致工期延误</w:t>
      </w:r>
      <w:bookmarkEnd w:id="987"/>
    </w:p>
    <w:p w14:paraId="6072678E">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由于承包人的原因，未能按项目进度计划完成工作，承包人应采取措施加快进度，并承担加快进度所增加的费用。</w:t>
      </w:r>
    </w:p>
    <w:p w14:paraId="7FF27679">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由于承包人原因造成工期延误并导致逾期竣工的，承包人应支付逾期竣工违约金。逾期竣工违约金的计算方法和最高限额在专用合同条件中约定。承包人支付逾期竣工违约金，不免除承包人完成工作及修补缺陷的义务，且发包人有权从工程进度款、竣工结算款或约定提交的履约担保中扣除相当于逾期竣工违约金的金额。</w:t>
      </w:r>
    </w:p>
    <w:p w14:paraId="3C0A1A1D">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988" w:name="_Ref4770872"/>
      <w:r>
        <w:rPr>
          <w:rFonts w:hint="eastAsia"/>
          <w:b/>
          <w:bCs/>
          <w:color w:val="auto"/>
          <w:sz w:val="21"/>
          <w:highlight w:val="none"/>
        </w:rPr>
        <w:t>8</w:t>
      </w:r>
      <w:r>
        <w:rPr>
          <w:b/>
          <w:bCs/>
          <w:color w:val="auto"/>
          <w:sz w:val="21"/>
          <w:highlight w:val="none"/>
        </w:rPr>
        <w:t xml:space="preserve">.7.3 </w:t>
      </w:r>
      <w:r>
        <w:rPr>
          <w:rFonts w:hint="eastAsia"/>
          <w:b/>
          <w:bCs/>
          <w:color w:val="auto"/>
          <w:sz w:val="21"/>
          <w:highlight w:val="none"/>
        </w:rPr>
        <w:t>行政审批迟延</w:t>
      </w:r>
      <w:bookmarkEnd w:id="988"/>
    </w:p>
    <w:p w14:paraId="5EF3111A">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合同约定范围内的工作需国家有关部门审批的，发包人和（或）承包人应按照专用合同条件约定的职责分工完成行政审批报送。因国家有关部门审批迟延造成工期延误的，竣工日期相应顺延。造成费用增加的，由双方在负责的范围内各自承担。</w:t>
      </w:r>
    </w:p>
    <w:p w14:paraId="31097D51">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989" w:name="_Ref4770933"/>
      <w:r>
        <w:rPr>
          <w:rFonts w:hint="eastAsia"/>
          <w:b/>
          <w:bCs/>
          <w:color w:val="auto"/>
          <w:sz w:val="21"/>
          <w:highlight w:val="none"/>
        </w:rPr>
        <w:t>8</w:t>
      </w:r>
      <w:r>
        <w:rPr>
          <w:b/>
          <w:bCs/>
          <w:color w:val="auto"/>
          <w:sz w:val="21"/>
          <w:highlight w:val="none"/>
        </w:rPr>
        <w:t xml:space="preserve">.7.4 </w:t>
      </w:r>
      <w:r>
        <w:rPr>
          <w:rFonts w:hint="eastAsia"/>
          <w:b/>
          <w:bCs/>
          <w:color w:val="auto"/>
          <w:sz w:val="21"/>
          <w:highlight w:val="none"/>
        </w:rPr>
        <w:t>异常恶劣的气候条件</w:t>
      </w:r>
      <w:bookmarkEnd w:id="989"/>
    </w:p>
    <w:p w14:paraId="1F583EFF">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异常恶劣的气候条件是指在施工过程中遇到的，有经验的承包人在订立合同时不可预见的，对合同履行造成实质性影响的，但尚未构成不可抗力事件的恶劣气候条件。合同当事人可以在专用合同条件中约定异常恶劣的气候条件的具体情形。</w:t>
      </w:r>
    </w:p>
    <w:p w14:paraId="1EF238C8">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承包人应采取克服异常恶劣的气候条件的合理措施继续施工，并及时通知工程师。工程师应当及时发出指示，指示构成变更的，按第</w:t>
      </w:r>
      <w:r>
        <w:rPr>
          <w:rFonts w:ascii="宋体" w:hAnsi="宋体"/>
          <w:color w:val="auto"/>
          <w:szCs w:val="21"/>
          <w:highlight w:val="none"/>
        </w:rPr>
        <w:t>13条</w:t>
      </w:r>
      <w:r>
        <w:rPr>
          <w:rFonts w:hint="eastAsia" w:ascii="宋体" w:hAnsi="宋体"/>
          <w:color w:val="auto"/>
          <w:szCs w:val="21"/>
          <w:highlight w:val="none"/>
        </w:rPr>
        <w:t>[变更与调整]约定办理。承包人因采取合理措施而延误的工期由发包人承担。</w:t>
      </w:r>
    </w:p>
    <w:p w14:paraId="46A507FA">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990" w:name="_Ref4781828"/>
      <w:bookmarkStart w:id="991" w:name="_Toc32714"/>
      <w:bookmarkStart w:id="992" w:name="_Toc21212"/>
      <w:bookmarkStart w:id="993" w:name="_Toc54862255"/>
      <w:bookmarkStart w:id="994" w:name="_Toc11979"/>
      <w:r>
        <w:rPr>
          <w:rFonts w:hint="eastAsia" w:ascii="宋体" w:hAnsi="宋体" w:eastAsia="宋体"/>
          <w:b/>
          <w:bCs w:val="0"/>
          <w:color w:val="auto"/>
          <w:sz w:val="21"/>
          <w:szCs w:val="21"/>
          <w:highlight w:val="none"/>
        </w:rPr>
        <w:t>8</w:t>
      </w:r>
      <w:r>
        <w:rPr>
          <w:rFonts w:ascii="宋体" w:hAnsi="宋体" w:eastAsia="宋体"/>
          <w:b/>
          <w:bCs w:val="0"/>
          <w:color w:val="auto"/>
          <w:sz w:val="21"/>
          <w:szCs w:val="21"/>
          <w:highlight w:val="none"/>
        </w:rPr>
        <w:t xml:space="preserve">.8 </w:t>
      </w:r>
      <w:r>
        <w:rPr>
          <w:rFonts w:hint="eastAsia" w:ascii="宋体" w:hAnsi="宋体" w:eastAsia="宋体"/>
          <w:b/>
          <w:bCs w:val="0"/>
          <w:color w:val="auto"/>
          <w:sz w:val="21"/>
          <w:szCs w:val="21"/>
          <w:highlight w:val="none"/>
        </w:rPr>
        <w:t>工期提前</w:t>
      </w:r>
      <w:bookmarkEnd w:id="984"/>
      <w:bookmarkEnd w:id="985"/>
      <w:bookmarkEnd w:id="990"/>
      <w:bookmarkEnd w:id="991"/>
      <w:bookmarkEnd w:id="992"/>
      <w:bookmarkEnd w:id="993"/>
      <w:bookmarkEnd w:id="994"/>
    </w:p>
    <w:p w14:paraId="1E6D3761">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8</w:t>
      </w:r>
      <w:r>
        <w:rPr>
          <w:color w:val="auto"/>
          <w:sz w:val="21"/>
          <w:highlight w:val="none"/>
        </w:rPr>
        <w:t xml:space="preserve">.8.1 </w:t>
      </w:r>
      <w:r>
        <w:rPr>
          <w:rFonts w:hint="eastAsia"/>
          <w:color w:val="auto"/>
          <w:sz w:val="21"/>
          <w:highlight w:val="none"/>
        </w:rPr>
        <w:t>发包人指示承包人提前竣工且被承包人接受的，应与承包人共同协商采取加快工程进度的措施和修订项目进度计划。发包人应承担承包人由此增加的费用，增加的费用按第</w:t>
      </w:r>
      <w:r>
        <w:rPr>
          <w:color w:val="auto"/>
          <w:sz w:val="21"/>
          <w:highlight w:val="none"/>
        </w:rPr>
        <w:t>13条</w:t>
      </w:r>
      <w:r>
        <w:rPr>
          <w:rFonts w:hint="eastAsia"/>
          <w:color w:val="auto"/>
          <w:sz w:val="21"/>
          <w:highlight w:val="none"/>
        </w:rPr>
        <w:t>[</w:t>
      </w:r>
      <w:r>
        <w:rPr>
          <w:color w:val="auto"/>
          <w:sz w:val="21"/>
          <w:highlight w:val="none"/>
        </w:rPr>
        <w:t>变更与调整</w:t>
      </w:r>
      <w:r>
        <w:rPr>
          <w:rFonts w:hint="eastAsia"/>
          <w:color w:val="auto"/>
          <w:sz w:val="21"/>
          <w:highlight w:val="none"/>
        </w:rPr>
        <w:t>]的约定执行；发包人不得以任何理由要求承包人超过合理限度压缩工期。承包人有权不接受提前竣工的指示，工期按照合同约定执行。</w:t>
      </w:r>
    </w:p>
    <w:p w14:paraId="74AFB81B">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bookmarkStart w:id="995" w:name="_Ref4429347"/>
      <w:r>
        <w:rPr>
          <w:rFonts w:hint="eastAsia"/>
          <w:color w:val="auto"/>
          <w:sz w:val="21"/>
          <w:highlight w:val="none"/>
        </w:rPr>
        <w:t>8</w:t>
      </w:r>
      <w:r>
        <w:rPr>
          <w:color w:val="auto"/>
          <w:sz w:val="21"/>
          <w:highlight w:val="none"/>
        </w:rPr>
        <w:t xml:space="preserve">.8.2 </w:t>
      </w:r>
      <w:r>
        <w:rPr>
          <w:rFonts w:hint="eastAsia"/>
          <w:color w:val="auto"/>
          <w:sz w:val="21"/>
          <w:highlight w:val="none"/>
        </w:rPr>
        <w:t>承包人提出提前竣工的建议且发包人接受的，应与发包人共同协商采取加快工程进度的措施和修订项目进度计划。发包人应承担承包人由此增加的费用，增加的费用按第</w:t>
      </w:r>
      <w:r>
        <w:rPr>
          <w:color w:val="auto"/>
          <w:sz w:val="21"/>
          <w:highlight w:val="none"/>
        </w:rPr>
        <w:t>13条</w:t>
      </w:r>
      <w:r>
        <w:rPr>
          <w:rFonts w:hint="eastAsia"/>
          <w:color w:val="auto"/>
          <w:sz w:val="21"/>
          <w:highlight w:val="none"/>
        </w:rPr>
        <w:t>[</w:t>
      </w:r>
      <w:r>
        <w:rPr>
          <w:color w:val="auto"/>
          <w:sz w:val="21"/>
          <w:highlight w:val="none"/>
        </w:rPr>
        <w:t>变更与调整</w:t>
      </w:r>
      <w:r>
        <w:rPr>
          <w:rFonts w:hint="eastAsia"/>
          <w:color w:val="auto"/>
          <w:sz w:val="21"/>
          <w:highlight w:val="none"/>
        </w:rPr>
        <w:t>]的约定执行，并向承包人支付专用合同条件约定的相应奖励金。</w:t>
      </w:r>
      <w:bookmarkEnd w:id="995"/>
    </w:p>
    <w:p w14:paraId="7706410A">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996" w:name="_Toc54862256"/>
      <w:bookmarkStart w:id="997" w:name="_Toc26042"/>
      <w:bookmarkStart w:id="998" w:name="_Ref4615031"/>
      <w:bookmarkStart w:id="999" w:name="_Toc24465"/>
      <w:bookmarkStart w:id="1000" w:name="_Toc25850"/>
      <w:bookmarkStart w:id="1001" w:name="_Ref4615040"/>
      <w:r>
        <w:rPr>
          <w:rFonts w:hint="eastAsia" w:ascii="宋体" w:hAnsi="宋体" w:eastAsia="宋体"/>
          <w:b/>
          <w:bCs w:val="0"/>
          <w:color w:val="auto"/>
          <w:sz w:val="21"/>
          <w:szCs w:val="21"/>
          <w:highlight w:val="none"/>
        </w:rPr>
        <w:t>8</w:t>
      </w:r>
      <w:r>
        <w:rPr>
          <w:rFonts w:ascii="宋体" w:hAnsi="宋体" w:eastAsia="宋体"/>
          <w:b/>
          <w:bCs w:val="0"/>
          <w:color w:val="auto"/>
          <w:sz w:val="21"/>
          <w:szCs w:val="21"/>
          <w:highlight w:val="none"/>
        </w:rPr>
        <w:t xml:space="preserve">.9 </w:t>
      </w:r>
      <w:r>
        <w:rPr>
          <w:rFonts w:hint="eastAsia" w:ascii="宋体" w:hAnsi="宋体" w:eastAsia="宋体"/>
          <w:b/>
          <w:bCs w:val="0"/>
          <w:color w:val="auto"/>
          <w:sz w:val="21"/>
          <w:szCs w:val="21"/>
          <w:highlight w:val="none"/>
        </w:rPr>
        <w:t>暂停工作</w:t>
      </w:r>
      <w:bookmarkEnd w:id="996"/>
      <w:bookmarkEnd w:id="997"/>
      <w:bookmarkEnd w:id="998"/>
      <w:bookmarkEnd w:id="999"/>
      <w:bookmarkEnd w:id="1000"/>
      <w:bookmarkEnd w:id="1001"/>
    </w:p>
    <w:p w14:paraId="0D19C91F">
      <w:pPr>
        <w:pStyle w:val="153"/>
        <w:keepNext w:val="0"/>
        <w:keepLines w:val="0"/>
        <w:pageBreakBefore w:val="0"/>
        <w:kinsoku/>
        <w:wordWrap/>
        <w:overflowPunct/>
        <w:topLinePunct w:val="0"/>
        <w:bidi w:val="0"/>
        <w:spacing w:after="120"/>
        <w:ind w:firstLine="422" w:firstLineChars="200"/>
        <w:textAlignment w:val="auto"/>
        <w:rPr>
          <w:b/>
          <w:bCs w:val="0"/>
          <w:color w:val="auto"/>
          <w:sz w:val="21"/>
          <w:highlight w:val="none"/>
        </w:rPr>
      </w:pPr>
      <w:bookmarkStart w:id="1002" w:name="_Ref4709151"/>
      <w:r>
        <w:rPr>
          <w:rFonts w:hint="eastAsia"/>
          <w:b/>
          <w:bCs w:val="0"/>
          <w:color w:val="auto"/>
          <w:sz w:val="21"/>
          <w:highlight w:val="none"/>
        </w:rPr>
        <w:t>8</w:t>
      </w:r>
      <w:r>
        <w:rPr>
          <w:b/>
          <w:bCs w:val="0"/>
          <w:color w:val="auto"/>
          <w:sz w:val="21"/>
          <w:highlight w:val="none"/>
        </w:rPr>
        <w:t xml:space="preserve">.9.1 </w:t>
      </w:r>
      <w:r>
        <w:rPr>
          <w:rFonts w:hint="eastAsia"/>
          <w:b/>
          <w:bCs w:val="0"/>
          <w:color w:val="auto"/>
          <w:sz w:val="21"/>
          <w:highlight w:val="none"/>
        </w:rPr>
        <w:t>由发包人暂停工作</w:t>
      </w:r>
      <w:bookmarkEnd w:id="1002"/>
    </w:p>
    <w:p w14:paraId="23CD1CF7">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发包人认为必要时，可通过工程师向承包人发出经发包人签认的暂停工作通知，应列明暂停原因、暂停的日期及预计暂停的期限。承包人应按该通知暂停工作。</w:t>
      </w:r>
      <w:bookmarkStart w:id="1003" w:name="_Ref4709233"/>
    </w:p>
    <w:p w14:paraId="5E1D0379">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承包人因执行暂停工作通知而造成费用的增加和（或）工期延误由发包人承担，并有权要求发包人支付合理利润，但</w:t>
      </w:r>
      <w:bookmarkEnd w:id="1003"/>
      <w:r>
        <w:rPr>
          <w:rFonts w:hint="eastAsia" w:ascii="宋体" w:hAnsi="宋体"/>
          <w:color w:val="auto"/>
          <w:szCs w:val="21"/>
          <w:highlight w:val="none"/>
        </w:rPr>
        <w:t>由于承包人原因造成发包人暂停工作的除外。</w:t>
      </w:r>
    </w:p>
    <w:p w14:paraId="50CFF7EC">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1004" w:name="_Ref18972173"/>
      <w:r>
        <w:rPr>
          <w:rFonts w:hint="eastAsia"/>
          <w:b/>
          <w:bCs/>
          <w:color w:val="auto"/>
          <w:sz w:val="21"/>
          <w:highlight w:val="none"/>
        </w:rPr>
        <w:t>8</w:t>
      </w:r>
      <w:r>
        <w:rPr>
          <w:b/>
          <w:bCs/>
          <w:color w:val="auto"/>
          <w:sz w:val="21"/>
          <w:highlight w:val="none"/>
        </w:rPr>
        <w:t xml:space="preserve">.9.2 </w:t>
      </w:r>
      <w:r>
        <w:rPr>
          <w:rFonts w:hint="eastAsia"/>
          <w:b/>
          <w:bCs/>
          <w:color w:val="auto"/>
          <w:sz w:val="21"/>
          <w:highlight w:val="none"/>
        </w:rPr>
        <w:t>由承包人暂停工作</w:t>
      </w:r>
      <w:bookmarkEnd w:id="1004"/>
    </w:p>
    <w:p w14:paraId="677B31BD">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因承包人原因所造成部分或全部工程的暂停，承包人应采取措施尽快复工并赶上进度，由此造成费用的增加或工期延误由承包人承担。因此造成逾期竣工的，承包人应按第</w:t>
      </w:r>
      <w:r>
        <w:rPr>
          <w:rFonts w:ascii="宋体" w:hAnsi="宋体"/>
          <w:color w:val="auto"/>
          <w:szCs w:val="21"/>
          <w:highlight w:val="none"/>
        </w:rPr>
        <w:t>8.7.2</w:t>
      </w:r>
      <w:r>
        <w:rPr>
          <w:rFonts w:hint="eastAsia" w:ascii="宋体" w:hAnsi="宋体"/>
          <w:color w:val="auto"/>
          <w:szCs w:val="21"/>
          <w:highlight w:val="none"/>
        </w:rPr>
        <w:t>项[</w:t>
      </w:r>
      <w:r>
        <w:rPr>
          <w:rFonts w:ascii="宋体" w:hAnsi="宋体"/>
          <w:color w:val="auto"/>
          <w:szCs w:val="21"/>
          <w:highlight w:val="none"/>
        </w:rPr>
        <w:t>因承包人原因导致工期延误</w:t>
      </w:r>
      <w:r>
        <w:rPr>
          <w:rFonts w:hint="eastAsia" w:ascii="宋体" w:hAnsi="宋体"/>
          <w:color w:val="auto"/>
          <w:szCs w:val="21"/>
          <w:highlight w:val="none"/>
        </w:rPr>
        <w:t>]承担逾期竣工违约责任。</w:t>
      </w:r>
    </w:p>
    <w:p w14:paraId="5E8B5F9E">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合同履行过程中发生下列情形之一的，承包人可向发包人发出通知，要求发包人采取有效措施予以纠正。发包人收到承包人通知后的28天内仍不予以纠正，承包人有权暂停施工，并通知工程师。承包人有权要求发包人延长工期和（或）增加费用，并支付合理利润：</w:t>
      </w:r>
    </w:p>
    <w:p w14:paraId="33FE8B0C">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bookmarkStart w:id="1005" w:name="_Ref4709224"/>
      <w:r>
        <w:rPr>
          <w:rFonts w:hint="eastAsia" w:ascii="宋体" w:hAnsi="宋体"/>
          <w:color w:val="auto"/>
          <w:szCs w:val="21"/>
          <w:highlight w:val="none"/>
        </w:rPr>
        <w:t>（1） 发包人拖延、拒绝批准付款申请和支付证书，或未能按合同约定支付价款，导致付款延误的；</w:t>
      </w:r>
      <w:bookmarkEnd w:id="1005"/>
    </w:p>
    <w:p w14:paraId="08D74C60">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 发包人未按约定履行合同其他义务导致承包人无法继续履行合同的，或者发包人明确表示暂停或实质上已暂停履行合同的。</w:t>
      </w:r>
    </w:p>
    <w:p w14:paraId="14585D2D">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8</w:t>
      </w:r>
      <w:r>
        <w:rPr>
          <w:color w:val="auto"/>
          <w:sz w:val="21"/>
          <w:highlight w:val="none"/>
        </w:rPr>
        <w:t xml:space="preserve">.9.3 </w:t>
      </w:r>
      <w:r>
        <w:rPr>
          <w:rFonts w:hint="eastAsia"/>
          <w:color w:val="auto"/>
          <w:sz w:val="21"/>
          <w:highlight w:val="none"/>
        </w:rPr>
        <w:t>除上述原因以外的暂停工作，双方应遵守第1</w:t>
      </w:r>
      <w:r>
        <w:rPr>
          <w:color w:val="auto"/>
          <w:sz w:val="21"/>
          <w:highlight w:val="none"/>
        </w:rPr>
        <w:t>7</w:t>
      </w:r>
      <w:r>
        <w:rPr>
          <w:rFonts w:hint="eastAsia"/>
          <w:color w:val="auto"/>
          <w:sz w:val="21"/>
          <w:highlight w:val="none"/>
        </w:rPr>
        <w:t>条[不可抗力]的相关约定。</w:t>
      </w:r>
    </w:p>
    <w:p w14:paraId="3FABABE2">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1006" w:name="_Ref4709158"/>
      <w:r>
        <w:rPr>
          <w:rFonts w:hint="eastAsia"/>
          <w:b/>
          <w:bCs/>
          <w:color w:val="auto"/>
          <w:sz w:val="21"/>
          <w:highlight w:val="none"/>
        </w:rPr>
        <w:t>8</w:t>
      </w:r>
      <w:r>
        <w:rPr>
          <w:b/>
          <w:bCs/>
          <w:color w:val="auto"/>
          <w:sz w:val="21"/>
          <w:highlight w:val="none"/>
        </w:rPr>
        <w:t xml:space="preserve">.9.4 </w:t>
      </w:r>
      <w:r>
        <w:rPr>
          <w:rFonts w:hint="eastAsia"/>
          <w:b/>
          <w:bCs/>
          <w:color w:val="auto"/>
          <w:sz w:val="21"/>
          <w:highlight w:val="none"/>
        </w:rPr>
        <w:t>暂停工作期间的工程照管</w:t>
      </w:r>
      <w:bookmarkEnd w:id="1006"/>
    </w:p>
    <w:p w14:paraId="192B1D1E">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不论由于何种原因引起暂停工作的，暂停工作期间，承包人应负责对工程、工程物资及文件等进行照管和保护，并提供安全保障，由此增加的费用按第</w:t>
      </w:r>
      <w:r>
        <w:rPr>
          <w:rFonts w:ascii="宋体" w:hAnsi="宋体"/>
          <w:color w:val="auto"/>
          <w:szCs w:val="21"/>
          <w:highlight w:val="none"/>
        </w:rPr>
        <w:t>8.9.1</w:t>
      </w:r>
      <w:r>
        <w:rPr>
          <w:rFonts w:hint="eastAsia" w:ascii="宋体" w:hAnsi="宋体"/>
          <w:color w:val="auto"/>
          <w:szCs w:val="21"/>
          <w:highlight w:val="none"/>
        </w:rPr>
        <w:t>项[由发包人暂停工作]和第</w:t>
      </w:r>
      <w:r>
        <w:rPr>
          <w:rFonts w:ascii="宋体" w:hAnsi="宋体"/>
          <w:color w:val="auto"/>
          <w:szCs w:val="21"/>
          <w:highlight w:val="none"/>
        </w:rPr>
        <w:t>8.9.2</w:t>
      </w:r>
      <w:r>
        <w:rPr>
          <w:rFonts w:hint="eastAsia" w:ascii="宋体" w:hAnsi="宋体"/>
          <w:color w:val="auto"/>
          <w:szCs w:val="21"/>
          <w:highlight w:val="none"/>
        </w:rPr>
        <w:t>项[由承包人暂停工作]的约定承担。</w:t>
      </w:r>
    </w:p>
    <w:p w14:paraId="522E0EBB">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因承包人未能尽到照管、保护的责任造成损失的，使发包人的费用增加，（或）竣工日期延误的，由承包人按本合同约定承担责任。</w:t>
      </w:r>
    </w:p>
    <w:p w14:paraId="02E0164E">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r>
        <w:rPr>
          <w:rFonts w:hint="eastAsia"/>
          <w:b/>
          <w:bCs/>
          <w:color w:val="auto"/>
          <w:sz w:val="21"/>
          <w:highlight w:val="none"/>
        </w:rPr>
        <w:t>8</w:t>
      </w:r>
      <w:r>
        <w:rPr>
          <w:b/>
          <w:bCs/>
          <w:color w:val="auto"/>
          <w:sz w:val="21"/>
          <w:highlight w:val="none"/>
        </w:rPr>
        <w:t xml:space="preserve">.9.5 </w:t>
      </w:r>
      <w:r>
        <w:rPr>
          <w:rFonts w:hint="eastAsia"/>
          <w:b/>
          <w:bCs/>
          <w:color w:val="auto"/>
          <w:sz w:val="21"/>
          <w:highlight w:val="none"/>
        </w:rPr>
        <w:t>拖长的暂停</w:t>
      </w:r>
    </w:p>
    <w:p w14:paraId="69F81189">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根据第</w:t>
      </w:r>
      <w:r>
        <w:rPr>
          <w:rFonts w:ascii="宋体" w:hAnsi="宋体"/>
          <w:color w:val="auto"/>
          <w:szCs w:val="21"/>
          <w:highlight w:val="none"/>
        </w:rPr>
        <w:t>8.9.1</w:t>
      </w:r>
      <w:r>
        <w:rPr>
          <w:rFonts w:hint="eastAsia" w:ascii="宋体" w:hAnsi="宋体"/>
          <w:color w:val="auto"/>
          <w:szCs w:val="21"/>
          <w:highlight w:val="none"/>
        </w:rPr>
        <w:t>项[由发包人暂停工作]暂停工作持续超过56天的，承包人可向发包人发出要求复工的通知。如果发包人没有在收到书面通知后28天内准许已暂停工作的全部或部分继续工作，承包人有权根据第</w:t>
      </w:r>
      <w:r>
        <w:rPr>
          <w:rFonts w:ascii="宋体" w:hAnsi="宋体"/>
          <w:color w:val="auto"/>
          <w:szCs w:val="21"/>
          <w:highlight w:val="none"/>
        </w:rPr>
        <w:t>13条</w:t>
      </w:r>
      <w:r>
        <w:rPr>
          <w:rFonts w:hint="eastAsia" w:ascii="宋体" w:hAnsi="宋体"/>
          <w:color w:val="auto"/>
          <w:szCs w:val="21"/>
          <w:highlight w:val="none"/>
        </w:rPr>
        <w:t>[变更与调整]的约定，要求以变更方式调减受暂停影响的部分工程。发包人的暂停超过56天且暂停影响到整个工程的，承包人有权根据第</w:t>
      </w:r>
      <w:r>
        <w:rPr>
          <w:rFonts w:ascii="宋体" w:hAnsi="宋体"/>
          <w:color w:val="auto"/>
          <w:szCs w:val="21"/>
          <w:highlight w:val="none"/>
        </w:rPr>
        <w:t>16.2</w:t>
      </w:r>
      <w:r>
        <w:rPr>
          <w:rFonts w:hint="eastAsia" w:ascii="宋体" w:hAnsi="宋体"/>
          <w:color w:val="auto"/>
          <w:szCs w:val="21"/>
          <w:highlight w:val="none"/>
        </w:rPr>
        <w:t>款[</w:t>
      </w:r>
      <w:r>
        <w:rPr>
          <w:rFonts w:ascii="宋体" w:hAnsi="宋体"/>
          <w:color w:val="auto"/>
          <w:szCs w:val="21"/>
          <w:highlight w:val="none"/>
        </w:rPr>
        <w:t>由承包人解除合同</w:t>
      </w:r>
      <w:r>
        <w:rPr>
          <w:rFonts w:hint="eastAsia" w:ascii="宋体" w:hAnsi="宋体"/>
          <w:color w:val="auto"/>
          <w:szCs w:val="21"/>
          <w:highlight w:val="none"/>
        </w:rPr>
        <w:t>]的约定，发出解除合同的通知。</w:t>
      </w:r>
    </w:p>
    <w:p w14:paraId="42CC0951">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007" w:name="_Toc7640"/>
      <w:bookmarkStart w:id="1008" w:name="_Toc13974"/>
      <w:bookmarkStart w:id="1009" w:name="_Toc54862257"/>
      <w:bookmarkStart w:id="1010" w:name="_Toc5058"/>
      <w:r>
        <w:rPr>
          <w:rFonts w:hint="eastAsia" w:ascii="宋体" w:hAnsi="宋体" w:eastAsia="宋体"/>
          <w:b/>
          <w:bCs w:val="0"/>
          <w:color w:val="auto"/>
          <w:sz w:val="21"/>
          <w:szCs w:val="21"/>
          <w:highlight w:val="none"/>
        </w:rPr>
        <w:t>8</w:t>
      </w:r>
      <w:r>
        <w:rPr>
          <w:rFonts w:ascii="宋体" w:hAnsi="宋体" w:eastAsia="宋体"/>
          <w:b/>
          <w:bCs w:val="0"/>
          <w:color w:val="auto"/>
          <w:sz w:val="21"/>
          <w:szCs w:val="21"/>
          <w:highlight w:val="none"/>
        </w:rPr>
        <w:t xml:space="preserve">.10 </w:t>
      </w:r>
      <w:r>
        <w:rPr>
          <w:rFonts w:hint="eastAsia" w:ascii="宋体" w:hAnsi="宋体" w:eastAsia="宋体"/>
          <w:b/>
          <w:bCs w:val="0"/>
          <w:color w:val="auto"/>
          <w:sz w:val="21"/>
          <w:szCs w:val="21"/>
          <w:highlight w:val="none"/>
        </w:rPr>
        <w:t>复工</w:t>
      </w:r>
      <w:bookmarkEnd w:id="1007"/>
      <w:bookmarkEnd w:id="1008"/>
      <w:bookmarkEnd w:id="1009"/>
      <w:bookmarkEnd w:id="1010"/>
    </w:p>
    <w:p w14:paraId="671739DE">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8</w:t>
      </w:r>
      <w:r>
        <w:rPr>
          <w:color w:val="auto"/>
          <w:sz w:val="21"/>
          <w:highlight w:val="none"/>
        </w:rPr>
        <w:t xml:space="preserve">.10.1 </w:t>
      </w:r>
      <w:r>
        <w:rPr>
          <w:rFonts w:hint="eastAsia"/>
          <w:color w:val="auto"/>
          <w:sz w:val="21"/>
          <w:highlight w:val="none"/>
        </w:rPr>
        <w:t>收到发包人的复工通知后，承包人应按通知时间复工；发包人通知的复工时间应当给予承包人必要的准备复工时间。</w:t>
      </w:r>
    </w:p>
    <w:p w14:paraId="4FEE4391">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8</w:t>
      </w:r>
      <w:r>
        <w:rPr>
          <w:color w:val="auto"/>
          <w:sz w:val="21"/>
          <w:highlight w:val="none"/>
        </w:rPr>
        <w:t xml:space="preserve">.10.2 </w:t>
      </w:r>
      <w:r>
        <w:rPr>
          <w:rFonts w:hint="eastAsia"/>
          <w:color w:val="auto"/>
          <w:sz w:val="21"/>
          <w:highlight w:val="none"/>
        </w:rPr>
        <w:t>不论由于何种原因引起暂停工作，双方均可要求对方一同对受暂停影响的工程、工程设备和工程物资进行检查，承包人应将检查结果及需要恢复、修复的内容和估算通知发包人。</w:t>
      </w:r>
    </w:p>
    <w:p w14:paraId="14EF12D6">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8</w:t>
      </w:r>
      <w:r>
        <w:rPr>
          <w:color w:val="auto"/>
          <w:sz w:val="21"/>
          <w:highlight w:val="none"/>
        </w:rPr>
        <w:t xml:space="preserve">.10.3 </w:t>
      </w:r>
      <w:r>
        <w:rPr>
          <w:rFonts w:hint="eastAsia"/>
          <w:color w:val="auto"/>
          <w:sz w:val="21"/>
          <w:highlight w:val="none"/>
        </w:rPr>
        <w:t>除第</w:t>
      </w:r>
      <w:r>
        <w:rPr>
          <w:color w:val="auto"/>
          <w:sz w:val="21"/>
          <w:highlight w:val="none"/>
        </w:rPr>
        <w:t>17条</w:t>
      </w:r>
      <w:r>
        <w:rPr>
          <w:rFonts w:hint="eastAsia"/>
          <w:color w:val="auto"/>
          <w:sz w:val="21"/>
          <w:highlight w:val="none"/>
        </w:rPr>
        <w:t>[不可抗力]另有约定外，发生的恢复、修复价款及工期延误的后果由责任方承担。</w:t>
      </w:r>
    </w:p>
    <w:p w14:paraId="0F0163FE">
      <w:pPr>
        <w:pStyle w:val="178"/>
        <w:keepNext w:val="0"/>
        <w:keepLines w:val="0"/>
        <w:pageBreakBefore w:val="0"/>
        <w:numPr>
          <w:ilvl w:val="0"/>
          <w:numId w:val="0"/>
        </w:numPr>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011" w:name="_Ref4621041"/>
      <w:bookmarkStart w:id="1012" w:name="_Ref4621029"/>
      <w:bookmarkStart w:id="1013" w:name="_Toc25649"/>
      <w:bookmarkStart w:id="1014" w:name="_Toc1004"/>
      <w:bookmarkStart w:id="1015" w:name="_Toc16277"/>
      <w:bookmarkStart w:id="1016" w:name="_Toc27016"/>
      <w:bookmarkStart w:id="1017" w:name="_Toc54862258"/>
      <w:r>
        <w:rPr>
          <w:rFonts w:hint="eastAsia" w:ascii="宋体" w:hAnsi="宋体" w:eastAsia="宋体"/>
          <w:b/>
          <w:bCs w:val="0"/>
          <w:color w:val="auto"/>
          <w:sz w:val="21"/>
          <w:szCs w:val="21"/>
          <w:highlight w:val="none"/>
        </w:rPr>
        <w:t>第9条 竣工试验</w:t>
      </w:r>
      <w:bookmarkEnd w:id="909"/>
      <w:bookmarkEnd w:id="1011"/>
      <w:bookmarkEnd w:id="1012"/>
      <w:bookmarkEnd w:id="1013"/>
      <w:bookmarkEnd w:id="1014"/>
      <w:bookmarkEnd w:id="1015"/>
      <w:bookmarkEnd w:id="1016"/>
      <w:bookmarkEnd w:id="1017"/>
    </w:p>
    <w:p w14:paraId="1DE9E62D">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018" w:name="_Ref532586251"/>
      <w:bookmarkStart w:id="1019" w:name="_Ref532586248"/>
      <w:bookmarkStart w:id="1020" w:name="_Toc23047"/>
      <w:bookmarkStart w:id="1021" w:name="_Toc30427"/>
      <w:bookmarkStart w:id="1022" w:name="_Toc23136"/>
      <w:bookmarkStart w:id="1023" w:name="_Toc54862259"/>
      <w:r>
        <w:rPr>
          <w:rFonts w:hint="eastAsia" w:ascii="宋体" w:hAnsi="宋体" w:eastAsia="宋体"/>
          <w:b/>
          <w:bCs w:val="0"/>
          <w:color w:val="auto"/>
          <w:sz w:val="21"/>
          <w:szCs w:val="21"/>
          <w:highlight w:val="none"/>
        </w:rPr>
        <w:t>9</w:t>
      </w:r>
      <w:r>
        <w:rPr>
          <w:rFonts w:ascii="宋体" w:hAnsi="宋体" w:eastAsia="宋体"/>
          <w:b/>
          <w:bCs w:val="0"/>
          <w:color w:val="auto"/>
          <w:sz w:val="21"/>
          <w:szCs w:val="21"/>
          <w:highlight w:val="none"/>
        </w:rPr>
        <w:t xml:space="preserve">.1 </w:t>
      </w:r>
      <w:r>
        <w:rPr>
          <w:rFonts w:hint="eastAsia" w:ascii="宋体" w:hAnsi="宋体" w:eastAsia="宋体"/>
          <w:b/>
          <w:bCs w:val="0"/>
          <w:color w:val="auto"/>
          <w:sz w:val="21"/>
          <w:szCs w:val="21"/>
          <w:highlight w:val="none"/>
        </w:rPr>
        <w:t>竣工试验的义务</w:t>
      </w:r>
      <w:bookmarkEnd w:id="1018"/>
      <w:bookmarkEnd w:id="1019"/>
      <w:bookmarkEnd w:id="1020"/>
      <w:bookmarkEnd w:id="1021"/>
      <w:bookmarkEnd w:id="1022"/>
      <w:bookmarkEnd w:id="1023"/>
    </w:p>
    <w:p w14:paraId="416E2DC4">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9</w:t>
      </w:r>
      <w:r>
        <w:rPr>
          <w:color w:val="auto"/>
          <w:sz w:val="21"/>
          <w:highlight w:val="none"/>
        </w:rPr>
        <w:t xml:space="preserve">.1.1 </w:t>
      </w:r>
      <w:r>
        <w:rPr>
          <w:rFonts w:hint="eastAsia"/>
          <w:color w:val="auto"/>
          <w:sz w:val="21"/>
          <w:highlight w:val="none"/>
        </w:rPr>
        <w:t>承包人完成工程或区段工程进行竣工试验所需的作业，并根据第</w:t>
      </w:r>
      <w:r>
        <w:rPr>
          <w:color w:val="auto"/>
          <w:sz w:val="21"/>
          <w:highlight w:val="none"/>
        </w:rPr>
        <w:t>5.4</w:t>
      </w:r>
      <w:r>
        <w:rPr>
          <w:rFonts w:hint="eastAsia"/>
          <w:color w:val="auto"/>
          <w:sz w:val="21"/>
          <w:highlight w:val="none"/>
        </w:rPr>
        <w:t>款[竣工文件]和第</w:t>
      </w:r>
      <w:r>
        <w:rPr>
          <w:color w:val="auto"/>
          <w:sz w:val="21"/>
          <w:highlight w:val="none"/>
        </w:rPr>
        <w:t>5.5</w:t>
      </w:r>
      <w:r>
        <w:rPr>
          <w:rFonts w:hint="eastAsia"/>
          <w:color w:val="auto"/>
          <w:sz w:val="21"/>
          <w:highlight w:val="none"/>
        </w:rPr>
        <w:t>款[操作和维修手册]提交文件后，进行竣工试验。</w:t>
      </w:r>
      <w:bookmarkStart w:id="1024" w:name="_Ref532586608"/>
    </w:p>
    <w:p w14:paraId="5B0175C3">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bookmarkStart w:id="1025" w:name="_Ref11919920"/>
      <w:r>
        <w:rPr>
          <w:rFonts w:hint="eastAsia"/>
          <w:color w:val="auto"/>
          <w:sz w:val="21"/>
          <w:highlight w:val="none"/>
        </w:rPr>
        <w:t>9</w:t>
      </w:r>
      <w:r>
        <w:rPr>
          <w:color w:val="auto"/>
          <w:sz w:val="21"/>
          <w:highlight w:val="none"/>
        </w:rPr>
        <w:t xml:space="preserve">.1.2 </w:t>
      </w:r>
      <w:r>
        <w:rPr>
          <w:rFonts w:hint="eastAsia"/>
          <w:color w:val="auto"/>
          <w:sz w:val="21"/>
          <w:highlight w:val="none"/>
        </w:rPr>
        <w:t>承包人应在进行竣工试验之前，至少提前42天向工程师提交详细的竣工试验计划，该计划应载明竣工试验的内容、地点、拟开展时间和需要发包人提供的资源条件。</w:t>
      </w:r>
      <w:bookmarkEnd w:id="1024"/>
      <w:r>
        <w:rPr>
          <w:rFonts w:hint="eastAsia"/>
          <w:color w:val="auto"/>
          <w:sz w:val="21"/>
          <w:highlight w:val="none"/>
        </w:rPr>
        <w:t>工程师应在收到计划后的14天内进行审查，并就该计划不符合合同的部分提出意见，承包人应在收到意见后的14天内自费对计划进行修正。工程师逾期未提出意见的，视为竣工试验计划已得到确认。除提交竣工试验计划外，承包人还应提前21天将可以开始进行各项竣工试验的日期通知工程师，并在该日期后的14天内或工程师指示的日期进行竣工试验。</w:t>
      </w:r>
      <w:bookmarkEnd w:id="1025"/>
    </w:p>
    <w:p w14:paraId="0C496DE7">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bookmarkStart w:id="1026" w:name="_Ref532688147"/>
      <w:r>
        <w:rPr>
          <w:rFonts w:hint="eastAsia"/>
          <w:color w:val="auto"/>
          <w:sz w:val="21"/>
          <w:highlight w:val="none"/>
        </w:rPr>
        <w:t>9</w:t>
      </w:r>
      <w:r>
        <w:rPr>
          <w:color w:val="auto"/>
          <w:sz w:val="21"/>
          <w:highlight w:val="none"/>
        </w:rPr>
        <w:t xml:space="preserve">.1.3 </w:t>
      </w:r>
      <w:r>
        <w:rPr>
          <w:rFonts w:hint="eastAsia"/>
          <w:color w:val="auto"/>
          <w:sz w:val="21"/>
          <w:highlight w:val="none"/>
        </w:rPr>
        <w:t>承包人应根据经确认的竣工试验计划以及第</w:t>
      </w:r>
      <w:r>
        <w:rPr>
          <w:color w:val="auto"/>
          <w:sz w:val="21"/>
          <w:highlight w:val="none"/>
        </w:rPr>
        <w:t>6.5</w:t>
      </w:r>
      <w:r>
        <w:rPr>
          <w:rFonts w:hint="eastAsia"/>
          <w:color w:val="auto"/>
          <w:sz w:val="21"/>
          <w:highlight w:val="none"/>
        </w:rPr>
        <w:t>款[</w:t>
      </w:r>
      <w:r>
        <w:rPr>
          <w:color w:val="auto"/>
          <w:sz w:val="21"/>
          <w:highlight w:val="none"/>
        </w:rPr>
        <w:t>由承包人试验</w:t>
      </w:r>
      <w:r>
        <w:rPr>
          <w:rFonts w:hint="eastAsia"/>
          <w:color w:val="auto"/>
          <w:sz w:val="21"/>
          <w:highlight w:val="none"/>
        </w:rPr>
        <w:t>和</w:t>
      </w:r>
      <w:r>
        <w:rPr>
          <w:color w:val="auto"/>
          <w:sz w:val="21"/>
          <w:highlight w:val="none"/>
        </w:rPr>
        <w:t>检验</w:t>
      </w:r>
      <w:r>
        <w:rPr>
          <w:rFonts w:hint="eastAsia"/>
          <w:color w:val="auto"/>
          <w:sz w:val="21"/>
          <w:highlight w:val="none"/>
        </w:rPr>
        <w:t>]进行竣工试验。除《发包人要求》中另有说明外，竣工试验应按以下顺序分阶段进行，即只有在工程或区段工程已通过上一阶段试验的情况下，才可进行下一阶段试验：</w:t>
      </w:r>
      <w:bookmarkEnd w:id="1026"/>
    </w:p>
    <w:p w14:paraId="77DED60F">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 承包人进行启动前试验，包括适当的检查和功能性试验，以证明工程或区段工程的每一部分均能够安全地承受下一阶段试验；</w:t>
      </w:r>
    </w:p>
    <w:p w14:paraId="55B89B03">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 承包人进行启动试验，以证明工程或区段工程能够在所有可利用的操作条件下安全运行，并按照专用合同条件和《发包人要求》中的规定操作；</w:t>
      </w:r>
    </w:p>
    <w:p w14:paraId="6319CD65">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（3） 承包人进行试运行试验。当工程或区段工程能稳定安全运行时，承包人应通知工程师，可以进行其他竣工试验，包括各种性能测试，以证明工程或区段工程符合《发包人要求》中列明的性能保证指标。</w:t>
      </w:r>
    </w:p>
    <w:p w14:paraId="1382170C">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进行上述试验不应构成第</w:t>
      </w:r>
      <w:r>
        <w:rPr>
          <w:rFonts w:ascii="宋体" w:hAnsi="宋体"/>
          <w:color w:val="auto"/>
          <w:szCs w:val="21"/>
          <w:highlight w:val="none"/>
        </w:rPr>
        <w:t>10条</w:t>
      </w:r>
      <w:r>
        <w:rPr>
          <w:rFonts w:hint="eastAsia" w:ascii="宋体" w:hAnsi="宋体"/>
          <w:color w:val="auto"/>
          <w:szCs w:val="21"/>
          <w:highlight w:val="none"/>
        </w:rPr>
        <w:t>[验收和工程接收]规定的接收，但试验所产生的任何产品或其他收益均应归属于发包人。</w:t>
      </w:r>
    </w:p>
    <w:p w14:paraId="16011E67">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9</w:t>
      </w:r>
      <w:r>
        <w:rPr>
          <w:color w:val="auto"/>
          <w:sz w:val="21"/>
          <w:highlight w:val="none"/>
        </w:rPr>
        <w:t xml:space="preserve">.1.4 </w:t>
      </w:r>
      <w:r>
        <w:rPr>
          <w:rFonts w:hint="eastAsia"/>
          <w:color w:val="auto"/>
          <w:sz w:val="21"/>
          <w:highlight w:val="none"/>
        </w:rPr>
        <w:t>完成上述各阶段竣工试验后，承包人应向工程师提交试验结果报告，试验结果须符合约定的标准、规范和数据。工程师应在收到报告后14天内予以回复，逾期未回复的，视为认可竣工试验结果。但在考虑工程或区段工程是否通过竣工试验时，应适当考虑发包人对工程或其任何部分的使用，对工程或区段工程的性能、特性和试验结果产生的影响。</w:t>
      </w:r>
    </w:p>
    <w:p w14:paraId="550B0A08">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027" w:name="_Toc5568"/>
      <w:bookmarkStart w:id="1028" w:name="_Toc26874"/>
      <w:bookmarkStart w:id="1029" w:name="_Toc54862260"/>
      <w:bookmarkStart w:id="1030" w:name="_Toc12767"/>
      <w:r>
        <w:rPr>
          <w:rFonts w:hint="eastAsia" w:ascii="宋体" w:hAnsi="宋体" w:eastAsia="宋体"/>
          <w:b/>
          <w:bCs w:val="0"/>
          <w:color w:val="auto"/>
          <w:sz w:val="21"/>
          <w:szCs w:val="21"/>
          <w:highlight w:val="none"/>
        </w:rPr>
        <w:t>9</w:t>
      </w:r>
      <w:r>
        <w:rPr>
          <w:rFonts w:ascii="宋体" w:hAnsi="宋体" w:eastAsia="宋体"/>
          <w:b/>
          <w:bCs w:val="0"/>
          <w:color w:val="auto"/>
          <w:sz w:val="21"/>
          <w:szCs w:val="21"/>
          <w:highlight w:val="none"/>
        </w:rPr>
        <w:t xml:space="preserve">.2 </w:t>
      </w:r>
      <w:r>
        <w:rPr>
          <w:rFonts w:hint="eastAsia" w:ascii="宋体" w:hAnsi="宋体" w:eastAsia="宋体"/>
          <w:b/>
          <w:bCs w:val="0"/>
          <w:color w:val="auto"/>
          <w:sz w:val="21"/>
          <w:szCs w:val="21"/>
          <w:highlight w:val="none"/>
        </w:rPr>
        <w:t>延误的试验</w:t>
      </w:r>
      <w:bookmarkEnd w:id="1027"/>
      <w:bookmarkEnd w:id="1028"/>
      <w:bookmarkEnd w:id="1029"/>
      <w:bookmarkEnd w:id="1030"/>
    </w:p>
    <w:p w14:paraId="342612FF">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9</w:t>
      </w:r>
      <w:r>
        <w:rPr>
          <w:color w:val="auto"/>
          <w:sz w:val="21"/>
          <w:highlight w:val="none"/>
        </w:rPr>
        <w:t xml:space="preserve">.2.1 </w:t>
      </w:r>
      <w:r>
        <w:rPr>
          <w:rFonts w:hint="eastAsia"/>
          <w:color w:val="auto"/>
          <w:sz w:val="21"/>
          <w:highlight w:val="none"/>
        </w:rPr>
        <w:t>如果承包人已根据第</w:t>
      </w:r>
      <w:r>
        <w:rPr>
          <w:color w:val="auto"/>
          <w:sz w:val="21"/>
          <w:highlight w:val="none"/>
        </w:rPr>
        <w:t>9.1</w:t>
      </w:r>
      <w:r>
        <w:rPr>
          <w:rFonts w:hint="eastAsia"/>
          <w:color w:val="auto"/>
          <w:sz w:val="21"/>
          <w:highlight w:val="none"/>
        </w:rPr>
        <w:t>款[竣工试验的义务]就可以开始进行各项竣工试验的日期通知工程师，但该等试验因发包人原因被延误14天以上的，发包人应承担由此增加的费用和工期延误，并支付承包人合理利润。同时，承包人应在合理可行的情况下尽快进行竣工试验。</w:t>
      </w:r>
    </w:p>
    <w:p w14:paraId="5EF90927">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9</w:t>
      </w:r>
      <w:r>
        <w:rPr>
          <w:color w:val="auto"/>
          <w:sz w:val="21"/>
          <w:highlight w:val="none"/>
        </w:rPr>
        <w:t xml:space="preserve">.2.2 </w:t>
      </w:r>
      <w:r>
        <w:rPr>
          <w:rFonts w:hint="eastAsia"/>
          <w:color w:val="auto"/>
          <w:sz w:val="21"/>
          <w:highlight w:val="none"/>
        </w:rPr>
        <w:t>承包人无正当理由延误进行竣工试验的，工程师可向其发出通知，要求其在收到通知后的21天内进行该项竣工试验。承包人应在该21天的期限内确定进行试验的日期，并至少提前7天通知工程师。</w:t>
      </w:r>
    </w:p>
    <w:p w14:paraId="5B5BF4C8">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9</w:t>
      </w:r>
      <w:r>
        <w:rPr>
          <w:color w:val="auto"/>
          <w:sz w:val="21"/>
          <w:highlight w:val="none"/>
        </w:rPr>
        <w:t xml:space="preserve">.2.3 </w:t>
      </w:r>
      <w:r>
        <w:rPr>
          <w:rFonts w:hint="eastAsia"/>
          <w:color w:val="auto"/>
          <w:sz w:val="21"/>
          <w:highlight w:val="none"/>
        </w:rPr>
        <w:t>如果承包人未在该期限内进行竣工试验，则发包人有权自行组织该项竣工试验，由此产生的合理费用由承包人承担。发包人应在试验完成后28天内向承包人发送试验结果。</w:t>
      </w:r>
    </w:p>
    <w:p w14:paraId="79C5D387">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031" w:name="_Ref532594592"/>
      <w:bookmarkStart w:id="1032" w:name="_Ref532594588"/>
      <w:bookmarkStart w:id="1033" w:name="_Toc29183"/>
      <w:bookmarkStart w:id="1034" w:name="_Toc31005"/>
      <w:bookmarkStart w:id="1035" w:name="_Toc17031"/>
      <w:bookmarkStart w:id="1036" w:name="_Toc54862261"/>
      <w:r>
        <w:rPr>
          <w:rFonts w:hint="eastAsia" w:ascii="宋体" w:hAnsi="宋体" w:eastAsia="宋体"/>
          <w:b/>
          <w:bCs w:val="0"/>
          <w:color w:val="auto"/>
          <w:sz w:val="21"/>
          <w:szCs w:val="21"/>
          <w:highlight w:val="none"/>
        </w:rPr>
        <w:t>9</w:t>
      </w:r>
      <w:r>
        <w:rPr>
          <w:rFonts w:ascii="宋体" w:hAnsi="宋体" w:eastAsia="宋体"/>
          <w:b/>
          <w:bCs w:val="0"/>
          <w:color w:val="auto"/>
          <w:sz w:val="21"/>
          <w:szCs w:val="21"/>
          <w:highlight w:val="none"/>
        </w:rPr>
        <w:t xml:space="preserve">.3 </w:t>
      </w:r>
      <w:r>
        <w:rPr>
          <w:rFonts w:hint="eastAsia" w:ascii="宋体" w:hAnsi="宋体" w:eastAsia="宋体"/>
          <w:b/>
          <w:bCs w:val="0"/>
          <w:color w:val="auto"/>
          <w:sz w:val="21"/>
          <w:szCs w:val="21"/>
          <w:highlight w:val="none"/>
        </w:rPr>
        <w:t>重新试验</w:t>
      </w:r>
      <w:bookmarkEnd w:id="1031"/>
      <w:bookmarkEnd w:id="1032"/>
      <w:bookmarkEnd w:id="1033"/>
      <w:bookmarkEnd w:id="1034"/>
      <w:bookmarkEnd w:id="1035"/>
      <w:bookmarkEnd w:id="1036"/>
    </w:p>
    <w:p w14:paraId="632A9384">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如果工程或区段工程未能通过竣工试验，则承包人应根据第</w:t>
      </w:r>
      <w:r>
        <w:rPr>
          <w:rFonts w:ascii="宋体" w:hAnsi="宋体"/>
          <w:color w:val="auto"/>
          <w:szCs w:val="21"/>
          <w:highlight w:val="none"/>
        </w:rPr>
        <w:t>6.6</w:t>
      </w:r>
      <w:r>
        <w:rPr>
          <w:rFonts w:hint="eastAsia" w:ascii="宋体" w:hAnsi="宋体"/>
          <w:color w:val="auto"/>
          <w:szCs w:val="21"/>
          <w:highlight w:val="none"/>
        </w:rPr>
        <w:t>款[缺陷和修补]修补缺陷。发包人或承包人可要求按相同的条件，重新进行未通过的试验以及相关工程或区段工程的竣工试验。该等重新进行的试验仍应适用本条对于竣工试验的规定。</w:t>
      </w:r>
    </w:p>
    <w:p w14:paraId="3A7FF662">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037" w:name="_Toc13327"/>
      <w:bookmarkStart w:id="1038" w:name="_Ref532688226"/>
      <w:bookmarkStart w:id="1039" w:name="_Toc25368"/>
      <w:bookmarkStart w:id="1040" w:name="_Ref532688221"/>
      <w:bookmarkStart w:id="1041" w:name="_Toc54862262"/>
      <w:bookmarkStart w:id="1042" w:name="_Toc4347"/>
      <w:r>
        <w:rPr>
          <w:rFonts w:hint="eastAsia" w:ascii="宋体" w:hAnsi="宋体" w:eastAsia="宋体"/>
          <w:b/>
          <w:bCs w:val="0"/>
          <w:color w:val="auto"/>
          <w:sz w:val="21"/>
          <w:szCs w:val="21"/>
          <w:highlight w:val="none"/>
        </w:rPr>
        <w:t>9</w:t>
      </w:r>
      <w:r>
        <w:rPr>
          <w:rFonts w:ascii="宋体" w:hAnsi="宋体" w:eastAsia="宋体"/>
          <w:b/>
          <w:bCs w:val="0"/>
          <w:color w:val="auto"/>
          <w:sz w:val="21"/>
          <w:szCs w:val="21"/>
          <w:highlight w:val="none"/>
        </w:rPr>
        <w:t xml:space="preserve">.4 </w:t>
      </w:r>
      <w:r>
        <w:rPr>
          <w:rFonts w:hint="eastAsia" w:ascii="宋体" w:hAnsi="宋体" w:eastAsia="宋体"/>
          <w:b/>
          <w:bCs w:val="0"/>
          <w:color w:val="auto"/>
          <w:sz w:val="21"/>
          <w:szCs w:val="21"/>
          <w:highlight w:val="none"/>
        </w:rPr>
        <w:t>未能通过竣工试验</w:t>
      </w:r>
      <w:bookmarkEnd w:id="1037"/>
      <w:bookmarkEnd w:id="1038"/>
      <w:bookmarkEnd w:id="1039"/>
      <w:bookmarkEnd w:id="1040"/>
      <w:bookmarkEnd w:id="1041"/>
      <w:bookmarkEnd w:id="1042"/>
    </w:p>
    <w:p w14:paraId="0E4934A5">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9</w:t>
      </w:r>
      <w:r>
        <w:rPr>
          <w:color w:val="auto"/>
          <w:sz w:val="21"/>
          <w:highlight w:val="none"/>
        </w:rPr>
        <w:t xml:space="preserve">.4.1 </w:t>
      </w:r>
      <w:r>
        <w:rPr>
          <w:rFonts w:hint="eastAsia"/>
          <w:color w:val="auto"/>
          <w:sz w:val="21"/>
          <w:highlight w:val="none"/>
        </w:rPr>
        <w:t>因发包人原因导致竣工试验未能通过的，承包人进行竣工试验的费用由发包人承担，竣工日期相应顺延。</w:t>
      </w:r>
    </w:p>
    <w:p w14:paraId="74E0A63D">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9</w:t>
      </w:r>
      <w:r>
        <w:rPr>
          <w:color w:val="auto"/>
          <w:sz w:val="21"/>
          <w:highlight w:val="none"/>
        </w:rPr>
        <w:t xml:space="preserve">.4.2 </w:t>
      </w:r>
      <w:r>
        <w:rPr>
          <w:rFonts w:hint="eastAsia"/>
          <w:color w:val="auto"/>
          <w:sz w:val="21"/>
          <w:highlight w:val="none"/>
        </w:rPr>
        <w:t>如果工程或区段工程未能通过根据第</w:t>
      </w:r>
      <w:r>
        <w:rPr>
          <w:color w:val="auto"/>
          <w:sz w:val="21"/>
          <w:highlight w:val="none"/>
        </w:rPr>
        <w:t>9.3</w:t>
      </w:r>
      <w:r>
        <w:rPr>
          <w:rFonts w:hint="eastAsia"/>
          <w:color w:val="auto"/>
          <w:sz w:val="21"/>
          <w:highlight w:val="none"/>
        </w:rPr>
        <w:t>款[重新试验]重新进行的竣工试验的，则：</w:t>
      </w:r>
    </w:p>
    <w:p w14:paraId="23617EFA">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 发包人有权要求承包人根据第</w:t>
      </w:r>
      <w:r>
        <w:rPr>
          <w:rFonts w:ascii="宋体" w:hAnsi="宋体"/>
          <w:color w:val="auto"/>
          <w:szCs w:val="21"/>
          <w:highlight w:val="none"/>
        </w:rPr>
        <w:t>6.6</w:t>
      </w:r>
      <w:r>
        <w:rPr>
          <w:rFonts w:hint="eastAsia" w:ascii="宋体" w:hAnsi="宋体"/>
          <w:color w:val="auto"/>
          <w:szCs w:val="21"/>
          <w:highlight w:val="none"/>
        </w:rPr>
        <w:t>款[缺陷和修补]继续进行修补和改正，并根据第</w:t>
      </w:r>
      <w:r>
        <w:rPr>
          <w:rFonts w:ascii="宋体" w:hAnsi="宋体"/>
          <w:color w:val="auto"/>
          <w:szCs w:val="21"/>
          <w:highlight w:val="none"/>
        </w:rPr>
        <w:t>9.3</w:t>
      </w:r>
      <w:r>
        <w:rPr>
          <w:rFonts w:hint="eastAsia" w:ascii="宋体" w:hAnsi="宋体"/>
          <w:color w:val="auto"/>
          <w:szCs w:val="21"/>
          <w:highlight w:val="none"/>
        </w:rPr>
        <w:t>款[重新试验]再次进行竣工试验；</w:t>
      </w:r>
    </w:p>
    <w:p w14:paraId="64D73552">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 未能通过竣工试验，对工程或区段工程的操作或使用未产生实质性影响的，发包人有权要求承包人自费修复，承担因此增加的费用和误期损害赔偿责任，并赔偿发包人的相应损失；无法修复时，发包人有权扣减该部分的相应付款，同时视为通过竣工验收；</w:t>
      </w:r>
    </w:p>
    <w:p w14:paraId="62B82C5D">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bookmarkStart w:id="1043" w:name="_Ref4621461"/>
      <w:r>
        <w:rPr>
          <w:rFonts w:hint="eastAsia" w:ascii="宋体" w:hAnsi="宋体"/>
          <w:color w:val="auto"/>
          <w:szCs w:val="21"/>
          <w:highlight w:val="none"/>
        </w:rPr>
        <w:t>（3） 未能通过竣工试验，使工程或区段工程的任何主要部分丧失了生产、使用功能时，发包人有权指令承包人更换相关部分，承包人应承担因此增加的费用和误期损害赔偿责任，并赔偿发包人的相应损失</w:t>
      </w:r>
      <w:bookmarkEnd w:id="1043"/>
      <w:r>
        <w:rPr>
          <w:rFonts w:hint="eastAsia" w:ascii="宋体" w:hAnsi="宋体"/>
          <w:color w:val="auto"/>
          <w:szCs w:val="21"/>
          <w:highlight w:val="none"/>
        </w:rPr>
        <w:t>；</w:t>
      </w:r>
    </w:p>
    <w:p w14:paraId="4CB96B71">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（4） 未能通过竣工试验，使整个工程或区段工程丧失了生产、使用功能时，发包人可拒收工程或区段工程，或指令承包人重新设计、重置相关部分，承包人应承担因此增加的费用和误期损害赔偿责任，并赔偿发包人的相应损失。同时发包人有权根据第</w:t>
      </w:r>
      <w:r>
        <w:rPr>
          <w:rFonts w:ascii="宋体" w:hAnsi="宋体"/>
          <w:color w:val="auto"/>
          <w:szCs w:val="21"/>
          <w:highlight w:val="none"/>
        </w:rPr>
        <w:t>16.1</w:t>
      </w:r>
      <w:r>
        <w:rPr>
          <w:rFonts w:hint="eastAsia" w:ascii="宋体" w:hAnsi="宋体"/>
          <w:color w:val="auto"/>
          <w:szCs w:val="21"/>
          <w:highlight w:val="none"/>
        </w:rPr>
        <w:t>款[由发包人解除合同]的约定解除合同。</w:t>
      </w:r>
    </w:p>
    <w:p w14:paraId="4E09A719">
      <w:pPr>
        <w:pStyle w:val="178"/>
        <w:keepNext w:val="0"/>
        <w:keepLines w:val="0"/>
        <w:pageBreakBefore w:val="0"/>
        <w:numPr>
          <w:ilvl w:val="0"/>
          <w:numId w:val="0"/>
        </w:numPr>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044" w:name="_Ref4618348"/>
      <w:bookmarkStart w:id="1045" w:name="_Toc54862263"/>
      <w:bookmarkStart w:id="1046" w:name="_Toc8720"/>
      <w:bookmarkStart w:id="1047" w:name="_Ref4624043"/>
      <w:bookmarkStart w:id="1048" w:name="_Ref4618338"/>
      <w:bookmarkStart w:id="1049" w:name="_Toc31512"/>
      <w:bookmarkStart w:id="1050" w:name="_Toc15405"/>
      <w:bookmarkStart w:id="1051" w:name="_Toc16616"/>
      <w:r>
        <w:rPr>
          <w:rFonts w:hint="eastAsia" w:ascii="宋体" w:hAnsi="宋体" w:eastAsia="宋体"/>
          <w:b/>
          <w:bCs w:val="0"/>
          <w:color w:val="auto"/>
          <w:sz w:val="21"/>
          <w:szCs w:val="21"/>
          <w:highlight w:val="none"/>
        </w:rPr>
        <w:t>第1</w:t>
      </w:r>
      <w:r>
        <w:rPr>
          <w:rFonts w:ascii="宋体" w:hAnsi="宋体" w:eastAsia="宋体"/>
          <w:b/>
          <w:bCs w:val="0"/>
          <w:color w:val="auto"/>
          <w:sz w:val="21"/>
          <w:szCs w:val="21"/>
          <w:highlight w:val="none"/>
        </w:rPr>
        <w:t>0</w:t>
      </w:r>
      <w:r>
        <w:rPr>
          <w:rFonts w:hint="eastAsia" w:ascii="宋体" w:hAnsi="宋体" w:eastAsia="宋体"/>
          <w:b/>
          <w:bCs w:val="0"/>
          <w:color w:val="auto"/>
          <w:sz w:val="21"/>
          <w:szCs w:val="21"/>
          <w:highlight w:val="none"/>
        </w:rPr>
        <w:t>条 验收和工程接收</w:t>
      </w:r>
      <w:bookmarkEnd w:id="1044"/>
      <w:bookmarkEnd w:id="1045"/>
      <w:bookmarkEnd w:id="1046"/>
      <w:bookmarkEnd w:id="1047"/>
      <w:bookmarkEnd w:id="1048"/>
      <w:bookmarkEnd w:id="1049"/>
      <w:bookmarkEnd w:id="1050"/>
      <w:bookmarkEnd w:id="1051"/>
    </w:p>
    <w:p w14:paraId="6421D580">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052" w:name="_Ref532301199"/>
      <w:bookmarkStart w:id="1053" w:name="_Toc30755"/>
      <w:bookmarkStart w:id="1054" w:name="_Toc31314"/>
      <w:bookmarkStart w:id="1055" w:name="_Toc54862264"/>
      <w:bookmarkStart w:id="1056" w:name="_Toc20619"/>
      <w:bookmarkStart w:id="1057" w:name="_Ref532301202"/>
      <w:bookmarkStart w:id="1058" w:name="_Ref532300801"/>
      <w:bookmarkStart w:id="1059" w:name="_Ref532359152"/>
      <w:bookmarkStart w:id="1060" w:name="_Ref532300804"/>
      <w:bookmarkStart w:id="1061" w:name="_Ref532359143"/>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0.1 </w:t>
      </w:r>
      <w:r>
        <w:rPr>
          <w:rFonts w:hint="eastAsia" w:ascii="宋体" w:hAnsi="宋体" w:eastAsia="宋体"/>
          <w:b/>
          <w:bCs w:val="0"/>
          <w:color w:val="auto"/>
          <w:sz w:val="21"/>
          <w:szCs w:val="21"/>
          <w:highlight w:val="none"/>
        </w:rPr>
        <w:t>竣工验收</w:t>
      </w:r>
      <w:bookmarkEnd w:id="1052"/>
      <w:bookmarkEnd w:id="1053"/>
      <w:bookmarkEnd w:id="1054"/>
      <w:bookmarkEnd w:id="1055"/>
      <w:bookmarkEnd w:id="1056"/>
      <w:bookmarkEnd w:id="1057"/>
      <w:bookmarkEnd w:id="1058"/>
      <w:bookmarkEnd w:id="1059"/>
      <w:bookmarkEnd w:id="1060"/>
      <w:bookmarkEnd w:id="1061"/>
    </w:p>
    <w:p w14:paraId="60DACC19">
      <w:pPr>
        <w:pStyle w:val="153"/>
        <w:keepNext w:val="0"/>
        <w:keepLines w:val="0"/>
        <w:pageBreakBefore w:val="0"/>
        <w:kinsoku/>
        <w:wordWrap/>
        <w:overflowPunct/>
        <w:topLinePunct w:val="0"/>
        <w:bidi w:val="0"/>
        <w:spacing w:after="120"/>
        <w:ind w:firstLine="422" w:firstLineChars="200"/>
        <w:textAlignment w:val="auto"/>
        <w:rPr>
          <w:b/>
          <w:bCs w:val="0"/>
          <w:color w:val="auto"/>
          <w:sz w:val="21"/>
          <w:highlight w:val="none"/>
        </w:rPr>
      </w:pPr>
      <w:bookmarkStart w:id="1062" w:name="_Ref532628356"/>
      <w:r>
        <w:rPr>
          <w:rFonts w:hint="eastAsia"/>
          <w:b/>
          <w:bCs w:val="0"/>
          <w:color w:val="auto"/>
          <w:sz w:val="21"/>
          <w:highlight w:val="none"/>
        </w:rPr>
        <w:t>1</w:t>
      </w:r>
      <w:r>
        <w:rPr>
          <w:b/>
          <w:bCs w:val="0"/>
          <w:color w:val="auto"/>
          <w:sz w:val="21"/>
          <w:highlight w:val="none"/>
        </w:rPr>
        <w:t xml:space="preserve">0.1.1 </w:t>
      </w:r>
      <w:r>
        <w:rPr>
          <w:rFonts w:hint="eastAsia"/>
          <w:b/>
          <w:bCs w:val="0"/>
          <w:color w:val="auto"/>
          <w:sz w:val="21"/>
          <w:highlight w:val="none"/>
        </w:rPr>
        <w:t>竣工验收条件</w:t>
      </w:r>
    </w:p>
    <w:p w14:paraId="18DCA300">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工程具备以下条件的，承包人可以申请竣工验收：</w:t>
      </w:r>
    </w:p>
    <w:p w14:paraId="5C517660">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 除因第</w:t>
      </w:r>
      <w:r>
        <w:rPr>
          <w:rFonts w:ascii="宋体" w:hAnsi="宋体"/>
          <w:color w:val="auto"/>
          <w:szCs w:val="21"/>
          <w:highlight w:val="none"/>
        </w:rPr>
        <w:t>13条</w:t>
      </w:r>
      <w:r>
        <w:rPr>
          <w:rFonts w:hint="eastAsia" w:ascii="宋体" w:hAnsi="宋体"/>
          <w:color w:val="auto"/>
          <w:szCs w:val="21"/>
          <w:highlight w:val="none"/>
        </w:rPr>
        <w:t>[变更与调整]导致的工程量删减和第</w:t>
      </w:r>
      <w:r>
        <w:rPr>
          <w:rFonts w:ascii="宋体" w:hAnsi="宋体"/>
          <w:color w:val="auto"/>
          <w:szCs w:val="21"/>
          <w:highlight w:val="none"/>
        </w:rPr>
        <w:t>14.5.3</w:t>
      </w:r>
      <w:r>
        <w:rPr>
          <w:rFonts w:hint="eastAsia" w:ascii="宋体" w:hAnsi="宋体"/>
          <w:color w:val="auto"/>
          <w:szCs w:val="21"/>
          <w:highlight w:val="none"/>
        </w:rPr>
        <w:t>项[扫尾工作清单]列入缺陷责任期内完成的扫尾工程和缺陷修补工作外，合同范围内的全部单位/区段工程以及有关工作，包括合同要求的试验和竣工试验均已完成，并符合合同要求；</w:t>
      </w:r>
    </w:p>
    <w:p w14:paraId="0B18F41A">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 已按合同约定编制了扫尾工作和缺陷修补工作清单以及相应实施计划；</w:t>
      </w:r>
    </w:p>
    <w:p w14:paraId="21D06BA4">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（3） 已按合同约定的内容和份数备齐竣工资料；</w:t>
      </w:r>
    </w:p>
    <w:p w14:paraId="7D7C0BE6">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（4） 合同约定要求在竣工验收前应完成的其他工作。</w:t>
      </w:r>
    </w:p>
    <w:bookmarkEnd w:id="1062"/>
    <w:p w14:paraId="03CC25FA">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1063" w:name="_Ref4429424"/>
      <w:bookmarkStart w:id="1064" w:name="_Hlk51506601"/>
      <w:r>
        <w:rPr>
          <w:rFonts w:hint="eastAsia"/>
          <w:b/>
          <w:bCs/>
          <w:color w:val="auto"/>
          <w:sz w:val="21"/>
          <w:highlight w:val="none"/>
        </w:rPr>
        <w:t>1</w:t>
      </w:r>
      <w:r>
        <w:rPr>
          <w:b/>
          <w:bCs/>
          <w:color w:val="auto"/>
          <w:sz w:val="21"/>
          <w:highlight w:val="none"/>
        </w:rPr>
        <w:t xml:space="preserve">0.1.2 </w:t>
      </w:r>
      <w:r>
        <w:rPr>
          <w:rFonts w:hint="eastAsia"/>
          <w:b/>
          <w:bCs/>
          <w:color w:val="auto"/>
          <w:sz w:val="21"/>
          <w:highlight w:val="none"/>
        </w:rPr>
        <w:t>竣工验收程序</w:t>
      </w:r>
      <w:bookmarkEnd w:id="1063"/>
    </w:p>
    <w:bookmarkEnd w:id="1064"/>
    <w:p w14:paraId="39A84A1F">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除专用合同条件另有约定外，承包人申请竣工验收的，应当按照以下程序进行：</w:t>
      </w:r>
    </w:p>
    <w:p w14:paraId="7D208CDB">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 承包人向工程师报送竣工验收申请报告，工程师应在收到竣工验收申请报告后14天内完成审查并报送发包人。工程师审查后认为尚不具备竣工验收条件的，应在收到竣工验收申请报告后的</w:t>
      </w:r>
      <w:r>
        <w:rPr>
          <w:rFonts w:ascii="宋体" w:hAnsi="宋体"/>
          <w:color w:val="auto"/>
          <w:szCs w:val="21"/>
          <w:highlight w:val="none"/>
        </w:rPr>
        <w:t>14</w:t>
      </w:r>
      <w:r>
        <w:rPr>
          <w:rFonts w:hint="eastAsia" w:ascii="宋体" w:hAnsi="宋体"/>
          <w:color w:val="auto"/>
          <w:szCs w:val="21"/>
          <w:highlight w:val="none"/>
        </w:rPr>
        <w:t>天内通知承包人，指出在颁发接收证书前承包人还需进行的工作内容。承包人完成工程师通知的全部工作内容后，应再次提交竣工验收申请报告，直至工程师同意为止。</w:t>
      </w:r>
    </w:p>
    <w:p w14:paraId="4C44E3B2">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 工程师同意承包人提交的竣工验收申请报告的，或工程师收到竣工验收申请报告后</w:t>
      </w:r>
      <w:r>
        <w:rPr>
          <w:rFonts w:ascii="宋体" w:hAnsi="宋体"/>
          <w:color w:val="auto"/>
          <w:szCs w:val="21"/>
          <w:highlight w:val="none"/>
        </w:rPr>
        <w:t>14</w:t>
      </w:r>
      <w:r>
        <w:rPr>
          <w:rFonts w:hint="eastAsia" w:ascii="宋体" w:hAnsi="宋体"/>
          <w:color w:val="auto"/>
          <w:szCs w:val="21"/>
          <w:highlight w:val="none"/>
        </w:rPr>
        <w:t>天内不予答复的，视为发包人收到并同意承包人的竣工验收申请，发包人应在收到该竣工验收申请报告后的28天内进行竣工验收。工程经竣工验收合格的，以竣工验收合格之日为实际竣工日期，并在工程接收证书中载明；完成竣工验收但发包人不予签发工程接收证书的，视为竣工验收合格，以完成竣工验收之日为实际竣工日期。</w:t>
      </w:r>
    </w:p>
    <w:p w14:paraId="0989087B">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（3） 竣工验收不合格的，工程师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77D5BE9F">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bookmarkStart w:id="1065" w:name="_Hlk51506640"/>
      <w:r>
        <w:rPr>
          <w:rFonts w:hint="eastAsia" w:ascii="宋体" w:hAnsi="宋体"/>
          <w:color w:val="auto"/>
          <w:szCs w:val="21"/>
          <w:highlight w:val="none"/>
        </w:rPr>
        <w:t>（4） 因发包人原因，未在工程师收到承包人竣工验收申请报告之日起</w:t>
      </w:r>
      <w:r>
        <w:rPr>
          <w:rFonts w:ascii="宋体" w:hAnsi="宋体"/>
          <w:color w:val="auto"/>
          <w:szCs w:val="21"/>
          <w:highlight w:val="none"/>
        </w:rPr>
        <w:t>42</w:t>
      </w:r>
      <w:r>
        <w:rPr>
          <w:rFonts w:hint="eastAsia" w:ascii="宋体" w:hAnsi="宋体"/>
          <w:color w:val="auto"/>
          <w:szCs w:val="21"/>
          <w:highlight w:val="none"/>
        </w:rPr>
        <w:t>天内完成竣工验收的，以承包人提交竣工验收申请报告之日</w:t>
      </w:r>
      <w:r>
        <w:rPr>
          <w:rFonts w:ascii="宋体" w:hAnsi="宋体"/>
          <w:color w:val="auto"/>
          <w:szCs w:val="21"/>
          <w:highlight w:val="none"/>
        </w:rPr>
        <w:t>作为工程实际竣工日期</w:t>
      </w:r>
      <w:r>
        <w:rPr>
          <w:rFonts w:hint="eastAsia" w:ascii="宋体" w:hAnsi="宋体"/>
          <w:color w:val="auto"/>
          <w:szCs w:val="21"/>
          <w:highlight w:val="none"/>
        </w:rPr>
        <w:t>。</w:t>
      </w:r>
    </w:p>
    <w:bookmarkEnd w:id="1065"/>
    <w:p w14:paraId="4404901F">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（5） 工程未经竣工验收，发包人擅自使用的，以转移占有工程之日为实际竣工日期。</w:t>
      </w:r>
    </w:p>
    <w:p w14:paraId="36899ADC">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除专用合同条件另有约定外，发包人不按照本项和第</w:t>
      </w:r>
      <w:r>
        <w:rPr>
          <w:rFonts w:ascii="宋体" w:hAnsi="宋体"/>
          <w:color w:val="auto"/>
          <w:szCs w:val="21"/>
          <w:highlight w:val="none"/>
        </w:rPr>
        <w:t>10.4</w:t>
      </w:r>
      <w:r>
        <w:rPr>
          <w:rFonts w:hint="eastAsia" w:ascii="宋体" w:hAnsi="宋体"/>
          <w:color w:val="auto"/>
          <w:szCs w:val="21"/>
          <w:highlight w:val="none"/>
        </w:rPr>
        <w:t>款</w:t>
      </w:r>
      <w:r>
        <w:rPr>
          <w:rFonts w:ascii="宋体" w:hAnsi="宋体"/>
          <w:color w:val="auto"/>
          <w:szCs w:val="21"/>
          <w:highlight w:val="none"/>
        </w:rPr>
        <w:t>[接收证书]</w:t>
      </w:r>
      <w:r>
        <w:rPr>
          <w:rFonts w:hint="eastAsia" w:ascii="宋体" w:hAnsi="宋体"/>
          <w:color w:val="auto"/>
          <w:szCs w:val="21"/>
          <w:highlight w:val="none"/>
        </w:rPr>
        <w:t>约定组织竣工验收、颁发工程接收证书的，每逾期一天，应以签约合同价为基数，按照贷款市场报价利率（LPR）支付违约金。</w:t>
      </w:r>
    </w:p>
    <w:p w14:paraId="2F508C77">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066" w:name="_Toc6200"/>
      <w:bookmarkStart w:id="1067" w:name="_Toc2516"/>
      <w:bookmarkStart w:id="1068" w:name="_Ref532301213"/>
      <w:bookmarkStart w:id="1069" w:name="_Ref532301210"/>
      <w:bookmarkStart w:id="1070" w:name="_Toc3648"/>
      <w:bookmarkStart w:id="1071" w:name="_Toc54862265"/>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0.2 </w:t>
      </w:r>
      <w:r>
        <w:rPr>
          <w:rFonts w:hint="eastAsia" w:ascii="宋体" w:hAnsi="宋体" w:eastAsia="宋体"/>
          <w:b/>
          <w:bCs w:val="0"/>
          <w:color w:val="auto"/>
          <w:sz w:val="21"/>
          <w:szCs w:val="21"/>
          <w:highlight w:val="none"/>
        </w:rPr>
        <w:t>单位/区段工程的验收</w:t>
      </w:r>
      <w:bookmarkEnd w:id="1066"/>
      <w:bookmarkEnd w:id="1067"/>
      <w:bookmarkEnd w:id="1068"/>
      <w:bookmarkEnd w:id="1069"/>
      <w:bookmarkEnd w:id="1070"/>
      <w:bookmarkEnd w:id="1071"/>
    </w:p>
    <w:p w14:paraId="038C4ABF">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0.2.1 </w:t>
      </w:r>
      <w:r>
        <w:rPr>
          <w:rFonts w:hint="eastAsia"/>
          <w:color w:val="auto"/>
          <w:sz w:val="21"/>
          <w:highlight w:val="none"/>
        </w:rPr>
        <w:t>发包人根据项目进度计划安排，在全部工程竣工前需要使用已经竣工的单位/区段工程时，或承包人提出经发包人同意时，可进行单位/区段工程验收。验收的程序可参照第</w:t>
      </w:r>
      <w:r>
        <w:rPr>
          <w:color w:val="auto"/>
          <w:sz w:val="21"/>
          <w:highlight w:val="none"/>
        </w:rPr>
        <w:t>10.1</w:t>
      </w:r>
      <w:r>
        <w:rPr>
          <w:rFonts w:hint="eastAsia"/>
          <w:color w:val="auto"/>
          <w:sz w:val="21"/>
          <w:highlight w:val="none"/>
        </w:rPr>
        <w:t>款[竣工验收]的约定进行。验收合格后，由工程师向承包人出具经发包人签认的单位/区段工程验收证书。单位/区段工程的验收成果和结论作为全部工程竣工验收申请报告的附件。</w:t>
      </w:r>
    </w:p>
    <w:p w14:paraId="561074AD">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0.2.2 </w:t>
      </w:r>
      <w:r>
        <w:rPr>
          <w:rFonts w:hint="eastAsia"/>
          <w:color w:val="auto"/>
          <w:sz w:val="21"/>
          <w:highlight w:val="none"/>
        </w:rPr>
        <w:t>发包人在全部工程竣工前，使用已接收的单位/区段工程导致承包人费用增加的，发包人应承担由此增加的费用和（或）工期延误，并支付承包人合理利润。</w:t>
      </w:r>
    </w:p>
    <w:p w14:paraId="1199C28F">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072" w:name="_Toc10185"/>
      <w:bookmarkStart w:id="1073" w:name="_Toc54862266"/>
      <w:bookmarkStart w:id="1074" w:name="_Toc21009"/>
      <w:bookmarkStart w:id="1075" w:name="_Toc18808"/>
      <w:bookmarkStart w:id="1076" w:name="_Ref4429473"/>
      <w:bookmarkStart w:id="1077" w:name="_Ref532688351"/>
      <w:bookmarkStart w:id="1078" w:name="_Ref532688354"/>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0.3 </w:t>
      </w:r>
      <w:r>
        <w:rPr>
          <w:rFonts w:hint="eastAsia" w:ascii="宋体" w:hAnsi="宋体" w:eastAsia="宋体"/>
          <w:b/>
          <w:bCs w:val="0"/>
          <w:color w:val="auto"/>
          <w:sz w:val="21"/>
          <w:szCs w:val="21"/>
          <w:highlight w:val="none"/>
        </w:rPr>
        <w:t>工程的接收</w:t>
      </w:r>
      <w:bookmarkEnd w:id="1072"/>
      <w:bookmarkEnd w:id="1073"/>
      <w:bookmarkEnd w:id="1074"/>
      <w:bookmarkEnd w:id="1075"/>
    </w:p>
    <w:p w14:paraId="74B31AE1">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0.3.1 </w:t>
      </w:r>
      <w:r>
        <w:rPr>
          <w:rFonts w:hint="eastAsia"/>
          <w:color w:val="auto"/>
          <w:sz w:val="21"/>
          <w:highlight w:val="none"/>
        </w:rPr>
        <w:t>根据工程项目的具体情况和特点，可按工程或单位/区段工程进行接收，并在专用合同条件约定接收的先后顺序、时间安排和其他要求。</w:t>
      </w:r>
    </w:p>
    <w:p w14:paraId="5B8A25CE">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0.3.2 </w:t>
      </w:r>
      <w:r>
        <w:rPr>
          <w:rFonts w:hint="eastAsia"/>
          <w:color w:val="auto"/>
          <w:sz w:val="21"/>
          <w:highlight w:val="none"/>
        </w:rPr>
        <w:t>除按本条约定已经提交的资料外，接收工程时承包人需提交竣工验收资料的类别、内容、份数和提交时间，在专用合同条件中约定。</w:t>
      </w:r>
    </w:p>
    <w:p w14:paraId="3BBED06F">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0.3.3 </w:t>
      </w:r>
      <w:r>
        <w:rPr>
          <w:rFonts w:hint="eastAsia"/>
          <w:color w:val="auto"/>
          <w:sz w:val="21"/>
          <w:highlight w:val="none"/>
        </w:rPr>
        <w:t>发包人无正当理由不接收工程的，发包人自应当接收工程之日起，承担工程照管、成品保护、保管等与工程有关的各项费用，合同当事人可以在专用合同条件中另行约定发包人逾期接收工程的违约责任。</w:t>
      </w:r>
    </w:p>
    <w:p w14:paraId="2704FD76">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0.3.4 </w:t>
      </w:r>
      <w:r>
        <w:rPr>
          <w:rFonts w:hint="eastAsia"/>
          <w:color w:val="auto"/>
          <w:sz w:val="21"/>
          <w:highlight w:val="none"/>
        </w:rPr>
        <w:t>承包人无正当理由不移交工程的，承包人应承担工程照管、成品保护、保管等与工程有关的各项费用，合同当事人可以在专用合同条件中另行约定承包人无正当理由不移交工程的违约责任。</w:t>
      </w:r>
    </w:p>
    <w:p w14:paraId="3FCDA308">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079" w:name="_Toc54862267"/>
      <w:bookmarkStart w:id="1080" w:name="_Toc7189"/>
      <w:bookmarkStart w:id="1081" w:name="_Toc30487"/>
      <w:bookmarkStart w:id="1082" w:name="_Toc6370"/>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0.4 </w:t>
      </w:r>
      <w:r>
        <w:rPr>
          <w:rFonts w:hint="eastAsia" w:ascii="宋体" w:hAnsi="宋体" w:eastAsia="宋体"/>
          <w:b/>
          <w:bCs w:val="0"/>
          <w:color w:val="auto"/>
          <w:sz w:val="21"/>
          <w:szCs w:val="21"/>
          <w:highlight w:val="none"/>
        </w:rPr>
        <w:t>接收证书</w:t>
      </w:r>
      <w:bookmarkEnd w:id="1076"/>
      <w:bookmarkEnd w:id="1079"/>
      <w:bookmarkEnd w:id="1080"/>
      <w:bookmarkEnd w:id="1081"/>
      <w:bookmarkEnd w:id="1082"/>
    </w:p>
    <w:p w14:paraId="6C10E3DD">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bookmarkStart w:id="1083" w:name="_Ref4429542"/>
      <w:r>
        <w:rPr>
          <w:rFonts w:hint="eastAsia"/>
          <w:color w:val="auto"/>
          <w:sz w:val="21"/>
          <w:highlight w:val="none"/>
        </w:rPr>
        <w:t>1</w:t>
      </w:r>
      <w:r>
        <w:rPr>
          <w:color w:val="auto"/>
          <w:sz w:val="21"/>
          <w:highlight w:val="none"/>
        </w:rPr>
        <w:t xml:space="preserve">0.4.1 </w:t>
      </w:r>
      <w:r>
        <w:rPr>
          <w:rFonts w:hint="eastAsia"/>
          <w:color w:val="auto"/>
          <w:sz w:val="21"/>
          <w:highlight w:val="none"/>
        </w:rPr>
        <w:t>除专用合同条件另有约定外，承包人应在竣工验收合格后向发包人提交第</w:t>
      </w:r>
      <w:r>
        <w:rPr>
          <w:color w:val="auto"/>
          <w:sz w:val="21"/>
          <w:highlight w:val="none"/>
        </w:rPr>
        <w:t>14.6</w:t>
      </w:r>
      <w:r>
        <w:rPr>
          <w:rFonts w:hint="eastAsia"/>
          <w:color w:val="auto"/>
          <w:sz w:val="21"/>
          <w:highlight w:val="none"/>
        </w:rPr>
        <w:t>款[质量保证金]约定的质量保证金，发包人应在竣工验收合格且工程具备接收条件后的14天内向承包人颁发工程接收证书，但承包人未提交质量保证金的，发包人有权拒绝颁发。发包人拒绝颁发工程接收证书的，应向承包人发出通知，说明理由并指出在颁发接收证书前承包人需要做的工作，需要修补的缺陷和承包人需要提供的文件。</w:t>
      </w:r>
      <w:bookmarkEnd w:id="1083"/>
    </w:p>
    <w:p w14:paraId="1C77E1A9">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0.4.2 </w:t>
      </w:r>
      <w:r>
        <w:rPr>
          <w:rFonts w:hint="eastAsia"/>
          <w:color w:val="auto"/>
          <w:sz w:val="21"/>
          <w:highlight w:val="none"/>
        </w:rPr>
        <w:t>发包人向承包人颁发的接收证书，应注明工程或单位/区段工程经验收合格的实际竣工日期，并列明不在接收范围内的，在收尾工作和缺陷修补完成之前对工程或单位/区段工程预期使用目的没有实质影响的少量收尾工作和缺陷。</w:t>
      </w:r>
    </w:p>
    <w:p w14:paraId="38C9B2DE">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0.4.3 </w:t>
      </w:r>
      <w:r>
        <w:rPr>
          <w:rFonts w:hint="eastAsia"/>
          <w:color w:val="auto"/>
          <w:sz w:val="21"/>
          <w:highlight w:val="none"/>
        </w:rPr>
        <w:t>竣工验收合格而发包人无正当理由逾期不颁发工程接收证书的，自验收合格后第15天起视为已颁发工程接收证书。</w:t>
      </w:r>
    </w:p>
    <w:p w14:paraId="356DC1F0">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0.4.4 </w:t>
      </w:r>
      <w:r>
        <w:rPr>
          <w:rFonts w:hint="eastAsia"/>
          <w:color w:val="auto"/>
          <w:sz w:val="21"/>
          <w:highlight w:val="none"/>
        </w:rPr>
        <w:t>工程未经验收或验收不合格，发包人擅自使用的，应在转移占有工程后7天内向承包人颁发工程接收证书；发包人无正当理由逾期不颁发工程接收证书的，自转移占有后第15天起视为已颁发工程接收证书。</w:t>
      </w:r>
    </w:p>
    <w:p w14:paraId="63B590A2">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0.4.5 </w:t>
      </w:r>
      <w:r>
        <w:rPr>
          <w:rFonts w:hint="eastAsia"/>
          <w:color w:val="auto"/>
          <w:sz w:val="21"/>
          <w:highlight w:val="none"/>
        </w:rPr>
        <w:t>存在扫尾工作的，工程接收证书中应当将第</w:t>
      </w:r>
      <w:r>
        <w:rPr>
          <w:color w:val="auto"/>
          <w:sz w:val="21"/>
          <w:highlight w:val="none"/>
        </w:rPr>
        <w:t>14.5.3</w:t>
      </w:r>
      <w:r>
        <w:rPr>
          <w:rFonts w:hint="eastAsia"/>
          <w:color w:val="auto"/>
          <w:sz w:val="21"/>
          <w:highlight w:val="none"/>
        </w:rPr>
        <w:t>项[扫尾工作清单]中约定的扫尾工作清单作为工程接收证书附件。</w:t>
      </w:r>
    </w:p>
    <w:bookmarkEnd w:id="1077"/>
    <w:bookmarkEnd w:id="1078"/>
    <w:p w14:paraId="1E704817">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084" w:name="_Toc16579"/>
      <w:bookmarkStart w:id="1085" w:name="_Ref4429932"/>
      <w:bookmarkStart w:id="1086" w:name="_Ref4429935"/>
      <w:bookmarkStart w:id="1087" w:name="_Toc4970"/>
      <w:bookmarkStart w:id="1088" w:name="_Toc24726"/>
      <w:bookmarkStart w:id="1089" w:name="_Toc54862268"/>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0.5 </w:t>
      </w:r>
      <w:r>
        <w:rPr>
          <w:rFonts w:hint="eastAsia" w:ascii="宋体" w:hAnsi="宋体" w:eastAsia="宋体"/>
          <w:b/>
          <w:bCs w:val="0"/>
          <w:color w:val="auto"/>
          <w:sz w:val="21"/>
          <w:szCs w:val="21"/>
          <w:highlight w:val="none"/>
        </w:rPr>
        <w:t>竣工退场</w:t>
      </w:r>
      <w:bookmarkEnd w:id="1084"/>
      <w:bookmarkEnd w:id="1085"/>
      <w:bookmarkEnd w:id="1086"/>
      <w:bookmarkEnd w:id="1087"/>
      <w:bookmarkEnd w:id="1088"/>
      <w:bookmarkEnd w:id="1089"/>
    </w:p>
    <w:p w14:paraId="3FAFA124">
      <w:pPr>
        <w:pStyle w:val="153"/>
        <w:keepNext w:val="0"/>
        <w:keepLines w:val="0"/>
        <w:pageBreakBefore w:val="0"/>
        <w:kinsoku/>
        <w:wordWrap/>
        <w:overflowPunct/>
        <w:topLinePunct w:val="0"/>
        <w:bidi w:val="0"/>
        <w:spacing w:after="120"/>
        <w:ind w:firstLine="422" w:firstLineChars="200"/>
        <w:textAlignment w:val="auto"/>
        <w:rPr>
          <w:b/>
          <w:bCs w:val="0"/>
          <w:color w:val="auto"/>
          <w:sz w:val="21"/>
          <w:highlight w:val="none"/>
        </w:rPr>
      </w:pPr>
      <w:bookmarkStart w:id="1090" w:name="_Ref4429943"/>
      <w:r>
        <w:rPr>
          <w:rFonts w:hint="eastAsia"/>
          <w:b/>
          <w:bCs w:val="0"/>
          <w:color w:val="auto"/>
          <w:sz w:val="21"/>
          <w:highlight w:val="none"/>
        </w:rPr>
        <w:t>1</w:t>
      </w:r>
      <w:r>
        <w:rPr>
          <w:b/>
          <w:bCs w:val="0"/>
          <w:color w:val="auto"/>
          <w:sz w:val="21"/>
          <w:highlight w:val="none"/>
        </w:rPr>
        <w:t xml:space="preserve">0.5.1 </w:t>
      </w:r>
      <w:r>
        <w:rPr>
          <w:rFonts w:hint="eastAsia"/>
          <w:b/>
          <w:bCs w:val="0"/>
          <w:color w:val="auto"/>
          <w:sz w:val="21"/>
          <w:highlight w:val="none"/>
        </w:rPr>
        <w:t>竣工退场</w:t>
      </w:r>
      <w:bookmarkEnd w:id="1090"/>
    </w:p>
    <w:p w14:paraId="62480C83">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颁发工程接收证书后，承包人应对施工现场进行清理，并撤离相关人员，使得施工现场处于以下状态，直至工程师检验合格为止：</w:t>
      </w:r>
    </w:p>
    <w:p w14:paraId="676A8D00">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 施工现场内残留的垃圾已全部清除出场；</w:t>
      </w:r>
    </w:p>
    <w:p w14:paraId="73E26232">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 临时工程已拆除，场地已按合同约定进行清理、平整或复原；</w:t>
      </w:r>
    </w:p>
    <w:p w14:paraId="3631A35B">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（3） 按合同约定应撤离的人员、承包人提供的施工设备和剩余的材料，包括废弃的施工设备和材料，已按计划撤离施工现场；</w:t>
      </w:r>
    </w:p>
    <w:p w14:paraId="1D2DDF3E">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（4） 施工现场周边及其附近道路、河道的施工堆积物，已全部清理；</w:t>
      </w:r>
    </w:p>
    <w:p w14:paraId="3021F2A3">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（5） 施工现场其他竣工退场工作已全部完成。</w:t>
      </w:r>
    </w:p>
    <w:p w14:paraId="31722581">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施工现场的竣工退场费用由承包人承担。承包人应在专用合同条件约定的期限内完成竣工退场，逾期未完成的，发包人有权出售或另行处理承包人遗留的物品，由此支出的费用由承包人承担，发包人出售承包人遗留物品所得款项在扣除必要费用后应返还承包人。</w:t>
      </w:r>
    </w:p>
    <w:p w14:paraId="76BE3B83">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r>
        <w:rPr>
          <w:rFonts w:hint="eastAsia"/>
          <w:b/>
          <w:bCs/>
          <w:color w:val="auto"/>
          <w:sz w:val="21"/>
          <w:highlight w:val="none"/>
        </w:rPr>
        <w:t>1</w:t>
      </w:r>
      <w:r>
        <w:rPr>
          <w:b/>
          <w:bCs/>
          <w:color w:val="auto"/>
          <w:sz w:val="21"/>
          <w:highlight w:val="none"/>
        </w:rPr>
        <w:t xml:space="preserve">0.5.2 </w:t>
      </w:r>
      <w:r>
        <w:rPr>
          <w:rFonts w:hint="eastAsia"/>
          <w:b/>
          <w:bCs/>
          <w:color w:val="auto"/>
          <w:sz w:val="21"/>
          <w:highlight w:val="none"/>
        </w:rPr>
        <w:t>地表还原</w:t>
      </w:r>
    </w:p>
    <w:p w14:paraId="224F800E">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承包人应按合同约定和工程师的要求恢复临时占地及清理场地，否则发包人有权委托其他人恢复或清理，所发生的费用由承包人承担。</w:t>
      </w:r>
    </w:p>
    <w:p w14:paraId="19949CA7">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1091" w:name="_Ref20159437"/>
      <w:r>
        <w:rPr>
          <w:rFonts w:hint="eastAsia"/>
          <w:b/>
          <w:bCs/>
          <w:color w:val="auto"/>
          <w:sz w:val="21"/>
          <w:highlight w:val="none"/>
        </w:rPr>
        <w:t>1</w:t>
      </w:r>
      <w:r>
        <w:rPr>
          <w:b/>
          <w:bCs/>
          <w:color w:val="auto"/>
          <w:sz w:val="21"/>
          <w:highlight w:val="none"/>
        </w:rPr>
        <w:t xml:space="preserve">0.5.3 </w:t>
      </w:r>
      <w:r>
        <w:rPr>
          <w:rFonts w:hint="eastAsia"/>
          <w:b/>
          <w:bCs/>
          <w:color w:val="auto"/>
          <w:sz w:val="21"/>
          <w:highlight w:val="none"/>
        </w:rPr>
        <w:t>人员撤离</w:t>
      </w:r>
      <w:bookmarkEnd w:id="1091"/>
    </w:p>
    <w:p w14:paraId="504EC519">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除了经工程师同意需在缺陷责任期内继续工作和使用的人员、施工设备和临时工程外，承包人应按专用合同条件约定和工程师的要求将其余的人员、施工设备和临时工程撤离施工现场或拆除。除专用合同条件另有约定外，缺陷责任期满时，承包人的人员和施工设备应全部撤离施工现场。</w:t>
      </w:r>
      <w:bookmarkEnd w:id="910"/>
    </w:p>
    <w:p w14:paraId="4B3DC293">
      <w:pPr>
        <w:pStyle w:val="178"/>
        <w:keepNext w:val="0"/>
        <w:keepLines w:val="0"/>
        <w:pageBreakBefore w:val="0"/>
        <w:numPr>
          <w:ilvl w:val="0"/>
          <w:numId w:val="0"/>
        </w:numPr>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092" w:name="_Ref4796906"/>
      <w:bookmarkStart w:id="1093" w:name="_Toc14911"/>
      <w:bookmarkStart w:id="1094" w:name="_Ref4796909"/>
      <w:bookmarkStart w:id="1095" w:name="_Toc19253"/>
      <w:bookmarkStart w:id="1096" w:name="_Toc26683"/>
      <w:bookmarkStart w:id="1097" w:name="_Toc25998"/>
      <w:bookmarkStart w:id="1098" w:name="_Toc54862269"/>
      <w:bookmarkStart w:id="1099" w:name="_Ref531955009"/>
      <w:r>
        <w:rPr>
          <w:rFonts w:hint="eastAsia" w:ascii="宋体" w:hAnsi="宋体" w:eastAsia="宋体"/>
          <w:b/>
          <w:bCs w:val="0"/>
          <w:color w:val="auto"/>
          <w:sz w:val="21"/>
          <w:szCs w:val="21"/>
          <w:highlight w:val="none"/>
        </w:rPr>
        <w:t>第1</w:t>
      </w:r>
      <w:r>
        <w:rPr>
          <w:rFonts w:ascii="宋体" w:hAnsi="宋体" w:eastAsia="宋体"/>
          <w:b/>
          <w:bCs w:val="0"/>
          <w:color w:val="auto"/>
          <w:sz w:val="21"/>
          <w:szCs w:val="21"/>
          <w:highlight w:val="none"/>
        </w:rPr>
        <w:t>1</w:t>
      </w:r>
      <w:r>
        <w:rPr>
          <w:rFonts w:hint="eastAsia" w:ascii="宋体" w:hAnsi="宋体" w:eastAsia="宋体"/>
          <w:b/>
          <w:bCs w:val="0"/>
          <w:color w:val="auto"/>
          <w:sz w:val="21"/>
          <w:szCs w:val="21"/>
          <w:highlight w:val="none"/>
        </w:rPr>
        <w:t>条 缺陷责任与保修</w:t>
      </w:r>
      <w:bookmarkEnd w:id="1092"/>
      <w:bookmarkEnd w:id="1093"/>
      <w:bookmarkEnd w:id="1094"/>
      <w:bookmarkEnd w:id="1095"/>
      <w:bookmarkEnd w:id="1096"/>
      <w:bookmarkEnd w:id="1097"/>
      <w:bookmarkEnd w:id="1098"/>
      <w:bookmarkEnd w:id="1099"/>
    </w:p>
    <w:p w14:paraId="75BED480">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100" w:name="_Toc23391"/>
      <w:bookmarkStart w:id="1101" w:name="_Toc26715"/>
      <w:bookmarkStart w:id="1102" w:name="_Toc54862270"/>
      <w:bookmarkStart w:id="1103" w:name="_Toc6222"/>
      <w:bookmarkStart w:id="1104" w:name="_Ref531955245"/>
      <w:bookmarkStart w:id="1105" w:name="_Ref531955248"/>
      <w:bookmarkStart w:id="1106" w:name="_Ref532362928"/>
      <w:bookmarkStart w:id="1107" w:name="_Toc296503147"/>
      <w:bookmarkStart w:id="1108" w:name="_Toc337558841"/>
      <w:bookmarkStart w:id="1109" w:name="_Toc296346648"/>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1.1 </w:t>
      </w:r>
      <w:r>
        <w:rPr>
          <w:rFonts w:hint="eastAsia" w:ascii="宋体" w:hAnsi="宋体" w:eastAsia="宋体"/>
          <w:b/>
          <w:bCs w:val="0"/>
          <w:color w:val="auto"/>
          <w:sz w:val="21"/>
          <w:szCs w:val="21"/>
          <w:highlight w:val="none"/>
        </w:rPr>
        <w:t>工程保修的原则</w:t>
      </w:r>
      <w:bookmarkEnd w:id="1100"/>
      <w:bookmarkEnd w:id="1101"/>
      <w:bookmarkEnd w:id="1102"/>
      <w:bookmarkEnd w:id="1103"/>
    </w:p>
    <w:p w14:paraId="4073B381">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在工程移交发包人后，因承包人原因产生的质量缺陷，承包人应承担质量缺陷责任和保修义务。缺陷责任期届满，承包人仍应按合同约定的工程各部位保修年限承担保修义务。</w:t>
      </w:r>
    </w:p>
    <w:p w14:paraId="76D1A012">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110" w:name="_Ref4430062"/>
      <w:bookmarkStart w:id="1111" w:name="_Toc54862271"/>
      <w:bookmarkStart w:id="1112" w:name="_Toc14546"/>
      <w:bookmarkStart w:id="1113" w:name="_Toc4479"/>
      <w:bookmarkStart w:id="1114" w:name="_Toc30969"/>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1.2 </w:t>
      </w:r>
      <w:r>
        <w:rPr>
          <w:rFonts w:hint="eastAsia" w:ascii="宋体" w:hAnsi="宋体" w:eastAsia="宋体"/>
          <w:b/>
          <w:bCs w:val="0"/>
          <w:color w:val="auto"/>
          <w:sz w:val="21"/>
          <w:szCs w:val="21"/>
          <w:highlight w:val="none"/>
        </w:rPr>
        <w:t>缺陷责任</w:t>
      </w:r>
      <w:bookmarkEnd w:id="1104"/>
      <w:bookmarkEnd w:id="1105"/>
      <w:r>
        <w:rPr>
          <w:rFonts w:hint="eastAsia" w:ascii="宋体" w:hAnsi="宋体" w:eastAsia="宋体"/>
          <w:b/>
          <w:bCs w:val="0"/>
          <w:color w:val="auto"/>
          <w:sz w:val="21"/>
          <w:szCs w:val="21"/>
          <w:highlight w:val="none"/>
        </w:rPr>
        <w:t>期</w:t>
      </w:r>
      <w:bookmarkEnd w:id="1106"/>
      <w:bookmarkEnd w:id="1110"/>
      <w:bookmarkEnd w:id="1111"/>
      <w:bookmarkEnd w:id="1112"/>
      <w:bookmarkEnd w:id="1113"/>
      <w:bookmarkEnd w:id="1114"/>
    </w:p>
    <w:p w14:paraId="39930E69">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缺陷责任期原则上从工程竣工验收合格之日起计算，合同当事人应在专用合同条件约定缺陷责任期的具体期限，但该期限最长不超过24个月。</w:t>
      </w:r>
    </w:p>
    <w:p w14:paraId="1F02FA81">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单位/区段工程先于全部工程进行验收，经验收合格并交付使用的，该单位/区段工程缺陷责任期自单位/区段工程验收合格之日起算。因发包人原因导致工程未在合同约定期限进行验收，但工程经验收合格的，以承包人提交竣工验收报告之日起算；因发包人原因导致工程未能进行竣工验收的，在承包人提交竣工验收报告90天后，工程自动进入缺陷责任期；发包人未经竣工验收擅自使用工程的，缺陷责任期自工程转移占有之日起开始计算。</w:t>
      </w:r>
    </w:p>
    <w:p w14:paraId="015D4C18">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由于承包人原因造成某项缺陷或损坏使某项工程或工程设备不能按原定目标使用而需要再次检查、检验和修复的，发包人有权要求承包人延长该项工程或工程设备的缺陷责任期，并应在原缺陷责任期届满前发出延长通知。但缺陷责任期最长不超过24个月。</w:t>
      </w:r>
    </w:p>
    <w:p w14:paraId="20AAFA5C">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115" w:name="_Toc54862272"/>
      <w:bookmarkStart w:id="1116" w:name="_Ref532662486"/>
      <w:bookmarkStart w:id="1117" w:name="_Toc11779"/>
      <w:bookmarkStart w:id="1118" w:name="_Toc30517"/>
      <w:bookmarkStart w:id="1119" w:name="_Toc6269"/>
      <w:bookmarkStart w:id="1120" w:name="_Ref532662491"/>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1.3 </w:t>
      </w:r>
      <w:r>
        <w:rPr>
          <w:rFonts w:hint="eastAsia" w:ascii="宋体" w:hAnsi="宋体" w:eastAsia="宋体"/>
          <w:b/>
          <w:bCs w:val="0"/>
          <w:color w:val="auto"/>
          <w:sz w:val="21"/>
          <w:szCs w:val="21"/>
          <w:highlight w:val="none"/>
        </w:rPr>
        <w:t>缺陷调查</w:t>
      </w:r>
      <w:bookmarkEnd w:id="1115"/>
      <w:bookmarkEnd w:id="1116"/>
      <w:bookmarkEnd w:id="1117"/>
      <w:bookmarkEnd w:id="1118"/>
      <w:bookmarkEnd w:id="1119"/>
      <w:bookmarkEnd w:id="1120"/>
    </w:p>
    <w:p w14:paraId="115EC1C4">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r>
        <w:rPr>
          <w:rFonts w:hint="eastAsia"/>
          <w:b/>
          <w:bCs/>
          <w:color w:val="auto"/>
          <w:sz w:val="21"/>
          <w:highlight w:val="none"/>
        </w:rPr>
        <w:t>1</w:t>
      </w:r>
      <w:r>
        <w:rPr>
          <w:b/>
          <w:bCs/>
          <w:color w:val="auto"/>
          <w:sz w:val="21"/>
          <w:highlight w:val="none"/>
        </w:rPr>
        <w:t xml:space="preserve">1.3.1 </w:t>
      </w:r>
      <w:r>
        <w:rPr>
          <w:rFonts w:hint="eastAsia"/>
          <w:b/>
          <w:bCs/>
          <w:color w:val="auto"/>
          <w:sz w:val="21"/>
          <w:highlight w:val="none"/>
        </w:rPr>
        <w:t>承包人缺陷调查</w:t>
      </w:r>
    </w:p>
    <w:p w14:paraId="08704CBB">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如果发包人指示承包人调查任何缺陷的原因，承包人应在发包人的指导下进行调查。承包人应在发包人指示中说明的日期或与发包人达成一致的其他日期开展调查。除非该缺陷应由承包人负责自费进行修补，承包人有权就调查的成本和利润获得支付。</w:t>
      </w:r>
    </w:p>
    <w:p w14:paraId="4A6280D7">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如果承包人未能根据本款开展调查，该调查可由发包人开展。但应将上述调查开展的日期通知承包人，承包人可自费参加调查。如果该缺陷应由承包人自费进行修补，则发包人有权要求承包人支付发包人因调查产生的合理费用。</w:t>
      </w:r>
    </w:p>
    <w:p w14:paraId="7BA60AA6">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r>
        <w:rPr>
          <w:rFonts w:hint="eastAsia"/>
          <w:b/>
          <w:bCs/>
          <w:color w:val="auto"/>
          <w:sz w:val="21"/>
          <w:highlight w:val="none"/>
        </w:rPr>
        <w:t>1</w:t>
      </w:r>
      <w:r>
        <w:rPr>
          <w:b/>
          <w:bCs/>
          <w:color w:val="auto"/>
          <w:sz w:val="21"/>
          <w:highlight w:val="none"/>
        </w:rPr>
        <w:t xml:space="preserve">1.3.2 </w:t>
      </w:r>
      <w:r>
        <w:rPr>
          <w:rFonts w:hint="eastAsia"/>
          <w:b/>
          <w:bCs/>
          <w:color w:val="auto"/>
          <w:sz w:val="21"/>
          <w:highlight w:val="none"/>
        </w:rPr>
        <w:t>缺陷责任</w:t>
      </w:r>
    </w:p>
    <w:p w14:paraId="64CC3A3B">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缺陷责任期内，由承包人原因造成的缺陷，承包人应负责维修，并承担鉴定及维修费用。如承包人不维修也不承担费用，发包人可按合同约定从质量保证金中扣除，费用超出质量保证金金额的，发包人可按合同约定向承包人进行索赔。承包人维修并承担相应费用后，不免除对工程的损失赔偿责任。发包人在使用过程中，发现已修补的缺陷部位或部件还存在质量缺陷的，承包人应负责修复，直至检验合格为止。</w:t>
      </w:r>
    </w:p>
    <w:p w14:paraId="50115672">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r>
        <w:rPr>
          <w:rFonts w:hint="eastAsia"/>
          <w:b/>
          <w:bCs/>
          <w:color w:val="auto"/>
          <w:sz w:val="21"/>
          <w:highlight w:val="none"/>
        </w:rPr>
        <w:t>1</w:t>
      </w:r>
      <w:r>
        <w:rPr>
          <w:b/>
          <w:bCs/>
          <w:color w:val="auto"/>
          <w:sz w:val="21"/>
          <w:highlight w:val="none"/>
        </w:rPr>
        <w:t xml:space="preserve">1.3.3 </w:t>
      </w:r>
      <w:r>
        <w:rPr>
          <w:rFonts w:hint="eastAsia"/>
          <w:b/>
          <w:bCs/>
          <w:color w:val="auto"/>
          <w:sz w:val="21"/>
          <w:highlight w:val="none"/>
        </w:rPr>
        <w:t>修复费用</w:t>
      </w:r>
    </w:p>
    <w:p w14:paraId="59B25FB6">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发包人和承包人应共同查清缺陷或损坏的原因。经查明属承包人原因造成的，应由承包人承担修复的费用。经查验非承包人原因造成的，发包人应承担修复的费用，并支付承包人合理利润。</w:t>
      </w:r>
    </w:p>
    <w:p w14:paraId="1C5DE809">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1121" w:name="_Ref531955041"/>
      <w:r>
        <w:rPr>
          <w:rFonts w:hint="eastAsia"/>
          <w:b/>
          <w:bCs/>
          <w:color w:val="auto"/>
          <w:sz w:val="21"/>
          <w:highlight w:val="none"/>
        </w:rPr>
        <w:t>1</w:t>
      </w:r>
      <w:r>
        <w:rPr>
          <w:b/>
          <w:bCs/>
          <w:color w:val="auto"/>
          <w:sz w:val="21"/>
          <w:highlight w:val="none"/>
        </w:rPr>
        <w:t xml:space="preserve">1.3.4 </w:t>
      </w:r>
      <w:r>
        <w:rPr>
          <w:rFonts w:hint="eastAsia"/>
          <w:b/>
          <w:bCs/>
          <w:color w:val="auto"/>
          <w:sz w:val="21"/>
          <w:highlight w:val="none"/>
        </w:rPr>
        <w:t>修复通知</w:t>
      </w:r>
      <w:bookmarkEnd w:id="1121"/>
    </w:p>
    <w:p w14:paraId="7A743149">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在缺陷责任期内，发包人在使用过程中，发现已接收的工程存在缺陷或损坏的，应书面通知承包人予以修复，但情况紧急必须立即修复缺陷或损坏的，发包人可以口头通知承包人并在口头通知后48小时内书面确认，承包人应在专用合同条件约定的合理期限内到达工程现场并修复缺陷或损坏。</w:t>
      </w:r>
    </w:p>
    <w:p w14:paraId="659BBE9C">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r>
        <w:rPr>
          <w:rFonts w:hint="eastAsia"/>
          <w:b/>
          <w:bCs/>
          <w:color w:val="auto"/>
          <w:sz w:val="21"/>
          <w:highlight w:val="none"/>
        </w:rPr>
        <w:t>1</w:t>
      </w:r>
      <w:r>
        <w:rPr>
          <w:b/>
          <w:bCs/>
          <w:color w:val="auto"/>
          <w:sz w:val="21"/>
          <w:highlight w:val="none"/>
        </w:rPr>
        <w:t xml:space="preserve">1.3.5 </w:t>
      </w:r>
      <w:r>
        <w:rPr>
          <w:rFonts w:hint="eastAsia"/>
          <w:b/>
          <w:bCs/>
          <w:color w:val="auto"/>
          <w:sz w:val="21"/>
          <w:highlight w:val="none"/>
        </w:rPr>
        <w:t>在现场外修复</w:t>
      </w:r>
    </w:p>
    <w:p w14:paraId="446FD2D1">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在缺陷责任期内，承包人认为设备中的缺陷或损害不能在现场得到迅速修复，承包人应当向发包人发出通知，请求发包人同意把这些有缺陷或者损害的设备移出现场进行修复，通知应当注明有缺陷或者损害的设备及维修的相关内容，发包人可要求承包人按移出设备的全部重置成本增加质量保证金的数额。</w:t>
      </w:r>
    </w:p>
    <w:p w14:paraId="0A427619">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1122" w:name="_Ref4534291"/>
      <w:bookmarkStart w:id="1123" w:name="_Hlk51506786"/>
      <w:r>
        <w:rPr>
          <w:rFonts w:hint="eastAsia"/>
          <w:b/>
          <w:bCs/>
          <w:color w:val="auto"/>
          <w:sz w:val="21"/>
          <w:highlight w:val="none"/>
        </w:rPr>
        <w:t>1</w:t>
      </w:r>
      <w:r>
        <w:rPr>
          <w:b/>
          <w:bCs/>
          <w:color w:val="auto"/>
          <w:sz w:val="21"/>
          <w:highlight w:val="none"/>
        </w:rPr>
        <w:t xml:space="preserve">1.3.6 </w:t>
      </w:r>
      <w:r>
        <w:rPr>
          <w:rFonts w:hint="eastAsia"/>
          <w:b/>
          <w:bCs/>
          <w:color w:val="auto"/>
          <w:sz w:val="21"/>
          <w:highlight w:val="none"/>
        </w:rPr>
        <w:t>未能修复</w:t>
      </w:r>
      <w:bookmarkEnd w:id="1122"/>
    </w:p>
    <w:bookmarkEnd w:id="1123"/>
    <w:p w14:paraId="5D0034E9">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098A4C8F">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如果工程或工程设备的缺陷或损害使发包人实质上失去了工程的整体功能，发包人有权向承包人追回已支付的工程款项，并要求其赔偿发包人相应损失。</w:t>
      </w:r>
    </w:p>
    <w:bookmarkEnd w:id="1107"/>
    <w:bookmarkEnd w:id="1108"/>
    <w:bookmarkEnd w:id="1109"/>
    <w:p w14:paraId="37188E04">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124" w:name="_Ref532662554"/>
      <w:bookmarkStart w:id="1125" w:name="_Toc54862273"/>
      <w:bookmarkStart w:id="1126" w:name="_Ref532662552"/>
      <w:bookmarkStart w:id="1127" w:name="_Toc14850"/>
      <w:bookmarkStart w:id="1128" w:name="_Toc1125"/>
      <w:bookmarkStart w:id="1129" w:name="_Toc31627"/>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1.4 </w:t>
      </w:r>
      <w:r>
        <w:rPr>
          <w:rFonts w:hint="eastAsia" w:ascii="宋体" w:hAnsi="宋体" w:eastAsia="宋体"/>
          <w:b/>
          <w:bCs w:val="0"/>
          <w:color w:val="auto"/>
          <w:sz w:val="21"/>
          <w:szCs w:val="21"/>
          <w:highlight w:val="none"/>
        </w:rPr>
        <w:t>缺陷修复后的进一步试验</w:t>
      </w:r>
      <w:bookmarkEnd w:id="1124"/>
      <w:bookmarkEnd w:id="1125"/>
      <w:bookmarkEnd w:id="1126"/>
      <w:bookmarkEnd w:id="1127"/>
      <w:bookmarkEnd w:id="1128"/>
      <w:bookmarkEnd w:id="1129"/>
    </w:p>
    <w:p w14:paraId="60739AFA">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任何一项缺陷修补后的7天内，承包人应向发包人发出通知，告知已修补的情况。如根据第</w:t>
      </w:r>
      <w:r>
        <w:rPr>
          <w:rFonts w:ascii="宋体" w:hAnsi="宋体"/>
          <w:color w:val="auto"/>
          <w:szCs w:val="21"/>
          <w:highlight w:val="none"/>
        </w:rPr>
        <w:t>9条</w:t>
      </w:r>
      <w:r>
        <w:rPr>
          <w:rFonts w:hint="eastAsia" w:ascii="宋体" w:hAnsi="宋体"/>
          <w:color w:val="auto"/>
          <w:szCs w:val="21"/>
          <w:highlight w:val="none"/>
        </w:rPr>
        <w:t>[竣工试验]或第</w:t>
      </w:r>
      <w:r>
        <w:rPr>
          <w:rFonts w:ascii="宋体" w:hAnsi="宋体"/>
          <w:color w:val="auto"/>
          <w:szCs w:val="21"/>
          <w:highlight w:val="none"/>
        </w:rPr>
        <w:t>12条</w:t>
      </w:r>
      <w:r>
        <w:rPr>
          <w:rFonts w:hint="eastAsia" w:ascii="宋体" w:hAnsi="宋体"/>
          <w:color w:val="auto"/>
          <w:szCs w:val="21"/>
          <w:highlight w:val="none"/>
        </w:rPr>
        <w:t>[</w:t>
      </w:r>
      <w:r>
        <w:rPr>
          <w:rFonts w:ascii="宋体" w:hAnsi="宋体"/>
          <w:color w:val="auto"/>
          <w:szCs w:val="21"/>
          <w:highlight w:val="none"/>
        </w:rPr>
        <w:t>竣工后试验</w:t>
      </w:r>
      <w:r>
        <w:rPr>
          <w:rFonts w:hint="eastAsia" w:ascii="宋体" w:hAnsi="宋体"/>
          <w:color w:val="auto"/>
          <w:szCs w:val="21"/>
          <w:highlight w:val="none"/>
        </w:rPr>
        <w:t>]的规定适用重新试验的，还应建议重新试验。发包人应在收到重新试验的通知后14天内答复，逾期未进行答复的视为同意重新试验。承包人未建议重新试验的，发包人也可在缺陷修补后的14天内指示进行必要的重新试验，以证明已修复的部分符合合同要求。</w:t>
      </w:r>
    </w:p>
    <w:p w14:paraId="49228855">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所有的重复试验应按照适用于先前试验的条款进行，但应由责任方承担修补工作的成本和重新试验的风险和费用。</w:t>
      </w:r>
    </w:p>
    <w:p w14:paraId="58C607F1">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130" w:name="_Toc15139"/>
      <w:bookmarkStart w:id="1131" w:name="_Toc54862274"/>
      <w:bookmarkStart w:id="1132" w:name="_Toc25133"/>
      <w:bookmarkStart w:id="1133" w:name="_Toc12605"/>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1.5 </w:t>
      </w:r>
      <w:r>
        <w:rPr>
          <w:rFonts w:hint="eastAsia" w:ascii="宋体" w:hAnsi="宋体" w:eastAsia="宋体"/>
          <w:b/>
          <w:bCs w:val="0"/>
          <w:color w:val="auto"/>
          <w:sz w:val="21"/>
          <w:szCs w:val="21"/>
          <w:highlight w:val="none"/>
        </w:rPr>
        <w:t>承包人出入权</w:t>
      </w:r>
      <w:bookmarkEnd w:id="1130"/>
      <w:bookmarkEnd w:id="1131"/>
      <w:bookmarkEnd w:id="1132"/>
      <w:bookmarkEnd w:id="1133"/>
    </w:p>
    <w:p w14:paraId="27AEBFFC">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在缺陷责任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安保和保密等规定。</w:t>
      </w:r>
    </w:p>
    <w:p w14:paraId="0CD953BB">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134" w:name="_Toc8643"/>
      <w:bookmarkStart w:id="1135" w:name="_Ref4430229"/>
      <w:bookmarkStart w:id="1136" w:name="_Toc54862275"/>
      <w:bookmarkStart w:id="1137" w:name="_Ref4430223"/>
      <w:bookmarkStart w:id="1138" w:name="_Toc31324"/>
      <w:bookmarkStart w:id="1139" w:name="_Toc13634"/>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1.6 </w:t>
      </w:r>
      <w:r>
        <w:rPr>
          <w:rFonts w:hint="eastAsia" w:ascii="宋体" w:hAnsi="宋体" w:eastAsia="宋体"/>
          <w:b/>
          <w:bCs w:val="0"/>
          <w:color w:val="auto"/>
          <w:sz w:val="21"/>
          <w:szCs w:val="21"/>
          <w:highlight w:val="none"/>
        </w:rPr>
        <w:t>缺陷责任期终止证书</w:t>
      </w:r>
      <w:bookmarkEnd w:id="1134"/>
      <w:bookmarkEnd w:id="1135"/>
      <w:bookmarkEnd w:id="1136"/>
      <w:bookmarkEnd w:id="1137"/>
      <w:bookmarkEnd w:id="1138"/>
      <w:bookmarkEnd w:id="1139"/>
    </w:p>
    <w:p w14:paraId="1F1D63CF">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除专用合同条件另有约定外，</w:t>
      </w:r>
      <w:bookmarkStart w:id="1140" w:name="_Hlk4686672"/>
      <w:r>
        <w:rPr>
          <w:rFonts w:hint="eastAsia" w:ascii="宋体" w:hAnsi="宋体"/>
          <w:color w:val="auto"/>
          <w:szCs w:val="21"/>
          <w:highlight w:val="none"/>
        </w:rPr>
        <w:t>承包人应于缺陷责任期届满前7天内向发包人发出缺陷责任期即将届满通知，发包人应在收到通知后</w:t>
      </w:r>
      <w:r>
        <w:rPr>
          <w:rFonts w:ascii="宋体" w:hAnsi="宋体"/>
          <w:color w:val="auto"/>
          <w:szCs w:val="21"/>
          <w:highlight w:val="none"/>
        </w:rPr>
        <w:t>7</w:t>
      </w:r>
      <w:r>
        <w:rPr>
          <w:rFonts w:hint="eastAsia" w:ascii="宋体" w:hAnsi="宋体"/>
          <w:color w:val="auto"/>
          <w:szCs w:val="21"/>
          <w:highlight w:val="none"/>
        </w:rPr>
        <w:t>天内核实承包人是否履行缺陷修复义务，承包人未能履行缺陷修复义务的，发包人有权扣除相应金额的维修费用。发包人应在缺陷责任期届满之日，向承包人颁发缺陷责任期终止证书，并按第</w:t>
      </w:r>
      <w:r>
        <w:rPr>
          <w:rFonts w:ascii="宋体" w:hAnsi="宋体"/>
          <w:color w:val="auto"/>
          <w:szCs w:val="21"/>
          <w:highlight w:val="none"/>
        </w:rPr>
        <w:t>14.6.3</w:t>
      </w:r>
      <w:r>
        <w:rPr>
          <w:rFonts w:hint="eastAsia" w:ascii="宋体" w:hAnsi="宋体"/>
          <w:color w:val="auto"/>
          <w:szCs w:val="21"/>
          <w:highlight w:val="none"/>
        </w:rPr>
        <w:t>项[质量保证金的返还]返还质量保证金。</w:t>
      </w:r>
      <w:bookmarkEnd w:id="1140"/>
    </w:p>
    <w:p w14:paraId="2397DC57">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如根据第</w:t>
      </w:r>
      <w:r>
        <w:rPr>
          <w:rFonts w:ascii="宋体" w:hAnsi="宋体"/>
          <w:color w:val="auto"/>
          <w:szCs w:val="21"/>
          <w:highlight w:val="none"/>
        </w:rPr>
        <w:t>10.5.3</w:t>
      </w:r>
      <w:r>
        <w:rPr>
          <w:rFonts w:hint="eastAsia" w:ascii="宋体" w:hAnsi="宋体"/>
          <w:color w:val="auto"/>
          <w:szCs w:val="21"/>
          <w:highlight w:val="none"/>
        </w:rPr>
        <w:t>项[人员撤离]承包人在施工现场还留有人员、施工设备和临时工程的，承包人应当在收到缺陷责任期终止证书后28天内，将上述人员、施工设备和临时工程撤离施工现场。</w:t>
      </w:r>
    </w:p>
    <w:p w14:paraId="386EC313">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141" w:name="_Toc54862276"/>
      <w:bookmarkStart w:id="1142" w:name="_Toc2427"/>
      <w:bookmarkStart w:id="1143" w:name="_Toc9509"/>
      <w:bookmarkStart w:id="1144" w:name="_Toc672"/>
      <w:bookmarkStart w:id="1145" w:name="_Ref4430272"/>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1.7 </w:t>
      </w:r>
      <w:r>
        <w:rPr>
          <w:rFonts w:hint="eastAsia" w:ascii="宋体" w:hAnsi="宋体" w:eastAsia="宋体"/>
          <w:b/>
          <w:bCs w:val="0"/>
          <w:color w:val="auto"/>
          <w:sz w:val="21"/>
          <w:szCs w:val="21"/>
          <w:highlight w:val="none"/>
        </w:rPr>
        <w:t>保修责任</w:t>
      </w:r>
      <w:bookmarkEnd w:id="1141"/>
      <w:bookmarkEnd w:id="1142"/>
      <w:bookmarkEnd w:id="1143"/>
      <w:bookmarkEnd w:id="1144"/>
      <w:bookmarkEnd w:id="1145"/>
    </w:p>
    <w:p w14:paraId="630D0421">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因承包人原因导致的质量缺陷责任，由合同当事人根据有关法律规定，在专用合同条件和工程质量保修书中约定工程质量保修范围、期限和责任。</w:t>
      </w:r>
      <w:bookmarkEnd w:id="892"/>
      <w:bookmarkStart w:id="1146" w:name="_Ref531957860"/>
      <w:bookmarkStart w:id="1147" w:name="_Ref531958289"/>
    </w:p>
    <w:bookmarkEnd w:id="1146"/>
    <w:p w14:paraId="1377C50F">
      <w:pPr>
        <w:pStyle w:val="178"/>
        <w:keepNext w:val="0"/>
        <w:keepLines w:val="0"/>
        <w:pageBreakBefore w:val="0"/>
        <w:numPr>
          <w:ilvl w:val="0"/>
          <w:numId w:val="0"/>
        </w:numPr>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148" w:name="_Toc28788"/>
      <w:bookmarkStart w:id="1149" w:name="_Toc30680"/>
      <w:bookmarkStart w:id="1150" w:name="_Ref4621065"/>
      <w:bookmarkStart w:id="1151" w:name="_Toc29699"/>
      <w:bookmarkStart w:id="1152" w:name="_Ref4621057"/>
      <w:bookmarkStart w:id="1153" w:name="_Toc11714"/>
      <w:bookmarkStart w:id="1154" w:name="_Toc54862277"/>
      <w:bookmarkStart w:id="1155" w:name="_Ref4796955"/>
      <w:bookmarkStart w:id="1156" w:name="_Ref4796958"/>
      <w:r>
        <w:rPr>
          <w:rFonts w:hint="eastAsia" w:ascii="宋体" w:hAnsi="宋体" w:eastAsia="宋体"/>
          <w:b/>
          <w:bCs w:val="0"/>
          <w:color w:val="auto"/>
          <w:sz w:val="21"/>
          <w:szCs w:val="21"/>
          <w:highlight w:val="none"/>
        </w:rPr>
        <w:t>第1</w:t>
      </w:r>
      <w:r>
        <w:rPr>
          <w:rFonts w:ascii="宋体" w:hAnsi="宋体" w:eastAsia="宋体"/>
          <w:b/>
          <w:bCs w:val="0"/>
          <w:color w:val="auto"/>
          <w:sz w:val="21"/>
          <w:szCs w:val="21"/>
          <w:highlight w:val="none"/>
        </w:rPr>
        <w:t>2</w:t>
      </w:r>
      <w:r>
        <w:rPr>
          <w:rFonts w:hint="eastAsia" w:ascii="宋体" w:hAnsi="宋体" w:eastAsia="宋体"/>
          <w:b/>
          <w:bCs w:val="0"/>
          <w:color w:val="auto"/>
          <w:sz w:val="21"/>
          <w:szCs w:val="21"/>
          <w:highlight w:val="none"/>
        </w:rPr>
        <w:t>条 竣工后试验</w:t>
      </w:r>
      <w:bookmarkEnd w:id="1148"/>
      <w:bookmarkEnd w:id="1149"/>
      <w:bookmarkEnd w:id="1150"/>
      <w:bookmarkEnd w:id="1151"/>
      <w:bookmarkEnd w:id="1152"/>
      <w:bookmarkEnd w:id="1153"/>
      <w:bookmarkEnd w:id="1154"/>
    </w:p>
    <w:p w14:paraId="5AA8F5F6">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本合同工程包含竣工后试验的，遵守本条约定。</w:t>
      </w:r>
    </w:p>
    <w:p w14:paraId="1B949670">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157" w:name="_Ref531954604"/>
      <w:bookmarkStart w:id="1158" w:name="_Ref531954601"/>
      <w:bookmarkStart w:id="1159" w:name="_Ref531954694"/>
      <w:bookmarkStart w:id="1160" w:name="_Toc11602"/>
      <w:bookmarkStart w:id="1161" w:name="_Toc4115"/>
      <w:bookmarkStart w:id="1162" w:name="_Toc54862278"/>
      <w:bookmarkStart w:id="1163" w:name="_Toc2053"/>
      <w:bookmarkStart w:id="1164" w:name="_Hlk522259976"/>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2.1 </w:t>
      </w:r>
      <w:r>
        <w:rPr>
          <w:rFonts w:hint="eastAsia" w:ascii="宋体" w:hAnsi="宋体" w:eastAsia="宋体"/>
          <w:b/>
          <w:bCs w:val="0"/>
          <w:color w:val="auto"/>
          <w:sz w:val="21"/>
          <w:szCs w:val="21"/>
          <w:highlight w:val="none"/>
        </w:rPr>
        <w:t>竣工后试验</w:t>
      </w:r>
      <w:bookmarkEnd w:id="1157"/>
      <w:bookmarkEnd w:id="1158"/>
      <w:r>
        <w:rPr>
          <w:rFonts w:hint="eastAsia" w:ascii="宋体" w:hAnsi="宋体" w:eastAsia="宋体"/>
          <w:b/>
          <w:bCs w:val="0"/>
          <w:color w:val="auto"/>
          <w:sz w:val="21"/>
          <w:szCs w:val="21"/>
          <w:highlight w:val="none"/>
        </w:rPr>
        <w:t>的程序</w:t>
      </w:r>
      <w:bookmarkEnd w:id="1159"/>
      <w:bookmarkEnd w:id="1160"/>
      <w:bookmarkEnd w:id="1161"/>
      <w:bookmarkEnd w:id="1162"/>
      <w:bookmarkEnd w:id="1163"/>
    </w:p>
    <w:p w14:paraId="7F273995">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bookmarkStart w:id="1165" w:name="_Ref11920184"/>
      <w:r>
        <w:rPr>
          <w:rFonts w:hint="eastAsia"/>
          <w:color w:val="auto"/>
          <w:sz w:val="21"/>
          <w:highlight w:val="none"/>
        </w:rPr>
        <w:t>1</w:t>
      </w:r>
      <w:r>
        <w:rPr>
          <w:color w:val="auto"/>
          <w:sz w:val="21"/>
          <w:highlight w:val="none"/>
        </w:rPr>
        <w:t xml:space="preserve">2.1.1 </w:t>
      </w:r>
      <w:r>
        <w:rPr>
          <w:rFonts w:hint="eastAsia"/>
          <w:color w:val="auto"/>
          <w:sz w:val="21"/>
          <w:highlight w:val="none"/>
        </w:rPr>
        <w:t>工程或区段工程被发包人接收后，在合理可行的情况下应根据合同约定尽早进行竣工后试验。</w:t>
      </w:r>
      <w:bookmarkEnd w:id="1165"/>
    </w:p>
    <w:p w14:paraId="522DD290">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2.1.2 </w:t>
      </w:r>
      <w:r>
        <w:rPr>
          <w:rFonts w:hint="eastAsia"/>
          <w:color w:val="auto"/>
          <w:sz w:val="21"/>
          <w:highlight w:val="none"/>
        </w:rPr>
        <w:t>除专用合同条件另有约定外，发包人应提供全部电力、水、污水处理、燃料、消耗品和材料，以及全部其他仪器、协助、文件或其他信息、设备、工具、劳力，启动工程设备，并组织安排有适当资质、经验和能力的工作人员实施竣工后试验。</w:t>
      </w:r>
    </w:p>
    <w:p w14:paraId="5C60985D">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bookmarkStart w:id="1166" w:name="_Ref11920162"/>
      <w:r>
        <w:rPr>
          <w:rFonts w:hint="eastAsia"/>
          <w:color w:val="auto"/>
          <w:sz w:val="21"/>
          <w:highlight w:val="none"/>
        </w:rPr>
        <w:t>1</w:t>
      </w:r>
      <w:r>
        <w:rPr>
          <w:color w:val="auto"/>
          <w:sz w:val="21"/>
          <w:highlight w:val="none"/>
        </w:rPr>
        <w:t xml:space="preserve">2.1.3 </w:t>
      </w:r>
      <w:r>
        <w:rPr>
          <w:rFonts w:hint="eastAsia"/>
          <w:color w:val="auto"/>
          <w:sz w:val="21"/>
          <w:highlight w:val="none"/>
        </w:rPr>
        <w:t>除《发包人要求》另有约定外，发包人应在合理可行的情况下尽快进行每项竣工后试验，并至少提前21天将该项竣工后试验的内容、地点和时间，以及显示其他竣工后试验拟开展时间的竣工后试验计划通知承包人。</w:t>
      </w:r>
      <w:bookmarkEnd w:id="1166"/>
    </w:p>
    <w:p w14:paraId="11448701">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bookmarkStart w:id="1167" w:name="_Ref11920146"/>
      <w:r>
        <w:rPr>
          <w:rFonts w:hint="eastAsia"/>
          <w:color w:val="auto"/>
          <w:sz w:val="21"/>
          <w:highlight w:val="none"/>
        </w:rPr>
        <w:t>1</w:t>
      </w:r>
      <w:r>
        <w:rPr>
          <w:color w:val="auto"/>
          <w:sz w:val="21"/>
          <w:highlight w:val="none"/>
        </w:rPr>
        <w:t xml:space="preserve">2.1.4 </w:t>
      </w:r>
      <w:r>
        <w:rPr>
          <w:rFonts w:hint="eastAsia"/>
          <w:color w:val="auto"/>
          <w:sz w:val="21"/>
          <w:highlight w:val="none"/>
        </w:rPr>
        <w:t>发包人应根据《发包人要求》、承包人按照第</w:t>
      </w:r>
      <w:r>
        <w:rPr>
          <w:color w:val="auto"/>
          <w:sz w:val="21"/>
          <w:highlight w:val="none"/>
        </w:rPr>
        <w:t>5.5</w:t>
      </w:r>
      <w:r>
        <w:rPr>
          <w:rFonts w:hint="eastAsia"/>
          <w:color w:val="auto"/>
          <w:sz w:val="21"/>
          <w:highlight w:val="none"/>
        </w:rPr>
        <w:t>款</w:t>
      </w:r>
      <w:bookmarkStart w:id="1168" w:name="_Hlk18943978"/>
      <w:r>
        <w:rPr>
          <w:rFonts w:hint="eastAsia"/>
          <w:color w:val="auto"/>
          <w:sz w:val="21"/>
          <w:highlight w:val="none"/>
        </w:rPr>
        <w:t>[</w:t>
      </w:r>
      <w:r>
        <w:rPr>
          <w:color w:val="auto"/>
          <w:sz w:val="21"/>
          <w:highlight w:val="none"/>
        </w:rPr>
        <w:t>操作和维修手册</w:t>
      </w:r>
      <w:r>
        <w:rPr>
          <w:rFonts w:hint="eastAsia"/>
          <w:color w:val="auto"/>
          <w:sz w:val="21"/>
          <w:highlight w:val="none"/>
        </w:rPr>
        <w:t>]</w:t>
      </w:r>
      <w:bookmarkEnd w:id="1168"/>
      <w:r>
        <w:rPr>
          <w:rFonts w:hint="eastAsia"/>
          <w:color w:val="auto"/>
          <w:sz w:val="21"/>
          <w:highlight w:val="none"/>
        </w:rPr>
        <w:t>提交的文件，以及承包人被要求提供的指导进行竣工后试验。如承包人未在发包人通知的时间和地点参加竣工后试验，发包人可自行进行，该试验应被视为是承包人在场的情况下进行的，且承包人应视为认可试验数据。</w:t>
      </w:r>
      <w:bookmarkEnd w:id="1167"/>
    </w:p>
    <w:p w14:paraId="49E71B16">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2.1.5 </w:t>
      </w:r>
      <w:r>
        <w:rPr>
          <w:rFonts w:hint="eastAsia"/>
          <w:color w:val="auto"/>
          <w:sz w:val="21"/>
          <w:highlight w:val="none"/>
        </w:rPr>
        <w:t>竣工后试验的结果应由双方进行整理和评价，并应适当考虑发包人对工程或其任何部分的使用，对工程或区段工程的性能、特性和试验结果产生的影响。</w:t>
      </w:r>
    </w:p>
    <w:p w14:paraId="4F2BB585">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169" w:name="_Toc19248"/>
      <w:bookmarkStart w:id="1170" w:name="_Toc5973"/>
      <w:bookmarkStart w:id="1171" w:name="_Ref531954781"/>
      <w:bookmarkStart w:id="1172" w:name="_Toc54862279"/>
      <w:bookmarkStart w:id="1173" w:name="_Ref531954785"/>
      <w:bookmarkStart w:id="1174" w:name="_Toc31325"/>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2.2 </w:t>
      </w:r>
      <w:r>
        <w:rPr>
          <w:rFonts w:hint="eastAsia" w:ascii="宋体" w:hAnsi="宋体" w:eastAsia="宋体"/>
          <w:b/>
          <w:bCs w:val="0"/>
          <w:color w:val="auto"/>
          <w:sz w:val="21"/>
          <w:szCs w:val="21"/>
          <w:highlight w:val="none"/>
        </w:rPr>
        <w:t>延误的试验</w:t>
      </w:r>
      <w:bookmarkEnd w:id="1169"/>
      <w:bookmarkEnd w:id="1170"/>
      <w:bookmarkEnd w:id="1171"/>
      <w:bookmarkEnd w:id="1172"/>
      <w:bookmarkEnd w:id="1173"/>
      <w:bookmarkEnd w:id="1174"/>
    </w:p>
    <w:p w14:paraId="452E5AEE">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2.2.1 </w:t>
      </w:r>
      <w:r>
        <w:rPr>
          <w:rFonts w:hint="eastAsia"/>
          <w:color w:val="auto"/>
          <w:sz w:val="21"/>
          <w:highlight w:val="none"/>
        </w:rPr>
        <w:t>如果竣工后试验因发包人原因被延误的，发包人应承担承包人由此增加的费用并支付承包人合理利润。</w:t>
      </w:r>
    </w:p>
    <w:p w14:paraId="5A67A845">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2.2.2 </w:t>
      </w:r>
      <w:r>
        <w:rPr>
          <w:rFonts w:hint="eastAsia"/>
          <w:color w:val="auto"/>
          <w:sz w:val="21"/>
          <w:highlight w:val="none"/>
        </w:rPr>
        <w:t>如果因承包人以外的原因，导致竣工后试验未能在缺陷责任期或双方另行同意的其他期限内完成，则相关工程或区段工程应视为已通过该竣工后试验。</w:t>
      </w:r>
    </w:p>
    <w:p w14:paraId="1622DC64">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175" w:name="_Toc32165"/>
      <w:bookmarkStart w:id="1176" w:name="_Toc54862280"/>
      <w:bookmarkStart w:id="1177" w:name="_Toc23719"/>
      <w:bookmarkStart w:id="1178" w:name="_Toc20192"/>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2.3 </w:t>
      </w:r>
      <w:r>
        <w:rPr>
          <w:rFonts w:hint="eastAsia" w:ascii="宋体" w:hAnsi="宋体" w:eastAsia="宋体"/>
          <w:b/>
          <w:bCs w:val="0"/>
          <w:color w:val="auto"/>
          <w:sz w:val="21"/>
          <w:szCs w:val="21"/>
          <w:highlight w:val="none"/>
        </w:rPr>
        <w:t>重新试验</w:t>
      </w:r>
      <w:bookmarkEnd w:id="1175"/>
      <w:bookmarkEnd w:id="1176"/>
      <w:bookmarkEnd w:id="1177"/>
      <w:bookmarkEnd w:id="1178"/>
    </w:p>
    <w:p w14:paraId="78BDE3B6">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如工程或区段工程未能通过竣工后试验，则承包人应根据第</w:t>
      </w:r>
      <w:r>
        <w:rPr>
          <w:rFonts w:ascii="宋体" w:hAnsi="宋体"/>
          <w:color w:val="auto"/>
          <w:szCs w:val="21"/>
          <w:highlight w:val="none"/>
        </w:rPr>
        <w:t>11.3</w:t>
      </w:r>
      <w:r>
        <w:rPr>
          <w:rFonts w:hint="eastAsia" w:ascii="宋体" w:hAnsi="宋体"/>
          <w:color w:val="auto"/>
          <w:szCs w:val="21"/>
          <w:highlight w:val="none"/>
        </w:rPr>
        <w:t>款[缺陷调查]的规定修补缺陷，以达到合同约定的要求；并按照第</w:t>
      </w:r>
      <w:r>
        <w:rPr>
          <w:rFonts w:ascii="宋体" w:hAnsi="宋体"/>
          <w:color w:val="auto"/>
          <w:szCs w:val="21"/>
          <w:highlight w:val="none"/>
        </w:rPr>
        <w:t>11.4</w:t>
      </w:r>
      <w:r>
        <w:rPr>
          <w:rFonts w:hint="eastAsia" w:ascii="宋体" w:hAnsi="宋体"/>
          <w:color w:val="auto"/>
          <w:szCs w:val="21"/>
          <w:highlight w:val="none"/>
        </w:rPr>
        <w:t>款[缺陷修复后的进一步试验]重新进行竣工后试验以及承担风险和费用。如未通过试验和重新试验是承包人原因造成的，则承包人还应承担发包人因此增加的费用。</w:t>
      </w:r>
    </w:p>
    <w:bookmarkEnd w:id="1164"/>
    <w:p w14:paraId="3E30204A">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179" w:name="_Toc17870"/>
      <w:bookmarkStart w:id="1180" w:name="_Ref531954811"/>
      <w:bookmarkStart w:id="1181" w:name="_Ref531954819"/>
      <w:bookmarkStart w:id="1182" w:name="_Toc54862281"/>
      <w:bookmarkStart w:id="1183" w:name="_Toc30845"/>
      <w:bookmarkStart w:id="1184" w:name="_Toc25607"/>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2.4 </w:t>
      </w:r>
      <w:r>
        <w:rPr>
          <w:rFonts w:hint="eastAsia" w:ascii="宋体" w:hAnsi="宋体" w:eastAsia="宋体"/>
          <w:b/>
          <w:bCs w:val="0"/>
          <w:color w:val="auto"/>
          <w:sz w:val="21"/>
          <w:szCs w:val="21"/>
          <w:highlight w:val="none"/>
        </w:rPr>
        <w:t>未能通过竣工后试验</w:t>
      </w:r>
      <w:bookmarkEnd w:id="1179"/>
      <w:bookmarkEnd w:id="1180"/>
      <w:bookmarkEnd w:id="1181"/>
      <w:bookmarkEnd w:id="1182"/>
      <w:bookmarkEnd w:id="1183"/>
      <w:bookmarkEnd w:id="1184"/>
    </w:p>
    <w:p w14:paraId="60F65590">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bookmarkStart w:id="1185" w:name="_Ref531954829"/>
      <w:r>
        <w:rPr>
          <w:rFonts w:hint="eastAsia"/>
          <w:color w:val="auto"/>
          <w:sz w:val="21"/>
          <w:highlight w:val="none"/>
        </w:rPr>
        <w:t>1</w:t>
      </w:r>
      <w:r>
        <w:rPr>
          <w:color w:val="auto"/>
          <w:sz w:val="21"/>
          <w:highlight w:val="none"/>
        </w:rPr>
        <w:t xml:space="preserve">2.4.1 </w:t>
      </w:r>
      <w:r>
        <w:rPr>
          <w:rFonts w:hint="eastAsia"/>
          <w:color w:val="auto"/>
          <w:sz w:val="21"/>
          <w:highlight w:val="none"/>
        </w:rPr>
        <w:t>工程或区段工程未能通过竣工后试验，且合同中就该项未通过的试验约定了性能损害赔偿违约金及其计算方法的，或者就该项未通过的试验另行达成补充协议的，承包人在缺陷责任期内向发包人支付相应违约金或按补充协议履行后，视为通过竣工后试验。</w:t>
      </w:r>
      <w:bookmarkEnd w:id="1185"/>
    </w:p>
    <w:p w14:paraId="7CBDA4FE">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2.4.2 </w:t>
      </w:r>
      <w:r>
        <w:rPr>
          <w:rFonts w:hint="eastAsia"/>
          <w:color w:val="auto"/>
          <w:sz w:val="21"/>
          <w:highlight w:val="none"/>
        </w:rPr>
        <w:t>对未能通过竣工后试验的工程或区段工程，承包人可向发包人建议，由承包人对该工程或区段工程进行调整或修补。发包人收到建议后，可向承包人发出通知，指示其在发包人方便的合理时间进入工程或区段工程进行调查、调整或修补，并为承包人的进入提供方便。承包人提出建议，但未在缺陷责任期内收到上述发包人通知的，相关工程或区段工程应视为已通过该竣工后试验。</w:t>
      </w:r>
    </w:p>
    <w:p w14:paraId="1BB62B0D">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2.4.3 </w:t>
      </w:r>
      <w:r>
        <w:rPr>
          <w:rFonts w:hint="eastAsia"/>
          <w:color w:val="auto"/>
          <w:sz w:val="21"/>
          <w:highlight w:val="none"/>
        </w:rPr>
        <w:t>发包人无故拖延给予承包人进行调查、调整或修补所需的进入工程或区段工程的许可，并造成承包人费用增加的，应承担由此增加的费用并支付承包人合理利润。</w:t>
      </w:r>
    </w:p>
    <w:p w14:paraId="741209ED">
      <w:pPr>
        <w:pStyle w:val="178"/>
        <w:keepNext w:val="0"/>
        <w:keepLines w:val="0"/>
        <w:pageBreakBefore w:val="0"/>
        <w:numPr>
          <w:ilvl w:val="0"/>
          <w:numId w:val="0"/>
        </w:numPr>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186" w:name="_Toc29854"/>
      <w:bookmarkStart w:id="1187" w:name="_Toc936"/>
      <w:bookmarkStart w:id="1188" w:name="_Toc8793"/>
      <w:bookmarkStart w:id="1189" w:name="_Ref4415801"/>
      <w:bookmarkStart w:id="1190" w:name="_Toc54862282"/>
      <w:bookmarkStart w:id="1191" w:name="_Toc13591"/>
      <w:r>
        <w:rPr>
          <w:rFonts w:hint="eastAsia" w:ascii="宋体" w:hAnsi="宋体" w:eastAsia="宋体"/>
          <w:b/>
          <w:bCs w:val="0"/>
          <w:color w:val="auto"/>
          <w:sz w:val="21"/>
          <w:szCs w:val="21"/>
          <w:highlight w:val="none"/>
        </w:rPr>
        <w:t>第1</w:t>
      </w:r>
      <w:r>
        <w:rPr>
          <w:rFonts w:ascii="宋体" w:hAnsi="宋体" w:eastAsia="宋体"/>
          <w:b/>
          <w:bCs w:val="0"/>
          <w:color w:val="auto"/>
          <w:sz w:val="21"/>
          <w:szCs w:val="21"/>
          <w:highlight w:val="none"/>
        </w:rPr>
        <w:t>3</w:t>
      </w:r>
      <w:r>
        <w:rPr>
          <w:rFonts w:hint="eastAsia" w:ascii="宋体" w:hAnsi="宋体" w:eastAsia="宋体"/>
          <w:b/>
          <w:bCs w:val="0"/>
          <w:color w:val="auto"/>
          <w:sz w:val="21"/>
          <w:szCs w:val="21"/>
          <w:highlight w:val="none"/>
        </w:rPr>
        <w:t>条 变更与调整</w:t>
      </w:r>
      <w:bookmarkEnd w:id="1186"/>
      <w:bookmarkEnd w:id="1187"/>
      <w:bookmarkEnd w:id="1188"/>
      <w:bookmarkEnd w:id="1189"/>
      <w:bookmarkEnd w:id="1190"/>
      <w:bookmarkEnd w:id="1191"/>
    </w:p>
    <w:p w14:paraId="3A8E9AD6">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192" w:name="_Toc31331"/>
      <w:bookmarkStart w:id="1193" w:name="_Toc54862283"/>
      <w:bookmarkStart w:id="1194" w:name="_Ref532668573"/>
      <w:bookmarkStart w:id="1195" w:name="_Ref532670395"/>
      <w:bookmarkStart w:id="1196" w:name="_Ref532677087"/>
      <w:bookmarkStart w:id="1197" w:name="_Ref532677084"/>
      <w:bookmarkStart w:id="1198" w:name="_Toc10312"/>
      <w:bookmarkStart w:id="1199" w:name="_Ref532668569"/>
      <w:bookmarkStart w:id="1200" w:name="_Toc10845"/>
      <w:bookmarkStart w:id="1201" w:name="_Ref532670393"/>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3.1 </w:t>
      </w:r>
      <w:r>
        <w:rPr>
          <w:rFonts w:hint="eastAsia" w:ascii="宋体" w:hAnsi="宋体" w:eastAsia="宋体"/>
          <w:b/>
          <w:bCs w:val="0"/>
          <w:color w:val="auto"/>
          <w:sz w:val="21"/>
          <w:szCs w:val="21"/>
          <w:highlight w:val="none"/>
        </w:rPr>
        <w:t>发包人变更权</w:t>
      </w:r>
      <w:bookmarkEnd w:id="1192"/>
      <w:bookmarkEnd w:id="1193"/>
      <w:bookmarkEnd w:id="1194"/>
      <w:bookmarkEnd w:id="1195"/>
      <w:bookmarkEnd w:id="1196"/>
      <w:bookmarkEnd w:id="1197"/>
      <w:bookmarkEnd w:id="1198"/>
      <w:bookmarkEnd w:id="1199"/>
      <w:bookmarkEnd w:id="1200"/>
      <w:bookmarkEnd w:id="1201"/>
    </w:p>
    <w:p w14:paraId="10B011C0">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bookmarkStart w:id="1202" w:name="_Ref4534979"/>
      <w:r>
        <w:rPr>
          <w:rFonts w:hint="eastAsia"/>
          <w:color w:val="auto"/>
          <w:sz w:val="21"/>
          <w:highlight w:val="none"/>
        </w:rPr>
        <w:t>1</w:t>
      </w:r>
      <w:r>
        <w:rPr>
          <w:color w:val="auto"/>
          <w:sz w:val="21"/>
          <w:highlight w:val="none"/>
        </w:rPr>
        <w:t xml:space="preserve">3.1.1 </w:t>
      </w:r>
      <w:r>
        <w:rPr>
          <w:rFonts w:hint="eastAsia"/>
          <w:color w:val="auto"/>
          <w:sz w:val="21"/>
          <w:highlight w:val="none"/>
        </w:rPr>
        <w:t>变更指示应经发包人同意，并由工程师发出经发包人签认的变更指示。除第</w:t>
      </w:r>
      <w:r>
        <w:rPr>
          <w:color w:val="auto"/>
          <w:sz w:val="21"/>
          <w:highlight w:val="none"/>
        </w:rPr>
        <w:t>11.3.6</w:t>
      </w:r>
      <w:r>
        <w:rPr>
          <w:rFonts w:hint="eastAsia"/>
          <w:color w:val="auto"/>
          <w:sz w:val="21"/>
          <w:highlight w:val="none"/>
        </w:rPr>
        <w:t>项[未能修复]约定的情况外，变更不应包括准备将任何工作删减并交由他人或发包人自行实施的情况。承包人收到变更指示后，方可实施变更。未经许可，承包人不得擅自对工程的任何部分进行变更。</w:t>
      </w:r>
      <w:bookmarkEnd w:id="1202"/>
      <w:r>
        <w:rPr>
          <w:rFonts w:hint="eastAsia"/>
          <w:color w:val="auto"/>
          <w:sz w:val="21"/>
          <w:highlight w:val="none"/>
        </w:rPr>
        <w:t>发包人与承包人对某项指示或批准是否构成变更产生争议的，按第</w:t>
      </w:r>
      <w:r>
        <w:rPr>
          <w:color w:val="auto"/>
          <w:sz w:val="21"/>
          <w:highlight w:val="none"/>
        </w:rPr>
        <w:t>20条</w:t>
      </w:r>
      <w:r>
        <w:rPr>
          <w:rFonts w:hint="eastAsia"/>
          <w:color w:val="auto"/>
          <w:sz w:val="21"/>
          <w:highlight w:val="none"/>
        </w:rPr>
        <w:t>[争议解决]处理。</w:t>
      </w:r>
    </w:p>
    <w:p w14:paraId="172F39F5">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3.1.2 </w:t>
      </w:r>
      <w:r>
        <w:rPr>
          <w:rFonts w:hint="eastAsia"/>
          <w:color w:val="auto"/>
          <w:sz w:val="21"/>
          <w:highlight w:val="none"/>
        </w:rPr>
        <w:t>承包人应按照变更指示执行，除非承包人及时向工程师发出通知，说明该项变更指示将降低工程的安全性、稳定性或适用性；涉及的工作内容和范围不可预见；所涉设备难以采购；导致承包人无法执行第</w:t>
      </w:r>
      <w:r>
        <w:rPr>
          <w:color w:val="auto"/>
          <w:sz w:val="21"/>
          <w:highlight w:val="none"/>
        </w:rPr>
        <w:t>7.5</w:t>
      </w:r>
      <w:r>
        <w:rPr>
          <w:rFonts w:hint="eastAsia"/>
          <w:color w:val="auto"/>
          <w:sz w:val="21"/>
          <w:highlight w:val="none"/>
        </w:rPr>
        <w:t>款[现场劳动用工]、第7</w:t>
      </w:r>
      <w:r>
        <w:rPr>
          <w:color w:val="auto"/>
          <w:sz w:val="21"/>
          <w:highlight w:val="none"/>
        </w:rPr>
        <w:t>.6</w:t>
      </w:r>
      <w:r>
        <w:rPr>
          <w:rFonts w:hint="eastAsia"/>
          <w:color w:val="auto"/>
          <w:sz w:val="21"/>
          <w:highlight w:val="none"/>
        </w:rPr>
        <w:t>款[安全文明施工</w:t>
      </w:r>
      <w:r>
        <w:rPr>
          <w:color w:val="auto"/>
          <w:sz w:val="21"/>
          <w:highlight w:val="none"/>
        </w:rPr>
        <w:t>]</w:t>
      </w:r>
      <w:r>
        <w:rPr>
          <w:rFonts w:hint="eastAsia"/>
          <w:color w:val="auto"/>
          <w:sz w:val="21"/>
          <w:highlight w:val="none"/>
        </w:rPr>
        <w:t>、第</w:t>
      </w:r>
      <w:r>
        <w:rPr>
          <w:color w:val="auto"/>
          <w:sz w:val="21"/>
          <w:highlight w:val="none"/>
        </w:rPr>
        <w:t>7.7</w:t>
      </w:r>
      <w:r>
        <w:rPr>
          <w:rFonts w:hint="eastAsia"/>
          <w:color w:val="auto"/>
          <w:sz w:val="21"/>
          <w:highlight w:val="none"/>
        </w:rPr>
        <w:t>款[</w:t>
      </w:r>
      <w:r>
        <w:rPr>
          <w:color w:val="auto"/>
          <w:sz w:val="21"/>
          <w:highlight w:val="none"/>
        </w:rPr>
        <w:t>职业健康]</w:t>
      </w:r>
      <w:r>
        <w:rPr>
          <w:rFonts w:hint="eastAsia"/>
          <w:color w:val="auto"/>
          <w:sz w:val="21"/>
          <w:highlight w:val="none"/>
        </w:rPr>
        <w:t>或第</w:t>
      </w:r>
      <w:r>
        <w:rPr>
          <w:color w:val="auto"/>
          <w:sz w:val="21"/>
          <w:highlight w:val="none"/>
        </w:rPr>
        <w:t>7.8</w:t>
      </w:r>
      <w:r>
        <w:rPr>
          <w:rFonts w:hint="eastAsia"/>
          <w:color w:val="auto"/>
          <w:sz w:val="21"/>
          <w:highlight w:val="none"/>
        </w:rPr>
        <w:t>款[环境保护</w:t>
      </w:r>
      <w:r>
        <w:rPr>
          <w:color w:val="auto"/>
          <w:sz w:val="21"/>
          <w:highlight w:val="none"/>
        </w:rPr>
        <w:t>]</w:t>
      </w:r>
      <w:r>
        <w:rPr>
          <w:rFonts w:hint="eastAsia"/>
          <w:color w:val="auto"/>
          <w:sz w:val="21"/>
          <w:highlight w:val="none"/>
        </w:rPr>
        <w:t>内容；将造成工期延误；与第</w:t>
      </w:r>
      <w:r>
        <w:rPr>
          <w:color w:val="auto"/>
          <w:sz w:val="21"/>
          <w:highlight w:val="none"/>
        </w:rPr>
        <w:t>4.1</w:t>
      </w:r>
      <w:r>
        <w:rPr>
          <w:rFonts w:hint="eastAsia"/>
          <w:color w:val="auto"/>
          <w:sz w:val="21"/>
          <w:highlight w:val="none"/>
        </w:rPr>
        <w:t>款[</w:t>
      </w:r>
      <w:r>
        <w:rPr>
          <w:color w:val="auto"/>
          <w:sz w:val="21"/>
          <w:highlight w:val="none"/>
        </w:rPr>
        <w:t>承包人的一般义务]</w:t>
      </w:r>
      <w:r>
        <w:rPr>
          <w:rFonts w:hint="eastAsia"/>
          <w:color w:val="auto"/>
          <w:sz w:val="21"/>
          <w:highlight w:val="none"/>
        </w:rPr>
        <w:t>相冲突等无法执行的理由。工程师接到承包人的通知后，应作出经发包人签认的取消、确认或改变原指示的书面回复。</w:t>
      </w:r>
    </w:p>
    <w:p w14:paraId="7934F0EC">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203" w:name="_Ref531955590"/>
      <w:bookmarkStart w:id="1204" w:name="_Ref531955587"/>
      <w:bookmarkStart w:id="1205" w:name="_Toc21626"/>
      <w:bookmarkStart w:id="1206" w:name="_Toc31827"/>
      <w:bookmarkStart w:id="1207" w:name="_Ref4623207"/>
      <w:bookmarkStart w:id="1208" w:name="_Toc54862284"/>
      <w:bookmarkStart w:id="1209" w:name="_Toc32612"/>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3.2 </w:t>
      </w:r>
      <w:r>
        <w:rPr>
          <w:rFonts w:hint="eastAsia" w:ascii="宋体" w:hAnsi="宋体" w:eastAsia="宋体"/>
          <w:b/>
          <w:bCs w:val="0"/>
          <w:color w:val="auto"/>
          <w:sz w:val="21"/>
          <w:szCs w:val="21"/>
          <w:highlight w:val="none"/>
        </w:rPr>
        <w:t>承</w:t>
      </w:r>
      <w:bookmarkEnd w:id="1203"/>
      <w:bookmarkEnd w:id="1204"/>
      <w:r>
        <w:rPr>
          <w:rFonts w:hint="eastAsia" w:ascii="宋体" w:hAnsi="宋体" w:eastAsia="宋体"/>
          <w:b/>
          <w:bCs w:val="0"/>
          <w:color w:val="auto"/>
          <w:sz w:val="21"/>
          <w:szCs w:val="21"/>
          <w:highlight w:val="none"/>
        </w:rPr>
        <w:t>包人的合理化建议</w:t>
      </w:r>
      <w:bookmarkEnd w:id="1205"/>
      <w:bookmarkEnd w:id="1206"/>
      <w:bookmarkEnd w:id="1207"/>
      <w:bookmarkEnd w:id="1208"/>
      <w:bookmarkEnd w:id="1209"/>
    </w:p>
    <w:p w14:paraId="6014B9CE">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3.2.1 </w:t>
      </w:r>
      <w:r>
        <w:rPr>
          <w:rFonts w:hint="eastAsia"/>
          <w:color w:val="auto"/>
          <w:sz w:val="21"/>
          <w:highlight w:val="none"/>
        </w:rPr>
        <w:t>承包人提出合理化建议的，应向工程师提交合理化建议说明，说明建议的内容、理由以及实施该建议对合同价格和工期的影响。</w:t>
      </w:r>
    </w:p>
    <w:p w14:paraId="1626841C">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bookmarkStart w:id="1210" w:name="_Ref4681686"/>
      <w:r>
        <w:rPr>
          <w:rFonts w:hint="eastAsia"/>
          <w:color w:val="auto"/>
          <w:sz w:val="21"/>
          <w:highlight w:val="none"/>
        </w:rPr>
        <w:t>1</w:t>
      </w:r>
      <w:r>
        <w:rPr>
          <w:color w:val="auto"/>
          <w:sz w:val="21"/>
          <w:highlight w:val="none"/>
        </w:rPr>
        <w:t xml:space="preserve">3.2.2 </w:t>
      </w:r>
      <w:r>
        <w:rPr>
          <w:rFonts w:hint="eastAsia"/>
          <w:color w:val="auto"/>
          <w:sz w:val="21"/>
          <w:highlight w:val="none"/>
        </w:rPr>
        <w:t>除专用合同条件另有约定外，</w:t>
      </w:r>
      <w:bookmarkStart w:id="1211" w:name="_Hlk4682273"/>
      <w:r>
        <w:rPr>
          <w:rFonts w:hint="eastAsia"/>
          <w:color w:val="auto"/>
          <w:sz w:val="21"/>
          <w:highlight w:val="none"/>
        </w:rPr>
        <w:t>工程师应在收到承包人提交的合理化建议后7天内审查完毕并报送发包人，发现其中存在技术上的缺陷，应通知承包人修改。发包人应在收到工程师报送的合理化建议后7天内审批完毕。合理化建议经发包人批准的，工程师应及时发出变更指示，由此引起的合同价格调整按照第</w:t>
      </w:r>
      <w:r>
        <w:rPr>
          <w:color w:val="auto"/>
          <w:sz w:val="21"/>
          <w:highlight w:val="none"/>
        </w:rPr>
        <w:t>13.3.3</w:t>
      </w:r>
      <w:r>
        <w:rPr>
          <w:rFonts w:hint="eastAsia"/>
          <w:color w:val="auto"/>
          <w:sz w:val="21"/>
          <w:highlight w:val="none"/>
        </w:rPr>
        <w:t>项[</w:t>
      </w:r>
      <w:r>
        <w:rPr>
          <w:color w:val="auto"/>
          <w:sz w:val="21"/>
          <w:highlight w:val="none"/>
        </w:rPr>
        <w:t>变更估价</w:t>
      </w:r>
      <w:r>
        <w:rPr>
          <w:rFonts w:hint="eastAsia"/>
          <w:color w:val="auto"/>
          <w:sz w:val="21"/>
          <w:highlight w:val="none"/>
        </w:rPr>
        <w:t>]约定执行。发包人不同意变更的，工程师应书面通知承包人</w:t>
      </w:r>
      <w:bookmarkEnd w:id="1210"/>
      <w:r>
        <w:rPr>
          <w:rFonts w:hint="eastAsia"/>
          <w:color w:val="auto"/>
          <w:sz w:val="21"/>
          <w:highlight w:val="none"/>
        </w:rPr>
        <w:t>。</w:t>
      </w:r>
    </w:p>
    <w:p w14:paraId="6E6B1774">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color w:val="auto"/>
          <w:sz w:val="21"/>
          <w:highlight w:val="none"/>
        </w:rPr>
        <w:t xml:space="preserve">13.2.3 </w:t>
      </w:r>
      <w:r>
        <w:rPr>
          <w:rFonts w:hint="eastAsia"/>
          <w:color w:val="auto"/>
          <w:sz w:val="21"/>
          <w:highlight w:val="none"/>
        </w:rPr>
        <w:t>合理化建议降低了合同价格、缩短了工期或者提高了工程经济效益的，双方可以按照专用合同条件的约定进行利益分享。</w:t>
      </w:r>
    </w:p>
    <w:bookmarkEnd w:id="1211"/>
    <w:p w14:paraId="38F17AA3">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212" w:name="_Toc22233"/>
      <w:bookmarkStart w:id="1213" w:name="_Ref532671480"/>
      <w:bookmarkStart w:id="1214" w:name="_Ref532673541"/>
      <w:bookmarkStart w:id="1215" w:name="_Ref532671484"/>
      <w:bookmarkStart w:id="1216" w:name="_Toc54862285"/>
      <w:bookmarkStart w:id="1217" w:name="_Ref532669302"/>
      <w:bookmarkStart w:id="1218" w:name="_Toc13985"/>
      <w:bookmarkStart w:id="1219" w:name="_Toc25888"/>
      <w:bookmarkStart w:id="1220" w:name="_Ref532673538"/>
      <w:bookmarkStart w:id="1221" w:name="_Ref532669305"/>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3.3 </w:t>
      </w:r>
      <w:r>
        <w:rPr>
          <w:rFonts w:hint="eastAsia" w:ascii="宋体" w:hAnsi="宋体" w:eastAsia="宋体"/>
          <w:b/>
          <w:bCs w:val="0"/>
          <w:color w:val="auto"/>
          <w:sz w:val="21"/>
          <w:szCs w:val="21"/>
          <w:highlight w:val="none"/>
        </w:rPr>
        <w:t>变更程序</w:t>
      </w:r>
      <w:bookmarkEnd w:id="1212"/>
      <w:bookmarkEnd w:id="1213"/>
      <w:bookmarkEnd w:id="1214"/>
      <w:bookmarkEnd w:id="1215"/>
      <w:bookmarkEnd w:id="1216"/>
      <w:bookmarkEnd w:id="1217"/>
      <w:bookmarkEnd w:id="1218"/>
      <w:bookmarkEnd w:id="1219"/>
      <w:bookmarkEnd w:id="1220"/>
      <w:bookmarkEnd w:id="1221"/>
    </w:p>
    <w:p w14:paraId="10D34831">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1222" w:name="_Ref4534600"/>
      <w:r>
        <w:rPr>
          <w:rFonts w:hint="eastAsia"/>
          <w:b/>
          <w:bCs/>
          <w:color w:val="auto"/>
          <w:sz w:val="21"/>
          <w:highlight w:val="none"/>
        </w:rPr>
        <w:t>1</w:t>
      </w:r>
      <w:r>
        <w:rPr>
          <w:b/>
          <w:bCs/>
          <w:color w:val="auto"/>
          <w:sz w:val="21"/>
          <w:highlight w:val="none"/>
        </w:rPr>
        <w:t xml:space="preserve">3.3.1 </w:t>
      </w:r>
      <w:r>
        <w:rPr>
          <w:rFonts w:hint="eastAsia"/>
          <w:b/>
          <w:bCs/>
          <w:color w:val="auto"/>
          <w:sz w:val="21"/>
          <w:highlight w:val="none"/>
        </w:rPr>
        <w:t>发包人提出变更</w:t>
      </w:r>
      <w:bookmarkEnd w:id="1222"/>
    </w:p>
    <w:p w14:paraId="30729EDD">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发包人提出变更的，应通过工程师向承包人发出书面形式的变更指示，变更指示应说明计划变更的工程范围和变更的内容。</w:t>
      </w:r>
    </w:p>
    <w:p w14:paraId="07A5E2AA">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1223" w:name="_Ref4534617"/>
      <w:r>
        <w:rPr>
          <w:rFonts w:hint="eastAsia"/>
          <w:b/>
          <w:bCs/>
          <w:color w:val="auto"/>
          <w:sz w:val="21"/>
          <w:highlight w:val="none"/>
        </w:rPr>
        <w:t>1</w:t>
      </w:r>
      <w:r>
        <w:rPr>
          <w:b/>
          <w:bCs/>
          <w:color w:val="auto"/>
          <w:sz w:val="21"/>
          <w:highlight w:val="none"/>
        </w:rPr>
        <w:t xml:space="preserve">3.3.2 </w:t>
      </w:r>
      <w:r>
        <w:rPr>
          <w:rFonts w:hint="eastAsia"/>
          <w:b/>
          <w:bCs/>
          <w:color w:val="auto"/>
          <w:sz w:val="21"/>
          <w:highlight w:val="none"/>
        </w:rPr>
        <w:t>变更执行</w:t>
      </w:r>
      <w:bookmarkEnd w:id="1223"/>
    </w:p>
    <w:p w14:paraId="6E70251F">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承包人收到工程师下达的变更指示后，认为不能执行，应在合理期限内提出不能执行该变更指示的理由。承包人认为可以执行变更的，应当书面说明实施该变更指示需要采取的具体措施及对合同价格和工期的影响，且合同当事人应当按照第</w:t>
      </w:r>
      <w:r>
        <w:rPr>
          <w:rFonts w:ascii="宋体" w:hAnsi="宋体"/>
          <w:color w:val="auto"/>
          <w:szCs w:val="21"/>
          <w:highlight w:val="none"/>
        </w:rPr>
        <w:t>13.3.3</w:t>
      </w:r>
      <w:r>
        <w:rPr>
          <w:rFonts w:hint="eastAsia" w:ascii="宋体" w:hAnsi="宋体"/>
          <w:color w:val="auto"/>
          <w:szCs w:val="21"/>
          <w:highlight w:val="none"/>
        </w:rPr>
        <w:t>项[变更估价]约定确定变更估价。</w:t>
      </w:r>
    </w:p>
    <w:p w14:paraId="67829C46">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1224" w:name="_Ref3835481"/>
      <w:r>
        <w:rPr>
          <w:rFonts w:hint="eastAsia"/>
          <w:b/>
          <w:bCs/>
          <w:color w:val="auto"/>
          <w:sz w:val="21"/>
          <w:highlight w:val="none"/>
        </w:rPr>
        <w:t>1</w:t>
      </w:r>
      <w:r>
        <w:rPr>
          <w:b/>
          <w:bCs/>
          <w:color w:val="auto"/>
          <w:sz w:val="21"/>
          <w:highlight w:val="none"/>
        </w:rPr>
        <w:t xml:space="preserve">3.3.3 </w:t>
      </w:r>
      <w:r>
        <w:rPr>
          <w:rFonts w:hint="eastAsia"/>
          <w:b/>
          <w:bCs/>
          <w:color w:val="auto"/>
          <w:sz w:val="21"/>
          <w:highlight w:val="none"/>
        </w:rPr>
        <w:t>变更估价</w:t>
      </w:r>
      <w:bookmarkEnd w:id="1224"/>
    </w:p>
    <w:p w14:paraId="7DAA2937">
      <w:pPr>
        <w:pStyle w:val="135"/>
        <w:keepNext w:val="0"/>
        <w:keepLines w:val="0"/>
        <w:pageBreakBefore w:val="0"/>
        <w:widowControl/>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3.3.3.1 </w:t>
      </w:r>
      <w:r>
        <w:rPr>
          <w:rFonts w:hint="eastAsia"/>
          <w:color w:val="auto"/>
          <w:sz w:val="21"/>
          <w:highlight w:val="none"/>
        </w:rPr>
        <w:t>变更估价原则</w:t>
      </w:r>
    </w:p>
    <w:p w14:paraId="0F916D58">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除专用合同条件另有约定外，变更估价按照本款约定处理：</w:t>
      </w:r>
    </w:p>
    <w:p w14:paraId="01C6E59F">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 合同中未包含价格清单，合同价格应按照所执行的变更工程的成本加利润调整；</w:t>
      </w:r>
    </w:p>
    <w:p w14:paraId="3075CCAA">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 合同中包含价格清单，合同价格按照如下规则调整：</w:t>
      </w:r>
    </w:p>
    <w:p w14:paraId="1376A4F2">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 价格清单中有适用于变更工程项目的，应采用该项目的费率和价格；</w:t>
      </w:r>
    </w:p>
    <w:p w14:paraId="0C995FA2">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 价格清单中没有适用但有类似于变更工程项目的，可在合理范围内参照类似项目的费率或价格；</w:t>
      </w:r>
    </w:p>
    <w:p w14:paraId="5A1835DA">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3） 价格清单中没有适用也没有类似于变更工程项目的，该工程项目应按成本加利润原则调整适用新的费率或价格。</w:t>
      </w:r>
    </w:p>
    <w:p w14:paraId="5583E069">
      <w:pPr>
        <w:pStyle w:val="135"/>
        <w:keepNext w:val="0"/>
        <w:keepLines w:val="0"/>
        <w:pageBreakBefore w:val="0"/>
        <w:widowControl/>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3.3.</w:t>
      </w:r>
      <w:r>
        <w:rPr>
          <w:rFonts w:hint="eastAsia"/>
          <w:color w:val="auto"/>
          <w:sz w:val="21"/>
          <w:highlight w:val="none"/>
        </w:rPr>
        <w:t>3</w:t>
      </w:r>
      <w:r>
        <w:rPr>
          <w:color w:val="auto"/>
          <w:sz w:val="21"/>
          <w:highlight w:val="none"/>
        </w:rPr>
        <w:t xml:space="preserve">.2 </w:t>
      </w:r>
      <w:r>
        <w:rPr>
          <w:rFonts w:hint="eastAsia"/>
          <w:color w:val="auto"/>
          <w:sz w:val="21"/>
          <w:highlight w:val="none"/>
        </w:rPr>
        <w:t>变更估价程序</w:t>
      </w:r>
    </w:p>
    <w:p w14:paraId="77B2B284">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bookmarkStart w:id="1225" w:name="_Ref531955605"/>
      <w:bookmarkStart w:id="1226" w:name="_Ref531955607"/>
      <w:bookmarkStart w:id="1227" w:name="_Toc296346651"/>
      <w:bookmarkStart w:id="1228" w:name="_Toc296503150"/>
      <w:bookmarkStart w:id="1229" w:name="_Toc337558844"/>
      <w:r>
        <w:rPr>
          <w:rFonts w:hint="eastAsia" w:ascii="宋体" w:hAnsi="宋体"/>
          <w:color w:val="auto"/>
          <w:szCs w:val="21"/>
          <w:highlight w:val="none"/>
        </w:rPr>
        <w:t>承包人应在收到变更指示后14天内，向工程师提交变更估价申请。工程师应在收到承包人提交的变更估价申请后7天内审查完毕并报送发包人，工程师对变更估价申请有异议，通知承包人修改后重新提交。发包人应在承包人提交变更估价申请后14天内审批完毕。发包人逾期未完成审批或未提出异议的，视为认可承包人提交的变更估价申请。</w:t>
      </w:r>
    </w:p>
    <w:p w14:paraId="6AE8E58B">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因变更引起的价格调整应计入最近一期的进度款中支付。</w:t>
      </w:r>
    </w:p>
    <w:p w14:paraId="2C95E5FA">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3.3.4 </w:t>
      </w:r>
      <w:r>
        <w:rPr>
          <w:rFonts w:hint="eastAsia"/>
          <w:color w:val="auto"/>
          <w:sz w:val="21"/>
          <w:highlight w:val="none"/>
        </w:rPr>
        <w:t>变更引起的工期调整</w:t>
      </w:r>
    </w:p>
    <w:p w14:paraId="4A148F80">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因变更引起工期变化的，合同当事人均可要求调整合同工期，由合同当事人按照第</w:t>
      </w:r>
      <w:r>
        <w:rPr>
          <w:rFonts w:ascii="宋体" w:hAnsi="宋体"/>
          <w:color w:val="auto"/>
          <w:szCs w:val="21"/>
          <w:highlight w:val="none"/>
        </w:rPr>
        <w:t>3.6</w:t>
      </w:r>
      <w:r>
        <w:rPr>
          <w:rFonts w:hint="eastAsia" w:ascii="宋体" w:hAnsi="宋体"/>
          <w:color w:val="auto"/>
          <w:szCs w:val="21"/>
          <w:highlight w:val="none"/>
        </w:rPr>
        <w:t>款[商定或确定]并参考工程所在地的工期定额标准确定增减工期天数。</w:t>
      </w:r>
    </w:p>
    <w:p w14:paraId="259CDE4C">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230" w:name="_Toc14341"/>
      <w:bookmarkStart w:id="1231" w:name="_Toc25246"/>
      <w:bookmarkStart w:id="1232" w:name="_Toc15325"/>
      <w:bookmarkStart w:id="1233" w:name="_Ref4431237"/>
      <w:bookmarkStart w:id="1234" w:name="_Toc54862286"/>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3.4 </w:t>
      </w:r>
      <w:r>
        <w:rPr>
          <w:rFonts w:hint="eastAsia" w:ascii="宋体" w:hAnsi="宋体" w:eastAsia="宋体"/>
          <w:b/>
          <w:bCs w:val="0"/>
          <w:color w:val="auto"/>
          <w:sz w:val="21"/>
          <w:szCs w:val="21"/>
          <w:highlight w:val="none"/>
        </w:rPr>
        <w:t>暂估价</w:t>
      </w:r>
      <w:bookmarkEnd w:id="1230"/>
      <w:bookmarkEnd w:id="1231"/>
      <w:bookmarkEnd w:id="1232"/>
      <w:bookmarkEnd w:id="1233"/>
      <w:bookmarkEnd w:id="1234"/>
    </w:p>
    <w:p w14:paraId="76402FD6">
      <w:pPr>
        <w:pStyle w:val="153"/>
        <w:keepNext w:val="0"/>
        <w:keepLines w:val="0"/>
        <w:pageBreakBefore w:val="0"/>
        <w:kinsoku/>
        <w:wordWrap/>
        <w:overflowPunct/>
        <w:topLinePunct w:val="0"/>
        <w:bidi w:val="0"/>
        <w:spacing w:after="120"/>
        <w:ind w:firstLine="422" w:firstLineChars="200"/>
        <w:textAlignment w:val="auto"/>
        <w:rPr>
          <w:b/>
          <w:bCs w:val="0"/>
          <w:color w:val="auto"/>
          <w:sz w:val="21"/>
          <w:highlight w:val="none"/>
        </w:rPr>
      </w:pPr>
      <w:bookmarkStart w:id="1235" w:name="_Ref4616729"/>
      <w:r>
        <w:rPr>
          <w:rFonts w:hint="eastAsia"/>
          <w:b/>
          <w:bCs w:val="0"/>
          <w:color w:val="auto"/>
          <w:sz w:val="21"/>
          <w:highlight w:val="none"/>
        </w:rPr>
        <w:t>1</w:t>
      </w:r>
      <w:r>
        <w:rPr>
          <w:b/>
          <w:bCs w:val="0"/>
          <w:color w:val="auto"/>
          <w:sz w:val="21"/>
          <w:highlight w:val="none"/>
        </w:rPr>
        <w:t xml:space="preserve">3.4.1 </w:t>
      </w:r>
      <w:r>
        <w:rPr>
          <w:rFonts w:hint="eastAsia"/>
          <w:b/>
          <w:bCs w:val="0"/>
          <w:color w:val="auto"/>
          <w:sz w:val="21"/>
          <w:highlight w:val="none"/>
        </w:rPr>
        <w:t>依法必须招标的暂估价项目</w:t>
      </w:r>
      <w:bookmarkEnd w:id="1235"/>
    </w:p>
    <w:p w14:paraId="58EE615F">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对于依法必须招标的暂估价项目，专用合同条件约定由承包人作为招标人的，招标文件、评标方案、评标结果应报送发包人批准。与组织招标工作有关的费用应当被认为已经包括在承包人的签约合同价中。</w:t>
      </w:r>
    </w:p>
    <w:p w14:paraId="7592375B">
      <w:pPr>
        <w:pStyle w:val="168"/>
        <w:keepNext w:val="0"/>
        <w:keepLines w:val="0"/>
        <w:pageBreakBefore w:val="0"/>
        <w:numPr>
          <w:ilvl w:val="0"/>
          <w:numId w:val="0"/>
        </w:numPr>
        <w:kinsoku/>
        <w:wordWrap/>
        <w:overflowPunct/>
        <w:topLinePunct w:val="0"/>
        <w:bidi w:val="0"/>
        <w:spacing w:after="120"/>
        <w:ind w:firstLine="420" w:firstLineChars="200"/>
        <w:textAlignment w:val="auto"/>
        <w:rPr>
          <w:color w:val="auto"/>
          <w:sz w:val="21"/>
          <w:szCs w:val="21"/>
          <w:highlight w:val="none"/>
        </w:rPr>
      </w:pPr>
      <w:r>
        <w:rPr>
          <w:rFonts w:hint="eastAsia"/>
          <w:color w:val="auto"/>
          <w:sz w:val="21"/>
          <w:szCs w:val="21"/>
          <w:highlight w:val="none"/>
        </w:rPr>
        <w:t>专用合同条件约定由发包人和承包人共同作为招标人的，与组织招标工作有关的费用在专用合同条件中约定。</w:t>
      </w:r>
    </w:p>
    <w:p w14:paraId="7D5564DD">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具体的招标程序以及发包人和承包人权利义务关系可在专用合同条件中约定。暂估价项目的中标金额与价格清单中所列暂估价的金额差以及相应的税金等其他费用应列入合同价格。</w:t>
      </w:r>
    </w:p>
    <w:p w14:paraId="57B58A2E">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1236" w:name="_Ref4682312"/>
      <w:r>
        <w:rPr>
          <w:rFonts w:hint="eastAsia"/>
          <w:b/>
          <w:bCs/>
          <w:color w:val="auto"/>
          <w:sz w:val="21"/>
          <w:highlight w:val="none"/>
        </w:rPr>
        <w:t>1</w:t>
      </w:r>
      <w:r>
        <w:rPr>
          <w:b/>
          <w:bCs/>
          <w:color w:val="auto"/>
          <w:sz w:val="21"/>
          <w:highlight w:val="none"/>
        </w:rPr>
        <w:t xml:space="preserve">3.4.2 </w:t>
      </w:r>
      <w:r>
        <w:rPr>
          <w:rFonts w:hint="eastAsia"/>
          <w:b/>
          <w:bCs/>
          <w:color w:val="auto"/>
          <w:sz w:val="21"/>
          <w:highlight w:val="none"/>
        </w:rPr>
        <w:t>不属于依法必须招标的暂估价项目</w:t>
      </w:r>
      <w:bookmarkEnd w:id="1236"/>
    </w:p>
    <w:p w14:paraId="2291A937">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对于不属于依法必须招标的暂估价项目，承包人具备实施暂估价项目的资格和条件的，经发包人和承包人协商一致后，可由承包人自行实施暂估价项目，具体的协商和估价程序以及发包人和承包人权利义务关系可在专用合同条件中约定。确定后的暂估价项目金额与价格清单中所列暂估价的金额差以及相应的税金等其他费用应列入合同价格。</w:t>
      </w:r>
    </w:p>
    <w:p w14:paraId="3831229E">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14:paraId="2E4B9023">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237" w:name="_Ref4431250"/>
      <w:bookmarkStart w:id="1238" w:name="_Toc54862287"/>
      <w:bookmarkStart w:id="1239" w:name="_Toc15416"/>
      <w:bookmarkStart w:id="1240" w:name="_Toc1135"/>
      <w:bookmarkStart w:id="1241" w:name="_Toc23639"/>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3.5 </w:t>
      </w:r>
      <w:r>
        <w:rPr>
          <w:rFonts w:hint="eastAsia" w:ascii="宋体" w:hAnsi="宋体" w:eastAsia="宋体"/>
          <w:b/>
          <w:bCs w:val="0"/>
          <w:color w:val="auto"/>
          <w:sz w:val="21"/>
          <w:szCs w:val="21"/>
          <w:highlight w:val="none"/>
        </w:rPr>
        <w:t>暂列金额</w:t>
      </w:r>
      <w:bookmarkEnd w:id="1225"/>
      <w:bookmarkEnd w:id="1226"/>
      <w:bookmarkEnd w:id="1237"/>
      <w:bookmarkEnd w:id="1238"/>
      <w:bookmarkEnd w:id="1239"/>
      <w:bookmarkEnd w:id="1240"/>
      <w:bookmarkEnd w:id="1241"/>
    </w:p>
    <w:bookmarkEnd w:id="1227"/>
    <w:bookmarkEnd w:id="1228"/>
    <w:bookmarkEnd w:id="1229"/>
    <w:p w14:paraId="458C937B">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除专用合同条件另有约定外，每一笔暂列金额只能按照发包人的指示全部或部分使用，并对合同价格进行相应调整。付给承包人的总金额应仅包括发包人已指示的，与暂列金额相关的工作、货物或服务的应付款项。</w:t>
      </w:r>
    </w:p>
    <w:p w14:paraId="6F00DD8F">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对于每笔暂列金额，发包人可以指示用于下列支付：</w:t>
      </w:r>
    </w:p>
    <w:p w14:paraId="7C87DFA4">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 发包人根据第</w:t>
      </w:r>
      <w:r>
        <w:rPr>
          <w:rFonts w:ascii="宋体" w:hAnsi="宋体"/>
          <w:color w:val="auto"/>
          <w:szCs w:val="21"/>
          <w:highlight w:val="none"/>
        </w:rPr>
        <w:t>13.1</w:t>
      </w:r>
      <w:r>
        <w:rPr>
          <w:rFonts w:hint="eastAsia" w:ascii="宋体" w:hAnsi="宋体"/>
          <w:color w:val="auto"/>
          <w:szCs w:val="21"/>
          <w:highlight w:val="none"/>
        </w:rPr>
        <w:t>款[发包人变更权]指示变更，决定对合同价格和付款计划表（如有）进行调整的、由承包人实施的工作（包括要提供的工程设备、材料和服务）；</w:t>
      </w:r>
    </w:p>
    <w:p w14:paraId="2825A00F">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 承包人购买的工程设备、材料、工作或服务，应支付包括承包人已付（或应付）的实际金额以及相应的管理费等费用和利润（管理费和利润应以实际金额为基数根据合同约定的费率（如有）或百分比计算）。</w:t>
      </w:r>
    </w:p>
    <w:p w14:paraId="344A599E">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发包人根据上述(1)和（或）(2)指示支付暂列金额的，可以要求承包人提交其供应商提供的全部或部分要实施的工程或拟购买的工程设备、材料、工作或服务的项目报价单。发包人可以发出通知指示承包人接受其中的一个报价或指示撤销支付，发包人在收到项目报价单的7天内未作回应的，承包人应有权自行接受其中任何一个报价。</w:t>
      </w:r>
    </w:p>
    <w:p w14:paraId="1C65E534">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每份包含暂列金额的文件还应包括用以证明暂列金额的所有有效的发票、凭证和账户或收据。</w:t>
      </w:r>
    </w:p>
    <w:p w14:paraId="03184A15">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242" w:name="_Toc296503152"/>
      <w:bookmarkStart w:id="1243" w:name="_Toc973"/>
      <w:bookmarkStart w:id="1244" w:name="_Toc337558845"/>
      <w:bookmarkStart w:id="1245" w:name="_Ref4431438"/>
      <w:bookmarkStart w:id="1246" w:name="_Toc54862288"/>
      <w:bookmarkStart w:id="1247" w:name="_Toc21965"/>
      <w:bookmarkStart w:id="1248" w:name="_Toc296346653"/>
      <w:bookmarkStart w:id="1249" w:name="_Toc24232"/>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3.6 </w:t>
      </w:r>
      <w:r>
        <w:rPr>
          <w:rFonts w:hint="eastAsia" w:ascii="宋体" w:hAnsi="宋体" w:eastAsia="宋体"/>
          <w:b/>
          <w:bCs w:val="0"/>
          <w:color w:val="auto"/>
          <w:sz w:val="21"/>
          <w:szCs w:val="21"/>
          <w:highlight w:val="none"/>
        </w:rPr>
        <w:t>计日工</w:t>
      </w:r>
      <w:bookmarkEnd w:id="1242"/>
      <w:bookmarkEnd w:id="1243"/>
      <w:bookmarkEnd w:id="1244"/>
      <w:bookmarkEnd w:id="1245"/>
      <w:bookmarkEnd w:id="1246"/>
      <w:bookmarkEnd w:id="1247"/>
      <w:bookmarkEnd w:id="1248"/>
      <w:bookmarkEnd w:id="1249"/>
    </w:p>
    <w:p w14:paraId="7C19175C">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3.6.1 </w:t>
      </w:r>
      <w:r>
        <w:rPr>
          <w:rFonts w:hint="eastAsia"/>
          <w:color w:val="auto"/>
          <w:sz w:val="21"/>
          <w:highlight w:val="none"/>
        </w:rPr>
        <w:t>需要采用计日工方式的，经发包人同意后，由工程师通知承包人以计日工计价方式实施相应的工作，其价款按列入价格清单或预算书中的计日工计价项目及其单价进行计算；价格清单或预算书中无相应的计日工单价的，按照合理的成本与利润构成的原则，由工程师按照第</w:t>
      </w:r>
      <w:r>
        <w:rPr>
          <w:color w:val="auto"/>
          <w:sz w:val="21"/>
          <w:highlight w:val="none"/>
        </w:rPr>
        <w:t>3.6</w:t>
      </w:r>
      <w:r>
        <w:rPr>
          <w:rFonts w:hint="eastAsia"/>
          <w:color w:val="auto"/>
          <w:sz w:val="21"/>
          <w:highlight w:val="none"/>
        </w:rPr>
        <w:t>款[商定或确定]确定计日工的单价。</w:t>
      </w:r>
    </w:p>
    <w:p w14:paraId="28A06E8D">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3.6.2 </w:t>
      </w:r>
      <w:r>
        <w:rPr>
          <w:rFonts w:hint="eastAsia"/>
          <w:color w:val="auto"/>
          <w:sz w:val="21"/>
          <w:highlight w:val="none"/>
        </w:rPr>
        <w:t>采用计日工计价的任何一项工作，承包人应在该项工作实施过程中，每天提交以下报表和有关凭证报送工程师审查：</w:t>
      </w:r>
    </w:p>
    <w:p w14:paraId="7453148D">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 工作名称、内容和数量；</w:t>
      </w:r>
    </w:p>
    <w:p w14:paraId="3EE2052B">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 投入该工作的所有人员的姓名、专业、工种、级别和耗用工时；</w:t>
      </w:r>
    </w:p>
    <w:p w14:paraId="7137B82B">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（3） 投入该工作的材料类别和数量；</w:t>
      </w:r>
    </w:p>
    <w:p w14:paraId="402731DF">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（4） 投入该工作的施工设备型号、台数和耗用台时；</w:t>
      </w:r>
    </w:p>
    <w:p w14:paraId="368D9EAC">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5</w:t>
      </w:r>
      <w:r>
        <w:rPr>
          <w:rFonts w:hint="eastAsia" w:ascii="宋体" w:hAnsi="宋体"/>
          <w:color w:val="auto"/>
          <w:szCs w:val="21"/>
          <w:highlight w:val="none"/>
        </w:rPr>
        <w:t>） 其他有关资料和凭证。</w:t>
      </w:r>
    </w:p>
    <w:p w14:paraId="438B62CB">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计日工由承包人汇总后，列入最近一期进度付款申请单，由工程师审查并经发包人批准后列入进度付款。</w:t>
      </w:r>
    </w:p>
    <w:p w14:paraId="499E4D4F">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250" w:name="_Toc31779"/>
      <w:bookmarkStart w:id="1251" w:name="_Toc15450"/>
      <w:bookmarkStart w:id="1252" w:name="_Toc54862289"/>
      <w:bookmarkStart w:id="1253" w:name="_Ref4617331"/>
      <w:bookmarkStart w:id="1254" w:name="_Ref4617318"/>
      <w:bookmarkStart w:id="1255" w:name="_Toc20945"/>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3.7 </w:t>
      </w:r>
      <w:r>
        <w:rPr>
          <w:rFonts w:hint="eastAsia" w:ascii="宋体" w:hAnsi="宋体" w:eastAsia="宋体"/>
          <w:b/>
          <w:bCs w:val="0"/>
          <w:color w:val="auto"/>
          <w:sz w:val="21"/>
          <w:szCs w:val="21"/>
          <w:highlight w:val="none"/>
        </w:rPr>
        <w:t>法律变化引起的调整</w:t>
      </w:r>
      <w:bookmarkEnd w:id="1250"/>
      <w:bookmarkEnd w:id="1251"/>
      <w:bookmarkEnd w:id="1252"/>
      <w:bookmarkEnd w:id="1253"/>
      <w:bookmarkEnd w:id="1254"/>
      <w:bookmarkEnd w:id="1255"/>
    </w:p>
    <w:p w14:paraId="7714D7A2">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3.7.1 </w:t>
      </w:r>
      <w:r>
        <w:rPr>
          <w:rFonts w:hint="eastAsia"/>
          <w:color w:val="auto"/>
          <w:sz w:val="21"/>
          <w:highlight w:val="none"/>
        </w:rPr>
        <w:t>基准日期后，法律变化导致承包人在合同履行过程中所需要的费用发生除第13.</w:t>
      </w:r>
      <w:r>
        <w:rPr>
          <w:color w:val="auto"/>
          <w:sz w:val="21"/>
          <w:highlight w:val="none"/>
        </w:rPr>
        <w:t>8</w:t>
      </w:r>
      <w:r>
        <w:rPr>
          <w:rFonts w:hint="eastAsia"/>
          <w:color w:val="auto"/>
          <w:sz w:val="21"/>
          <w:highlight w:val="none"/>
        </w:rPr>
        <w:t>款[市场价格波动引起的调整]约定以外的增加时，由发包人承担由此增加的费用；减少时，应从合同价格中予以扣减。基准日期后，因法律变化造成工期延误时，工期应予以顺延。</w:t>
      </w:r>
    </w:p>
    <w:p w14:paraId="2C4FE817">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3.7.2 </w:t>
      </w:r>
      <w:r>
        <w:rPr>
          <w:rFonts w:hint="eastAsia"/>
          <w:color w:val="auto"/>
          <w:sz w:val="21"/>
          <w:highlight w:val="none"/>
        </w:rPr>
        <w:t>因法律变化引起的合同价格和工期调整，合同当事人无法达成一致的，由工程师按第</w:t>
      </w:r>
      <w:r>
        <w:rPr>
          <w:color w:val="auto"/>
          <w:sz w:val="21"/>
          <w:highlight w:val="none"/>
        </w:rPr>
        <w:t>3.6</w:t>
      </w:r>
      <w:r>
        <w:rPr>
          <w:rFonts w:hint="eastAsia"/>
          <w:color w:val="auto"/>
          <w:sz w:val="21"/>
          <w:highlight w:val="none"/>
        </w:rPr>
        <w:t>款[商定或确定]的约定处理。</w:t>
      </w:r>
    </w:p>
    <w:p w14:paraId="4B1C1ACD">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3.7.3 </w:t>
      </w:r>
      <w:r>
        <w:rPr>
          <w:rFonts w:hint="eastAsia"/>
          <w:color w:val="auto"/>
          <w:sz w:val="21"/>
          <w:highlight w:val="none"/>
        </w:rPr>
        <w:t>因承包人原因造成工期延误，在工期延误期间出现法律变化的，由此增加的费用和（或）延误的工期由承包人承担。</w:t>
      </w:r>
    </w:p>
    <w:p w14:paraId="7F8BEDB6">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3.7.4 </w:t>
      </w:r>
      <w:r>
        <w:rPr>
          <w:rFonts w:hint="eastAsia"/>
          <w:color w:val="auto"/>
          <w:sz w:val="21"/>
          <w:highlight w:val="none"/>
        </w:rPr>
        <w:t>因法律变化而需要对工程的实施进行任何调整的，承包人应迅速通知发包人，或者发包人应迅速通知承包人，并附上详细的辅助资料。发包人接到通知后，应根据第</w:t>
      </w:r>
      <w:r>
        <w:rPr>
          <w:color w:val="auto"/>
          <w:sz w:val="21"/>
          <w:highlight w:val="none"/>
        </w:rPr>
        <w:t>13.3</w:t>
      </w:r>
      <w:r>
        <w:rPr>
          <w:rFonts w:hint="eastAsia"/>
          <w:color w:val="auto"/>
          <w:sz w:val="21"/>
          <w:highlight w:val="none"/>
        </w:rPr>
        <w:t>款[</w:t>
      </w:r>
      <w:r>
        <w:rPr>
          <w:color w:val="auto"/>
          <w:sz w:val="21"/>
          <w:highlight w:val="none"/>
        </w:rPr>
        <w:t>变更程序</w:t>
      </w:r>
      <w:r>
        <w:rPr>
          <w:rFonts w:hint="eastAsia"/>
          <w:color w:val="auto"/>
          <w:sz w:val="21"/>
          <w:highlight w:val="none"/>
        </w:rPr>
        <w:t>]发出变更指示。</w:t>
      </w:r>
    </w:p>
    <w:p w14:paraId="37DF91F4">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256" w:name="_Ref531955630"/>
      <w:bookmarkStart w:id="1257" w:name="_Toc15709"/>
      <w:bookmarkStart w:id="1258" w:name="_Ref18977613"/>
      <w:bookmarkStart w:id="1259" w:name="_Toc54862290"/>
      <w:bookmarkStart w:id="1260" w:name="_Toc28758"/>
      <w:bookmarkStart w:id="1261" w:name="_Ref531955627"/>
      <w:bookmarkStart w:id="1262" w:name="_Toc27323"/>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3.8 </w:t>
      </w:r>
      <w:r>
        <w:rPr>
          <w:rFonts w:hint="eastAsia" w:ascii="宋体" w:hAnsi="宋体" w:eastAsia="宋体"/>
          <w:b/>
          <w:bCs w:val="0"/>
          <w:color w:val="auto"/>
          <w:sz w:val="21"/>
          <w:szCs w:val="21"/>
          <w:highlight w:val="none"/>
        </w:rPr>
        <w:t>市场价格波动引起的调整</w:t>
      </w:r>
      <w:bookmarkEnd w:id="1256"/>
      <w:bookmarkEnd w:id="1257"/>
      <w:bookmarkEnd w:id="1258"/>
      <w:bookmarkEnd w:id="1259"/>
      <w:bookmarkEnd w:id="1260"/>
      <w:bookmarkEnd w:id="1261"/>
      <w:bookmarkEnd w:id="1262"/>
    </w:p>
    <w:p w14:paraId="55DF260B">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bookmarkStart w:id="1263" w:name="_Ref4709841"/>
      <w:r>
        <w:rPr>
          <w:rFonts w:hint="eastAsia"/>
          <w:color w:val="auto"/>
          <w:sz w:val="21"/>
          <w:highlight w:val="none"/>
        </w:rPr>
        <w:t>1</w:t>
      </w:r>
      <w:r>
        <w:rPr>
          <w:color w:val="auto"/>
          <w:sz w:val="21"/>
          <w:highlight w:val="none"/>
        </w:rPr>
        <w:t xml:space="preserve">3.8.1 </w:t>
      </w:r>
      <w:r>
        <w:rPr>
          <w:rFonts w:hint="eastAsia"/>
          <w:color w:val="auto"/>
          <w:sz w:val="21"/>
          <w:highlight w:val="none"/>
        </w:rPr>
        <w:t>主要工程材料、设备、人工价格与招标时基期价相比，波动幅度超过合同约定幅度的，双方按照合同约定的价格调整方式调整。</w:t>
      </w:r>
    </w:p>
    <w:p w14:paraId="29F032AE">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3.8.2 </w:t>
      </w:r>
      <w:r>
        <w:rPr>
          <w:rFonts w:hint="eastAsia"/>
          <w:color w:val="auto"/>
          <w:sz w:val="21"/>
          <w:highlight w:val="none"/>
        </w:rPr>
        <w:t>发包人与承包人在专用合同条件中约定采用《价格指数权重表》的，适用本项约定。</w:t>
      </w:r>
    </w:p>
    <w:p w14:paraId="18624505">
      <w:pPr>
        <w:pStyle w:val="135"/>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3.8.2.1 </w:t>
      </w:r>
      <w:r>
        <w:rPr>
          <w:rFonts w:hint="eastAsia"/>
          <w:color w:val="auto"/>
          <w:sz w:val="21"/>
          <w:highlight w:val="none"/>
        </w:rPr>
        <w:t>双方当事人可以将部分主要工程材料、工程设备、人工价格及其他双方认为应当根据市场价格调整的费用列入附件</w:t>
      </w:r>
      <w:r>
        <w:rPr>
          <w:color w:val="auto"/>
          <w:sz w:val="21"/>
          <w:highlight w:val="none"/>
        </w:rPr>
        <w:t>6</w:t>
      </w:r>
      <w:r>
        <w:rPr>
          <w:rFonts w:hint="eastAsia"/>
          <w:color w:val="auto"/>
          <w:sz w:val="21"/>
          <w:highlight w:val="none"/>
        </w:rPr>
        <w:t>[</w:t>
      </w:r>
      <w:r>
        <w:rPr>
          <w:color w:val="auto"/>
          <w:sz w:val="21"/>
          <w:highlight w:val="none"/>
        </w:rPr>
        <w:t>价格指数权重表</w:t>
      </w:r>
      <w:r>
        <w:rPr>
          <w:rFonts w:hint="eastAsia"/>
          <w:color w:val="auto"/>
          <w:sz w:val="21"/>
          <w:highlight w:val="none"/>
        </w:rPr>
        <w:t>]</w:t>
      </w:r>
      <w:r>
        <w:rPr>
          <w:color w:val="auto"/>
          <w:sz w:val="21"/>
          <w:highlight w:val="none"/>
        </w:rPr>
        <w:t>，并根据以下公式计算差额并调整合同价格：</w:t>
      </w:r>
    </w:p>
    <w:bookmarkEnd w:id="1263"/>
    <w:p w14:paraId="055E16C6">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bookmarkStart w:id="1264" w:name="_Ref4616996"/>
      <w:r>
        <w:rPr>
          <w:rFonts w:hint="eastAsia" w:ascii="宋体" w:hAnsi="宋体"/>
          <w:color w:val="auto"/>
          <w:szCs w:val="21"/>
          <w:highlight w:val="none"/>
        </w:rPr>
        <w:t>（1） 价格调整公式</w:t>
      </w:r>
      <w:bookmarkEnd w:id="1264"/>
    </w:p>
    <w:p w14:paraId="0CF709A1">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drawing>
          <wp:inline distT="0" distB="0" distL="114300" distR="114300">
            <wp:extent cx="4779010" cy="683895"/>
            <wp:effectExtent l="0" t="0" r="2540"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7"/>
                    <a:stretch>
                      <a:fillRect/>
                    </a:stretch>
                  </pic:blipFill>
                  <pic:spPr>
                    <a:xfrm>
                      <a:off x="0" y="0"/>
                      <a:ext cx="4779010" cy="683895"/>
                    </a:xfrm>
                    <a:prstGeom prst="rect">
                      <a:avLst/>
                    </a:prstGeom>
                    <a:noFill/>
                    <a:ln>
                      <a:noFill/>
                    </a:ln>
                  </pic:spPr>
                </pic:pic>
              </a:graphicData>
            </a:graphic>
          </wp:inline>
        </w:drawing>
      </w:r>
    </w:p>
    <w:p w14:paraId="0A75B700">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公式中：△P---需调整的价格差额；</w:t>
      </w:r>
    </w:p>
    <w:p w14:paraId="72F2B311">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P</w:t>
      </w:r>
      <w:r>
        <w:rPr>
          <w:rFonts w:hint="eastAsia" w:ascii="宋体" w:hAnsi="宋体"/>
          <w:color w:val="auto"/>
          <w:szCs w:val="21"/>
          <w:highlight w:val="none"/>
          <w:vertAlign w:val="subscript"/>
        </w:rPr>
        <w:t>O</w:t>
      </w:r>
      <w:r>
        <w:rPr>
          <w:rFonts w:hint="eastAsia" w:ascii="宋体" w:hAnsi="宋体"/>
          <w:color w:val="auto"/>
          <w:szCs w:val="21"/>
          <w:highlight w:val="none"/>
        </w:rPr>
        <w:t>---付款证书中承包人应得到的已完成工作量的金额。此项金额应不包括价格调整、不计质量保证金的预留和支付、预付款的支付和扣回。第13条[变更与</w:t>
      </w:r>
      <w:r>
        <w:rPr>
          <w:rFonts w:ascii="宋体" w:hAnsi="宋体"/>
          <w:color w:val="auto"/>
          <w:szCs w:val="21"/>
          <w:highlight w:val="none"/>
        </w:rPr>
        <w:t>调整</w:t>
      </w:r>
      <w:r>
        <w:rPr>
          <w:rFonts w:hint="eastAsia" w:ascii="宋体" w:hAnsi="宋体"/>
          <w:color w:val="auto"/>
          <w:szCs w:val="21"/>
          <w:highlight w:val="none"/>
        </w:rPr>
        <w:t>]约定的变更及其他金额已按当期价格计价的，也不计在内；</w:t>
      </w:r>
    </w:p>
    <w:p w14:paraId="1E78CC5F">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 xml:space="preserve">A ---定值权重（即不调部分的权重）； </w:t>
      </w:r>
    </w:p>
    <w:p w14:paraId="1C90CF84">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bookmarkStart w:id="1265" w:name="_Hlk24103184"/>
      <w:r>
        <w:rPr>
          <w:rFonts w:hint="eastAsia" w:ascii="宋体" w:hAnsi="宋体"/>
          <w:color w:val="auto"/>
          <w:szCs w:val="21"/>
          <w:highlight w:val="none"/>
        </w:rPr>
        <w:t>B</w:t>
      </w:r>
      <w:r>
        <w:rPr>
          <w:rFonts w:hint="eastAsia" w:ascii="宋体" w:hAnsi="宋体"/>
          <w:color w:val="auto"/>
          <w:szCs w:val="21"/>
          <w:highlight w:val="none"/>
          <w:vertAlign w:val="subscript"/>
        </w:rPr>
        <w:t>1</w:t>
      </w:r>
      <w:bookmarkEnd w:id="1265"/>
      <w:r>
        <w:rPr>
          <w:rFonts w:hint="eastAsia" w:ascii="宋体" w:hAnsi="宋体"/>
          <w:color w:val="auto"/>
          <w:szCs w:val="21"/>
          <w:highlight w:val="none"/>
        </w:rPr>
        <w:t>；</w:t>
      </w:r>
      <w:bookmarkStart w:id="1266" w:name="_Hlk24103205"/>
      <w:r>
        <w:rPr>
          <w:rFonts w:hint="eastAsia" w:ascii="宋体" w:hAnsi="宋体"/>
          <w:color w:val="auto"/>
          <w:szCs w:val="21"/>
          <w:highlight w:val="none"/>
        </w:rPr>
        <w:t>B</w:t>
      </w:r>
      <w:r>
        <w:rPr>
          <w:rFonts w:hint="eastAsia" w:ascii="宋体" w:hAnsi="宋体"/>
          <w:color w:val="auto"/>
          <w:szCs w:val="21"/>
          <w:highlight w:val="none"/>
          <w:vertAlign w:val="subscript"/>
        </w:rPr>
        <w:t>2</w:t>
      </w:r>
      <w:bookmarkEnd w:id="1266"/>
      <w:r>
        <w:rPr>
          <w:rFonts w:hint="eastAsia" w:ascii="宋体" w:hAnsi="宋体"/>
          <w:color w:val="auto"/>
          <w:szCs w:val="21"/>
          <w:highlight w:val="none"/>
        </w:rPr>
        <w:t>；</w:t>
      </w:r>
      <w:bookmarkStart w:id="1267" w:name="_Hlk24103220"/>
      <w:r>
        <w:rPr>
          <w:rFonts w:hint="eastAsia" w:ascii="宋体" w:hAnsi="宋体"/>
          <w:color w:val="auto"/>
          <w:szCs w:val="21"/>
          <w:highlight w:val="none"/>
        </w:rPr>
        <w:t>B</w:t>
      </w:r>
      <w:r>
        <w:rPr>
          <w:rFonts w:hint="eastAsia" w:ascii="宋体" w:hAnsi="宋体"/>
          <w:color w:val="auto"/>
          <w:szCs w:val="21"/>
          <w:highlight w:val="none"/>
          <w:vertAlign w:val="subscript"/>
        </w:rPr>
        <w:t>3</w:t>
      </w:r>
      <w:bookmarkEnd w:id="1267"/>
      <w:r>
        <w:rPr>
          <w:rFonts w:hint="eastAsia" w:ascii="宋体" w:hAnsi="宋体"/>
          <w:color w:val="auto"/>
          <w:szCs w:val="21"/>
          <w:highlight w:val="none"/>
        </w:rPr>
        <w:t>；……</w:t>
      </w:r>
      <w:bookmarkStart w:id="1268" w:name="_Hlk24103245"/>
      <w:r>
        <w:rPr>
          <w:rFonts w:hint="eastAsia" w:ascii="宋体" w:hAnsi="宋体"/>
          <w:color w:val="auto"/>
          <w:szCs w:val="21"/>
          <w:highlight w:val="none"/>
        </w:rPr>
        <w:t>B</w:t>
      </w:r>
      <w:r>
        <w:rPr>
          <w:rFonts w:hint="eastAsia" w:ascii="宋体" w:hAnsi="宋体"/>
          <w:color w:val="auto"/>
          <w:szCs w:val="21"/>
          <w:highlight w:val="none"/>
          <w:vertAlign w:val="subscript"/>
        </w:rPr>
        <w:t>n</w:t>
      </w:r>
      <w:bookmarkEnd w:id="1268"/>
      <w:r>
        <w:rPr>
          <w:rFonts w:hint="eastAsia" w:ascii="宋体" w:hAnsi="宋体"/>
          <w:color w:val="auto"/>
          <w:szCs w:val="21"/>
          <w:highlight w:val="none"/>
        </w:rPr>
        <w:t>---各可调因子的变值权重（即可调部分的权重）为各可调因子在投标函投标总报价中所占的比例，且A+B</w:t>
      </w:r>
      <w:r>
        <w:rPr>
          <w:rFonts w:hint="eastAsia" w:ascii="宋体" w:hAnsi="宋体"/>
          <w:color w:val="auto"/>
          <w:szCs w:val="21"/>
          <w:highlight w:val="none"/>
          <w:vertAlign w:val="subscript"/>
        </w:rPr>
        <w:t>1</w:t>
      </w:r>
      <w:r>
        <w:rPr>
          <w:rFonts w:hint="eastAsia" w:ascii="宋体" w:hAnsi="宋体"/>
          <w:color w:val="auto"/>
          <w:szCs w:val="21"/>
          <w:highlight w:val="none"/>
        </w:rPr>
        <w:t>+B</w:t>
      </w:r>
      <w:r>
        <w:rPr>
          <w:rFonts w:hint="eastAsia" w:ascii="宋体" w:hAnsi="宋体"/>
          <w:color w:val="auto"/>
          <w:szCs w:val="21"/>
          <w:highlight w:val="none"/>
          <w:vertAlign w:val="subscript"/>
        </w:rPr>
        <w:t>2</w:t>
      </w:r>
      <w:r>
        <w:rPr>
          <w:rFonts w:hint="eastAsia" w:ascii="宋体" w:hAnsi="宋体"/>
          <w:color w:val="auto"/>
          <w:szCs w:val="21"/>
          <w:highlight w:val="none"/>
        </w:rPr>
        <w:t>+B</w:t>
      </w:r>
      <w:r>
        <w:rPr>
          <w:rFonts w:hint="eastAsia" w:ascii="宋体" w:hAnsi="宋体"/>
          <w:color w:val="auto"/>
          <w:szCs w:val="21"/>
          <w:highlight w:val="none"/>
          <w:vertAlign w:val="subscript"/>
        </w:rPr>
        <w:t>3</w:t>
      </w:r>
      <w:r>
        <w:rPr>
          <w:rFonts w:hint="eastAsia" w:ascii="宋体" w:hAnsi="宋体"/>
          <w:color w:val="auto"/>
          <w:szCs w:val="21"/>
          <w:highlight w:val="none"/>
        </w:rPr>
        <w:t>+……+B</w:t>
      </w:r>
      <w:r>
        <w:rPr>
          <w:rFonts w:hint="eastAsia" w:ascii="宋体" w:hAnsi="宋体"/>
          <w:color w:val="auto"/>
          <w:szCs w:val="21"/>
          <w:highlight w:val="none"/>
          <w:vertAlign w:val="subscript"/>
        </w:rPr>
        <w:t>n</w:t>
      </w:r>
      <w:r>
        <w:rPr>
          <w:rFonts w:hint="eastAsia" w:ascii="宋体" w:hAnsi="宋体"/>
          <w:color w:val="auto"/>
          <w:szCs w:val="21"/>
          <w:highlight w:val="none"/>
        </w:rPr>
        <w:t>=1；</w:t>
      </w:r>
    </w:p>
    <w:p w14:paraId="6F015A6B">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F</w:t>
      </w:r>
      <w:r>
        <w:rPr>
          <w:rFonts w:hint="eastAsia" w:ascii="宋体" w:hAnsi="宋体"/>
          <w:color w:val="auto"/>
          <w:szCs w:val="21"/>
          <w:highlight w:val="none"/>
          <w:vertAlign w:val="subscript"/>
        </w:rPr>
        <w:t>t1</w:t>
      </w:r>
      <w:r>
        <w:rPr>
          <w:rFonts w:hint="eastAsia" w:ascii="宋体" w:hAnsi="宋体"/>
          <w:color w:val="auto"/>
          <w:szCs w:val="21"/>
          <w:highlight w:val="none"/>
        </w:rPr>
        <w:t>；F</w:t>
      </w:r>
      <w:r>
        <w:rPr>
          <w:rFonts w:hint="eastAsia" w:ascii="宋体" w:hAnsi="宋体"/>
          <w:color w:val="auto"/>
          <w:szCs w:val="21"/>
          <w:highlight w:val="none"/>
          <w:vertAlign w:val="subscript"/>
        </w:rPr>
        <w:t>t2</w:t>
      </w:r>
      <w:r>
        <w:rPr>
          <w:rFonts w:hint="eastAsia" w:ascii="宋体" w:hAnsi="宋体"/>
          <w:color w:val="auto"/>
          <w:szCs w:val="21"/>
          <w:highlight w:val="none"/>
        </w:rPr>
        <w:t>；F</w:t>
      </w:r>
      <w:r>
        <w:rPr>
          <w:rFonts w:hint="eastAsia" w:ascii="宋体" w:hAnsi="宋体"/>
          <w:color w:val="auto"/>
          <w:szCs w:val="21"/>
          <w:highlight w:val="none"/>
          <w:vertAlign w:val="subscript"/>
        </w:rPr>
        <w:t>t3</w:t>
      </w:r>
      <w:r>
        <w:rPr>
          <w:rFonts w:hint="eastAsia" w:ascii="宋体" w:hAnsi="宋体"/>
          <w:color w:val="auto"/>
          <w:szCs w:val="21"/>
          <w:highlight w:val="none"/>
        </w:rPr>
        <w:t>；……F</w:t>
      </w:r>
      <w:r>
        <w:rPr>
          <w:rFonts w:hint="eastAsia" w:ascii="宋体" w:hAnsi="宋体"/>
          <w:color w:val="auto"/>
          <w:szCs w:val="21"/>
          <w:highlight w:val="none"/>
          <w:vertAlign w:val="subscript"/>
        </w:rPr>
        <w:t>tn</w:t>
      </w:r>
      <w:r>
        <w:rPr>
          <w:rFonts w:hint="eastAsia" w:ascii="宋体" w:hAnsi="宋体"/>
          <w:color w:val="auto"/>
          <w:szCs w:val="21"/>
          <w:highlight w:val="none"/>
        </w:rPr>
        <w:t>---各可调因子的当期价格指数，指付款证书相关周期最后一天的前42天的各可调因子的价格指数；</w:t>
      </w:r>
    </w:p>
    <w:p w14:paraId="0237825A">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F</w:t>
      </w:r>
      <w:r>
        <w:rPr>
          <w:rFonts w:hint="eastAsia" w:ascii="宋体" w:hAnsi="宋体"/>
          <w:color w:val="auto"/>
          <w:szCs w:val="21"/>
          <w:highlight w:val="none"/>
          <w:vertAlign w:val="subscript"/>
        </w:rPr>
        <w:t>01</w:t>
      </w:r>
      <w:r>
        <w:rPr>
          <w:rFonts w:hint="eastAsia" w:ascii="宋体" w:hAnsi="宋体"/>
          <w:color w:val="auto"/>
          <w:szCs w:val="21"/>
          <w:highlight w:val="none"/>
        </w:rPr>
        <w:t>；F</w:t>
      </w:r>
      <w:r>
        <w:rPr>
          <w:rFonts w:hint="eastAsia" w:ascii="宋体" w:hAnsi="宋体"/>
          <w:color w:val="auto"/>
          <w:szCs w:val="21"/>
          <w:highlight w:val="none"/>
          <w:vertAlign w:val="subscript"/>
        </w:rPr>
        <w:t>02</w:t>
      </w:r>
      <w:r>
        <w:rPr>
          <w:rFonts w:hint="eastAsia" w:ascii="宋体" w:hAnsi="宋体"/>
          <w:color w:val="auto"/>
          <w:szCs w:val="21"/>
          <w:highlight w:val="none"/>
        </w:rPr>
        <w:t>；F</w:t>
      </w:r>
      <w:r>
        <w:rPr>
          <w:rFonts w:hint="eastAsia" w:ascii="宋体" w:hAnsi="宋体"/>
          <w:color w:val="auto"/>
          <w:szCs w:val="21"/>
          <w:highlight w:val="none"/>
          <w:vertAlign w:val="subscript"/>
        </w:rPr>
        <w:t>03</w:t>
      </w:r>
      <w:r>
        <w:rPr>
          <w:rFonts w:hint="eastAsia" w:ascii="宋体" w:hAnsi="宋体"/>
          <w:color w:val="auto"/>
          <w:szCs w:val="21"/>
          <w:highlight w:val="none"/>
        </w:rPr>
        <w:t>；……F</w:t>
      </w:r>
      <w:r>
        <w:rPr>
          <w:rFonts w:hint="eastAsia" w:ascii="宋体" w:hAnsi="宋体"/>
          <w:color w:val="auto"/>
          <w:szCs w:val="21"/>
          <w:highlight w:val="none"/>
          <w:vertAlign w:val="subscript"/>
        </w:rPr>
        <w:t>0n</w:t>
      </w:r>
      <w:r>
        <w:rPr>
          <w:rFonts w:hint="eastAsia" w:ascii="宋体" w:hAnsi="宋体"/>
          <w:color w:val="auto"/>
          <w:szCs w:val="21"/>
          <w:highlight w:val="none"/>
        </w:rPr>
        <w:t>---各可调因子的基本价格指数，指基准日期的各可调因子的价格指数。</w:t>
      </w:r>
    </w:p>
    <w:p w14:paraId="7B4A40A9">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以上价格调整公式中的各可调因子、定值和变值权重，以及基本价格指数及其来源在投标函附录价格指数和权重表中约定。价格指数应首先采用投标函附录中载明的有关部门提供的价格指数，缺乏上述价格指数时，可采用有关部门提供的价格代替。</w:t>
      </w:r>
    </w:p>
    <w:p w14:paraId="3A54DD83">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 暂时确定调整差额</w:t>
      </w:r>
    </w:p>
    <w:p w14:paraId="76FFA888">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在计算调整差额时得不到当期价格指数的，可暂用上一次价格指数计算，并在以后的付款中再按实际价格指数进行调整。</w:t>
      </w:r>
    </w:p>
    <w:p w14:paraId="54595232">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（3） 权重的调整</w:t>
      </w:r>
    </w:p>
    <w:p w14:paraId="764C7C1F">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按第</w:t>
      </w:r>
      <w:r>
        <w:rPr>
          <w:rFonts w:ascii="宋体" w:hAnsi="宋体"/>
          <w:color w:val="auto"/>
          <w:szCs w:val="21"/>
          <w:highlight w:val="none"/>
        </w:rPr>
        <w:t>13.1</w:t>
      </w:r>
      <w:r>
        <w:rPr>
          <w:rFonts w:hint="eastAsia" w:ascii="宋体" w:hAnsi="宋体"/>
          <w:color w:val="auto"/>
          <w:szCs w:val="21"/>
          <w:highlight w:val="none"/>
        </w:rPr>
        <w:t>款[发包人变更权]约定的变更导致原定合同中的权重不合理的，由工程师与承包人和发包人协商后进行调整。</w:t>
      </w:r>
    </w:p>
    <w:p w14:paraId="17912C16">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（4） 承包人原因工期延误后的价格调整</w:t>
      </w:r>
    </w:p>
    <w:p w14:paraId="1DE599B2">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因承包人原因未在约定的工期内竣工的，则对原约定竣工日期后继续施工的工程，在使用本款第(1)项价格调整公式时，应采用原约定竣工日期与实际竣工日期的两个价格指数中较低的一个作为当期价格指数。</w:t>
      </w:r>
    </w:p>
    <w:p w14:paraId="1AE19D17">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（5） 发包人引起的工期延误后的价格调整</w:t>
      </w:r>
    </w:p>
    <w:p w14:paraId="4F454A94">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由于发包人原因未在约定的工期内竣工的，则对原约定竣工日期后继续施工的工程，在使用本款第（1）目价格调整公式时，应采用原约定竣工日期与实际竣工日期的两个价格指数中较高的一个作为当期价格指数。</w:t>
      </w:r>
    </w:p>
    <w:p w14:paraId="2B7DC7BA">
      <w:pPr>
        <w:pStyle w:val="135"/>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3.8.2.2 </w:t>
      </w:r>
      <w:r>
        <w:rPr>
          <w:rFonts w:hint="eastAsia"/>
          <w:color w:val="auto"/>
          <w:sz w:val="21"/>
          <w:highlight w:val="none"/>
        </w:rPr>
        <w:t>未列入</w:t>
      </w:r>
      <w:bookmarkStart w:id="1269" w:name="_Hlk24494865"/>
      <w:r>
        <w:rPr>
          <w:rFonts w:hint="eastAsia"/>
          <w:color w:val="auto"/>
          <w:sz w:val="21"/>
          <w:highlight w:val="none"/>
        </w:rPr>
        <w:t>《价格指数权重表》</w:t>
      </w:r>
      <w:bookmarkEnd w:id="1269"/>
      <w:r>
        <w:rPr>
          <w:rFonts w:hint="eastAsia"/>
          <w:color w:val="auto"/>
          <w:sz w:val="21"/>
          <w:highlight w:val="none"/>
        </w:rPr>
        <w:t>的费用不因市场变化而调整。</w:t>
      </w:r>
    </w:p>
    <w:p w14:paraId="407A3EB3">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3.8.3 </w:t>
      </w:r>
      <w:r>
        <w:rPr>
          <w:rFonts w:hint="eastAsia"/>
          <w:color w:val="auto"/>
          <w:sz w:val="21"/>
          <w:highlight w:val="none"/>
        </w:rPr>
        <w:t>双方约定采用其他方式调整合同价款的，以专用合同条件约定为准。</w:t>
      </w:r>
    </w:p>
    <w:p w14:paraId="3F7B3528">
      <w:pPr>
        <w:pStyle w:val="178"/>
        <w:keepNext w:val="0"/>
        <w:keepLines w:val="0"/>
        <w:pageBreakBefore w:val="0"/>
        <w:numPr>
          <w:ilvl w:val="0"/>
          <w:numId w:val="0"/>
        </w:numPr>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270" w:name="_Toc22140"/>
      <w:bookmarkStart w:id="1271" w:name="_Toc54862291"/>
      <w:bookmarkStart w:id="1272" w:name="_Toc10070"/>
      <w:bookmarkStart w:id="1273" w:name="_Ref531955885"/>
      <w:bookmarkStart w:id="1274" w:name="_Toc1951"/>
      <w:bookmarkStart w:id="1275" w:name="_Toc21508"/>
      <w:bookmarkStart w:id="1276" w:name="_Ref531955880"/>
      <w:r>
        <w:rPr>
          <w:rFonts w:hint="eastAsia" w:ascii="宋体" w:hAnsi="宋体" w:eastAsia="宋体"/>
          <w:b/>
          <w:bCs w:val="0"/>
          <w:color w:val="auto"/>
          <w:sz w:val="21"/>
          <w:szCs w:val="21"/>
          <w:highlight w:val="none"/>
        </w:rPr>
        <w:t>第1</w:t>
      </w:r>
      <w:r>
        <w:rPr>
          <w:rFonts w:ascii="宋体" w:hAnsi="宋体" w:eastAsia="宋体"/>
          <w:b/>
          <w:bCs w:val="0"/>
          <w:color w:val="auto"/>
          <w:sz w:val="21"/>
          <w:szCs w:val="21"/>
          <w:highlight w:val="none"/>
        </w:rPr>
        <w:t>4</w:t>
      </w:r>
      <w:r>
        <w:rPr>
          <w:rFonts w:hint="eastAsia" w:ascii="宋体" w:hAnsi="宋体" w:eastAsia="宋体"/>
          <w:b/>
          <w:bCs w:val="0"/>
          <w:color w:val="auto"/>
          <w:sz w:val="21"/>
          <w:szCs w:val="21"/>
          <w:highlight w:val="none"/>
        </w:rPr>
        <w:t>条 合同价格与支付</w:t>
      </w:r>
      <w:bookmarkEnd w:id="1270"/>
      <w:bookmarkEnd w:id="1271"/>
      <w:bookmarkEnd w:id="1272"/>
      <w:bookmarkEnd w:id="1273"/>
      <w:bookmarkEnd w:id="1274"/>
      <w:bookmarkEnd w:id="1275"/>
      <w:bookmarkEnd w:id="1276"/>
    </w:p>
    <w:p w14:paraId="42C65B6D">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277" w:name="_Toc27343"/>
      <w:bookmarkStart w:id="1278" w:name="_Ref4431531"/>
      <w:bookmarkStart w:id="1279" w:name="_Toc8669"/>
      <w:bookmarkStart w:id="1280" w:name="_Toc23530"/>
      <w:bookmarkStart w:id="1281" w:name="_Toc54862292"/>
      <w:bookmarkStart w:id="1282" w:name="_Ref4431521"/>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4.1 </w:t>
      </w:r>
      <w:r>
        <w:rPr>
          <w:rFonts w:hint="eastAsia" w:ascii="宋体" w:hAnsi="宋体" w:eastAsia="宋体"/>
          <w:b/>
          <w:bCs w:val="0"/>
          <w:color w:val="auto"/>
          <w:sz w:val="21"/>
          <w:szCs w:val="21"/>
          <w:highlight w:val="none"/>
        </w:rPr>
        <w:t>合同价格形式</w:t>
      </w:r>
      <w:bookmarkEnd w:id="1277"/>
      <w:bookmarkEnd w:id="1278"/>
      <w:bookmarkEnd w:id="1279"/>
      <w:bookmarkEnd w:id="1280"/>
      <w:bookmarkEnd w:id="1281"/>
      <w:bookmarkEnd w:id="1282"/>
    </w:p>
    <w:p w14:paraId="3F3FF093">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4.1.1 </w:t>
      </w:r>
      <w:r>
        <w:rPr>
          <w:rFonts w:hint="eastAsia"/>
          <w:color w:val="auto"/>
          <w:sz w:val="21"/>
          <w:highlight w:val="none"/>
        </w:rPr>
        <w:t>除专用合同条件中另有约定外，本合同为总价合同，除根据第</w:t>
      </w:r>
      <w:r>
        <w:rPr>
          <w:color w:val="auto"/>
          <w:sz w:val="21"/>
          <w:highlight w:val="none"/>
        </w:rPr>
        <w:t>13条</w:t>
      </w:r>
      <w:r>
        <w:rPr>
          <w:rFonts w:hint="eastAsia"/>
          <w:color w:val="auto"/>
          <w:sz w:val="21"/>
          <w:highlight w:val="none"/>
        </w:rPr>
        <w:t>[</w:t>
      </w:r>
      <w:r>
        <w:rPr>
          <w:color w:val="auto"/>
          <w:sz w:val="21"/>
          <w:highlight w:val="none"/>
        </w:rPr>
        <w:t>变更与调整]</w:t>
      </w:r>
      <w:r>
        <w:rPr>
          <w:rFonts w:hint="eastAsia"/>
          <w:color w:val="auto"/>
          <w:sz w:val="21"/>
          <w:highlight w:val="none"/>
        </w:rPr>
        <w:t>，以及合同中其它相关增减金额的约定进行调整外，合同价格不做调整。</w:t>
      </w:r>
    </w:p>
    <w:p w14:paraId="22AC6DF0">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4.1.2 </w:t>
      </w:r>
      <w:r>
        <w:rPr>
          <w:rFonts w:hint="eastAsia"/>
          <w:color w:val="auto"/>
          <w:sz w:val="21"/>
          <w:highlight w:val="none"/>
        </w:rPr>
        <w:t>除专用合同条件另有约定外：</w:t>
      </w:r>
    </w:p>
    <w:p w14:paraId="556F0D91">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 工程款的支付应以合同协议书约定的签约合同价格为基础，按照合同约定进行调整；</w:t>
      </w:r>
    </w:p>
    <w:p w14:paraId="46B10250">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 承包人应支付根据法律规定或合同约定应由其支付的各项税费，除第</w:t>
      </w:r>
      <w:r>
        <w:rPr>
          <w:rFonts w:ascii="宋体" w:hAnsi="宋体"/>
          <w:color w:val="auto"/>
          <w:szCs w:val="21"/>
          <w:highlight w:val="none"/>
        </w:rPr>
        <w:t>13.7</w:t>
      </w:r>
      <w:r>
        <w:rPr>
          <w:rFonts w:hint="eastAsia" w:ascii="宋体" w:hAnsi="宋体"/>
          <w:color w:val="auto"/>
          <w:szCs w:val="21"/>
          <w:highlight w:val="none"/>
        </w:rPr>
        <w:t>款[</w:t>
      </w:r>
      <w:r>
        <w:rPr>
          <w:rFonts w:ascii="宋体" w:hAnsi="宋体"/>
          <w:color w:val="auto"/>
          <w:szCs w:val="21"/>
          <w:highlight w:val="none"/>
        </w:rPr>
        <w:t>法律变化引起的调整]</w:t>
      </w:r>
      <w:r>
        <w:rPr>
          <w:rFonts w:hint="eastAsia" w:ascii="宋体" w:hAnsi="宋体"/>
          <w:color w:val="auto"/>
          <w:szCs w:val="21"/>
          <w:highlight w:val="none"/>
        </w:rPr>
        <w:t>约定外，合同价格不应因任何这些税费进行调整；</w:t>
      </w:r>
    </w:p>
    <w:p w14:paraId="1DE87937">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（3） 价格清单列出的任何数量仅为估算的工作量，不得将其视为要求承包人实施的工程的实际或准确的工作量。在价格清单中列出的任何工作量和价格数据应仅限用于变更和支付的参考资料，而不能用于其他目的。</w:t>
      </w:r>
    </w:p>
    <w:p w14:paraId="4CCE3343">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4.1.3 </w:t>
      </w:r>
      <w:r>
        <w:rPr>
          <w:rFonts w:hint="eastAsia"/>
          <w:color w:val="auto"/>
          <w:sz w:val="21"/>
          <w:highlight w:val="none"/>
        </w:rPr>
        <w:t>合同约定工程的某部分按照实际完成的工程量进行支付的，应按照专用合同条件的约定进行计量和估价，并据此调整合同价格。</w:t>
      </w:r>
    </w:p>
    <w:p w14:paraId="01685D83">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283" w:name="_Toc54862293"/>
      <w:bookmarkStart w:id="1284" w:name="_Ref531956881"/>
      <w:bookmarkStart w:id="1285" w:name="_Toc15669"/>
      <w:bookmarkStart w:id="1286" w:name="_Toc15726"/>
      <w:bookmarkStart w:id="1287" w:name="_Ref531956884"/>
      <w:bookmarkStart w:id="1288" w:name="_Toc21974"/>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4.2 </w:t>
      </w:r>
      <w:r>
        <w:rPr>
          <w:rFonts w:hint="eastAsia" w:ascii="宋体" w:hAnsi="宋体" w:eastAsia="宋体"/>
          <w:b/>
          <w:bCs w:val="0"/>
          <w:color w:val="auto"/>
          <w:sz w:val="21"/>
          <w:szCs w:val="21"/>
          <w:highlight w:val="none"/>
        </w:rPr>
        <w:t>预付款</w:t>
      </w:r>
      <w:bookmarkEnd w:id="1283"/>
      <w:bookmarkEnd w:id="1284"/>
      <w:bookmarkEnd w:id="1285"/>
      <w:bookmarkEnd w:id="1286"/>
      <w:bookmarkEnd w:id="1287"/>
      <w:bookmarkEnd w:id="1288"/>
    </w:p>
    <w:p w14:paraId="036E58C7">
      <w:pPr>
        <w:pStyle w:val="153"/>
        <w:keepNext w:val="0"/>
        <w:keepLines w:val="0"/>
        <w:pageBreakBefore w:val="0"/>
        <w:kinsoku/>
        <w:wordWrap/>
        <w:overflowPunct/>
        <w:topLinePunct w:val="0"/>
        <w:bidi w:val="0"/>
        <w:spacing w:after="120"/>
        <w:ind w:firstLine="422" w:firstLineChars="200"/>
        <w:textAlignment w:val="auto"/>
        <w:rPr>
          <w:b/>
          <w:bCs w:val="0"/>
          <w:color w:val="auto"/>
          <w:sz w:val="21"/>
          <w:highlight w:val="none"/>
        </w:rPr>
      </w:pPr>
      <w:r>
        <w:rPr>
          <w:rFonts w:hint="eastAsia"/>
          <w:b/>
          <w:bCs w:val="0"/>
          <w:color w:val="auto"/>
          <w:sz w:val="21"/>
          <w:highlight w:val="none"/>
        </w:rPr>
        <w:t>1</w:t>
      </w:r>
      <w:r>
        <w:rPr>
          <w:b/>
          <w:bCs w:val="0"/>
          <w:color w:val="auto"/>
          <w:sz w:val="21"/>
          <w:highlight w:val="none"/>
        </w:rPr>
        <w:t xml:space="preserve">4.2.1 </w:t>
      </w:r>
      <w:r>
        <w:rPr>
          <w:rFonts w:hint="eastAsia"/>
          <w:b/>
          <w:bCs w:val="0"/>
          <w:color w:val="auto"/>
          <w:sz w:val="21"/>
          <w:highlight w:val="none"/>
        </w:rPr>
        <w:t>预付款支付</w:t>
      </w:r>
    </w:p>
    <w:p w14:paraId="174C0411">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预付款的额度和支付按照专用合同条件约定执行。预付款应当专用于承包人为合同工程的设计和工程实施购置材料、工程设备、施工设备、修建临时设施以及组织施工队伍进场等合同工作。</w:t>
      </w:r>
    </w:p>
    <w:p w14:paraId="7B97AF67">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除专用合同条件另有约定外，预付款在进度付款中同比例扣回。在颁发工程接收证书前，提前解除合同的，尚未扣完的预付款应与合同价款一并结算。</w:t>
      </w:r>
    </w:p>
    <w:p w14:paraId="2989BBCB">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发包人逾期支付预付款超过7天的，承包人有权向发包人发出要求预付的催告通知，发包人收到通知后7天内仍未支付的，承包人有权暂停施工，并按第15.1.1项[发包人违约的情形]执行。</w:t>
      </w:r>
    </w:p>
    <w:p w14:paraId="3D0D4C89">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1289" w:name="_Ref531956907"/>
      <w:bookmarkStart w:id="1290" w:name="_Ref4797624"/>
      <w:bookmarkStart w:id="1291" w:name="_Hlk54429963"/>
      <w:r>
        <w:rPr>
          <w:rFonts w:hint="eastAsia"/>
          <w:b/>
          <w:bCs/>
          <w:color w:val="auto"/>
          <w:sz w:val="21"/>
          <w:highlight w:val="none"/>
        </w:rPr>
        <w:t>1</w:t>
      </w:r>
      <w:r>
        <w:rPr>
          <w:b/>
          <w:bCs/>
          <w:color w:val="auto"/>
          <w:sz w:val="21"/>
          <w:highlight w:val="none"/>
        </w:rPr>
        <w:t xml:space="preserve">4.2.2 </w:t>
      </w:r>
      <w:r>
        <w:rPr>
          <w:rFonts w:hint="eastAsia"/>
          <w:b/>
          <w:bCs/>
          <w:color w:val="auto"/>
          <w:sz w:val="21"/>
          <w:highlight w:val="none"/>
        </w:rPr>
        <w:t>预付款</w:t>
      </w:r>
      <w:bookmarkEnd w:id="1289"/>
      <w:r>
        <w:rPr>
          <w:rFonts w:hint="eastAsia"/>
          <w:b/>
          <w:bCs/>
          <w:color w:val="auto"/>
          <w:sz w:val="21"/>
          <w:highlight w:val="none"/>
        </w:rPr>
        <w:t>担保</w:t>
      </w:r>
      <w:bookmarkEnd w:id="1290"/>
    </w:p>
    <w:bookmarkEnd w:id="1291"/>
    <w:p w14:paraId="65C83960">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发包人指示承包人提供预付款担保的，承包人应在发包人支付预付款7天前提供预付款担保，专用合同条件另有约定除外。预付款担保可采用银行保函、担保公司担保等形式，具体由合同当事人在专用合同条件中约定。在预付款完全扣回之前，承包人应保证预付款担保持续有效。</w:t>
      </w:r>
    </w:p>
    <w:p w14:paraId="51542339">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发包人在工程款中逐期扣回预付款后，预付款担保额度应相应减少，但剩余的预付款担保金额不得低于未被扣回的预付款金额。</w:t>
      </w:r>
    </w:p>
    <w:p w14:paraId="2786C621">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292" w:name="_Toc4784194"/>
      <w:bookmarkEnd w:id="1292"/>
      <w:bookmarkStart w:id="1293" w:name="_Toc4784193"/>
      <w:bookmarkEnd w:id="1293"/>
      <w:bookmarkStart w:id="1294" w:name="_Toc4784195"/>
      <w:bookmarkEnd w:id="1294"/>
      <w:bookmarkStart w:id="1295" w:name="_Ref531956963"/>
      <w:bookmarkStart w:id="1296" w:name="_Toc19470"/>
      <w:bookmarkStart w:id="1297" w:name="_Toc5506"/>
      <w:bookmarkStart w:id="1298" w:name="_Ref531956967"/>
      <w:bookmarkStart w:id="1299" w:name="_Ref4623398"/>
      <w:bookmarkStart w:id="1300" w:name="_Toc54862294"/>
      <w:bookmarkStart w:id="1301" w:name="_Toc5033"/>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4.3 </w:t>
      </w:r>
      <w:r>
        <w:rPr>
          <w:rFonts w:hint="eastAsia" w:ascii="宋体" w:hAnsi="宋体" w:eastAsia="宋体"/>
          <w:b/>
          <w:bCs w:val="0"/>
          <w:color w:val="auto"/>
          <w:sz w:val="21"/>
          <w:szCs w:val="21"/>
          <w:highlight w:val="none"/>
        </w:rPr>
        <w:t>工程进度款</w:t>
      </w:r>
      <w:bookmarkEnd w:id="1295"/>
      <w:bookmarkEnd w:id="1296"/>
      <w:bookmarkEnd w:id="1297"/>
      <w:bookmarkEnd w:id="1298"/>
      <w:bookmarkEnd w:id="1299"/>
      <w:bookmarkEnd w:id="1300"/>
      <w:bookmarkEnd w:id="1301"/>
    </w:p>
    <w:p w14:paraId="3B32DCA7">
      <w:pPr>
        <w:pStyle w:val="153"/>
        <w:keepNext w:val="0"/>
        <w:keepLines w:val="0"/>
        <w:pageBreakBefore w:val="0"/>
        <w:kinsoku/>
        <w:wordWrap/>
        <w:overflowPunct/>
        <w:topLinePunct w:val="0"/>
        <w:bidi w:val="0"/>
        <w:spacing w:after="120"/>
        <w:ind w:firstLine="422" w:firstLineChars="200"/>
        <w:textAlignment w:val="auto"/>
        <w:rPr>
          <w:b/>
          <w:bCs w:val="0"/>
          <w:color w:val="auto"/>
          <w:sz w:val="21"/>
          <w:highlight w:val="none"/>
        </w:rPr>
      </w:pPr>
      <w:bookmarkStart w:id="1302" w:name="_Ref531956987"/>
      <w:bookmarkStart w:id="1303" w:name="_Ref532679934"/>
      <w:r>
        <w:rPr>
          <w:rFonts w:hint="eastAsia"/>
          <w:b/>
          <w:bCs w:val="0"/>
          <w:color w:val="auto"/>
          <w:sz w:val="21"/>
          <w:highlight w:val="none"/>
        </w:rPr>
        <w:t>1</w:t>
      </w:r>
      <w:r>
        <w:rPr>
          <w:b/>
          <w:bCs w:val="0"/>
          <w:color w:val="auto"/>
          <w:sz w:val="21"/>
          <w:highlight w:val="none"/>
        </w:rPr>
        <w:t xml:space="preserve">4.3.1 </w:t>
      </w:r>
      <w:r>
        <w:rPr>
          <w:rFonts w:hint="eastAsia"/>
          <w:b/>
          <w:bCs w:val="0"/>
          <w:color w:val="auto"/>
          <w:sz w:val="21"/>
          <w:highlight w:val="none"/>
        </w:rPr>
        <w:t>工程进度付款申请</w:t>
      </w:r>
      <w:bookmarkEnd w:id="1302"/>
      <w:bookmarkEnd w:id="1303"/>
    </w:p>
    <w:p w14:paraId="62A970F5">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（1）人工费的申请</w:t>
      </w:r>
    </w:p>
    <w:p w14:paraId="1B8ED483">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人工费应按月支付，工程师应在收到承包人人工费付款申请单以及相关资料后7天内完成审查并报送发包人，发包人应在收到后7天内完成审批并向承包人签发人工费支付证书，发包人应在人工费支付证书签发后7天内完成支付。已支付的人工费部分，发包人支付进度款时予以相应扣除</w:t>
      </w:r>
      <w:r>
        <w:rPr>
          <w:rFonts w:hint="eastAsia" w:ascii="宋体" w:hAnsi="宋体"/>
          <w:color w:val="auto"/>
          <w:szCs w:val="21"/>
          <w:highlight w:val="none"/>
        </w:rPr>
        <w:t>。</w:t>
      </w:r>
    </w:p>
    <w:p w14:paraId="4F877C98">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（2）除专用合同条件另有约定外，承包人应在每月月末向工程师提交进度付款申请单，该进度付款申请单应包括下列内容：</w:t>
      </w:r>
    </w:p>
    <w:p w14:paraId="1B696957">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bookmarkStart w:id="1304" w:name="_Ref24496054"/>
      <w:r>
        <w:rPr>
          <w:rFonts w:hint="eastAsia" w:ascii="宋体" w:hAnsi="宋体"/>
          <w:color w:val="auto"/>
          <w:szCs w:val="21"/>
          <w:highlight w:val="none"/>
        </w:rPr>
        <w:t>1） 截至本次付款周期内已完成工作对应的金额；</w:t>
      </w:r>
      <w:bookmarkEnd w:id="1304"/>
    </w:p>
    <w:p w14:paraId="3630A982">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 扣除依据本款第（</w:t>
      </w:r>
      <w:r>
        <w:rPr>
          <w:rFonts w:ascii="宋体" w:hAnsi="宋体"/>
          <w:color w:val="auto"/>
          <w:szCs w:val="21"/>
          <w:highlight w:val="none"/>
        </w:rPr>
        <w:t>1）</w:t>
      </w:r>
      <w:r>
        <w:rPr>
          <w:rFonts w:hint="eastAsia" w:ascii="宋体" w:hAnsi="宋体"/>
          <w:color w:val="auto"/>
          <w:szCs w:val="21"/>
          <w:highlight w:val="none"/>
        </w:rPr>
        <w:t>目</w:t>
      </w:r>
      <w:r>
        <w:rPr>
          <w:rFonts w:ascii="宋体" w:hAnsi="宋体"/>
          <w:color w:val="auto"/>
          <w:szCs w:val="21"/>
          <w:highlight w:val="none"/>
        </w:rPr>
        <w:t>约定中已扣除的人工费金额</w:t>
      </w:r>
      <w:r>
        <w:rPr>
          <w:rFonts w:hint="eastAsia" w:ascii="宋体" w:hAnsi="宋体"/>
          <w:color w:val="auto"/>
          <w:szCs w:val="21"/>
          <w:highlight w:val="none"/>
        </w:rPr>
        <w:t>；</w:t>
      </w:r>
    </w:p>
    <w:p w14:paraId="6DD59A9E">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3） 根据第</w:t>
      </w:r>
      <w:r>
        <w:rPr>
          <w:rFonts w:ascii="宋体" w:hAnsi="宋体"/>
          <w:color w:val="auto"/>
          <w:szCs w:val="21"/>
          <w:highlight w:val="none"/>
        </w:rPr>
        <w:t>13条</w:t>
      </w:r>
      <w:r>
        <w:rPr>
          <w:rFonts w:hint="eastAsia" w:ascii="宋体" w:hAnsi="宋体"/>
          <w:color w:val="auto"/>
          <w:szCs w:val="21"/>
          <w:highlight w:val="none"/>
        </w:rPr>
        <w:t>[变更与调整]应增加和扣减的变更金额；</w:t>
      </w:r>
    </w:p>
    <w:p w14:paraId="6D32F392">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 根据第</w:t>
      </w:r>
      <w:r>
        <w:rPr>
          <w:rFonts w:ascii="宋体" w:hAnsi="宋体"/>
          <w:color w:val="auto"/>
          <w:szCs w:val="21"/>
          <w:highlight w:val="none"/>
        </w:rPr>
        <w:t>14.2</w:t>
      </w:r>
      <w:r>
        <w:rPr>
          <w:rFonts w:hint="eastAsia" w:ascii="宋体" w:hAnsi="宋体"/>
          <w:color w:val="auto"/>
          <w:szCs w:val="21"/>
          <w:highlight w:val="none"/>
        </w:rPr>
        <w:t>款[预付款]约定应支付的预付款和扣减的返还预付款；</w:t>
      </w:r>
    </w:p>
    <w:p w14:paraId="6A8CF35B">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5</w:t>
      </w:r>
      <w:r>
        <w:rPr>
          <w:rFonts w:hint="eastAsia" w:ascii="宋体" w:hAnsi="宋体"/>
          <w:color w:val="auto"/>
          <w:szCs w:val="21"/>
          <w:highlight w:val="none"/>
        </w:rPr>
        <w:t>） 根据第</w:t>
      </w:r>
      <w:r>
        <w:rPr>
          <w:rFonts w:ascii="宋体" w:hAnsi="宋体"/>
          <w:color w:val="auto"/>
          <w:szCs w:val="21"/>
          <w:highlight w:val="none"/>
        </w:rPr>
        <w:t>14.6.2</w:t>
      </w:r>
      <w:r>
        <w:rPr>
          <w:rFonts w:hint="eastAsia" w:ascii="宋体" w:hAnsi="宋体"/>
          <w:color w:val="auto"/>
          <w:szCs w:val="21"/>
          <w:highlight w:val="none"/>
        </w:rPr>
        <w:t>项[质量保证金的预留]约定应预留的质量保证金金额；</w:t>
      </w:r>
    </w:p>
    <w:p w14:paraId="0180B8FC">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6</w:t>
      </w:r>
      <w:r>
        <w:rPr>
          <w:rFonts w:hint="eastAsia" w:ascii="宋体" w:hAnsi="宋体"/>
          <w:color w:val="auto"/>
          <w:szCs w:val="21"/>
          <w:highlight w:val="none"/>
        </w:rPr>
        <w:t>） 根据第</w:t>
      </w:r>
      <w:r>
        <w:rPr>
          <w:rFonts w:ascii="宋体" w:hAnsi="宋体"/>
          <w:color w:val="auto"/>
          <w:szCs w:val="21"/>
          <w:highlight w:val="none"/>
        </w:rPr>
        <w:t>19条</w:t>
      </w:r>
      <w:r>
        <w:rPr>
          <w:rFonts w:hint="eastAsia" w:ascii="宋体" w:hAnsi="宋体"/>
          <w:color w:val="auto"/>
          <w:szCs w:val="21"/>
          <w:highlight w:val="none"/>
        </w:rPr>
        <w:t>[索赔]应增加和扣减的索赔金额；</w:t>
      </w:r>
    </w:p>
    <w:p w14:paraId="2E3C40CE">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ascii="宋体" w:hAnsi="宋体"/>
          <w:color w:val="auto"/>
          <w:szCs w:val="21"/>
          <w:highlight w:val="none"/>
        </w:rPr>
        <w:t>7</w:t>
      </w:r>
      <w:r>
        <w:rPr>
          <w:rFonts w:hint="eastAsia" w:ascii="宋体" w:hAnsi="宋体"/>
          <w:color w:val="auto"/>
          <w:szCs w:val="21"/>
          <w:highlight w:val="none"/>
        </w:rPr>
        <w:t>） 对已签发的进度款支付证书中出现错误的修正，应在本次进度付款中支付或扣除的金额；</w:t>
      </w:r>
    </w:p>
    <w:p w14:paraId="62E628CE">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8） 根据合同约定应增加和扣减的其他金额。</w:t>
      </w:r>
    </w:p>
    <w:p w14:paraId="6ED2BB24">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1305" w:name="_Ref531957608"/>
      <w:r>
        <w:rPr>
          <w:rFonts w:hint="eastAsia"/>
          <w:b/>
          <w:bCs/>
          <w:color w:val="auto"/>
          <w:sz w:val="21"/>
          <w:highlight w:val="none"/>
        </w:rPr>
        <w:t>1</w:t>
      </w:r>
      <w:r>
        <w:rPr>
          <w:b/>
          <w:bCs/>
          <w:color w:val="auto"/>
          <w:sz w:val="21"/>
          <w:highlight w:val="none"/>
        </w:rPr>
        <w:t xml:space="preserve">4.3.2 </w:t>
      </w:r>
      <w:r>
        <w:rPr>
          <w:rFonts w:hint="eastAsia"/>
          <w:b/>
          <w:bCs/>
          <w:color w:val="auto"/>
          <w:sz w:val="21"/>
          <w:highlight w:val="none"/>
        </w:rPr>
        <w:t>进度付款审核和支付</w:t>
      </w:r>
      <w:bookmarkEnd w:id="1305"/>
    </w:p>
    <w:p w14:paraId="5A33ACCC">
      <w:pPr>
        <w:pStyle w:val="168"/>
        <w:keepNext w:val="0"/>
        <w:keepLines w:val="0"/>
        <w:pageBreakBefore w:val="0"/>
        <w:numPr>
          <w:ilvl w:val="0"/>
          <w:numId w:val="0"/>
        </w:numPr>
        <w:kinsoku/>
        <w:wordWrap/>
        <w:overflowPunct/>
        <w:topLinePunct w:val="0"/>
        <w:bidi w:val="0"/>
        <w:spacing w:after="120"/>
        <w:ind w:firstLine="420" w:firstLineChars="200"/>
        <w:textAlignment w:val="auto"/>
        <w:rPr>
          <w:color w:val="auto"/>
          <w:sz w:val="21"/>
          <w:szCs w:val="21"/>
          <w:highlight w:val="none"/>
        </w:rPr>
      </w:pPr>
      <w:r>
        <w:rPr>
          <w:rFonts w:hint="eastAsia"/>
          <w:color w:val="auto"/>
          <w:sz w:val="21"/>
          <w:szCs w:val="21"/>
          <w:highlight w:val="none"/>
        </w:rPr>
        <w:t>除专用合同条件另有约定外，工程师应在收到承包人进度付款申请单以及相关资料后7天内完成审查并报送发包人，发包人应在收到后7天内完成审批并向承包人签发进度款支付证书。发包人逾期（包括因工程师原因延误报送的时间）未完成审批且未提出异议的，视为已签发进度款支付证书。</w:t>
      </w:r>
    </w:p>
    <w:p w14:paraId="6DC48F1B">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工程师对承包人的进度付款申请单有异议的，有权要求承包人修正和提供补充资料，承包人应提交修正后的进度付款申请单。工程师应在收到承包人修正后的进度付款申请单及相关资料后7天内完成审查并报送发包人，发包人应在收到工程师报送的进度付款申请单及相关资料后7天内，向承包人签发无异议部分的进度款支付证书。存在争议的部分，按照第</w:t>
      </w:r>
      <w:r>
        <w:rPr>
          <w:rFonts w:ascii="宋体" w:hAnsi="宋体"/>
          <w:color w:val="auto"/>
          <w:szCs w:val="21"/>
          <w:highlight w:val="none"/>
        </w:rPr>
        <w:t>20条</w:t>
      </w:r>
      <w:r>
        <w:rPr>
          <w:rFonts w:hint="eastAsia" w:ascii="宋体" w:hAnsi="宋体"/>
          <w:color w:val="auto"/>
          <w:szCs w:val="21"/>
          <w:highlight w:val="none"/>
        </w:rPr>
        <w:t>[争议解决]的约定处理。</w:t>
      </w:r>
    </w:p>
    <w:p w14:paraId="6920FC9A">
      <w:pPr>
        <w:pStyle w:val="168"/>
        <w:keepNext w:val="0"/>
        <w:keepLines w:val="0"/>
        <w:pageBreakBefore w:val="0"/>
        <w:numPr>
          <w:ilvl w:val="0"/>
          <w:numId w:val="0"/>
        </w:numPr>
        <w:kinsoku/>
        <w:wordWrap/>
        <w:overflowPunct/>
        <w:topLinePunct w:val="0"/>
        <w:bidi w:val="0"/>
        <w:spacing w:after="120"/>
        <w:ind w:firstLine="420" w:firstLineChars="200"/>
        <w:textAlignment w:val="auto"/>
        <w:rPr>
          <w:color w:val="auto"/>
          <w:sz w:val="21"/>
          <w:szCs w:val="21"/>
          <w:highlight w:val="none"/>
        </w:rPr>
      </w:pPr>
      <w:r>
        <w:rPr>
          <w:rFonts w:hint="eastAsia"/>
          <w:color w:val="auto"/>
          <w:sz w:val="21"/>
          <w:szCs w:val="21"/>
          <w:highlight w:val="none"/>
        </w:rPr>
        <w:t xml:space="preserve">除专用合同条件另有约定外，发包人应在进度款支付证书签发后14天内完成支付，发包人逾期支付进度款的，按照贷款市场报价利率（LPR）支付利息；逾期支付超过56天的，按照贷款市场报价利率（LPR）的两倍支付利息。 </w:t>
      </w:r>
    </w:p>
    <w:p w14:paraId="4EE9FD2C">
      <w:pPr>
        <w:pStyle w:val="168"/>
        <w:keepNext w:val="0"/>
        <w:keepLines w:val="0"/>
        <w:pageBreakBefore w:val="0"/>
        <w:numPr>
          <w:ilvl w:val="0"/>
          <w:numId w:val="0"/>
        </w:numPr>
        <w:kinsoku/>
        <w:wordWrap/>
        <w:overflowPunct/>
        <w:topLinePunct w:val="0"/>
        <w:bidi w:val="0"/>
        <w:spacing w:after="120"/>
        <w:ind w:firstLine="420" w:firstLineChars="200"/>
        <w:textAlignment w:val="auto"/>
        <w:rPr>
          <w:color w:val="auto"/>
          <w:sz w:val="21"/>
          <w:szCs w:val="21"/>
          <w:highlight w:val="none"/>
        </w:rPr>
      </w:pPr>
      <w:r>
        <w:rPr>
          <w:rFonts w:hint="eastAsia"/>
          <w:color w:val="auto"/>
          <w:sz w:val="21"/>
          <w:szCs w:val="21"/>
          <w:highlight w:val="none"/>
        </w:rPr>
        <w:t>发包人签发进度款支付证书，不表明发包人已同意、批准或接受了承包人完成的相应部分的工作。</w:t>
      </w:r>
    </w:p>
    <w:p w14:paraId="2E6389BE">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1306" w:name="_Ref531957023"/>
      <w:r>
        <w:rPr>
          <w:rFonts w:hint="eastAsia"/>
          <w:b/>
          <w:bCs/>
          <w:color w:val="auto"/>
          <w:sz w:val="21"/>
          <w:highlight w:val="none"/>
        </w:rPr>
        <w:t>1</w:t>
      </w:r>
      <w:r>
        <w:rPr>
          <w:b/>
          <w:bCs/>
          <w:color w:val="auto"/>
          <w:sz w:val="21"/>
          <w:highlight w:val="none"/>
        </w:rPr>
        <w:t xml:space="preserve">4.3.3 </w:t>
      </w:r>
      <w:r>
        <w:rPr>
          <w:rFonts w:hint="eastAsia"/>
          <w:b/>
          <w:bCs/>
          <w:color w:val="auto"/>
          <w:sz w:val="21"/>
          <w:highlight w:val="none"/>
        </w:rPr>
        <w:t>进度付款的修正</w:t>
      </w:r>
      <w:bookmarkEnd w:id="1306"/>
    </w:p>
    <w:p w14:paraId="7D223E8E">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在对已签发的进度款支付证书进行阶段汇总和复核中发现错误、遗漏或重复的，发包人和承包人均有权提出修正申请。经发包人和承包人同意的修正，应在下期进度付款中支付或扣除。</w:t>
      </w:r>
    </w:p>
    <w:p w14:paraId="138FCD12">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307" w:name="_Toc11490"/>
      <w:bookmarkStart w:id="1308" w:name="_Toc30232"/>
      <w:bookmarkStart w:id="1309" w:name="_Toc27727"/>
      <w:bookmarkStart w:id="1310" w:name="_Toc54862295"/>
      <w:bookmarkStart w:id="1311" w:name="_Ref4538578"/>
      <w:bookmarkStart w:id="1312" w:name="_Ref536647814"/>
      <w:bookmarkStart w:id="1313" w:name="_Ref536647822"/>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4.4 </w:t>
      </w:r>
      <w:r>
        <w:rPr>
          <w:rFonts w:hint="eastAsia" w:ascii="宋体" w:hAnsi="宋体" w:eastAsia="宋体"/>
          <w:b/>
          <w:bCs w:val="0"/>
          <w:color w:val="auto"/>
          <w:sz w:val="21"/>
          <w:szCs w:val="21"/>
          <w:highlight w:val="none"/>
        </w:rPr>
        <w:t>付款计划表</w:t>
      </w:r>
      <w:bookmarkEnd w:id="1307"/>
      <w:bookmarkEnd w:id="1308"/>
      <w:bookmarkEnd w:id="1309"/>
      <w:bookmarkEnd w:id="1310"/>
      <w:bookmarkEnd w:id="1311"/>
    </w:p>
    <w:p w14:paraId="3A05DC31">
      <w:pPr>
        <w:pStyle w:val="153"/>
        <w:keepNext w:val="0"/>
        <w:keepLines w:val="0"/>
        <w:pageBreakBefore w:val="0"/>
        <w:kinsoku/>
        <w:wordWrap/>
        <w:overflowPunct/>
        <w:topLinePunct w:val="0"/>
        <w:bidi w:val="0"/>
        <w:spacing w:after="120"/>
        <w:ind w:firstLine="422" w:firstLineChars="200"/>
        <w:textAlignment w:val="auto"/>
        <w:rPr>
          <w:b/>
          <w:bCs w:val="0"/>
          <w:color w:val="auto"/>
          <w:sz w:val="21"/>
          <w:highlight w:val="none"/>
        </w:rPr>
      </w:pPr>
      <w:bookmarkStart w:id="1314" w:name="_Ref4570974"/>
      <w:r>
        <w:rPr>
          <w:rFonts w:hint="eastAsia"/>
          <w:b/>
          <w:bCs w:val="0"/>
          <w:color w:val="auto"/>
          <w:sz w:val="21"/>
          <w:highlight w:val="none"/>
        </w:rPr>
        <w:t>1</w:t>
      </w:r>
      <w:r>
        <w:rPr>
          <w:b/>
          <w:bCs w:val="0"/>
          <w:color w:val="auto"/>
          <w:sz w:val="21"/>
          <w:highlight w:val="none"/>
        </w:rPr>
        <w:t xml:space="preserve">4.4.1 </w:t>
      </w:r>
      <w:r>
        <w:rPr>
          <w:rFonts w:hint="eastAsia"/>
          <w:b/>
          <w:bCs w:val="0"/>
          <w:color w:val="auto"/>
          <w:sz w:val="21"/>
          <w:highlight w:val="none"/>
        </w:rPr>
        <w:t>付款计划表的编制要求</w:t>
      </w:r>
      <w:bookmarkEnd w:id="1314"/>
    </w:p>
    <w:p w14:paraId="47D2A30E">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除专用合同条件另有约定外，付款计划表按如下要求编制：</w:t>
      </w:r>
    </w:p>
    <w:p w14:paraId="4C738DFB">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 付款计划表中所列的每期付款金额，应为第</w:t>
      </w:r>
      <w:r>
        <w:rPr>
          <w:rFonts w:ascii="宋体" w:hAnsi="宋体"/>
          <w:color w:val="auto"/>
          <w:szCs w:val="21"/>
          <w:highlight w:val="none"/>
        </w:rPr>
        <w:t>14.3.1</w:t>
      </w:r>
      <w:r>
        <w:rPr>
          <w:rFonts w:hint="eastAsia" w:ascii="宋体" w:hAnsi="宋体"/>
          <w:color w:val="auto"/>
          <w:szCs w:val="21"/>
          <w:highlight w:val="none"/>
        </w:rPr>
        <w:t>项[工程进度付款申请]每期进度款的估算金额；</w:t>
      </w:r>
    </w:p>
    <w:p w14:paraId="6A956852">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 实际进度与项目进度计划不一致的，合同当事人可按照第</w:t>
      </w:r>
      <w:r>
        <w:rPr>
          <w:rFonts w:ascii="宋体" w:hAnsi="宋体"/>
          <w:color w:val="auto"/>
          <w:szCs w:val="21"/>
          <w:highlight w:val="none"/>
        </w:rPr>
        <w:t>3.6</w:t>
      </w:r>
      <w:r>
        <w:rPr>
          <w:rFonts w:hint="eastAsia" w:ascii="宋体" w:hAnsi="宋体"/>
          <w:color w:val="auto"/>
          <w:szCs w:val="21"/>
          <w:highlight w:val="none"/>
        </w:rPr>
        <w:t>款[</w:t>
      </w:r>
      <w:r>
        <w:rPr>
          <w:rFonts w:ascii="宋体" w:hAnsi="宋体"/>
          <w:color w:val="auto"/>
          <w:szCs w:val="21"/>
          <w:highlight w:val="none"/>
        </w:rPr>
        <w:t>商定或确定</w:t>
      </w:r>
      <w:r>
        <w:rPr>
          <w:rFonts w:hint="eastAsia" w:ascii="宋体" w:hAnsi="宋体"/>
          <w:color w:val="auto"/>
          <w:szCs w:val="21"/>
          <w:highlight w:val="none"/>
        </w:rPr>
        <w:t>]修改付款计划表；</w:t>
      </w:r>
    </w:p>
    <w:p w14:paraId="3448B98F">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（3） 不采用付款计划表的，承包人应向工程师提交按季度编制的支付估算付款计划表，用于支付参考。</w:t>
      </w:r>
    </w:p>
    <w:p w14:paraId="50C009BA">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1315" w:name="_Ref4571011"/>
      <w:r>
        <w:rPr>
          <w:rFonts w:hint="eastAsia"/>
          <w:b/>
          <w:bCs/>
          <w:color w:val="auto"/>
          <w:sz w:val="21"/>
          <w:highlight w:val="none"/>
        </w:rPr>
        <w:t>1</w:t>
      </w:r>
      <w:r>
        <w:rPr>
          <w:b/>
          <w:bCs/>
          <w:color w:val="auto"/>
          <w:sz w:val="21"/>
          <w:highlight w:val="none"/>
        </w:rPr>
        <w:t xml:space="preserve">4.4.2 </w:t>
      </w:r>
      <w:r>
        <w:rPr>
          <w:rFonts w:hint="eastAsia"/>
          <w:b/>
          <w:bCs/>
          <w:color w:val="auto"/>
          <w:sz w:val="21"/>
          <w:highlight w:val="none"/>
        </w:rPr>
        <w:t>付款计划表的编制与审批</w:t>
      </w:r>
      <w:bookmarkEnd w:id="1315"/>
    </w:p>
    <w:p w14:paraId="581B52B3">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 除专用合同条件另有约定外，承包人应根据第</w:t>
      </w:r>
      <w:r>
        <w:rPr>
          <w:rFonts w:ascii="宋体" w:hAnsi="宋体"/>
          <w:color w:val="auto"/>
          <w:szCs w:val="21"/>
          <w:highlight w:val="none"/>
        </w:rPr>
        <w:t>8.4</w:t>
      </w:r>
      <w:r>
        <w:rPr>
          <w:rFonts w:hint="eastAsia" w:ascii="宋体" w:hAnsi="宋体"/>
          <w:color w:val="auto"/>
          <w:szCs w:val="21"/>
          <w:highlight w:val="none"/>
        </w:rPr>
        <w:t>款[项目进度计划]约定的项目进度计划、签约合同价和工程量等因素对总价合同进行分解，确定付款期数、计划每期达到的主要形象进度和（或）完成的主要计划工程量（含设计、采购、施工、竣工试验和竣工后试验等）等目标任务，编制付款计划表。其中人工费应按月确定付款期和付款计划。承包人应当在收到工程师和发包人批准的项目进度计划后7天内，将付款计划表及编制付款计划表的支持性资料报送工程师。</w:t>
      </w:r>
    </w:p>
    <w:p w14:paraId="5A401EBF">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 工程师应在收到付款计划表后7天内完成审核并报送发包人。发包人应在收到经工程师审核的付款计划表后7天内完成审批，经发包人批准的付款计划表为有约束力的付款计划表。</w:t>
      </w:r>
    </w:p>
    <w:p w14:paraId="0ECE5D8B">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（3） 发包人逾期未完成付款计划表审批的，也未及时要求承包人进行修正和提供补充资料的，则承包人提交的付款计划表视为已经获得发包人批准。</w:t>
      </w:r>
    </w:p>
    <w:p w14:paraId="61772507">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316" w:name="_Toc54862296"/>
      <w:bookmarkStart w:id="1317" w:name="_Toc24322"/>
      <w:bookmarkStart w:id="1318" w:name="_Toc4671"/>
      <w:bookmarkStart w:id="1319" w:name="_Toc7733"/>
      <w:bookmarkStart w:id="1320" w:name="_Ref4538634"/>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4.5 </w:t>
      </w:r>
      <w:r>
        <w:rPr>
          <w:rFonts w:hint="eastAsia" w:ascii="宋体" w:hAnsi="宋体" w:eastAsia="宋体"/>
          <w:b/>
          <w:bCs w:val="0"/>
          <w:color w:val="auto"/>
          <w:sz w:val="21"/>
          <w:szCs w:val="21"/>
          <w:highlight w:val="none"/>
        </w:rPr>
        <w:t>竣工结算</w:t>
      </w:r>
      <w:bookmarkEnd w:id="1316"/>
      <w:bookmarkEnd w:id="1317"/>
      <w:bookmarkEnd w:id="1318"/>
      <w:bookmarkEnd w:id="1319"/>
      <w:bookmarkEnd w:id="1320"/>
    </w:p>
    <w:p w14:paraId="09B0416A">
      <w:pPr>
        <w:pStyle w:val="153"/>
        <w:keepNext w:val="0"/>
        <w:keepLines w:val="0"/>
        <w:pageBreakBefore w:val="0"/>
        <w:kinsoku/>
        <w:wordWrap/>
        <w:overflowPunct/>
        <w:topLinePunct w:val="0"/>
        <w:bidi w:val="0"/>
        <w:spacing w:after="120"/>
        <w:ind w:firstLine="422" w:firstLineChars="200"/>
        <w:textAlignment w:val="auto"/>
        <w:rPr>
          <w:b/>
          <w:bCs w:val="0"/>
          <w:color w:val="auto"/>
          <w:sz w:val="21"/>
          <w:highlight w:val="none"/>
        </w:rPr>
      </w:pPr>
      <w:bookmarkStart w:id="1321" w:name="_Ref4571361"/>
      <w:r>
        <w:rPr>
          <w:rFonts w:hint="eastAsia"/>
          <w:b/>
          <w:bCs w:val="0"/>
          <w:color w:val="auto"/>
          <w:sz w:val="21"/>
          <w:highlight w:val="none"/>
        </w:rPr>
        <w:t>1</w:t>
      </w:r>
      <w:r>
        <w:rPr>
          <w:b/>
          <w:bCs w:val="0"/>
          <w:color w:val="auto"/>
          <w:sz w:val="21"/>
          <w:highlight w:val="none"/>
        </w:rPr>
        <w:t xml:space="preserve">4.5.1 </w:t>
      </w:r>
      <w:r>
        <w:rPr>
          <w:rFonts w:hint="eastAsia"/>
          <w:b/>
          <w:bCs w:val="0"/>
          <w:color w:val="auto"/>
          <w:sz w:val="21"/>
          <w:highlight w:val="none"/>
        </w:rPr>
        <w:t>竣工结算申请</w:t>
      </w:r>
      <w:bookmarkEnd w:id="1321"/>
    </w:p>
    <w:p w14:paraId="4C7FED71">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除专用合同条件另有约定外，承包人应在工程竣工验收合格后42天内向工程师提交竣工结算申请单，并提交完整的结算资料，有关竣工结算申请单的资料清单和份数等要求由合同当事人在专用合同条件中约定。</w:t>
      </w:r>
    </w:p>
    <w:p w14:paraId="43EDE4A8">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除专用合同条件另有约定外，竣工结算申请单应包括以下内容：</w:t>
      </w:r>
    </w:p>
    <w:p w14:paraId="69A09128">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 竣工结算合同价格；</w:t>
      </w:r>
    </w:p>
    <w:p w14:paraId="48215E18">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 发包人已支付承包人的款项；</w:t>
      </w:r>
    </w:p>
    <w:p w14:paraId="7A018794">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（3） 采用第</w:t>
      </w:r>
      <w:r>
        <w:rPr>
          <w:rFonts w:ascii="宋体" w:hAnsi="宋体"/>
          <w:color w:val="auto"/>
          <w:szCs w:val="21"/>
          <w:highlight w:val="none"/>
        </w:rPr>
        <w:t>14.6.1</w:t>
      </w:r>
      <w:r>
        <w:rPr>
          <w:rFonts w:hint="eastAsia" w:ascii="宋体" w:hAnsi="宋体"/>
          <w:color w:val="auto"/>
          <w:szCs w:val="21"/>
          <w:highlight w:val="none"/>
        </w:rPr>
        <w:t>项[承包人提供质量保证金的方式]第（2）种方式提供质量保证金的，应当列明应预留的质量保证金金额；采用第</w:t>
      </w:r>
      <w:r>
        <w:rPr>
          <w:rFonts w:ascii="宋体" w:hAnsi="宋体"/>
          <w:color w:val="auto"/>
          <w:szCs w:val="21"/>
          <w:highlight w:val="none"/>
        </w:rPr>
        <w:t>14.6.1</w:t>
      </w:r>
      <w:r>
        <w:rPr>
          <w:rFonts w:hint="eastAsia" w:ascii="宋体" w:hAnsi="宋体"/>
          <w:color w:val="auto"/>
          <w:szCs w:val="21"/>
          <w:highlight w:val="none"/>
        </w:rPr>
        <w:t>项[承包人提供质量保证金的方式]中其他方式提供质量保证金的，应当按第</w:t>
      </w:r>
      <w:r>
        <w:rPr>
          <w:rFonts w:ascii="宋体" w:hAnsi="宋体"/>
          <w:color w:val="auto"/>
          <w:szCs w:val="21"/>
          <w:highlight w:val="none"/>
        </w:rPr>
        <w:t>14.6</w:t>
      </w:r>
      <w:r>
        <w:rPr>
          <w:rFonts w:hint="eastAsia" w:ascii="宋体" w:hAnsi="宋体"/>
          <w:color w:val="auto"/>
          <w:szCs w:val="21"/>
          <w:highlight w:val="none"/>
        </w:rPr>
        <w:t>款[质量保证金]提供相关文件作为附件；</w:t>
      </w:r>
    </w:p>
    <w:p w14:paraId="366BB938">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（4） 发包人应支付承包人的合同价款。</w:t>
      </w:r>
    </w:p>
    <w:p w14:paraId="1986E57B">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1322" w:name="_Ref4571384"/>
      <w:r>
        <w:rPr>
          <w:rFonts w:hint="eastAsia"/>
          <w:b/>
          <w:bCs/>
          <w:color w:val="auto"/>
          <w:sz w:val="21"/>
          <w:highlight w:val="none"/>
        </w:rPr>
        <w:t>1</w:t>
      </w:r>
      <w:r>
        <w:rPr>
          <w:b/>
          <w:bCs/>
          <w:color w:val="auto"/>
          <w:sz w:val="21"/>
          <w:highlight w:val="none"/>
        </w:rPr>
        <w:t xml:space="preserve">4.5.2 </w:t>
      </w:r>
      <w:r>
        <w:rPr>
          <w:rFonts w:hint="eastAsia"/>
          <w:b/>
          <w:bCs/>
          <w:color w:val="auto"/>
          <w:sz w:val="21"/>
          <w:highlight w:val="none"/>
        </w:rPr>
        <w:t>竣工结算审核</w:t>
      </w:r>
      <w:bookmarkEnd w:id="1322"/>
    </w:p>
    <w:p w14:paraId="20FD4A38">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 除专用合同条件另有约定外，工程师应在收到竣工结算申请单后14天内完成核查并报送发包人。发包人应在收到工程师提交的经审核的竣工结算申请单后14天内完成审批，并由工程师向承包人签发经发包人签认的竣工付款证书。工程师或发包人对竣工结算申请单有异议的，有权要求承包人进行修正和提供补充资料，承包人应提交修正后的竣工结算申请单。</w:t>
      </w:r>
    </w:p>
    <w:p w14:paraId="7726C4E8">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14:paraId="167D67C7">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bookmarkStart w:id="1323" w:name="_Ref4618006"/>
      <w:r>
        <w:rPr>
          <w:rFonts w:hint="eastAsia" w:ascii="宋体" w:hAnsi="宋体"/>
          <w:color w:val="auto"/>
          <w:szCs w:val="21"/>
          <w:highlight w:val="none"/>
        </w:rPr>
        <w:t>（2） 除专用合同条件另有约定外，发包人应在签发竣工付款证书后的14天内，完成对承包人的竣工付款。发包人逾期支付的，按照贷款市场报价利率（LPR）支付违约金；逾期支付超过56天的，按照贷款市场报价利率（LPR）的两倍支付违约金。</w:t>
      </w:r>
      <w:bookmarkEnd w:id="1323"/>
    </w:p>
    <w:p w14:paraId="298F58A8">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（3） 承包人对发包人签认的竣工付款证书有异议的，对于有异议部分应在收到发包人签认的竣工付款证书后7天内提出异议，并由合同当事人按照专用合同条件约定的方式和程序进行复核，或按照第</w:t>
      </w:r>
      <w:r>
        <w:rPr>
          <w:rFonts w:ascii="宋体" w:hAnsi="宋体"/>
          <w:color w:val="auto"/>
          <w:szCs w:val="21"/>
          <w:highlight w:val="none"/>
        </w:rPr>
        <w:t>20条</w:t>
      </w:r>
      <w:r>
        <w:rPr>
          <w:rFonts w:hint="eastAsia" w:ascii="宋体" w:hAnsi="宋体"/>
          <w:color w:val="auto"/>
          <w:szCs w:val="21"/>
          <w:highlight w:val="none"/>
        </w:rPr>
        <w:t>[争议解决]约定处理。对于无异议部分，发包人应签发临时竣工付款证书，并按本款第（2）项完成付款。承包人逾期未提出异议的，视为认可发包人的审批结果。</w:t>
      </w:r>
    </w:p>
    <w:p w14:paraId="5EE9F3D0">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1324" w:name="_Ref15484305"/>
      <w:r>
        <w:rPr>
          <w:rFonts w:hint="eastAsia"/>
          <w:b/>
          <w:bCs/>
          <w:color w:val="auto"/>
          <w:sz w:val="21"/>
          <w:highlight w:val="none"/>
        </w:rPr>
        <w:t>1</w:t>
      </w:r>
      <w:r>
        <w:rPr>
          <w:b/>
          <w:bCs/>
          <w:color w:val="auto"/>
          <w:sz w:val="21"/>
          <w:highlight w:val="none"/>
        </w:rPr>
        <w:t xml:space="preserve">4.5.3 </w:t>
      </w:r>
      <w:r>
        <w:rPr>
          <w:rFonts w:hint="eastAsia"/>
          <w:b/>
          <w:bCs/>
          <w:color w:val="auto"/>
          <w:sz w:val="21"/>
          <w:highlight w:val="none"/>
        </w:rPr>
        <w:t>扫尾工作清单</w:t>
      </w:r>
      <w:bookmarkEnd w:id="1324"/>
    </w:p>
    <w:p w14:paraId="0229D7EB">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经双方协商，部分工作在工程竣工验收后进行的，承包人应当编制扫尾工作清单，扫尾工作清单中应当列明承包人应当完成的扫尾工作的内容及完成时间。</w:t>
      </w:r>
    </w:p>
    <w:p w14:paraId="012DCC91">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承包人完成扫尾工作清单中的内容应取得的费用包含在第</w:t>
      </w:r>
      <w:r>
        <w:rPr>
          <w:rFonts w:ascii="宋体" w:hAnsi="宋体"/>
          <w:color w:val="auto"/>
          <w:szCs w:val="21"/>
          <w:highlight w:val="none"/>
        </w:rPr>
        <w:t>14.5.1</w:t>
      </w:r>
      <w:r>
        <w:rPr>
          <w:rFonts w:hint="eastAsia" w:ascii="宋体" w:hAnsi="宋体"/>
          <w:color w:val="auto"/>
          <w:szCs w:val="21"/>
          <w:highlight w:val="none"/>
        </w:rPr>
        <w:t>项[</w:t>
      </w:r>
      <w:r>
        <w:rPr>
          <w:rFonts w:ascii="宋体" w:hAnsi="宋体"/>
          <w:color w:val="auto"/>
          <w:szCs w:val="21"/>
          <w:highlight w:val="none"/>
        </w:rPr>
        <w:t>竣工结算申请</w:t>
      </w:r>
      <w:r>
        <w:rPr>
          <w:rFonts w:hint="eastAsia" w:ascii="宋体" w:hAnsi="宋体"/>
          <w:color w:val="auto"/>
          <w:szCs w:val="21"/>
          <w:highlight w:val="none"/>
        </w:rPr>
        <w:t>]及第</w:t>
      </w:r>
      <w:r>
        <w:rPr>
          <w:rFonts w:ascii="宋体" w:hAnsi="宋体"/>
          <w:color w:val="auto"/>
          <w:szCs w:val="21"/>
          <w:highlight w:val="none"/>
        </w:rPr>
        <w:t>14.5.2</w:t>
      </w:r>
      <w:r>
        <w:rPr>
          <w:rFonts w:hint="eastAsia" w:ascii="宋体" w:hAnsi="宋体"/>
          <w:color w:val="auto"/>
          <w:szCs w:val="21"/>
          <w:highlight w:val="none"/>
        </w:rPr>
        <w:t>项[竣工结算审核]中一并结算。</w:t>
      </w:r>
    </w:p>
    <w:p w14:paraId="4CBB3C6A">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扫尾工作的缺陷责任期按第</w:t>
      </w:r>
      <w:r>
        <w:rPr>
          <w:rFonts w:ascii="宋体" w:hAnsi="宋体"/>
          <w:color w:val="auto"/>
          <w:szCs w:val="21"/>
          <w:highlight w:val="none"/>
        </w:rPr>
        <w:t>11条</w:t>
      </w:r>
      <w:r>
        <w:rPr>
          <w:rFonts w:hint="eastAsia" w:ascii="宋体" w:hAnsi="宋体"/>
          <w:color w:val="auto"/>
          <w:szCs w:val="21"/>
          <w:highlight w:val="none"/>
        </w:rPr>
        <w:t>[缺陷责任与</w:t>
      </w:r>
      <w:r>
        <w:rPr>
          <w:rFonts w:ascii="宋体" w:hAnsi="宋体"/>
          <w:color w:val="auto"/>
          <w:szCs w:val="21"/>
          <w:highlight w:val="none"/>
        </w:rPr>
        <w:t>保</w:t>
      </w:r>
      <w:r>
        <w:rPr>
          <w:rFonts w:hint="eastAsia" w:ascii="宋体" w:hAnsi="宋体"/>
          <w:color w:val="auto"/>
          <w:szCs w:val="21"/>
          <w:highlight w:val="none"/>
        </w:rPr>
        <w:t>修]处理。承包人未能按照扫尾工作清单约定的完成时间完成扫尾工作的，视为承包人原因导致的工程质量缺陷按照第</w:t>
      </w:r>
      <w:r>
        <w:rPr>
          <w:rFonts w:ascii="宋体" w:hAnsi="宋体"/>
          <w:color w:val="auto"/>
          <w:szCs w:val="21"/>
          <w:highlight w:val="none"/>
        </w:rPr>
        <w:t>11.3</w:t>
      </w:r>
      <w:r>
        <w:rPr>
          <w:rFonts w:hint="eastAsia" w:ascii="宋体" w:hAnsi="宋体"/>
          <w:color w:val="auto"/>
          <w:szCs w:val="21"/>
          <w:highlight w:val="none"/>
        </w:rPr>
        <w:t>款[缺陷调查]处理。</w:t>
      </w:r>
    </w:p>
    <w:p w14:paraId="4E9694E3">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325" w:name="_Toc208"/>
      <w:bookmarkStart w:id="1326" w:name="_Ref15395020"/>
      <w:bookmarkStart w:id="1327" w:name="_Ref4582115"/>
      <w:bookmarkStart w:id="1328" w:name="_Ref4617582"/>
      <w:bookmarkStart w:id="1329" w:name="_Ref4571127"/>
      <w:bookmarkStart w:id="1330" w:name="_Toc54862297"/>
      <w:bookmarkStart w:id="1331" w:name="_Toc1999"/>
      <w:bookmarkStart w:id="1332" w:name="_Toc9552"/>
      <w:bookmarkStart w:id="1333" w:name="_Ref4617592"/>
      <w:bookmarkStart w:id="1334" w:name="_Ref4571100"/>
      <w:bookmarkStart w:id="1335" w:name="_Hlk15394931"/>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4.6 </w:t>
      </w:r>
      <w:r>
        <w:rPr>
          <w:rFonts w:hint="eastAsia" w:ascii="宋体" w:hAnsi="宋体" w:eastAsia="宋体"/>
          <w:b/>
          <w:bCs w:val="0"/>
          <w:color w:val="auto"/>
          <w:sz w:val="21"/>
          <w:szCs w:val="21"/>
          <w:highlight w:val="none"/>
        </w:rPr>
        <w:t>质量保证金</w:t>
      </w:r>
      <w:bookmarkEnd w:id="1312"/>
      <w:bookmarkEnd w:id="1313"/>
      <w:bookmarkEnd w:id="1325"/>
      <w:bookmarkEnd w:id="1326"/>
      <w:bookmarkEnd w:id="1327"/>
      <w:bookmarkEnd w:id="1328"/>
      <w:bookmarkEnd w:id="1329"/>
      <w:bookmarkEnd w:id="1330"/>
      <w:bookmarkEnd w:id="1331"/>
      <w:bookmarkEnd w:id="1332"/>
      <w:bookmarkEnd w:id="1333"/>
      <w:bookmarkEnd w:id="1334"/>
    </w:p>
    <w:p w14:paraId="2C4F0E70">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经合同当事人协商一致提供质量保证金的，应在专用合同条件中予以明确。在工程项目竣工前，承包人已经提供履约担保的，发包人不得同时要求承包人提供质量保证金。</w:t>
      </w:r>
    </w:p>
    <w:bookmarkEnd w:id="1335"/>
    <w:p w14:paraId="722912BB">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1336" w:name="_Ref531955069"/>
      <w:bookmarkStart w:id="1337" w:name="_Ref531957153"/>
      <w:r>
        <w:rPr>
          <w:rFonts w:hint="eastAsia"/>
          <w:b/>
          <w:bCs/>
          <w:color w:val="auto"/>
          <w:sz w:val="21"/>
          <w:highlight w:val="none"/>
        </w:rPr>
        <w:t>1</w:t>
      </w:r>
      <w:r>
        <w:rPr>
          <w:b/>
          <w:bCs/>
          <w:color w:val="auto"/>
          <w:sz w:val="21"/>
          <w:highlight w:val="none"/>
        </w:rPr>
        <w:t xml:space="preserve">4.6.1 </w:t>
      </w:r>
      <w:r>
        <w:rPr>
          <w:rFonts w:hint="eastAsia"/>
          <w:b/>
          <w:bCs/>
          <w:color w:val="auto"/>
          <w:sz w:val="21"/>
          <w:highlight w:val="none"/>
        </w:rPr>
        <w:t>承包人提供质量保证金的方式</w:t>
      </w:r>
      <w:bookmarkEnd w:id="1336"/>
    </w:p>
    <w:p w14:paraId="6872E876">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承包人提供质量保证金有以下三种方式：</w:t>
      </w:r>
    </w:p>
    <w:p w14:paraId="795CF67D">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bookmarkStart w:id="1338" w:name="_Ref531955096"/>
      <w:r>
        <w:rPr>
          <w:rFonts w:hint="eastAsia" w:ascii="宋体" w:hAnsi="宋体"/>
          <w:color w:val="auto"/>
          <w:szCs w:val="21"/>
          <w:highlight w:val="none"/>
        </w:rPr>
        <w:t>（1） 提交工程质量保证担保；</w:t>
      </w:r>
      <w:bookmarkEnd w:id="1338"/>
    </w:p>
    <w:p w14:paraId="24E89E7C">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bookmarkStart w:id="1339" w:name="_Ref531955107"/>
      <w:r>
        <w:rPr>
          <w:rFonts w:hint="eastAsia" w:ascii="宋体" w:hAnsi="宋体"/>
          <w:color w:val="auto"/>
          <w:szCs w:val="21"/>
          <w:highlight w:val="none"/>
        </w:rPr>
        <w:t>（2） 预留相应比例的工程款；</w:t>
      </w:r>
      <w:bookmarkEnd w:id="1339"/>
    </w:p>
    <w:p w14:paraId="76ED321B">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bookmarkStart w:id="1340" w:name="_Ref531955117"/>
      <w:r>
        <w:rPr>
          <w:rFonts w:hint="eastAsia" w:ascii="宋体" w:hAnsi="宋体"/>
          <w:color w:val="auto"/>
          <w:szCs w:val="21"/>
          <w:highlight w:val="none"/>
        </w:rPr>
        <w:t>（3） 双方约定的其他方式。</w:t>
      </w:r>
      <w:bookmarkEnd w:id="1340"/>
    </w:p>
    <w:p w14:paraId="3E1B9357">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除专用合同条件另有约定外，质量保证金原则上采用上述第（1）种方式，且承包人应在工程竣工验收合格后7天内，向发包人提交工程质量保证担保。承包人提交工程质量保证担保时，发包人应同时返还预留的作为质量保证金的工程价款（如有）。但不论承包人以何种方式提供质量保证金，累计金额均不得高于工程价款结算总额的3%。</w:t>
      </w:r>
    </w:p>
    <w:p w14:paraId="524F3BF4">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1341" w:name="_Ref15419738"/>
      <w:bookmarkStart w:id="1342" w:name="_Ref18931667"/>
      <w:r>
        <w:rPr>
          <w:rFonts w:hint="eastAsia"/>
          <w:b/>
          <w:bCs/>
          <w:color w:val="auto"/>
          <w:sz w:val="21"/>
          <w:highlight w:val="none"/>
        </w:rPr>
        <w:t>1</w:t>
      </w:r>
      <w:r>
        <w:rPr>
          <w:b/>
          <w:bCs/>
          <w:color w:val="auto"/>
          <w:sz w:val="21"/>
          <w:highlight w:val="none"/>
        </w:rPr>
        <w:t xml:space="preserve">4.6.2 </w:t>
      </w:r>
      <w:r>
        <w:rPr>
          <w:rFonts w:hint="eastAsia"/>
          <w:b/>
          <w:bCs/>
          <w:color w:val="auto"/>
          <w:sz w:val="21"/>
          <w:highlight w:val="none"/>
        </w:rPr>
        <w:t>质量保证金的预留</w:t>
      </w:r>
      <w:bookmarkEnd w:id="1341"/>
      <w:bookmarkEnd w:id="1342"/>
    </w:p>
    <w:p w14:paraId="59B8185E">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双方约定采用预留相应比例的工程款方式提供质量保证金的，质量保证金的预留有以下三种方式：</w:t>
      </w:r>
    </w:p>
    <w:p w14:paraId="49545DF6">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bookmarkStart w:id="1343" w:name="_Hlk18840714"/>
      <w:bookmarkStart w:id="1344" w:name="_Ref531955143"/>
      <w:r>
        <w:rPr>
          <w:rFonts w:hint="eastAsia" w:ascii="宋体" w:hAnsi="宋体"/>
          <w:color w:val="auto"/>
          <w:szCs w:val="21"/>
          <w:highlight w:val="none"/>
        </w:rPr>
        <w:t>（1） 按专用合同条件的约定在支付工程进度款时逐次预留，直至预留的质量保证金总额达到专用合同条件约定的金额或比例为止</w:t>
      </w:r>
      <w:bookmarkEnd w:id="1343"/>
      <w:r>
        <w:rPr>
          <w:rFonts w:hint="eastAsia" w:ascii="宋体" w:hAnsi="宋体"/>
          <w:color w:val="auto"/>
          <w:szCs w:val="21"/>
          <w:highlight w:val="none"/>
        </w:rPr>
        <w:t>。在此情形下，质量保证金的计算基数不包括预付款的支付、扣回以及价格调整的金额；</w:t>
      </w:r>
      <w:bookmarkEnd w:id="1344"/>
    </w:p>
    <w:p w14:paraId="025E5B20">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bookmarkStart w:id="1345" w:name="_Ref531955151"/>
      <w:r>
        <w:rPr>
          <w:rFonts w:hint="eastAsia" w:ascii="宋体" w:hAnsi="宋体"/>
          <w:color w:val="auto"/>
          <w:szCs w:val="21"/>
          <w:highlight w:val="none"/>
        </w:rPr>
        <w:t>（2） 工程竣工结算时一次性预留质量保证金；</w:t>
      </w:r>
      <w:bookmarkEnd w:id="1345"/>
    </w:p>
    <w:p w14:paraId="0905B61B">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bookmarkStart w:id="1346" w:name="_Ref531955161"/>
      <w:r>
        <w:rPr>
          <w:rFonts w:hint="eastAsia" w:ascii="宋体" w:hAnsi="宋体"/>
          <w:color w:val="auto"/>
          <w:szCs w:val="21"/>
          <w:highlight w:val="none"/>
        </w:rPr>
        <w:t>（3） 双方约定的其他预留方式。</w:t>
      </w:r>
      <w:bookmarkEnd w:id="1346"/>
    </w:p>
    <w:p w14:paraId="1545619F">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除专用合同条件另有约定外，质量保证金的预留原则上采用上述第（1）种方式。如承包人在发包人签发竣工付款证书后28天内提交工程质量保证担保，发包人应同时返还预留的作为质量保证金的工程价款。发包人在返还本条款项下的质量保证金的同时，按照中国人民银行同期同类存款基准利率支付利息。</w:t>
      </w:r>
    </w:p>
    <w:p w14:paraId="1DEF657D">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1347" w:name="_Ref532690096"/>
      <w:bookmarkStart w:id="1348" w:name="_Ref4571243"/>
      <w:r>
        <w:rPr>
          <w:rFonts w:hint="eastAsia"/>
          <w:b/>
          <w:bCs/>
          <w:color w:val="auto"/>
          <w:sz w:val="21"/>
          <w:highlight w:val="none"/>
        </w:rPr>
        <w:t>1</w:t>
      </w:r>
      <w:r>
        <w:rPr>
          <w:b/>
          <w:bCs/>
          <w:color w:val="auto"/>
          <w:sz w:val="21"/>
          <w:highlight w:val="none"/>
        </w:rPr>
        <w:t xml:space="preserve">4.6.3 </w:t>
      </w:r>
      <w:r>
        <w:rPr>
          <w:rFonts w:hint="eastAsia"/>
          <w:b/>
          <w:bCs/>
          <w:color w:val="auto"/>
          <w:sz w:val="21"/>
          <w:highlight w:val="none"/>
        </w:rPr>
        <w:t>质量保证金的</w:t>
      </w:r>
      <w:bookmarkEnd w:id="1347"/>
      <w:r>
        <w:rPr>
          <w:rFonts w:hint="eastAsia"/>
          <w:b/>
          <w:bCs/>
          <w:color w:val="auto"/>
          <w:sz w:val="21"/>
          <w:highlight w:val="none"/>
        </w:rPr>
        <w:t>返还</w:t>
      </w:r>
      <w:bookmarkEnd w:id="1348"/>
    </w:p>
    <w:p w14:paraId="373DAAFD">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缺陷责任期内，承包人认真履行合同约定的责任，缺陷责任期满，发包人根据第</w:t>
      </w:r>
      <w:r>
        <w:rPr>
          <w:rFonts w:ascii="宋体" w:hAnsi="宋体"/>
          <w:color w:val="auto"/>
          <w:szCs w:val="21"/>
          <w:highlight w:val="none"/>
        </w:rPr>
        <w:t>11.6</w:t>
      </w:r>
      <w:r>
        <w:rPr>
          <w:rFonts w:hint="eastAsia" w:ascii="宋体" w:hAnsi="宋体"/>
          <w:color w:val="auto"/>
          <w:szCs w:val="21"/>
          <w:highlight w:val="none"/>
        </w:rPr>
        <w:t>款[缺陷责任期终止证书]向承包人颁发缺陷责任期终止证书后，承包人可向发包人申请返还质量保证金。</w:t>
      </w:r>
    </w:p>
    <w:p w14:paraId="77176968">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发包人在接到承包人返还质量保证金申请后，应于</w:t>
      </w:r>
      <w:r>
        <w:rPr>
          <w:rFonts w:ascii="宋体" w:hAnsi="宋体"/>
          <w:color w:val="auto"/>
          <w:szCs w:val="21"/>
          <w:highlight w:val="none"/>
        </w:rPr>
        <w:t>7</w:t>
      </w:r>
      <w:r>
        <w:rPr>
          <w:rFonts w:hint="eastAsia" w:ascii="宋体" w:hAnsi="宋体"/>
          <w:color w:val="auto"/>
          <w:szCs w:val="21"/>
          <w:highlight w:val="none"/>
        </w:rPr>
        <w:t>天内将质量保证金返还承包人，逾期未返还的，应承担违约责任。发包人在接到承包人返还质量保证金申请后</w:t>
      </w:r>
      <w:r>
        <w:rPr>
          <w:rFonts w:ascii="宋体" w:hAnsi="宋体"/>
          <w:color w:val="auto"/>
          <w:szCs w:val="21"/>
          <w:highlight w:val="none"/>
        </w:rPr>
        <w:t>7</w:t>
      </w:r>
      <w:r>
        <w:rPr>
          <w:rFonts w:hint="eastAsia" w:ascii="宋体" w:hAnsi="宋体"/>
          <w:color w:val="auto"/>
          <w:szCs w:val="21"/>
          <w:highlight w:val="none"/>
        </w:rPr>
        <w:t>天内不予答复，视同认可承包人的返还质量保证金申请。</w:t>
      </w:r>
    </w:p>
    <w:p w14:paraId="7ACA6BDC">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发包人和承包人对质量保证金预留、返还以及工程维修质量、费用有争议的，按本合同第</w:t>
      </w:r>
      <w:r>
        <w:rPr>
          <w:rFonts w:ascii="宋体" w:hAnsi="宋体"/>
          <w:color w:val="auto"/>
          <w:szCs w:val="21"/>
          <w:highlight w:val="none"/>
        </w:rPr>
        <w:t>20条</w:t>
      </w:r>
      <w:r>
        <w:rPr>
          <w:rFonts w:hint="eastAsia" w:ascii="宋体" w:hAnsi="宋体"/>
          <w:color w:val="auto"/>
          <w:szCs w:val="21"/>
          <w:highlight w:val="none"/>
        </w:rPr>
        <w:t>[争议解决]约定的争议和纠纷解决程序处理。</w:t>
      </w:r>
    </w:p>
    <w:bookmarkEnd w:id="1337"/>
    <w:p w14:paraId="49935C9D">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349" w:name="_Toc26170"/>
      <w:bookmarkStart w:id="1350" w:name="_Ref531957339"/>
      <w:bookmarkStart w:id="1351" w:name="_Toc14988"/>
      <w:bookmarkStart w:id="1352" w:name="_Ref531957341"/>
      <w:bookmarkStart w:id="1353" w:name="_Toc30353"/>
      <w:bookmarkStart w:id="1354" w:name="_Toc54862298"/>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4.7 </w:t>
      </w:r>
      <w:r>
        <w:rPr>
          <w:rFonts w:hint="eastAsia" w:ascii="宋体" w:hAnsi="宋体" w:eastAsia="宋体"/>
          <w:b/>
          <w:bCs w:val="0"/>
          <w:color w:val="auto"/>
          <w:sz w:val="21"/>
          <w:szCs w:val="21"/>
          <w:highlight w:val="none"/>
        </w:rPr>
        <w:t>最终结清</w:t>
      </w:r>
      <w:bookmarkEnd w:id="1349"/>
      <w:bookmarkEnd w:id="1350"/>
      <w:bookmarkEnd w:id="1351"/>
      <w:bookmarkEnd w:id="1352"/>
      <w:bookmarkEnd w:id="1353"/>
      <w:bookmarkEnd w:id="1354"/>
    </w:p>
    <w:p w14:paraId="25B91BD8">
      <w:pPr>
        <w:pStyle w:val="153"/>
        <w:keepNext w:val="0"/>
        <w:keepLines w:val="0"/>
        <w:pageBreakBefore w:val="0"/>
        <w:kinsoku/>
        <w:wordWrap/>
        <w:overflowPunct/>
        <w:topLinePunct w:val="0"/>
        <w:bidi w:val="0"/>
        <w:spacing w:after="120"/>
        <w:ind w:firstLine="422" w:firstLineChars="200"/>
        <w:textAlignment w:val="auto"/>
        <w:rPr>
          <w:b/>
          <w:bCs w:val="0"/>
          <w:color w:val="auto"/>
          <w:sz w:val="21"/>
          <w:highlight w:val="none"/>
        </w:rPr>
      </w:pPr>
      <w:bookmarkStart w:id="1355" w:name="_Ref531957350"/>
      <w:r>
        <w:rPr>
          <w:rFonts w:hint="eastAsia"/>
          <w:b/>
          <w:bCs w:val="0"/>
          <w:color w:val="auto"/>
          <w:sz w:val="21"/>
          <w:highlight w:val="none"/>
        </w:rPr>
        <w:t>1</w:t>
      </w:r>
      <w:r>
        <w:rPr>
          <w:b/>
          <w:bCs w:val="0"/>
          <w:color w:val="auto"/>
          <w:sz w:val="21"/>
          <w:highlight w:val="none"/>
        </w:rPr>
        <w:t xml:space="preserve">4.7.1 </w:t>
      </w:r>
      <w:r>
        <w:rPr>
          <w:rFonts w:hint="eastAsia"/>
          <w:b/>
          <w:bCs w:val="0"/>
          <w:color w:val="auto"/>
          <w:sz w:val="21"/>
          <w:highlight w:val="none"/>
        </w:rPr>
        <w:t>最终结清申请</w:t>
      </w:r>
      <w:bookmarkEnd w:id="1355"/>
      <w:r>
        <w:rPr>
          <w:rFonts w:hint="eastAsia"/>
          <w:b/>
          <w:bCs w:val="0"/>
          <w:color w:val="auto"/>
          <w:sz w:val="21"/>
          <w:highlight w:val="none"/>
        </w:rPr>
        <w:t>单</w:t>
      </w:r>
    </w:p>
    <w:p w14:paraId="6AF81DA4">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 除专用合同条件另有约定外，承包人应在缺陷责任期终止证书颁发后7天内，按专用合同条件约定的份数向发包人提交最终结清申请单，并提供相关证明材料。</w:t>
      </w:r>
    </w:p>
    <w:p w14:paraId="6ED11D75">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除专用合同条件另有约定外，最终结清申请单应列明质量保证金、应扣除的质量保证金、缺陷责任期内发生的增减费用。</w:t>
      </w:r>
    </w:p>
    <w:p w14:paraId="251D3334">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 发包人对最终结清申请单内容有异议的，有权要求承包人进行修正和提供补充资料，承包人应向发包人提交修正后的最终结清申请单。</w:t>
      </w:r>
    </w:p>
    <w:p w14:paraId="6BA258A2">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1356" w:name="_Ref531957369"/>
      <w:bookmarkStart w:id="1357" w:name="_Ref4624099"/>
      <w:r>
        <w:rPr>
          <w:rFonts w:hint="eastAsia"/>
          <w:b/>
          <w:bCs/>
          <w:color w:val="auto"/>
          <w:sz w:val="21"/>
          <w:highlight w:val="none"/>
        </w:rPr>
        <w:t>1</w:t>
      </w:r>
      <w:r>
        <w:rPr>
          <w:b/>
          <w:bCs/>
          <w:color w:val="auto"/>
          <w:sz w:val="21"/>
          <w:highlight w:val="none"/>
        </w:rPr>
        <w:t xml:space="preserve">4.7.2 </w:t>
      </w:r>
      <w:r>
        <w:rPr>
          <w:rFonts w:hint="eastAsia"/>
          <w:b/>
          <w:bCs/>
          <w:color w:val="auto"/>
          <w:sz w:val="21"/>
          <w:highlight w:val="none"/>
        </w:rPr>
        <w:t>最终结清证书</w:t>
      </w:r>
      <w:bookmarkEnd w:id="1356"/>
      <w:r>
        <w:rPr>
          <w:rFonts w:hint="eastAsia"/>
          <w:b/>
          <w:bCs/>
          <w:color w:val="auto"/>
          <w:sz w:val="21"/>
          <w:highlight w:val="none"/>
        </w:rPr>
        <w:t>和支付</w:t>
      </w:r>
      <w:bookmarkEnd w:id="1357"/>
    </w:p>
    <w:p w14:paraId="293926A8">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 除专用合同条件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14:paraId="63F5E945">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 除专用合同条件另有约定外，发包人应在颁发最终结清证书后7天内完成支付。发包人逾期支付的，按照贷款市场报价利率（LPR）支付利息；逾期支付超过56天的，按照贷款市场报价利率（LPR）的两倍支付利息。</w:t>
      </w:r>
    </w:p>
    <w:p w14:paraId="00712DD6">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（3） 承包人对发包人颁发的最终结清证书有异议的，按第</w:t>
      </w:r>
      <w:r>
        <w:rPr>
          <w:rFonts w:ascii="宋体" w:hAnsi="宋体"/>
          <w:color w:val="auto"/>
          <w:szCs w:val="21"/>
          <w:highlight w:val="none"/>
        </w:rPr>
        <w:t>20条</w:t>
      </w:r>
      <w:r>
        <w:rPr>
          <w:rFonts w:hint="eastAsia" w:ascii="宋体" w:hAnsi="宋体"/>
          <w:color w:val="auto"/>
          <w:szCs w:val="21"/>
          <w:highlight w:val="none"/>
        </w:rPr>
        <w:t>[争议解决]的约定办理。</w:t>
      </w:r>
    </w:p>
    <w:p w14:paraId="5AF3458A">
      <w:pPr>
        <w:pStyle w:val="178"/>
        <w:keepNext w:val="0"/>
        <w:keepLines w:val="0"/>
        <w:pageBreakBefore w:val="0"/>
        <w:numPr>
          <w:ilvl w:val="0"/>
          <w:numId w:val="0"/>
        </w:numPr>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358" w:name="_Toc54862299"/>
      <w:bookmarkStart w:id="1359" w:name="_Ref11874957"/>
      <w:bookmarkStart w:id="1360" w:name="_Ref11920396"/>
      <w:bookmarkStart w:id="1361" w:name="_Ref11920407"/>
      <w:bookmarkStart w:id="1362" w:name="_Toc27684"/>
      <w:bookmarkStart w:id="1363" w:name="_Toc30259"/>
      <w:bookmarkStart w:id="1364" w:name="_Toc14432"/>
      <w:bookmarkStart w:id="1365" w:name="_Toc14492"/>
      <w:r>
        <w:rPr>
          <w:rFonts w:hint="eastAsia" w:ascii="宋体" w:hAnsi="宋体" w:eastAsia="宋体"/>
          <w:b/>
          <w:bCs w:val="0"/>
          <w:color w:val="auto"/>
          <w:sz w:val="21"/>
          <w:szCs w:val="21"/>
          <w:highlight w:val="none"/>
        </w:rPr>
        <w:t>第1</w:t>
      </w:r>
      <w:r>
        <w:rPr>
          <w:rFonts w:ascii="宋体" w:hAnsi="宋体" w:eastAsia="宋体"/>
          <w:b/>
          <w:bCs w:val="0"/>
          <w:color w:val="auto"/>
          <w:sz w:val="21"/>
          <w:szCs w:val="21"/>
          <w:highlight w:val="none"/>
        </w:rPr>
        <w:t>5</w:t>
      </w:r>
      <w:r>
        <w:rPr>
          <w:rFonts w:hint="eastAsia" w:ascii="宋体" w:hAnsi="宋体" w:eastAsia="宋体"/>
          <w:b/>
          <w:bCs w:val="0"/>
          <w:color w:val="auto"/>
          <w:sz w:val="21"/>
          <w:szCs w:val="21"/>
          <w:highlight w:val="none"/>
        </w:rPr>
        <w:t>条 违约</w:t>
      </w:r>
      <w:bookmarkEnd w:id="1147"/>
      <w:bookmarkEnd w:id="1155"/>
      <w:bookmarkEnd w:id="1156"/>
      <w:bookmarkEnd w:id="1358"/>
      <w:bookmarkEnd w:id="1359"/>
      <w:bookmarkEnd w:id="1360"/>
      <w:bookmarkEnd w:id="1361"/>
      <w:bookmarkEnd w:id="1362"/>
      <w:bookmarkEnd w:id="1363"/>
      <w:bookmarkEnd w:id="1364"/>
      <w:bookmarkEnd w:id="1365"/>
    </w:p>
    <w:p w14:paraId="6B045E6F">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366" w:name="_Ref4534384"/>
      <w:bookmarkStart w:id="1367" w:name="_Toc25479"/>
      <w:bookmarkStart w:id="1368" w:name="_Toc54862300"/>
      <w:bookmarkStart w:id="1369" w:name="_Ref4534376"/>
      <w:bookmarkStart w:id="1370" w:name="_Toc3773"/>
      <w:bookmarkStart w:id="1371" w:name="_Ref4534399"/>
      <w:bookmarkStart w:id="1372" w:name="_Ref4534411"/>
      <w:bookmarkStart w:id="1373" w:name="_Toc4485"/>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5.1 </w:t>
      </w:r>
      <w:r>
        <w:rPr>
          <w:rFonts w:hint="eastAsia" w:ascii="宋体" w:hAnsi="宋体" w:eastAsia="宋体"/>
          <w:b/>
          <w:bCs w:val="0"/>
          <w:color w:val="auto"/>
          <w:sz w:val="21"/>
          <w:szCs w:val="21"/>
          <w:highlight w:val="none"/>
        </w:rPr>
        <w:t>发包人违约</w:t>
      </w:r>
      <w:bookmarkEnd w:id="1366"/>
      <w:bookmarkEnd w:id="1367"/>
      <w:bookmarkEnd w:id="1368"/>
      <w:bookmarkEnd w:id="1369"/>
      <w:bookmarkEnd w:id="1370"/>
      <w:bookmarkEnd w:id="1371"/>
      <w:bookmarkEnd w:id="1372"/>
      <w:bookmarkEnd w:id="1373"/>
    </w:p>
    <w:p w14:paraId="7286EAB8">
      <w:pPr>
        <w:pStyle w:val="153"/>
        <w:keepNext w:val="0"/>
        <w:keepLines w:val="0"/>
        <w:pageBreakBefore w:val="0"/>
        <w:kinsoku/>
        <w:wordWrap/>
        <w:overflowPunct/>
        <w:topLinePunct w:val="0"/>
        <w:bidi w:val="0"/>
        <w:spacing w:after="120"/>
        <w:ind w:firstLine="422" w:firstLineChars="200"/>
        <w:textAlignment w:val="auto"/>
        <w:rPr>
          <w:b/>
          <w:bCs w:val="0"/>
          <w:color w:val="auto"/>
          <w:sz w:val="21"/>
          <w:highlight w:val="none"/>
        </w:rPr>
      </w:pPr>
      <w:bookmarkStart w:id="1374" w:name="_Ref3841087"/>
      <w:r>
        <w:rPr>
          <w:rFonts w:hint="eastAsia"/>
          <w:b/>
          <w:bCs w:val="0"/>
          <w:color w:val="auto"/>
          <w:sz w:val="21"/>
          <w:highlight w:val="none"/>
        </w:rPr>
        <w:t>1</w:t>
      </w:r>
      <w:r>
        <w:rPr>
          <w:b/>
          <w:bCs w:val="0"/>
          <w:color w:val="auto"/>
          <w:sz w:val="21"/>
          <w:highlight w:val="none"/>
        </w:rPr>
        <w:t xml:space="preserve">5.1.1 </w:t>
      </w:r>
      <w:r>
        <w:rPr>
          <w:rFonts w:hint="eastAsia"/>
          <w:b/>
          <w:bCs w:val="0"/>
          <w:color w:val="auto"/>
          <w:sz w:val="21"/>
          <w:highlight w:val="none"/>
        </w:rPr>
        <w:t>发包人违约的情形</w:t>
      </w:r>
      <w:bookmarkEnd w:id="1374"/>
    </w:p>
    <w:p w14:paraId="7A143585">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除专用合同条件另有约定外，在合同履行过程中发生的下列情形，属于发包人违约：</w:t>
      </w:r>
    </w:p>
    <w:p w14:paraId="5685F741">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 xml:space="preserve">（1） 因发包人原因导致开始工作日期延误的； </w:t>
      </w:r>
    </w:p>
    <w:p w14:paraId="29893E31">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 因发包人原因未能按合同约定支付合同价款的；</w:t>
      </w:r>
    </w:p>
    <w:p w14:paraId="33501F75">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（3） 发包人违反第</w:t>
      </w:r>
      <w:r>
        <w:rPr>
          <w:rFonts w:ascii="宋体" w:hAnsi="宋体"/>
          <w:color w:val="auto"/>
          <w:szCs w:val="21"/>
          <w:highlight w:val="none"/>
        </w:rPr>
        <w:t>13.1.1</w:t>
      </w:r>
      <w:r>
        <w:rPr>
          <w:rFonts w:hint="eastAsia" w:ascii="宋体" w:hAnsi="宋体"/>
          <w:color w:val="auto"/>
          <w:szCs w:val="21"/>
          <w:highlight w:val="none"/>
        </w:rPr>
        <w:t>项约定，自行实施被取消的工作或转由他人实施的；</w:t>
      </w:r>
    </w:p>
    <w:p w14:paraId="66DA4BC4">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（4） 因发包人违反合同约定造成工程暂停施工的；</w:t>
      </w:r>
    </w:p>
    <w:p w14:paraId="756A1494">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（5） 工程师无正当理由没有在约定期限内发出复工指示，导致承包人无法复工的；</w:t>
      </w:r>
    </w:p>
    <w:p w14:paraId="766322A3">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（6） 发包人明确表示或者以其行为表明不履行合同主要义务的；</w:t>
      </w:r>
    </w:p>
    <w:p w14:paraId="473B82D9">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（7） 发包人未能按照合同约定履行其他义务的。</w:t>
      </w:r>
    </w:p>
    <w:p w14:paraId="0729F522">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1375" w:name="_Ref4535692"/>
      <w:r>
        <w:rPr>
          <w:rFonts w:hint="eastAsia"/>
          <w:b/>
          <w:bCs/>
          <w:color w:val="auto"/>
          <w:sz w:val="21"/>
          <w:highlight w:val="none"/>
        </w:rPr>
        <w:t>1</w:t>
      </w:r>
      <w:r>
        <w:rPr>
          <w:b/>
          <w:bCs/>
          <w:color w:val="auto"/>
          <w:sz w:val="21"/>
          <w:highlight w:val="none"/>
        </w:rPr>
        <w:t xml:space="preserve">5.1.2 </w:t>
      </w:r>
      <w:r>
        <w:rPr>
          <w:rFonts w:hint="eastAsia"/>
          <w:b/>
          <w:bCs/>
          <w:color w:val="auto"/>
          <w:sz w:val="21"/>
          <w:highlight w:val="none"/>
        </w:rPr>
        <w:t>通知改正</w:t>
      </w:r>
      <w:bookmarkEnd w:id="1375"/>
    </w:p>
    <w:p w14:paraId="7F420707">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bookmarkStart w:id="1376" w:name="_Hlk16248297"/>
      <w:r>
        <w:rPr>
          <w:rFonts w:hint="eastAsia" w:ascii="宋体" w:hAnsi="宋体"/>
          <w:color w:val="auto"/>
          <w:szCs w:val="21"/>
          <w:highlight w:val="none"/>
        </w:rPr>
        <w:t>发包人发生除第</w:t>
      </w:r>
      <w:r>
        <w:rPr>
          <w:rFonts w:ascii="宋体" w:hAnsi="宋体"/>
          <w:color w:val="auto"/>
          <w:szCs w:val="21"/>
          <w:highlight w:val="none"/>
        </w:rPr>
        <w:t>15.1.1</w:t>
      </w:r>
      <w:r>
        <w:rPr>
          <w:rFonts w:hint="eastAsia" w:ascii="宋体" w:hAnsi="宋体"/>
          <w:color w:val="auto"/>
          <w:szCs w:val="21"/>
          <w:highlight w:val="none"/>
        </w:rPr>
        <w:t>项第(</w:t>
      </w:r>
      <w:r>
        <w:rPr>
          <w:rFonts w:ascii="宋体" w:hAnsi="宋体"/>
          <w:color w:val="auto"/>
          <w:szCs w:val="21"/>
          <w:highlight w:val="none"/>
        </w:rPr>
        <w:t>6</w:t>
      </w:r>
      <w:r>
        <w:rPr>
          <w:rFonts w:hint="eastAsia" w:ascii="宋体" w:hAnsi="宋体"/>
          <w:color w:val="auto"/>
          <w:szCs w:val="21"/>
          <w:highlight w:val="none"/>
        </w:rPr>
        <w:t>)目以外的违约情况时，承包人可向发包人发出通知，要求发包人采取有效措施纠正违约行为。发包人收到承包人通知后28天内仍不纠正违约行为的，承包人有权暂停相应部位工程实施，并通知工程师。</w:t>
      </w:r>
      <w:bookmarkEnd w:id="1376"/>
    </w:p>
    <w:p w14:paraId="0F0E1D41">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1377" w:name="_Ref3841132"/>
      <w:r>
        <w:rPr>
          <w:rFonts w:hint="eastAsia"/>
          <w:b/>
          <w:bCs/>
          <w:color w:val="auto"/>
          <w:sz w:val="21"/>
          <w:highlight w:val="none"/>
        </w:rPr>
        <w:t>1</w:t>
      </w:r>
      <w:r>
        <w:rPr>
          <w:b/>
          <w:bCs/>
          <w:color w:val="auto"/>
          <w:sz w:val="21"/>
          <w:highlight w:val="none"/>
        </w:rPr>
        <w:t xml:space="preserve">5.1.3 </w:t>
      </w:r>
      <w:r>
        <w:rPr>
          <w:rFonts w:hint="eastAsia"/>
          <w:b/>
          <w:bCs/>
          <w:color w:val="auto"/>
          <w:sz w:val="21"/>
          <w:highlight w:val="none"/>
        </w:rPr>
        <w:t>发包人违约的责任</w:t>
      </w:r>
      <w:bookmarkEnd w:id="1377"/>
    </w:p>
    <w:p w14:paraId="050E97BA">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bookmarkStart w:id="1378" w:name="_Hlk16247984"/>
      <w:r>
        <w:rPr>
          <w:rFonts w:hint="eastAsia" w:ascii="宋体" w:hAnsi="宋体"/>
          <w:color w:val="auto"/>
          <w:szCs w:val="21"/>
          <w:highlight w:val="none"/>
        </w:rPr>
        <w:t>发包人应承担因其违约给承包人增加的费用和（或）延误的工期，并支付承包人合理的利润。此外，合同当事人可在专用合同条件中另行约定发包人违约责任的承担方式和计算方法。</w:t>
      </w:r>
      <w:bookmarkEnd w:id="1378"/>
    </w:p>
    <w:p w14:paraId="76ED8A9B">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379" w:name="_Toc54862301"/>
      <w:bookmarkStart w:id="1380" w:name="_Ref11958663"/>
      <w:bookmarkStart w:id="1381" w:name="_Ref11958660"/>
      <w:bookmarkStart w:id="1382" w:name="_Toc9984"/>
      <w:bookmarkStart w:id="1383" w:name="_Toc20195"/>
      <w:bookmarkStart w:id="1384" w:name="_Toc17097"/>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5.2 </w:t>
      </w:r>
      <w:r>
        <w:rPr>
          <w:rFonts w:hint="eastAsia" w:ascii="宋体" w:hAnsi="宋体" w:eastAsia="宋体"/>
          <w:b/>
          <w:bCs w:val="0"/>
          <w:color w:val="auto"/>
          <w:sz w:val="21"/>
          <w:szCs w:val="21"/>
          <w:highlight w:val="none"/>
        </w:rPr>
        <w:t>承包人违约</w:t>
      </w:r>
      <w:bookmarkEnd w:id="1379"/>
      <w:bookmarkEnd w:id="1380"/>
      <w:bookmarkEnd w:id="1381"/>
      <w:bookmarkEnd w:id="1382"/>
      <w:bookmarkEnd w:id="1383"/>
      <w:bookmarkEnd w:id="1384"/>
    </w:p>
    <w:p w14:paraId="42D19DF8">
      <w:pPr>
        <w:pStyle w:val="153"/>
        <w:keepNext w:val="0"/>
        <w:keepLines w:val="0"/>
        <w:pageBreakBefore w:val="0"/>
        <w:kinsoku/>
        <w:wordWrap/>
        <w:overflowPunct/>
        <w:topLinePunct w:val="0"/>
        <w:bidi w:val="0"/>
        <w:spacing w:after="120"/>
        <w:ind w:firstLine="422" w:firstLineChars="200"/>
        <w:textAlignment w:val="auto"/>
        <w:rPr>
          <w:b/>
          <w:bCs w:val="0"/>
          <w:color w:val="auto"/>
          <w:sz w:val="21"/>
          <w:highlight w:val="none"/>
        </w:rPr>
      </w:pPr>
      <w:bookmarkStart w:id="1385" w:name="_Ref3841153"/>
      <w:r>
        <w:rPr>
          <w:rFonts w:hint="eastAsia"/>
          <w:b/>
          <w:bCs w:val="0"/>
          <w:color w:val="auto"/>
          <w:sz w:val="21"/>
          <w:highlight w:val="none"/>
        </w:rPr>
        <w:t>1</w:t>
      </w:r>
      <w:r>
        <w:rPr>
          <w:b/>
          <w:bCs w:val="0"/>
          <w:color w:val="auto"/>
          <w:sz w:val="21"/>
          <w:highlight w:val="none"/>
        </w:rPr>
        <w:t xml:space="preserve">5.2.1 </w:t>
      </w:r>
      <w:r>
        <w:rPr>
          <w:rFonts w:hint="eastAsia"/>
          <w:b/>
          <w:bCs w:val="0"/>
          <w:color w:val="auto"/>
          <w:sz w:val="21"/>
          <w:highlight w:val="none"/>
        </w:rPr>
        <w:t>承包人违约的情形</w:t>
      </w:r>
      <w:bookmarkEnd w:id="1385"/>
    </w:p>
    <w:p w14:paraId="268FA0E4">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除专用合同条件另有约定外，在履行合同过程中发生的下列情况之一的，属于承包人违约：</w:t>
      </w:r>
    </w:p>
    <w:p w14:paraId="698A94C7">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 承包人的原因导致的承包人文件、实施和竣工的工程不符合法律法规、工程质量验收标准以及合同约定；</w:t>
      </w:r>
    </w:p>
    <w:p w14:paraId="01247FC9">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 承包人违反合同约定进行转包或违法分包的；</w:t>
      </w:r>
    </w:p>
    <w:p w14:paraId="20B6D1AA">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（3） 承包人违反约定采购和使用不合格材料或工程设备；</w:t>
      </w:r>
    </w:p>
    <w:p w14:paraId="0DCBA0FC">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（4） 因承包人原因导致工程质量不符合合同要求的；</w:t>
      </w:r>
    </w:p>
    <w:p w14:paraId="176F2745">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（5） 承包人未经工程师批准，擅自将已按合同约定进入施工现场的施工设备、临时设施或材料撤离施工现场；</w:t>
      </w:r>
    </w:p>
    <w:p w14:paraId="0C3F14B8">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（6） 承包人未能按项目进度计划及时完成合同约定的工作，造成工期延误；</w:t>
      </w:r>
    </w:p>
    <w:p w14:paraId="240166DC">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（7） 由于承包人原因未能通过竣工试验或竣工后试验的；</w:t>
      </w:r>
    </w:p>
    <w:p w14:paraId="47B4DAD0">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（8） 承包人在缺陷责任期及保修期内，未能在合理期限对工程缺陷进行修复，或拒绝按发包人指示进行修复的；</w:t>
      </w:r>
    </w:p>
    <w:p w14:paraId="28C120A1">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（9） 承包人明确表示或者以其行为表明不履行合同主要义务的；</w:t>
      </w:r>
    </w:p>
    <w:p w14:paraId="3E0C6193">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0</w:t>
      </w:r>
      <w:r>
        <w:rPr>
          <w:rFonts w:hint="eastAsia" w:ascii="宋体" w:hAnsi="宋体"/>
          <w:color w:val="auto"/>
          <w:szCs w:val="21"/>
          <w:highlight w:val="none"/>
        </w:rPr>
        <w:t>） 承包人未能按照合同约定履行其他义务的。</w:t>
      </w:r>
    </w:p>
    <w:p w14:paraId="74CB44E2">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bookmarkStart w:id="1386" w:name="_Ref531958512"/>
      <w:r>
        <w:rPr>
          <w:rFonts w:hint="eastAsia"/>
          <w:color w:val="auto"/>
          <w:sz w:val="21"/>
          <w:highlight w:val="none"/>
        </w:rPr>
        <w:t>1</w:t>
      </w:r>
      <w:r>
        <w:rPr>
          <w:color w:val="auto"/>
          <w:sz w:val="21"/>
          <w:highlight w:val="none"/>
        </w:rPr>
        <w:t xml:space="preserve">5.2.2 </w:t>
      </w:r>
      <w:r>
        <w:rPr>
          <w:rFonts w:hint="eastAsia"/>
          <w:color w:val="auto"/>
          <w:sz w:val="21"/>
          <w:highlight w:val="none"/>
        </w:rPr>
        <w:t>通知改正</w:t>
      </w:r>
      <w:bookmarkEnd w:id="1386"/>
    </w:p>
    <w:p w14:paraId="0793683C">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承包人发生除第</w:t>
      </w:r>
      <w:r>
        <w:rPr>
          <w:rFonts w:ascii="宋体" w:hAnsi="宋体"/>
          <w:color w:val="auto"/>
          <w:szCs w:val="21"/>
          <w:highlight w:val="none"/>
        </w:rPr>
        <w:t>15.2.1</w:t>
      </w:r>
      <w:r>
        <w:rPr>
          <w:rFonts w:hint="eastAsia" w:ascii="宋体" w:hAnsi="宋体"/>
          <w:color w:val="auto"/>
          <w:szCs w:val="21"/>
          <w:highlight w:val="none"/>
        </w:rPr>
        <w:t>项第(7)目、第(9)目约定以外的其他违约情况时，工程师可在专用合同条件约定的合理期限内向承包人发出整改通知，要求其在指定的期限内改正。</w:t>
      </w:r>
    </w:p>
    <w:p w14:paraId="47C0831A">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1387" w:name="_Ref3841166"/>
      <w:r>
        <w:rPr>
          <w:rFonts w:hint="eastAsia"/>
          <w:b/>
          <w:bCs/>
          <w:color w:val="auto"/>
          <w:sz w:val="21"/>
          <w:highlight w:val="none"/>
        </w:rPr>
        <w:t>1</w:t>
      </w:r>
      <w:r>
        <w:rPr>
          <w:b/>
          <w:bCs/>
          <w:color w:val="auto"/>
          <w:sz w:val="21"/>
          <w:highlight w:val="none"/>
        </w:rPr>
        <w:t xml:space="preserve">5.2.3 </w:t>
      </w:r>
      <w:r>
        <w:rPr>
          <w:rFonts w:hint="eastAsia"/>
          <w:b/>
          <w:bCs/>
          <w:color w:val="auto"/>
          <w:sz w:val="21"/>
          <w:highlight w:val="none"/>
        </w:rPr>
        <w:t>承包人违约的责任</w:t>
      </w:r>
      <w:bookmarkEnd w:id="1387"/>
    </w:p>
    <w:p w14:paraId="30A4A786">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承包人应承担因其违约行为而增加的费用和（或）延误的工期。此外，合同当事人可在专用合同条件中另行约定承包人违约责任的承担方式和计算方法。</w:t>
      </w:r>
    </w:p>
    <w:p w14:paraId="3FEB5052">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388" w:name="_Toc20651"/>
      <w:bookmarkStart w:id="1389" w:name="_Toc19757"/>
      <w:bookmarkStart w:id="1390" w:name="_Toc3821"/>
      <w:bookmarkStart w:id="1391" w:name="_Toc54862302"/>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5.3 </w:t>
      </w:r>
      <w:r>
        <w:rPr>
          <w:rFonts w:hint="eastAsia" w:ascii="宋体" w:hAnsi="宋体" w:eastAsia="宋体"/>
          <w:b/>
          <w:bCs w:val="0"/>
          <w:color w:val="auto"/>
          <w:sz w:val="21"/>
          <w:szCs w:val="21"/>
          <w:highlight w:val="none"/>
        </w:rPr>
        <w:t>第三人造成的违约</w:t>
      </w:r>
      <w:bookmarkEnd w:id="1388"/>
      <w:bookmarkEnd w:id="1389"/>
      <w:bookmarkEnd w:id="1390"/>
      <w:bookmarkEnd w:id="1391"/>
    </w:p>
    <w:p w14:paraId="1F8F03AF">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在履行合同过程中，一方当事人因第三人的原因造成违约的，应当向对方当事人承担违约责任。一方当事人和第三人之间的纠纷，依照法律规定或者按照约定解决。</w:t>
      </w:r>
    </w:p>
    <w:p w14:paraId="29028293">
      <w:pPr>
        <w:pStyle w:val="178"/>
        <w:keepNext w:val="0"/>
        <w:keepLines w:val="0"/>
        <w:pageBreakBefore w:val="0"/>
        <w:numPr>
          <w:ilvl w:val="0"/>
          <w:numId w:val="0"/>
        </w:numPr>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392" w:name="_Toc13587"/>
      <w:bookmarkStart w:id="1393" w:name="_Toc12777"/>
      <w:bookmarkStart w:id="1394" w:name="_Toc29715"/>
      <w:bookmarkStart w:id="1395" w:name="_Toc5782"/>
      <w:bookmarkStart w:id="1396" w:name="_Ref4510572"/>
      <w:bookmarkStart w:id="1397" w:name="_Toc54862303"/>
      <w:bookmarkStart w:id="1398" w:name="_Ref3840457"/>
      <w:bookmarkStart w:id="1399" w:name="_Ref532142069"/>
      <w:r>
        <w:rPr>
          <w:rFonts w:hint="eastAsia" w:ascii="宋体" w:hAnsi="宋体" w:eastAsia="宋体"/>
          <w:b/>
          <w:bCs w:val="0"/>
          <w:color w:val="auto"/>
          <w:sz w:val="21"/>
          <w:szCs w:val="21"/>
          <w:highlight w:val="none"/>
        </w:rPr>
        <w:t>第1</w:t>
      </w:r>
      <w:r>
        <w:rPr>
          <w:rFonts w:ascii="宋体" w:hAnsi="宋体" w:eastAsia="宋体"/>
          <w:b/>
          <w:bCs w:val="0"/>
          <w:color w:val="auto"/>
          <w:sz w:val="21"/>
          <w:szCs w:val="21"/>
          <w:highlight w:val="none"/>
        </w:rPr>
        <w:t>6</w:t>
      </w:r>
      <w:r>
        <w:rPr>
          <w:rFonts w:hint="eastAsia" w:ascii="宋体" w:hAnsi="宋体" w:eastAsia="宋体"/>
          <w:b/>
          <w:bCs w:val="0"/>
          <w:color w:val="auto"/>
          <w:sz w:val="21"/>
          <w:szCs w:val="21"/>
          <w:highlight w:val="none"/>
        </w:rPr>
        <w:t>条 合同解除</w:t>
      </w:r>
      <w:bookmarkEnd w:id="1392"/>
      <w:bookmarkEnd w:id="1393"/>
      <w:bookmarkEnd w:id="1394"/>
      <w:bookmarkEnd w:id="1395"/>
      <w:bookmarkEnd w:id="1396"/>
      <w:bookmarkEnd w:id="1397"/>
    </w:p>
    <w:p w14:paraId="465522DB">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400" w:name="_Toc54862304"/>
      <w:bookmarkStart w:id="1401" w:name="_Ref531958499"/>
      <w:bookmarkStart w:id="1402" w:name="_Toc25539"/>
      <w:bookmarkStart w:id="1403" w:name="_Ref531958502"/>
      <w:bookmarkStart w:id="1404" w:name="_Toc29326"/>
      <w:bookmarkStart w:id="1405" w:name="_Toc11277"/>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6.1 </w:t>
      </w:r>
      <w:r>
        <w:rPr>
          <w:rFonts w:hint="eastAsia" w:ascii="宋体" w:hAnsi="宋体" w:eastAsia="宋体"/>
          <w:b/>
          <w:bCs w:val="0"/>
          <w:color w:val="auto"/>
          <w:sz w:val="21"/>
          <w:szCs w:val="21"/>
          <w:highlight w:val="none"/>
        </w:rPr>
        <w:t>由发包人解除合同</w:t>
      </w:r>
      <w:bookmarkEnd w:id="1400"/>
      <w:bookmarkEnd w:id="1401"/>
      <w:bookmarkEnd w:id="1402"/>
      <w:bookmarkEnd w:id="1403"/>
      <w:bookmarkEnd w:id="1404"/>
      <w:bookmarkEnd w:id="1405"/>
    </w:p>
    <w:p w14:paraId="54C94388">
      <w:pPr>
        <w:pStyle w:val="153"/>
        <w:keepNext w:val="0"/>
        <w:keepLines w:val="0"/>
        <w:pageBreakBefore w:val="0"/>
        <w:kinsoku/>
        <w:wordWrap/>
        <w:overflowPunct/>
        <w:topLinePunct w:val="0"/>
        <w:bidi w:val="0"/>
        <w:spacing w:after="120"/>
        <w:ind w:firstLine="422" w:firstLineChars="200"/>
        <w:textAlignment w:val="auto"/>
        <w:rPr>
          <w:b/>
          <w:bCs w:val="0"/>
          <w:color w:val="auto"/>
          <w:sz w:val="21"/>
          <w:highlight w:val="none"/>
        </w:rPr>
      </w:pPr>
      <w:bookmarkStart w:id="1406" w:name="_Ref4535422"/>
      <w:r>
        <w:rPr>
          <w:rFonts w:hint="eastAsia"/>
          <w:b/>
          <w:bCs w:val="0"/>
          <w:color w:val="auto"/>
          <w:sz w:val="21"/>
          <w:highlight w:val="none"/>
        </w:rPr>
        <w:t>1</w:t>
      </w:r>
      <w:r>
        <w:rPr>
          <w:b/>
          <w:bCs w:val="0"/>
          <w:color w:val="auto"/>
          <w:sz w:val="21"/>
          <w:highlight w:val="none"/>
        </w:rPr>
        <w:t xml:space="preserve">6.1.1 </w:t>
      </w:r>
      <w:r>
        <w:rPr>
          <w:rFonts w:hint="eastAsia"/>
          <w:b/>
          <w:bCs w:val="0"/>
          <w:color w:val="auto"/>
          <w:sz w:val="21"/>
          <w:highlight w:val="none"/>
        </w:rPr>
        <w:t>因承包人违约解除合同</w:t>
      </w:r>
      <w:bookmarkEnd w:id="1406"/>
    </w:p>
    <w:p w14:paraId="5BC38084">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除专用合同条件另有约定外，发包人有权基于下列原因，以书面形式通知承包人解除合同，解除通知中应注明是根据第</w:t>
      </w:r>
      <w:r>
        <w:rPr>
          <w:rFonts w:ascii="宋体" w:hAnsi="宋体"/>
          <w:color w:val="auto"/>
          <w:szCs w:val="21"/>
          <w:highlight w:val="none"/>
        </w:rPr>
        <w:t>16.1.1</w:t>
      </w:r>
      <w:r>
        <w:rPr>
          <w:rFonts w:hint="eastAsia" w:ascii="宋体" w:hAnsi="宋体"/>
          <w:color w:val="auto"/>
          <w:szCs w:val="21"/>
          <w:highlight w:val="none"/>
        </w:rPr>
        <w:t>项发出的，发包人应在发出正式解除合同通知14天前告知承包人其解除合同意向，除非承包人在收到该解除合同意向通知后14天内采取了补救措施，否则发包人可向承包人发出正式解除合同通知立即解除合同。解除日期应为承包人收到正式解除合同通知的日期，但在第(</w:t>
      </w:r>
      <w:r>
        <w:rPr>
          <w:rFonts w:ascii="宋体" w:hAnsi="宋体"/>
          <w:color w:val="auto"/>
          <w:szCs w:val="21"/>
          <w:highlight w:val="none"/>
        </w:rPr>
        <w:t>5</w:t>
      </w:r>
      <w:r>
        <w:rPr>
          <w:rFonts w:hint="eastAsia" w:ascii="宋体" w:hAnsi="宋体"/>
          <w:color w:val="auto"/>
          <w:szCs w:val="21"/>
          <w:highlight w:val="none"/>
        </w:rPr>
        <w:t>)目的情况下，发包人无须提前告知承包人其解除合同意向，可直接发出正式解除合同通知立即解除合同：</w:t>
      </w:r>
    </w:p>
    <w:p w14:paraId="047F9B87">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bookmarkStart w:id="1407" w:name="_Ref531958536"/>
      <w:r>
        <w:rPr>
          <w:rFonts w:hint="eastAsia" w:ascii="宋体" w:hAnsi="宋体"/>
          <w:color w:val="auto"/>
          <w:szCs w:val="21"/>
          <w:highlight w:val="none"/>
        </w:rPr>
        <w:t>（1） 承包人未能遵守第</w:t>
      </w:r>
      <w:r>
        <w:rPr>
          <w:rFonts w:ascii="宋体" w:hAnsi="宋体"/>
          <w:color w:val="auto"/>
          <w:szCs w:val="21"/>
          <w:highlight w:val="none"/>
        </w:rPr>
        <w:t>4.2</w:t>
      </w:r>
      <w:r>
        <w:rPr>
          <w:rFonts w:hint="eastAsia" w:ascii="宋体" w:hAnsi="宋体"/>
          <w:color w:val="auto"/>
          <w:szCs w:val="21"/>
          <w:highlight w:val="none"/>
        </w:rPr>
        <w:t>款</w:t>
      </w:r>
      <w:bookmarkStart w:id="1408" w:name="_Hlk18839947"/>
      <w:r>
        <w:rPr>
          <w:rFonts w:hint="eastAsia" w:ascii="宋体" w:hAnsi="宋体"/>
          <w:color w:val="auto"/>
          <w:szCs w:val="21"/>
          <w:highlight w:val="none"/>
        </w:rPr>
        <w:t>[履约担保]</w:t>
      </w:r>
      <w:bookmarkEnd w:id="1408"/>
      <w:r>
        <w:rPr>
          <w:rFonts w:hint="eastAsia" w:ascii="宋体" w:hAnsi="宋体"/>
          <w:color w:val="auto"/>
          <w:szCs w:val="21"/>
          <w:highlight w:val="none"/>
        </w:rPr>
        <w:t>的约定；</w:t>
      </w:r>
    </w:p>
    <w:p w14:paraId="04B6BC0D">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 承包人未能遵守第</w:t>
      </w:r>
      <w:r>
        <w:rPr>
          <w:rFonts w:ascii="宋体" w:hAnsi="宋体"/>
          <w:color w:val="auto"/>
          <w:szCs w:val="21"/>
          <w:highlight w:val="none"/>
        </w:rPr>
        <w:t>4.5</w:t>
      </w:r>
      <w:r>
        <w:rPr>
          <w:rFonts w:hint="eastAsia" w:ascii="宋体" w:hAnsi="宋体"/>
          <w:color w:val="auto"/>
          <w:szCs w:val="21"/>
          <w:highlight w:val="none"/>
        </w:rPr>
        <w:t>款[分包]有关分包和转包的约定；</w:t>
      </w:r>
    </w:p>
    <w:p w14:paraId="77A2B571">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（3） 承包人实际进度明显落后于进度计划，并且未按发包人的指令采取措施并修正进度计划；</w:t>
      </w:r>
    </w:p>
    <w:p w14:paraId="663ECBA1">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（4） 工程质量有严重缺陷，承包人无正当理由使修复开始日期拖延达28天以上；</w:t>
      </w:r>
    </w:p>
    <w:p w14:paraId="08F242EC">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（5） 承包人破产、停业清理或进入清算程序，或情况表明承包人将进入破产和（或）清算程序，已有对其财产的接管令或管理令，与债权人达成和解，或为其债权人的利益在财产接管人、受托人或管理人的监督下营业，或采取了任何行动或发生任何事件（根据有关适用法律）具有与前述行动或事件相似的效果；</w:t>
      </w:r>
    </w:p>
    <w:p w14:paraId="63C01EC5">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（6） 承包人明确表示或以自己的行为表明不履行合同、或经发包人以书面形式通知其履约后仍未能依约履行合同、或以不适当的方式履行合同；</w:t>
      </w:r>
    </w:p>
    <w:p w14:paraId="157FA846">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（7） 未能通过的竣工试验、未能通过的竣工后试验，使工程的任何部分和（或）整个工程丧失了主要使用功能、生产功能；</w:t>
      </w:r>
    </w:p>
    <w:p w14:paraId="69B88CDB">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（8） 因承包人的原因暂停工作超过56天且暂停影响到整个工程，或因承包人的原因暂停工作超过182天；</w:t>
      </w:r>
    </w:p>
    <w:p w14:paraId="04D13F30">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（9） 承包人未能遵守第</w:t>
      </w:r>
      <w:r>
        <w:rPr>
          <w:rFonts w:ascii="宋体" w:hAnsi="宋体"/>
          <w:color w:val="auto"/>
          <w:szCs w:val="21"/>
          <w:highlight w:val="none"/>
        </w:rPr>
        <w:t>8.2</w:t>
      </w:r>
      <w:r>
        <w:rPr>
          <w:rFonts w:hint="eastAsia" w:ascii="宋体" w:hAnsi="宋体"/>
          <w:color w:val="auto"/>
          <w:szCs w:val="21"/>
          <w:highlight w:val="none"/>
        </w:rPr>
        <w:t>款[竣工日期]规定，延误超过1</w:t>
      </w:r>
      <w:r>
        <w:rPr>
          <w:rFonts w:ascii="宋体" w:hAnsi="宋体"/>
          <w:color w:val="auto"/>
          <w:szCs w:val="21"/>
          <w:highlight w:val="none"/>
        </w:rPr>
        <w:t>82</w:t>
      </w:r>
      <w:r>
        <w:rPr>
          <w:rFonts w:hint="eastAsia" w:ascii="宋体" w:hAnsi="宋体"/>
          <w:color w:val="auto"/>
          <w:szCs w:val="21"/>
          <w:highlight w:val="none"/>
        </w:rPr>
        <w:t>天；</w:t>
      </w:r>
    </w:p>
    <w:p w14:paraId="3DB535A9">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0</w:t>
      </w:r>
      <w:r>
        <w:rPr>
          <w:rFonts w:hint="eastAsia" w:ascii="宋体" w:hAnsi="宋体"/>
          <w:color w:val="auto"/>
          <w:szCs w:val="21"/>
          <w:highlight w:val="none"/>
        </w:rPr>
        <w:t>） 工程师根据第</w:t>
      </w:r>
      <w:r>
        <w:rPr>
          <w:rFonts w:ascii="宋体" w:hAnsi="宋体"/>
          <w:color w:val="auto"/>
          <w:szCs w:val="21"/>
          <w:highlight w:val="none"/>
        </w:rPr>
        <w:t>15.2.2</w:t>
      </w:r>
      <w:r>
        <w:rPr>
          <w:rFonts w:hint="eastAsia" w:ascii="宋体" w:hAnsi="宋体"/>
          <w:color w:val="auto"/>
          <w:szCs w:val="21"/>
          <w:highlight w:val="none"/>
        </w:rPr>
        <w:t>项[通知改正]发出整改通知后，承包人在指定的合理期限内仍不纠正违约行为并致使合同目的不能实现的。</w:t>
      </w:r>
    </w:p>
    <w:bookmarkEnd w:id="1407"/>
    <w:p w14:paraId="737A5368">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1409" w:name="_Ref3841839"/>
      <w:bookmarkStart w:id="1410" w:name="_Ref4624315"/>
      <w:r>
        <w:rPr>
          <w:rFonts w:hint="eastAsia"/>
          <w:b/>
          <w:bCs/>
          <w:color w:val="auto"/>
          <w:sz w:val="21"/>
          <w:highlight w:val="none"/>
        </w:rPr>
        <w:t>1</w:t>
      </w:r>
      <w:r>
        <w:rPr>
          <w:b/>
          <w:bCs/>
          <w:color w:val="auto"/>
          <w:sz w:val="21"/>
          <w:highlight w:val="none"/>
        </w:rPr>
        <w:t xml:space="preserve">6.1.2 </w:t>
      </w:r>
      <w:r>
        <w:rPr>
          <w:rFonts w:hint="eastAsia"/>
          <w:b/>
          <w:bCs/>
          <w:color w:val="auto"/>
          <w:sz w:val="21"/>
          <w:highlight w:val="none"/>
        </w:rPr>
        <w:t>因承包人违约解除合同后</w:t>
      </w:r>
      <w:bookmarkEnd w:id="1409"/>
      <w:r>
        <w:rPr>
          <w:rFonts w:hint="eastAsia"/>
          <w:b/>
          <w:bCs/>
          <w:color w:val="auto"/>
          <w:sz w:val="21"/>
          <w:highlight w:val="none"/>
        </w:rPr>
        <w:t>承包人的义务</w:t>
      </w:r>
      <w:bookmarkEnd w:id="1410"/>
    </w:p>
    <w:p w14:paraId="7CD14E06">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合同解除后，承包人应按以下约定执行：</w:t>
      </w:r>
    </w:p>
    <w:p w14:paraId="2135FCDA">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 除了为保护生命、财产或工程安全、清理和必须执行的工作外，停止执行所有被通知解除的工作，并将相关人员撤离现场；</w:t>
      </w:r>
    </w:p>
    <w:p w14:paraId="34E47951">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 经发包人批准，承包人应将与被解除合同相关的和正在执行的分包合同及相关的责任和义务转让至发包人和（或）发包人指定方的名下，包括永久性工程及工程物资，以及相关工作；</w:t>
      </w:r>
    </w:p>
    <w:p w14:paraId="4167B076">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（3） 移交已完成的永久性工程及负责已运抵现场的工程物资。在移交前，妥善做好己完工程和已运抵现场的工程物资的保管、维护和保养；</w:t>
      </w:r>
    </w:p>
    <w:p w14:paraId="6CC8EA68">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（4） 将发包人提供的所有信息及承包人为本工程编制的设计文件、技术资料及其它文件移交给发包人。在承包人留有的资料文件中，销毁与发包人提供的所有信息相关的数据及资料的备份；</w:t>
      </w:r>
    </w:p>
    <w:p w14:paraId="430816E5">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（5） 移交相应实施阶段已经付款的并已完成的和尚待完成的设计文件、图纸、资料、操作维修手册、施工组织设计、质检资料、竣工资料等；</w:t>
      </w:r>
    </w:p>
    <w:p w14:paraId="3D2C3C86">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r>
        <w:rPr>
          <w:rFonts w:hint="eastAsia"/>
          <w:b/>
          <w:bCs/>
          <w:color w:val="auto"/>
          <w:sz w:val="21"/>
          <w:highlight w:val="none"/>
        </w:rPr>
        <w:t>1</w:t>
      </w:r>
      <w:r>
        <w:rPr>
          <w:b/>
          <w:bCs/>
          <w:color w:val="auto"/>
          <w:sz w:val="21"/>
          <w:highlight w:val="none"/>
        </w:rPr>
        <w:t xml:space="preserve">6.1.3 </w:t>
      </w:r>
      <w:r>
        <w:rPr>
          <w:rFonts w:hint="eastAsia"/>
          <w:b/>
          <w:bCs/>
          <w:color w:val="auto"/>
          <w:sz w:val="21"/>
          <w:highlight w:val="none"/>
        </w:rPr>
        <w:t>因承包人违约解除合同后的估价、付款和结算</w:t>
      </w:r>
    </w:p>
    <w:p w14:paraId="5B71E283">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因承包人原因导致合同解除的，则合同当事人应在合同解除后28天内完成估价、付款和清算，并按以下约定执行：</w:t>
      </w:r>
    </w:p>
    <w:p w14:paraId="238707B2">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 合同解除后，按第</w:t>
      </w:r>
      <w:r>
        <w:rPr>
          <w:rFonts w:ascii="宋体" w:hAnsi="宋体"/>
          <w:color w:val="auto"/>
          <w:szCs w:val="21"/>
          <w:highlight w:val="none"/>
        </w:rPr>
        <w:t>3.6</w:t>
      </w:r>
      <w:r>
        <w:rPr>
          <w:rFonts w:hint="eastAsia" w:ascii="宋体" w:hAnsi="宋体"/>
          <w:color w:val="auto"/>
          <w:szCs w:val="21"/>
          <w:highlight w:val="none"/>
        </w:rPr>
        <w:t>款[商定或确定]商定或确定承包人实际完成工作对应的合同价款，以及承包人已提供的材料、工程设备、施工设备和临时工程等的价值；</w:t>
      </w:r>
    </w:p>
    <w:p w14:paraId="26507BCB">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 合同解除后，承包人应支付的违约金；</w:t>
      </w:r>
    </w:p>
    <w:p w14:paraId="1A32F998">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（3） 合同解除后，因解除合同给发包人造成的损失；</w:t>
      </w:r>
    </w:p>
    <w:p w14:paraId="1DE7572B">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（4） 合同解除后，承包人应按照发包人的指示完成现场的清理和撤离；</w:t>
      </w:r>
    </w:p>
    <w:p w14:paraId="00737004">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（5） 发包人和承包人应在合同解除后进行清算，出具最终结清付款证书，结清全部款项。</w:t>
      </w:r>
    </w:p>
    <w:p w14:paraId="29E21186">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因承包人违约解除合同的，发包人有权暂停对承包人的付款，查清各项付款和已扣款项，发包人和承包人未能就合同解除后的清算和款项支付达成一致的，按照第</w:t>
      </w:r>
      <w:r>
        <w:rPr>
          <w:rFonts w:ascii="宋体" w:hAnsi="宋体"/>
          <w:color w:val="auto"/>
          <w:szCs w:val="21"/>
          <w:highlight w:val="none"/>
        </w:rPr>
        <w:t>20条[争议解决]的约定处理</w:t>
      </w:r>
      <w:r>
        <w:rPr>
          <w:rFonts w:hint="eastAsia" w:ascii="宋体" w:hAnsi="宋体"/>
          <w:color w:val="auto"/>
          <w:szCs w:val="21"/>
          <w:highlight w:val="none"/>
        </w:rPr>
        <w:t>。</w:t>
      </w:r>
    </w:p>
    <w:p w14:paraId="48E54060">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r>
        <w:rPr>
          <w:rFonts w:hint="eastAsia"/>
          <w:b/>
          <w:bCs/>
          <w:color w:val="auto"/>
          <w:sz w:val="21"/>
          <w:highlight w:val="none"/>
        </w:rPr>
        <w:t>1</w:t>
      </w:r>
      <w:r>
        <w:rPr>
          <w:b/>
          <w:bCs/>
          <w:color w:val="auto"/>
          <w:sz w:val="21"/>
          <w:highlight w:val="none"/>
        </w:rPr>
        <w:t xml:space="preserve">6.1.4 </w:t>
      </w:r>
      <w:r>
        <w:rPr>
          <w:rFonts w:hint="eastAsia"/>
          <w:b/>
          <w:bCs/>
          <w:color w:val="auto"/>
          <w:sz w:val="21"/>
          <w:highlight w:val="none"/>
        </w:rPr>
        <w:t>因承包人违约解除合同的合同权益转让</w:t>
      </w:r>
    </w:p>
    <w:p w14:paraId="07E6D473">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合同解除后，发包人可以继续完成工程，和（或）安排第三人完成。发包人有权要求承包人将其为实施合同而订立的材料和设备的订货合同或任何服务合同利益转让给发包人，并在承包人收到解除合同通知后的14天内，依法办理转让手续。发包人和（或）第三人有权使用承包人在施工现场的材料、设备、临时工程、承包人文件和由承包人或以其名义编制的其他文件。</w:t>
      </w:r>
    </w:p>
    <w:p w14:paraId="2B5AF355">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411" w:name="_Toc14457"/>
      <w:bookmarkStart w:id="1412" w:name="_Ref531958554"/>
      <w:bookmarkStart w:id="1413" w:name="_Ref531958549"/>
      <w:bookmarkStart w:id="1414" w:name="_Toc7990"/>
      <w:bookmarkStart w:id="1415" w:name="_Toc21566"/>
      <w:bookmarkStart w:id="1416" w:name="_Toc54862305"/>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6.2 </w:t>
      </w:r>
      <w:r>
        <w:rPr>
          <w:rFonts w:hint="eastAsia" w:ascii="宋体" w:hAnsi="宋体" w:eastAsia="宋体"/>
          <w:b/>
          <w:bCs w:val="0"/>
          <w:color w:val="auto"/>
          <w:sz w:val="21"/>
          <w:szCs w:val="21"/>
          <w:highlight w:val="none"/>
        </w:rPr>
        <w:t>由承包人解除合同</w:t>
      </w:r>
      <w:bookmarkEnd w:id="1411"/>
      <w:bookmarkEnd w:id="1412"/>
      <w:bookmarkEnd w:id="1413"/>
      <w:bookmarkEnd w:id="1414"/>
      <w:bookmarkEnd w:id="1415"/>
      <w:bookmarkEnd w:id="1416"/>
    </w:p>
    <w:p w14:paraId="3C505D45">
      <w:pPr>
        <w:pStyle w:val="153"/>
        <w:keepNext w:val="0"/>
        <w:keepLines w:val="0"/>
        <w:pageBreakBefore w:val="0"/>
        <w:kinsoku/>
        <w:wordWrap/>
        <w:overflowPunct/>
        <w:topLinePunct w:val="0"/>
        <w:bidi w:val="0"/>
        <w:spacing w:after="120"/>
        <w:ind w:firstLine="422" w:firstLineChars="200"/>
        <w:textAlignment w:val="auto"/>
        <w:rPr>
          <w:b/>
          <w:bCs w:val="0"/>
          <w:color w:val="auto"/>
          <w:sz w:val="21"/>
          <w:highlight w:val="none"/>
        </w:rPr>
      </w:pPr>
      <w:bookmarkStart w:id="1417" w:name="_Ref3841758"/>
      <w:r>
        <w:rPr>
          <w:rFonts w:hint="eastAsia"/>
          <w:b/>
          <w:bCs w:val="0"/>
          <w:color w:val="auto"/>
          <w:sz w:val="21"/>
          <w:highlight w:val="none"/>
        </w:rPr>
        <w:t>1</w:t>
      </w:r>
      <w:r>
        <w:rPr>
          <w:b/>
          <w:bCs w:val="0"/>
          <w:color w:val="auto"/>
          <w:sz w:val="21"/>
          <w:highlight w:val="none"/>
        </w:rPr>
        <w:t xml:space="preserve">6.2.1 </w:t>
      </w:r>
      <w:r>
        <w:rPr>
          <w:rFonts w:hint="eastAsia"/>
          <w:b/>
          <w:bCs w:val="0"/>
          <w:color w:val="auto"/>
          <w:sz w:val="21"/>
          <w:highlight w:val="none"/>
        </w:rPr>
        <w:t>因发包人违约解除合同</w:t>
      </w:r>
      <w:bookmarkEnd w:id="1417"/>
    </w:p>
    <w:p w14:paraId="36E1A681">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除专用合同条件另有约定外，承包人有权基于下列原因，以书面形式通知发包人解除合同，解除通知中应注明是根据第</w:t>
      </w:r>
      <w:r>
        <w:rPr>
          <w:rFonts w:ascii="宋体" w:hAnsi="宋体"/>
          <w:color w:val="auto"/>
          <w:szCs w:val="21"/>
          <w:highlight w:val="none"/>
        </w:rPr>
        <w:t>16.2.1</w:t>
      </w:r>
      <w:r>
        <w:rPr>
          <w:rFonts w:hint="eastAsia" w:ascii="宋体" w:hAnsi="宋体"/>
          <w:color w:val="auto"/>
          <w:szCs w:val="21"/>
          <w:highlight w:val="none"/>
        </w:rPr>
        <w:t>项发出的，承包人应在发出正式解除合同通知14天前告知发包人其解除合同意向，除非发包人在收到该解除合同意向通知后14天内采取了补救措施，否则承包人可向发包人发出正式解除合同通知立即解除合同。解除日期应为发包人收到正式解除合同通知的日期，但在第(5)目的情况下，承包人无须提前告知发包人其解除合同意向，可直接发出正式解除合同通知立即解除合同：</w:t>
      </w:r>
    </w:p>
    <w:p w14:paraId="67D4B3CC">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 承包人就发包人未能遵守第2.</w:t>
      </w:r>
      <w:r>
        <w:rPr>
          <w:rFonts w:ascii="宋体" w:hAnsi="宋体"/>
          <w:color w:val="auto"/>
          <w:szCs w:val="21"/>
          <w:highlight w:val="none"/>
        </w:rPr>
        <w:t>5.2</w:t>
      </w:r>
      <w:r>
        <w:rPr>
          <w:rFonts w:hint="eastAsia" w:ascii="宋体" w:hAnsi="宋体"/>
          <w:color w:val="auto"/>
          <w:szCs w:val="21"/>
          <w:highlight w:val="none"/>
        </w:rPr>
        <w:t>项关于发包人的资金安排发出通知后42天内，仍未收到合理的证明；</w:t>
      </w:r>
    </w:p>
    <w:p w14:paraId="4D74D7D3">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 xml:space="preserve">（2） 在第14条规定的付款时间到期后42天内，承包人仍未收到应付款项； </w:t>
      </w:r>
    </w:p>
    <w:p w14:paraId="20F2EBEC">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（3） 发包人实质上未能根据合同约定履行其义务，构成根本性违约；</w:t>
      </w:r>
    </w:p>
    <w:p w14:paraId="39C731F7">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（4） 发承包双方订立本合同协议书后的84天内，承包人未收到根据第</w:t>
      </w:r>
      <w:r>
        <w:rPr>
          <w:rFonts w:ascii="宋体" w:hAnsi="宋体"/>
          <w:color w:val="auto"/>
          <w:szCs w:val="21"/>
          <w:highlight w:val="none"/>
        </w:rPr>
        <w:t>8.1</w:t>
      </w:r>
      <w:r>
        <w:rPr>
          <w:rFonts w:hint="eastAsia" w:ascii="宋体" w:hAnsi="宋体"/>
          <w:color w:val="auto"/>
          <w:szCs w:val="21"/>
          <w:highlight w:val="none"/>
        </w:rPr>
        <w:t>款[开始工作]的开始工作通知；</w:t>
      </w:r>
    </w:p>
    <w:p w14:paraId="491607AC">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（5） 发包人破产、停业清理或进入清算程序，或情况表明发包人将进入破产和（或）清算程序或发包人资信严重恶化，已有对其财产的接管令或管理令，与债权人达成和解，或为其债权人的利益在财产接管人、受托人或管理人的监督下营业，或采取了任何行动或发生任何事件（根据有关适用法律）具有与前述行动或事件相似的效果；</w:t>
      </w:r>
    </w:p>
    <w:p w14:paraId="55713ED1">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（6） 发包人未能遵守第</w:t>
      </w:r>
      <w:r>
        <w:rPr>
          <w:rFonts w:ascii="宋体" w:hAnsi="宋体"/>
          <w:color w:val="auto"/>
          <w:szCs w:val="21"/>
          <w:highlight w:val="none"/>
        </w:rPr>
        <w:t>2.5.3</w:t>
      </w:r>
      <w:r>
        <w:rPr>
          <w:rFonts w:hint="eastAsia" w:ascii="宋体" w:hAnsi="宋体"/>
          <w:color w:val="auto"/>
          <w:szCs w:val="21"/>
          <w:highlight w:val="none"/>
        </w:rPr>
        <w:t>项的约定提交支付担保；</w:t>
      </w:r>
    </w:p>
    <w:p w14:paraId="578D8E45">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（7） 发包人未能执行第</w:t>
      </w:r>
      <w:r>
        <w:rPr>
          <w:rFonts w:ascii="宋体" w:hAnsi="宋体"/>
          <w:color w:val="auto"/>
          <w:szCs w:val="21"/>
          <w:highlight w:val="none"/>
        </w:rPr>
        <w:t>15.1.2</w:t>
      </w:r>
      <w:r>
        <w:rPr>
          <w:rFonts w:hint="eastAsia" w:ascii="宋体" w:hAnsi="宋体"/>
          <w:color w:val="auto"/>
          <w:szCs w:val="21"/>
          <w:highlight w:val="none"/>
        </w:rPr>
        <w:t>项[通知改正]的约定，致使合同目的不能实现的；</w:t>
      </w:r>
    </w:p>
    <w:p w14:paraId="67707ED4">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（8） 因发包人的原因暂停工作超过56天且暂停影响到整个工程，或因发包人的原因暂停工作超过182天的；</w:t>
      </w:r>
    </w:p>
    <w:p w14:paraId="16AD77EB">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（9） 因发包人原因造成开始工作日期迟于承包人收到中标通知书（或在无中标通知书的情况下，订立本合同之日）后第</w:t>
      </w:r>
      <w:r>
        <w:rPr>
          <w:rFonts w:ascii="宋体" w:hAnsi="宋体"/>
          <w:color w:val="auto"/>
          <w:szCs w:val="21"/>
          <w:highlight w:val="none"/>
        </w:rPr>
        <w:t>84</w:t>
      </w:r>
      <w:r>
        <w:rPr>
          <w:rFonts w:hint="eastAsia" w:ascii="宋体" w:hAnsi="宋体"/>
          <w:color w:val="auto"/>
          <w:szCs w:val="21"/>
          <w:highlight w:val="none"/>
        </w:rPr>
        <w:t>天的。</w:t>
      </w:r>
    </w:p>
    <w:p w14:paraId="2D3D215B">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发包人接到承包人解除合同意向通知后14天内，发包人随后给予了付款，或同意复工、或继续履行其义务、或提供了支付担保等，承包人应尽快安排并恢复正常工作；因此造成工期延误的，竣工日期顺延；承包人因此增加的费用，由发包人承担。</w:t>
      </w:r>
    </w:p>
    <w:p w14:paraId="4E279B20">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bookmarkStart w:id="1418" w:name="_Ref3842018"/>
      <w:bookmarkStart w:id="1419" w:name="_Ref4624336"/>
      <w:r>
        <w:rPr>
          <w:rFonts w:hint="eastAsia"/>
          <w:color w:val="auto"/>
          <w:sz w:val="21"/>
          <w:highlight w:val="none"/>
        </w:rPr>
        <w:t>1</w:t>
      </w:r>
      <w:r>
        <w:rPr>
          <w:color w:val="auto"/>
          <w:sz w:val="21"/>
          <w:highlight w:val="none"/>
        </w:rPr>
        <w:t xml:space="preserve">6.2.2 </w:t>
      </w:r>
      <w:r>
        <w:rPr>
          <w:rFonts w:hint="eastAsia"/>
          <w:color w:val="auto"/>
          <w:sz w:val="21"/>
          <w:highlight w:val="none"/>
        </w:rPr>
        <w:t>因发包人违约解除合同后</w:t>
      </w:r>
      <w:bookmarkEnd w:id="1418"/>
      <w:r>
        <w:rPr>
          <w:rFonts w:hint="eastAsia"/>
          <w:color w:val="auto"/>
          <w:sz w:val="21"/>
          <w:highlight w:val="none"/>
        </w:rPr>
        <w:t>承包人的义务</w:t>
      </w:r>
      <w:bookmarkEnd w:id="1419"/>
    </w:p>
    <w:p w14:paraId="73C766E8">
      <w:pPr>
        <w:pStyle w:val="168"/>
        <w:keepNext w:val="0"/>
        <w:keepLines w:val="0"/>
        <w:pageBreakBefore w:val="0"/>
        <w:numPr>
          <w:ilvl w:val="0"/>
          <w:numId w:val="0"/>
        </w:numPr>
        <w:kinsoku/>
        <w:wordWrap/>
        <w:overflowPunct/>
        <w:topLinePunct w:val="0"/>
        <w:bidi w:val="0"/>
        <w:spacing w:after="120"/>
        <w:ind w:left="400" w:firstLine="420" w:firstLineChars="200"/>
        <w:textAlignment w:val="auto"/>
        <w:rPr>
          <w:color w:val="auto"/>
          <w:sz w:val="21"/>
          <w:szCs w:val="21"/>
          <w:highlight w:val="none"/>
        </w:rPr>
      </w:pPr>
      <w:r>
        <w:rPr>
          <w:rFonts w:hint="eastAsia"/>
          <w:color w:val="auto"/>
          <w:sz w:val="21"/>
          <w:szCs w:val="21"/>
          <w:highlight w:val="none"/>
        </w:rPr>
        <w:t>合同解除后，承包人应按以下约定执行：</w:t>
      </w:r>
    </w:p>
    <w:p w14:paraId="35D00985">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 除为保护生命、财产、工程安全的工作外，停止所有进一步的工作；承包人因执行该保护工作而产生费用的，由发包人承担；</w:t>
      </w:r>
    </w:p>
    <w:p w14:paraId="01F79E14">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 向发包人移交承包人已获得支付的承包人文件、生产设备、材料和其他工作；</w:t>
      </w:r>
    </w:p>
    <w:p w14:paraId="1B7EE624">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（3） 从现场运走除为了安全需要以外的所有属于承包人的其他货物，并撤离现场。</w:t>
      </w:r>
    </w:p>
    <w:p w14:paraId="10A09C42">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r>
        <w:rPr>
          <w:rFonts w:hint="eastAsia"/>
          <w:b/>
          <w:bCs/>
          <w:color w:val="auto"/>
          <w:sz w:val="21"/>
          <w:highlight w:val="none"/>
        </w:rPr>
        <w:t>1</w:t>
      </w:r>
      <w:r>
        <w:rPr>
          <w:b/>
          <w:bCs/>
          <w:color w:val="auto"/>
          <w:sz w:val="21"/>
          <w:highlight w:val="none"/>
        </w:rPr>
        <w:t xml:space="preserve">6.2.3 </w:t>
      </w:r>
      <w:r>
        <w:rPr>
          <w:rFonts w:hint="eastAsia"/>
          <w:b/>
          <w:bCs/>
          <w:color w:val="auto"/>
          <w:sz w:val="21"/>
          <w:highlight w:val="none"/>
        </w:rPr>
        <w:t>因发包人违约解除合同后的付款</w:t>
      </w:r>
    </w:p>
    <w:p w14:paraId="2AA84601">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承包人按照本款约定解除合同的，发包人应在解除合同后28天内支付下列款项，并退还履约担保：</w:t>
      </w:r>
    </w:p>
    <w:p w14:paraId="15FC8D96">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 合同解除前所完成工作的价款；</w:t>
      </w:r>
    </w:p>
    <w:p w14:paraId="68C35E2E">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 承包人为工程施工订购并已付款的材料、工程设备和其他物品的价款；发包人付款后，该材料、工程设备和其他物品归发包人所有；</w:t>
      </w:r>
    </w:p>
    <w:p w14:paraId="63C3329C">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（3） 承包人为完成工程所发生的，而发包人未支付的金额；</w:t>
      </w:r>
    </w:p>
    <w:p w14:paraId="5FF39845">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（4） 承包人撤离施工现场以及遣散承包人人员的款项；</w:t>
      </w:r>
    </w:p>
    <w:p w14:paraId="1A1BE20E">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（5） 按照合同约定在合同解除前应支付的违约金；</w:t>
      </w:r>
    </w:p>
    <w:p w14:paraId="272B3BC3">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（6） 按照合同约定应当支付给承包人的其他款项；</w:t>
      </w:r>
    </w:p>
    <w:p w14:paraId="3D327DCF">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（7） 按照合同约定应返还的质量保证金；</w:t>
      </w:r>
    </w:p>
    <w:p w14:paraId="6E35F9D3">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（8） 因解除合同给承包人造成的损失。</w:t>
      </w:r>
    </w:p>
    <w:p w14:paraId="5A56C640">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承包人应妥善做好已完工程和与工程有关的已购材料、工程设备的保护和移交工作，并将施工设备和人员撤出施工现场，发包人应为承包人撤出提供必要条件。</w:t>
      </w:r>
    </w:p>
    <w:p w14:paraId="63A4DD95">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420" w:name="_Toc54862306"/>
      <w:bookmarkStart w:id="1421" w:name="_Toc14951"/>
      <w:bookmarkStart w:id="1422" w:name="_Ref3841966"/>
      <w:bookmarkStart w:id="1423" w:name="_Toc2932"/>
      <w:bookmarkStart w:id="1424" w:name="_Toc10461"/>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6.3 </w:t>
      </w:r>
      <w:r>
        <w:rPr>
          <w:rFonts w:hint="eastAsia" w:ascii="宋体" w:hAnsi="宋体" w:eastAsia="宋体"/>
          <w:b/>
          <w:bCs w:val="0"/>
          <w:color w:val="auto"/>
          <w:sz w:val="21"/>
          <w:szCs w:val="21"/>
          <w:highlight w:val="none"/>
        </w:rPr>
        <w:t>合同解除后的事项</w:t>
      </w:r>
      <w:bookmarkEnd w:id="1420"/>
      <w:bookmarkEnd w:id="1421"/>
      <w:bookmarkEnd w:id="1422"/>
      <w:bookmarkEnd w:id="1423"/>
      <w:bookmarkEnd w:id="1424"/>
    </w:p>
    <w:p w14:paraId="428F8E5A">
      <w:pPr>
        <w:pStyle w:val="153"/>
        <w:keepNext w:val="0"/>
        <w:keepLines w:val="0"/>
        <w:pageBreakBefore w:val="0"/>
        <w:kinsoku/>
        <w:wordWrap/>
        <w:overflowPunct/>
        <w:topLinePunct w:val="0"/>
        <w:bidi w:val="0"/>
        <w:spacing w:after="120"/>
        <w:ind w:firstLine="422" w:firstLineChars="200"/>
        <w:textAlignment w:val="auto"/>
        <w:rPr>
          <w:b/>
          <w:bCs w:val="0"/>
          <w:color w:val="auto"/>
          <w:sz w:val="21"/>
          <w:highlight w:val="none"/>
        </w:rPr>
      </w:pPr>
      <w:r>
        <w:rPr>
          <w:rFonts w:hint="eastAsia"/>
          <w:b/>
          <w:bCs w:val="0"/>
          <w:color w:val="auto"/>
          <w:sz w:val="21"/>
          <w:highlight w:val="none"/>
        </w:rPr>
        <w:t>1</w:t>
      </w:r>
      <w:r>
        <w:rPr>
          <w:b/>
          <w:bCs w:val="0"/>
          <w:color w:val="auto"/>
          <w:sz w:val="21"/>
          <w:highlight w:val="none"/>
        </w:rPr>
        <w:t xml:space="preserve">6.3.1 </w:t>
      </w:r>
      <w:r>
        <w:rPr>
          <w:rFonts w:hint="eastAsia"/>
          <w:b/>
          <w:bCs w:val="0"/>
          <w:color w:val="auto"/>
          <w:sz w:val="21"/>
          <w:highlight w:val="none"/>
        </w:rPr>
        <w:t>结算约定依然有效</w:t>
      </w:r>
    </w:p>
    <w:p w14:paraId="6802E228">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合同解除后，由发包人或由承包人解除合同的结算及结算后的付款约定仍然有效，直至解除合同的结算工作结清。</w:t>
      </w:r>
    </w:p>
    <w:p w14:paraId="22504FF4">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r>
        <w:rPr>
          <w:rFonts w:hint="eastAsia"/>
          <w:b/>
          <w:bCs/>
          <w:color w:val="auto"/>
          <w:sz w:val="21"/>
          <w:highlight w:val="none"/>
        </w:rPr>
        <w:t>1</w:t>
      </w:r>
      <w:r>
        <w:rPr>
          <w:b/>
          <w:bCs/>
          <w:color w:val="auto"/>
          <w:sz w:val="21"/>
          <w:highlight w:val="none"/>
        </w:rPr>
        <w:t xml:space="preserve">6.3.2 </w:t>
      </w:r>
      <w:r>
        <w:rPr>
          <w:rFonts w:hint="eastAsia"/>
          <w:b/>
          <w:bCs/>
          <w:color w:val="auto"/>
          <w:sz w:val="21"/>
          <w:highlight w:val="none"/>
        </w:rPr>
        <w:t>解除合同的争议</w:t>
      </w:r>
    </w:p>
    <w:p w14:paraId="7291EFF3">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bookmarkStart w:id="1425" w:name="_Hlk18988355"/>
      <w:r>
        <w:rPr>
          <w:rFonts w:hint="eastAsia" w:ascii="宋体" w:hAnsi="宋体"/>
          <w:color w:val="auto"/>
          <w:szCs w:val="21"/>
          <w:highlight w:val="none"/>
        </w:rPr>
        <w:t>双方对解除合同或解除合同后的结算有争议的，按照第</w:t>
      </w:r>
      <w:r>
        <w:rPr>
          <w:rFonts w:ascii="宋体" w:hAnsi="宋体"/>
          <w:color w:val="auto"/>
          <w:szCs w:val="21"/>
          <w:highlight w:val="none"/>
        </w:rPr>
        <w:t>20条</w:t>
      </w:r>
      <w:r>
        <w:rPr>
          <w:rFonts w:hint="eastAsia" w:ascii="宋体" w:hAnsi="宋体"/>
          <w:color w:val="auto"/>
          <w:szCs w:val="21"/>
          <w:highlight w:val="none"/>
        </w:rPr>
        <w:t>[</w:t>
      </w:r>
      <w:r>
        <w:rPr>
          <w:rFonts w:ascii="宋体" w:hAnsi="宋体"/>
          <w:color w:val="auto"/>
          <w:szCs w:val="21"/>
          <w:highlight w:val="none"/>
        </w:rPr>
        <w:t>争议解决</w:t>
      </w:r>
      <w:r>
        <w:rPr>
          <w:rFonts w:hint="eastAsia" w:ascii="宋体" w:hAnsi="宋体"/>
          <w:color w:val="auto"/>
          <w:szCs w:val="21"/>
          <w:highlight w:val="none"/>
        </w:rPr>
        <w:t>]的约定处理。</w:t>
      </w:r>
      <w:bookmarkEnd w:id="1425"/>
    </w:p>
    <w:p w14:paraId="60A1E298">
      <w:pPr>
        <w:pStyle w:val="178"/>
        <w:keepNext w:val="0"/>
        <w:keepLines w:val="0"/>
        <w:pageBreakBefore w:val="0"/>
        <w:numPr>
          <w:ilvl w:val="0"/>
          <w:numId w:val="0"/>
        </w:numPr>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426" w:name="_Toc28316"/>
      <w:bookmarkStart w:id="1427" w:name="_Ref3840974"/>
      <w:bookmarkStart w:id="1428" w:name="_Toc12170"/>
      <w:bookmarkStart w:id="1429" w:name="_Toc1244"/>
      <w:bookmarkStart w:id="1430" w:name="_Toc30984"/>
      <w:bookmarkStart w:id="1431" w:name="_Toc54862307"/>
      <w:bookmarkStart w:id="1432" w:name="_Ref3840605"/>
      <w:r>
        <w:rPr>
          <w:rFonts w:hint="eastAsia" w:ascii="宋体" w:hAnsi="宋体" w:eastAsia="宋体"/>
          <w:b/>
          <w:bCs w:val="0"/>
          <w:color w:val="auto"/>
          <w:sz w:val="21"/>
          <w:szCs w:val="21"/>
          <w:highlight w:val="none"/>
        </w:rPr>
        <w:t>第1</w:t>
      </w:r>
      <w:r>
        <w:rPr>
          <w:rFonts w:ascii="宋体" w:hAnsi="宋体" w:eastAsia="宋体"/>
          <w:b/>
          <w:bCs w:val="0"/>
          <w:color w:val="auto"/>
          <w:sz w:val="21"/>
          <w:szCs w:val="21"/>
          <w:highlight w:val="none"/>
        </w:rPr>
        <w:t>7</w:t>
      </w:r>
      <w:r>
        <w:rPr>
          <w:rFonts w:hint="eastAsia" w:ascii="宋体" w:hAnsi="宋体" w:eastAsia="宋体"/>
          <w:b/>
          <w:bCs w:val="0"/>
          <w:color w:val="auto"/>
          <w:sz w:val="21"/>
          <w:szCs w:val="21"/>
          <w:highlight w:val="none"/>
        </w:rPr>
        <w:t>条 不可抗力</w:t>
      </w:r>
      <w:bookmarkEnd w:id="1426"/>
      <w:bookmarkEnd w:id="1427"/>
      <w:bookmarkEnd w:id="1428"/>
      <w:bookmarkEnd w:id="1429"/>
      <w:bookmarkEnd w:id="1430"/>
      <w:bookmarkEnd w:id="1431"/>
    </w:p>
    <w:p w14:paraId="3807DB57">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433" w:name="_Ref531958158"/>
      <w:bookmarkStart w:id="1434" w:name="_Ref531958161"/>
      <w:bookmarkStart w:id="1435" w:name="_Toc20623"/>
      <w:bookmarkStart w:id="1436" w:name="_Toc54862308"/>
      <w:bookmarkStart w:id="1437" w:name="_Toc31841"/>
      <w:bookmarkStart w:id="1438" w:name="_Toc4344"/>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7.1 </w:t>
      </w:r>
      <w:r>
        <w:rPr>
          <w:rFonts w:hint="eastAsia" w:ascii="宋体" w:hAnsi="宋体" w:eastAsia="宋体"/>
          <w:b/>
          <w:bCs w:val="0"/>
          <w:color w:val="auto"/>
          <w:sz w:val="21"/>
          <w:szCs w:val="21"/>
          <w:highlight w:val="none"/>
        </w:rPr>
        <w:t>不可抗力的</w:t>
      </w:r>
      <w:bookmarkEnd w:id="1433"/>
      <w:bookmarkEnd w:id="1434"/>
      <w:r>
        <w:rPr>
          <w:rFonts w:hint="eastAsia" w:ascii="宋体" w:hAnsi="宋体" w:eastAsia="宋体"/>
          <w:b/>
          <w:bCs w:val="0"/>
          <w:color w:val="auto"/>
          <w:sz w:val="21"/>
          <w:szCs w:val="21"/>
          <w:highlight w:val="none"/>
        </w:rPr>
        <w:t>定义</w:t>
      </w:r>
      <w:bookmarkEnd w:id="1435"/>
      <w:bookmarkEnd w:id="1436"/>
      <w:bookmarkEnd w:id="1437"/>
      <w:bookmarkEnd w:id="1438"/>
    </w:p>
    <w:p w14:paraId="3311C578">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不可抗力是指合同当事人在订立合同时不可预见，在合同履行过程中不可避免、不能克服且不能提前防备的自然灾害和社会性突发事件，如地震、海啸、瘟疫、骚乱、戒严、暴动、战争和专用合同条件中约定的其他情形。</w:t>
      </w:r>
    </w:p>
    <w:p w14:paraId="21A7AEDC">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439" w:name="_Toc54862309"/>
      <w:bookmarkStart w:id="1440" w:name="_Toc21450"/>
      <w:bookmarkStart w:id="1441" w:name="_Toc2923"/>
      <w:bookmarkStart w:id="1442" w:name="_Toc22757"/>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7.2 </w:t>
      </w:r>
      <w:r>
        <w:rPr>
          <w:rFonts w:hint="eastAsia" w:ascii="宋体" w:hAnsi="宋体" w:eastAsia="宋体"/>
          <w:b/>
          <w:bCs w:val="0"/>
          <w:color w:val="auto"/>
          <w:sz w:val="21"/>
          <w:szCs w:val="21"/>
          <w:highlight w:val="none"/>
        </w:rPr>
        <w:t>不可抗力的通知</w:t>
      </w:r>
      <w:bookmarkEnd w:id="1439"/>
      <w:bookmarkEnd w:id="1440"/>
      <w:bookmarkEnd w:id="1441"/>
      <w:bookmarkEnd w:id="1442"/>
    </w:p>
    <w:p w14:paraId="49BB27B4">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合同一方当事人觉察或发现不可抗力事件发生，使其履行合同义务受到阻碍时，有义务立即通知合同另一方当事人和工程师，书面说明不可抗力和受阻碍的详细情况，并提供必要的证明。</w:t>
      </w:r>
    </w:p>
    <w:p w14:paraId="45301B6B">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不可抗力持续发生的，合同一方当事人应每隔28天向合同另一方当事人和工程师提交中间报告，说明不可抗力和履行合同受阻的情况，并于不可抗力事件结束后28天内提交最终报告及有关资料。</w:t>
      </w:r>
    </w:p>
    <w:p w14:paraId="5F39713B">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443" w:name="_Toc54862310"/>
      <w:bookmarkStart w:id="1444" w:name="_Toc1030"/>
      <w:bookmarkStart w:id="1445" w:name="_Toc16281"/>
      <w:bookmarkStart w:id="1446" w:name="_Toc27048"/>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7.3 </w:t>
      </w:r>
      <w:r>
        <w:rPr>
          <w:rFonts w:hint="eastAsia" w:ascii="宋体" w:hAnsi="宋体" w:eastAsia="宋体"/>
          <w:b/>
          <w:bCs w:val="0"/>
          <w:color w:val="auto"/>
          <w:sz w:val="21"/>
          <w:szCs w:val="21"/>
          <w:highlight w:val="none"/>
        </w:rPr>
        <w:t>将损失减至最小的义务</w:t>
      </w:r>
      <w:bookmarkEnd w:id="1443"/>
      <w:bookmarkEnd w:id="1444"/>
      <w:bookmarkEnd w:id="1445"/>
      <w:bookmarkEnd w:id="1446"/>
    </w:p>
    <w:p w14:paraId="3D70B86E">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不可抗力发生后，合同当事人均应采取措施尽量避免和减少损失的扩大，使不可抗力对履行合同造成的损失减至最小。另一方全力协助并采取措施，需暂停实施的工作，立即停止。任何一方当事人没有采取有效措施导致损失扩大的，应对扩大的损失承担责任。</w:t>
      </w:r>
    </w:p>
    <w:p w14:paraId="19A6E3F1">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447" w:name="_Ref531958172"/>
      <w:bookmarkStart w:id="1448" w:name="_Ref531958170"/>
      <w:bookmarkStart w:id="1449" w:name="_Toc2444"/>
      <w:bookmarkStart w:id="1450" w:name="_Toc54862311"/>
      <w:bookmarkStart w:id="1451" w:name="_Ref3840916"/>
      <w:bookmarkStart w:id="1452" w:name="_Toc25319"/>
      <w:bookmarkStart w:id="1453" w:name="_Toc7377"/>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7.4 </w:t>
      </w:r>
      <w:r>
        <w:rPr>
          <w:rFonts w:hint="eastAsia" w:ascii="宋体" w:hAnsi="宋体" w:eastAsia="宋体"/>
          <w:b/>
          <w:bCs w:val="0"/>
          <w:color w:val="auto"/>
          <w:sz w:val="21"/>
          <w:szCs w:val="21"/>
          <w:highlight w:val="none"/>
        </w:rPr>
        <w:t>不可抗力后果</w:t>
      </w:r>
      <w:bookmarkEnd w:id="1447"/>
      <w:bookmarkEnd w:id="1448"/>
      <w:r>
        <w:rPr>
          <w:rFonts w:hint="eastAsia" w:ascii="宋体" w:hAnsi="宋体" w:eastAsia="宋体"/>
          <w:b/>
          <w:bCs w:val="0"/>
          <w:color w:val="auto"/>
          <w:sz w:val="21"/>
          <w:szCs w:val="21"/>
          <w:highlight w:val="none"/>
        </w:rPr>
        <w:t>的承担</w:t>
      </w:r>
      <w:bookmarkEnd w:id="1449"/>
      <w:bookmarkEnd w:id="1450"/>
      <w:bookmarkEnd w:id="1451"/>
      <w:bookmarkEnd w:id="1452"/>
      <w:bookmarkEnd w:id="1453"/>
    </w:p>
    <w:p w14:paraId="76004920">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不可抗力导致的人员伤亡、财产损失、费用增加和（或）工期延误等后果，由合同当事人按以下原则承担：</w:t>
      </w:r>
    </w:p>
    <w:p w14:paraId="5C5CD512">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 永久工程，包括已运至施工现场的材料和工程设备的损害，以及因工程损害造成的第三人人员伤亡和财产损失由发包人承担；</w:t>
      </w:r>
    </w:p>
    <w:p w14:paraId="526B4090">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 承包人提供的施工设备的损坏由承包人承担；</w:t>
      </w:r>
    </w:p>
    <w:p w14:paraId="6C6C58EB">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（3） 发包人和承包人各自承担其人员伤亡及其他财产损失；</w:t>
      </w:r>
    </w:p>
    <w:p w14:paraId="462C8F3A">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（4） 因不可抗力影响承包人履行合同约定的义务，已经引起或将引起工期延误的，应当顺延工期，由此导致承包人停工的费用损失由发包人和承包人合理分担，</w:t>
      </w:r>
      <w:bookmarkStart w:id="1454" w:name="_Hlk51507024"/>
      <w:r>
        <w:rPr>
          <w:rFonts w:hint="eastAsia" w:ascii="宋体" w:hAnsi="宋体"/>
          <w:color w:val="auto"/>
          <w:szCs w:val="21"/>
          <w:highlight w:val="none"/>
        </w:rPr>
        <w:t>停工期间必须支付的现场必要的工人工资</w:t>
      </w:r>
      <w:bookmarkEnd w:id="1454"/>
      <w:r>
        <w:rPr>
          <w:rFonts w:hint="eastAsia" w:ascii="宋体" w:hAnsi="宋体"/>
          <w:color w:val="auto"/>
          <w:szCs w:val="21"/>
          <w:highlight w:val="none"/>
        </w:rPr>
        <w:t>由发包人承担；</w:t>
      </w:r>
    </w:p>
    <w:p w14:paraId="7A70AE36">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（5） 因不可抗力引起或将引起工期延误，发包人指示赶工的，由此增加的赶工费用由发包人承担；</w:t>
      </w:r>
    </w:p>
    <w:p w14:paraId="5897AAB7">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（6） 承包人在停工期间按照工程师或发包人要求照管、清理和修复工程的费用由发包人承担。</w:t>
      </w:r>
    </w:p>
    <w:p w14:paraId="39DB8744">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不可抗力引起的后果及造成的损失由合同当事人按照法律规定及合同约定各自承担。不可抗力发生前已完成的工程应当按照合同约定进行支付。</w:t>
      </w:r>
    </w:p>
    <w:p w14:paraId="4AA32554">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455" w:name="_Toc24419"/>
      <w:bookmarkStart w:id="1456" w:name="_Toc17661"/>
      <w:bookmarkStart w:id="1457" w:name="_Toc2539"/>
      <w:bookmarkStart w:id="1458" w:name="_Toc54862312"/>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7.5 </w:t>
      </w:r>
      <w:r>
        <w:rPr>
          <w:rFonts w:hint="eastAsia" w:ascii="宋体" w:hAnsi="宋体" w:eastAsia="宋体"/>
          <w:b/>
          <w:bCs w:val="0"/>
          <w:color w:val="auto"/>
          <w:sz w:val="21"/>
          <w:szCs w:val="21"/>
          <w:highlight w:val="none"/>
        </w:rPr>
        <w:t>不可抗力影响分包人</w:t>
      </w:r>
      <w:bookmarkEnd w:id="1455"/>
      <w:bookmarkEnd w:id="1456"/>
      <w:bookmarkEnd w:id="1457"/>
      <w:bookmarkEnd w:id="1458"/>
    </w:p>
    <w:p w14:paraId="5EAA116F">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分包人根据分包合同的约定，有权获得更多或者更广的不可抗力而免除某些义务时，承包人不得以分包合同中不可抗力约定向发包人抗辩免除其义务。</w:t>
      </w:r>
    </w:p>
    <w:p w14:paraId="6BFF250C">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459" w:name="_Ref531958181"/>
      <w:bookmarkStart w:id="1460" w:name="_Ref531958184"/>
      <w:bookmarkStart w:id="1461" w:name="_Ref3840892"/>
      <w:bookmarkStart w:id="1462" w:name="_Toc17018"/>
      <w:bookmarkStart w:id="1463" w:name="_Ref4538024"/>
      <w:bookmarkStart w:id="1464" w:name="_Toc12485"/>
      <w:bookmarkStart w:id="1465" w:name="_Toc54862313"/>
      <w:bookmarkStart w:id="1466" w:name="_Toc7758"/>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7.6 </w:t>
      </w:r>
      <w:r>
        <w:rPr>
          <w:rFonts w:hint="eastAsia" w:ascii="宋体" w:hAnsi="宋体" w:eastAsia="宋体"/>
          <w:b/>
          <w:bCs w:val="0"/>
          <w:color w:val="auto"/>
          <w:sz w:val="21"/>
          <w:szCs w:val="21"/>
          <w:highlight w:val="none"/>
        </w:rPr>
        <w:t>因不可抗力解除</w:t>
      </w:r>
      <w:bookmarkEnd w:id="1459"/>
      <w:bookmarkEnd w:id="1460"/>
      <w:r>
        <w:rPr>
          <w:rFonts w:hint="eastAsia" w:ascii="宋体" w:hAnsi="宋体" w:eastAsia="宋体"/>
          <w:b/>
          <w:bCs w:val="0"/>
          <w:color w:val="auto"/>
          <w:sz w:val="21"/>
          <w:szCs w:val="21"/>
          <w:highlight w:val="none"/>
        </w:rPr>
        <w:t>合同</w:t>
      </w:r>
      <w:bookmarkEnd w:id="1461"/>
      <w:bookmarkEnd w:id="1462"/>
      <w:bookmarkEnd w:id="1463"/>
      <w:bookmarkEnd w:id="1464"/>
      <w:bookmarkEnd w:id="1465"/>
      <w:bookmarkEnd w:id="1466"/>
    </w:p>
    <w:p w14:paraId="2FB214F0">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因单次不可抗力导致合同无法履行连续超过84天或累计超过140天的，发包人和承包人均有权解除合同。合同解除后，承包人应按照第</w:t>
      </w:r>
      <w:r>
        <w:rPr>
          <w:rFonts w:ascii="宋体" w:hAnsi="宋体"/>
          <w:color w:val="auto"/>
          <w:szCs w:val="21"/>
          <w:highlight w:val="none"/>
        </w:rPr>
        <w:t>10.5</w:t>
      </w:r>
      <w:r>
        <w:rPr>
          <w:rFonts w:hint="eastAsia" w:ascii="宋体" w:hAnsi="宋体"/>
          <w:color w:val="auto"/>
          <w:szCs w:val="21"/>
          <w:highlight w:val="none"/>
        </w:rPr>
        <w:t>款[竣工退场]的规定进行。由双方当事人按照第</w:t>
      </w:r>
      <w:r>
        <w:rPr>
          <w:rFonts w:ascii="宋体" w:hAnsi="宋体"/>
          <w:color w:val="auto"/>
          <w:szCs w:val="21"/>
          <w:highlight w:val="none"/>
        </w:rPr>
        <w:t>3.6</w:t>
      </w:r>
      <w:r>
        <w:rPr>
          <w:rFonts w:hint="eastAsia" w:ascii="宋体" w:hAnsi="宋体"/>
          <w:color w:val="auto"/>
          <w:szCs w:val="21"/>
          <w:highlight w:val="none"/>
        </w:rPr>
        <w:t>款[商定或确定]商定或确定发包人应支付的款项，该款项包括：</w:t>
      </w:r>
    </w:p>
    <w:p w14:paraId="2622A521">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 合同解除前承包人已完成工作的价款；</w:t>
      </w:r>
    </w:p>
    <w:p w14:paraId="4D4A8E20">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 承包人为工程订购的并已交付给承包人，或承包人有责任接受交付的材料、工程设备和其他物品的价款；当发包人支付上述费用后，此项材料、工程设备与其他物品应成为发包人的财产，承包人应将其交由发包人处理；</w:t>
      </w:r>
    </w:p>
    <w:p w14:paraId="6E07B9A0">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（3） 发包人指示承包人退货或解除订货合同而产生的费用，或因不能退货或解除合同而产生的损失；</w:t>
      </w:r>
    </w:p>
    <w:p w14:paraId="064C688E">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（4） 承包人撤离施工现场以及遣散承包人人员的费用；</w:t>
      </w:r>
    </w:p>
    <w:p w14:paraId="3E70C228">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（5） 按照合同约定在合同解除前应支付给承包人的其他款项；</w:t>
      </w:r>
    </w:p>
    <w:p w14:paraId="58731780">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（6） 扣减承包人按照合同约定应向发包人支付的款项；</w:t>
      </w:r>
    </w:p>
    <w:p w14:paraId="4D4F3E81">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（7） 双方商定或确定的其他款项。</w:t>
      </w:r>
    </w:p>
    <w:p w14:paraId="030AB0A9">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除专用合同条件另有约定外，合同解除后，发包人应当在商定或确定上述款项后28天内完成上述款项的支付。</w:t>
      </w:r>
    </w:p>
    <w:p w14:paraId="76F988E9">
      <w:pPr>
        <w:pStyle w:val="178"/>
        <w:keepNext w:val="0"/>
        <w:keepLines w:val="0"/>
        <w:pageBreakBefore w:val="0"/>
        <w:numPr>
          <w:ilvl w:val="0"/>
          <w:numId w:val="0"/>
        </w:numPr>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467" w:name="_Toc54862314"/>
      <w:bookmarkStart w:id="1468" w:name="_Ref11848264"/>
      <w:bookmarkStart w:id="1469" w:name="_Toc29075"/>
      <w:bookmarkStart w:id="1470" w:name="_Toc16323"/>
      <w:bookmarkStart w:id="1471" w:name="_Ref11848274"/>
      <w:bookmarkStart w:id="1472" w:name="_Toc1926"/>
      <w:bookmarkStart w:id="1473" w:name="_Toc3849"/>
      <w:r>
        <w:rPr>
          <w:rFonts w:hint="eastAsia" w:ascii="宋体" w:hAnsi="宋体" w:eastAsia="宋体"/>
          <w:b/>
          <w:bCs w:val="0"/>
          <w:color w:val="auto"/>
          <w:sz w:val="21"/>
          <w:szCs w:val="21"/>
          <w:highlight w:val="none"/>
        </w:rPr>
        <w:t>第1</w:t>
      </w:r>
      <w:r>
        <w:rPr>
          <w:rFonts w:ascii="宋体" w:hAnsi="宋体" w:eastAsia="宋体"/>
          <w:b/>
          <w:bCs w:val="0"/>
          <w:color w:val="auto"/>
          <w:sz w:val="21"/>
          <w:szCs w:val="21"/>
          <w:highlight w:val="none"/>
        </w:rPr>
        <w:t>8</w:t>
      </w:r>
      <w:r>
        <w:rPr>
          <w:rFonts w:hint="eastAsia" w:ascii="宋体" w:hAnsi="宋体" w:eastAsia="宋体"/>
          <w:b/>
          <w:bCs w:val="0"/>
          <w:color w:val="auto"/>
          <w:sz w:val="21"/>
          <w:szCs w:val="21"/>
          <w:highlight w:val="none"/>
        </w:rPr>
        <w:t>条 保险</w:t>
      </w:r>
      <w:bookmarkEnd w:id="1432"/>
      <w:bookmarkEnd w:id="1467"/>
      <w:bookmarkEnd w:id="1468"/>
      <w:bookmarkEnd w:id="1469"/>
      <w:bookmarkEnd w:id="1470"/>
      <w:bookmarkEnd w:id="1471"/>
      <w:bookmarkEnd w:id="1472"/>
      <w:bookmarkEnd w:id="1473"/>
    </w:p>
    <w:p w14:paraId="613E4F16">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474" w:name="_Ref3840730"/>
      <w:bookmarkStart w:id="1475" w:name="_Toc10872"/>
      <w:bookmarkStart w:id="1476" w:name="_Toc13306"/>
      <w:bookmarkStart w:id="1477" w:name="_Toc22789"/>
      <w:bookmarkStart w:id="1478" w:name="_Ref3840734"/>
      <w:bookmarkStart w:id="1479" w:name="_Toc54862315"/>
      <w:bookmarkStart w:id="1480" w:name="_Ref531957914"/>
      <w:bookmarkStart w:id="1481" w:name="_Ref531957911"/>
      <w:bookmarkStart w:id="1482" w:name="_Toc351203616"/>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8.1 </w:t>
      </w:r>
      <w:r>
        <w:rPr>
          <w:rFonts w:hint="eastAsia" w:ascii="宋体" w:hAnsi="宋体" w:eastAsia="宋体"/>
          <w:b/>
          <w:bCs w:val="0"/>
          <w:color w:val="auto"/>
          <w:sz w:val="21"/>
          <w:szCs w:val="21"/>
          <w:highlight w:val="none"/>
        </w:rPr>
        <w:t>设计和工程保险</w:t>
      </w:r>
      <w:bookmarkEnd w:id="1474"/>
      <w:bookmarkEnd w:id="1475"/>
      <w:bookmarkEnd w:id="1476"/>
      <w:bookmarkEnd w:id="1477"/>
      <w:bookmarkEnd w:id="1478"/>
      <w:bookmarkEnd w:id="1479"/>
    </w:p>
    <w:bookmarkEnd w:id="1480"/>
    <w:bookmarkEnd w:id="1481"/>
    <w:p w14:paraId="19215DD7">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8.1.1 </w:t>
      </w:r>
      <w:r>
        <w:rPr>
          <w:rFonts w:hint="eastAsia"/>
          <w:color w:val="auto"/>
          <w:sz w:val="21"/>
          <w:highlight w:val="none"/>
        </w:rPr>
        <w:t>双方应按照专用合同条件的约定向双方同意的保险人投保建设工程设计责任险、建筑安装工程一切险等保险。具体的投保险种、保险范围、保险金额、保险费率、保险期限等有关内容应当在专用合同条件中明确约定。</w:t>
      </w:r>
    </w:p>
    <w:p w14:paraId="3108C811">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8.1.2 </w:t>
      </w:r>
      <w:r>
        <w:rPr>
          <w:rFonts w:hint="eastAsia"/>
          <w:color w:val="auto"/>
          <w:sz w:val="21"/>
          <w:highlight w:val="none"/>
        </w:rPr>
        <w:t>双方应按照专用合同条件的约定投保第三者责任险，并在缺陷责任期终止证书颁发前维持其持续有效。第三者责任险最低投保额应在专用合同条件内约定。</w:t>
      </w:r>
    </w:p>
    <w:p w14:paraId="26431853">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483" w:name="_Toc54862316"/>
      <w:bookmarkStart w:id="1484" w:name="_Toc31816"/>
      <w:bookmarkStart w:id="1485" w:name="_Toc14096"/>
      <w:bookmarkStart w:id="1486" w:name="_Ref3840683"/>
      <w:bookmarkStart w:id="1487" w:name="_Toc13122"/>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8.2 </w:t>
      </w:r>
      <w:r>
        <w:rPr>
          <w:rFonts w:hint="eastAsia" w:ascii="宋体" w:hAnsi="宋体" w:eastAsia="宋体"/>
          <w:b/>
          <w:bCs w:val="0"/>
          <w:color w:val="auto"/>
          <w:sz w:val="21"/>
          <w:szCs w:val="21"/>
          <w:highlight w:val="none"/>
        </w:rPr>
        <w:t>工伤和意外伤害保险</w:t>
      </w:r>
      <w:bookmarkEnd w:id="1483"/>
      <w:bookmarkEnd w:id="1484"/>
      <w:bookmarkEnd w:id="1485"/>
      <w:bookmarkEnd w:id="1486"/>
      <w:bookmarkEnd w:id="1487"/>
    </w:p>
    <w:p w14:paraId="2C8CDC2E">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8.2.1 </w:t>
      </w:r>
      <w:r>
        <w:rPr>
          <w:rFonts w:hint="eastAsia"/>
          <w:color w:val="auto"/>
          <w:sz w:val="21"/>
          <w:highlight w:val="none"/>
        </w:rPr>
        <w:t>发包人应依照法律规定为其在施工现场的雇用人员办理工伤保险，缴纳工伤保险费；并要求工程师及由发包人为履行合同聘请的第三方在施工现场的雇用人员依法办理工伤保险。</w:t>
      </w:r>
    </w:p>
    <w:p w14:paraId="1BE5EE9F">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8.2.2 </w:t>
      </w:r>
      <w:r>
        <w:rPr>
          <w:rFonts w:hint="eastAsia"/>
          <w:color w:val="auto"/>
          <w:sz w:val="21"/>
          <w:highlight w:val="none"/>
        </w:rPr>
        <w:t>承包人应依照法律规定为其履行合同雇用的全部人员办理工伤保险，缴纳工伤保险费，并要求分包人及由承包人为履行合同聘请的第三方雇用的全部人员依法办理工伤保险。</w:t>
      </w:r>
    </w:p>
    <w:p w14:paraId="075E22EB">
      <w:pPr>
        <w:pStyle w:val="153"/>
        <w:keepNext w:val="0"/>
        <w:keepLines w:val="0"/>
        <w:pageBreakBefore w:val="0"/>
        <w:kinsoku/>
        <w:wordWrap/>
        <w:overflowPunct/>
        <w:topLinePunct w:val="0"/>
        <w:bidi w:val="0"/>
        <w:spacing w:after="120"/>
        <w:ind w:firstLine="420" w:firstLineChars="200"/>
        <w:textAlignment w:val="auto"/>
        <w:rPr>
          <w:color w:val="auto"/>
          <w:sz w:val="21"/>
          <w:highlight w:val="none"/>
        </w:rPr>
      </w:pPr>
      <w:r>
        <w:rPr>
          <w:rFonts w:hint="eastAsia"/>
          <w:color w:val="auto"/>
          <w:sz w:val="21"/>
          <w:highlight w:val="none"/>
        </w:rPr>
        <w:t>1</w:t>
      </w:r>
      <w:r>
        <w:rPr>
          <w:color w:val="auto"/>
          <w:sz w:val="21"/>
          <w:highlight w:val="none"/>
        </w:rPr>
        <w:t xml:space="preserve">8.2.3 </w:t>
      </w:r>
      <w:r>
        <w:rPr>
          <w:rFonts w:hint="eastAsia"/>
          <w:color w:val="auto"/>
          <w:sz w:val="21"/>
          <w:highlight w:val="none"/>
        </w:rPr>
        <w:t>发包人和承包人可以为其施工现场的全部人员办理意外伤害保险并支付保险费，包括其员工及为履行合同聘请的第三方的人员，具体事项由合同当事人在专用合同条件约定。</w:t>
      </w:r>
    </w:p>
    <w:p w14:paraId="7C0488B9">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488" w:name="_Toc8991"/>
      <w:bookmarkStart w:id="1489" w:name="_Toc18437"/>
      <w:bookmarkStart w:id="1490" w:name="_Toc54862317"/>
      <w:bookmarkStart w:id="1491" w:name="_Ref3840782"/>
      <w:bookmarkStart w:id="1492" w:name="_Toc4990"/>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8.3 </w:t>
      </w:r>
      <w:r>
        <w:rPr>
          <w:rFonts w:hint="eastAsia" w:ascii="宋体" w:hAnsi="宋体" w:eastAsia="宋体"/>
          <w:b/>
          <w:bCs w:val="0"/>
          <w:color w:val="auto"/>
          <w:sz w:val="21"/>
          <w:szCs w:val="21"/>
          <w:highlight w:val="none"/>
        </w:rPr>
        <w:t>货物保险</w:t>
      </w:r>
      <w:bookmarkEnd w:id="1488"/>
      <w:bookmarkEnd w:id="1489"/>
      <w:bookmarkEnd w:id="1490"/>
      <w:bookmarkEnd w:id="1491"/>
      <w:bookmarkEnd w:id="1492"/>
    </w:p>
    <w:p w14:paraId="6DF9AC89">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承包人应</w:t>
      </w:r>
      <w:r>
        <w:rPr>
          <w:rFonts w:hint="eastAsia" w:ascii="宋体" w:hAnsi="宋体"/>
          <w:iCs/>
          <w:color w:val="auto"/>
          <w:szCs w:val="21"/>
          <w:highlight w:val="none"/>
        </w:rPr>
        <w:t>按照</w:t>
      </w:r>
      <w:r>
        <w:rPr>
          <w:rFonts w:hint="eastAsia" w:ascii="宋体" w:hAnsi="宋体"/>
          <w:color w:val="auto"/>
          <w:szCs w:val="21"/>
          <w:highlight w:val="none"/>
        </w:rPr>
        <w:t>专用合同条件的约定为</w:t>
      </w:r>
      <w:r>
        <w:rPr>
          <w:rFonts w:hint="eastAsia" w:ascii="宋体" w:hAnsi="宋体"/>
          <w:iCs/>
          <w:color w:val="auto"/>
          <w:szCs w:val="21"/>
          <w:highlight w:val="none"/>
        </w:rPr>
        <w:t>运抵现场的</w:t>
      </w:r>
      <w:r>
        <w:rPr>
          <w:rFonts w:hint="eastAsia" w:ascii="宋体" w:hAnsi="宋体"/>
          <w:color w:val="auto"/>
          <w:szCs w:val="21"/>
          <w:highlight w:val="none"/>
        </w:rPr>
        <w:t>施工设备、材料、工程设备和临时工程等办理财产保险，保险期限自上述货物运抵现场至其不再为工程所需要为止。</w:t>
      </w:r>
    </w:p>
    <w:p w14:paraId="7C7E3FC1">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493" w:name="_Ref4692231"/>
      <w:bookmarkStart w:id="1494" w:name="_Toc8346"/>
      <w:bookmarkStart w:id="1495" w:name="_Toc27608"/>
      <w:bookmarkStart w:id="1496" w:name="_Ref4692238"/>
      <w:bookmarkStart w:id="1497" w:name="_Toc54862318"/>
      <w:bookmarkStart w:id="1498" w:name="_Toc1755"/>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8.4 </w:t>
      </w:r>
      <w:r>
        <w:rPr>
          <w:rFonts w:hint="eastAsia" w:ascii="宋体" w:hAnsi="宋体" w:eastAsia="宋体"/>
          <w:b/>
          <w:bCs w:val="0"/>
          <w:color w:val="auto"/>
          <w:sz w:val="21"/>
          <w:szCs w:val="21"/>
          <w:highlight w:val="none"/>
        </w:rPr>
        <w:t>其他保险</w:t>
      </w:r>
      <w:bookmarkEnd w:id="1493"/>
      <w:bookmarkEnd w:id="1494"/>
      <w:bookmarkEnd w:id="1495"/>
      <w:bookmarkEnd w:id="1496"/>
      <w:bookmarkEnd w:id="1497"/>
      <w:bookmarkEnd w:id="1498"/>
    </w:p>
    <w:p w14:paraId="7DCFFD7A">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发包人应按照工程总承包模式所适用的法律法规和专用合同条件约定，投保其他保险并保持保险有效，其投保费用发包人自行承担。承包人应按照工程总承包模式所适用法律法规和专用合同条件约定投保相应保险并保持保险有效，其投</w:t>
      </w:r>
      <w:bookmarkEnd w:id="1482"/>
      <w:r>
        <w:rPr>
          <w:rFonts w:hint="eastAsia" w:ascii="宋体" w:hAnsi="宋体"/>
          <w:color w:val="auto"/>
          <w:szCs w:val="21"/>
          <w:highlight w:val="none"/>
        </w:rPr>
        <w:t>保费用包含在合同价格中，但在合同执行过程中，新颁布适用的法律法规规定由承包人投保的强制保险，应根据本合同</w:t>
      </w:r>
      <w:bookmarkStart w:id="1499" w:name="_Toc351203617"/>
      <w:bookmarkStart w:id="1500" w:name="_Toc337558832"/>
      <w:bookmarkStart w:id="1501" w:name="_Toc296346627"/>
      <w:bookmarkStart w:id="1502" w:name="_Toc296503126"/>
      <w:r>
        <w:rPr>
          <w:rFonts w:hint="eastAsia" w:ascii="宋体" w:hAnsi="宋体"/>
          <w:color w:val="auto"/>
          <w:szCs w:val="21"/>
          <w:highlight w:val="none"/>
        </w:rPr>
        <w:t>第</w:t>
      </w:r>
      <w:r>
        <w:rPr>
          <w:rFonts w:ascii="宋体" w:hAnsi="宋体"/>
          <w:color w:val="auto"/>
          <w:szCs w:val="21"/>
          <w:highlight w:val="none"/>
        </w:rPr>
        <w:t>13条</w:t>
      </w:r>
      <w:r>
        <w:rPr>
          <w:rFonts w:hint="eastAsia" w:ascii="宋体" w:hAnsi="宋体"/>
          <w:color w:val="auto"/>
          <w:szCs w:val="21"/>
          <w:highlight w:val="none"/>
        </w:rPr>
        <w:t>[</w:t>
      </w:r>
      <w:r>
        <w:rPr>
          <w:rFonts w:ascii="宋体" w:hAnsi="宋体"/>
          <w:color w:val="auto"/>
          <w:szCs w:val="21"/>
          <w:highlight w:val="none"/>
        </w:rPr>
        <w:t>变更与调整</w:t>
      </w:r>
      <w:r>
        <w:rPr>
          <w:rFonts w:hint="eastAsia" w:ascii="宋体" w:hAnsi="宋体"/>
          <w:color w:val="auto"/>
          <w:szCs w:val="21"/>
          <w:highlight w:val="none"/>
        </w:rPr>
        <w:t>]的约定增加合同价款。</w:t>
      </w:r>
    </w:p>
    <w:p w14:paraId="50FC0D52">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503" w:name="_Ref3840659"/>
      <w:bookmarkStart w:id="1504" w:name="_Toc22272"/>
      <w:bookmarkStart w:id="1505" w:name="_Toc13438"/>
      <w:bookmarkStart w:id="1506" w:name="_Toc54862319"/>
      <w:bookmarkStart w:id="1507" w:name="_Toc3166"/>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8.5 </w:t>
      </w:r>
      <w:r>
        <w:rPr>
          <w:rFonts w:hint="eastAsia" w:ascii="宋体" w:hAnsi="宋体" w:eastAsia="宋体"/>
          <w:b/>
          <w:bCs w:val="0"/>
          <w:color w:val="auto"/>
          <w:sz w:val="21"/>
          <w:szCs w:val="21"/>
          <w:highlight w:val="none"/>
        </w:rPr>
        <w:t>对各项保险的一般要求</w:t>
      </w:r>
      <w:bookmarkEnd w:id="1503"/>
      <w:bookmarkEnd w:id="1504"/>
      <w:bookmarkEnd w:id="1505"/>
      <w:bookmarkEnd w:id="1506"/>
      <w:bookmarkEnd w:id="1507"/>
    </w:p>
    <w:p w14:paraId="4F14BA05">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r>
        <w:rPr>
          <w:rFonts w:hint="eastAsia"/>
          <w:b/>
          <w:bCs/>
          <w:color w:val="auto"/>
          <w:sz w:val="21"/>
          <w:highlight w:val="none"/>
        </w:rPr>
        <w:t>1</w:t>
      </w:r>
      <w:r>
        <w:rPr>
          <w:b/>
          <w:bCs/>
          <w:color w:val="auto"/>
          <w:sz w:val="21"/>
          <w:highlight w:val="none"/>
        </w:rPr>
        <w:t xml:space="preserve">8.5.1 </w:t>
      </w:r>
      <w:r>
        <w:rPr>
          <w:rFonts w:hint="eastAsia"/>
          <w:b/>
          <w:bCs/>
          <w:color w:val="auto"/>
          <w:sz w:val="21"/>
          <w:highlight w:val="none"/>
        </w:rPr>
        <w:t>持续保险</w:t>
      </w:r>
    </w:p>
    <w:p w14:paraId="2A0CABE4">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合同当事人应与保险人保持联系，使保险人能够随时了</w:t>
      </w:r>
      <w:bookmarkEnd w:id="1499"/>
      <w:r>
        <w:rPr>
          <w:rFonts w:hint="eastAsia" w:ascii="宋体" w:hAnsi="宋体"/>
          <w:color w:val="auto"/>
          <w:szCs w:val="21"/>
          <w:highlight w:val="none"/>
        </w:rPr>
        <w:t>解</w:t>
      </w:r>
      <w:bookmarkEnd w:id="1500"/>
      <w:bookmarkEnd w:id="1501"/>
      <w:bookmarkEnd w:id="1502"/>
      <w:r>
        <w:rPr>
          <w:rFonts w:hint="eastAsia" w:ascii="宋体" w:hAnsi="宋体"/>
          <w:color w:val="auto"/>
          <w:szCs w:val="21"/>
          <w:highlight w:val="none"/>
        </w:rPr>
        <w:t>工程实施中的变动，并确保按保险合同条款要求持续保险。</w:t>
      </w:r>
    </w:p>
    <w:p w14:paraId="4ED4BAD5">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1508" w:name="_Ref4777650"/>
      <w:r>
        <w:rPr>
          <w:rFonts w:hint="eastAsia"/>
          <w:b/>
          <w:bCs/>
          <w:color w:val="auto"/>
          <w:sz w:val="21"/>
          <w:highlight w:val="none"/>
        </w:rPr>
        <w:t>1</w:t>
      </w:r>
      <w:r>
        <w:rPr>
          <w:b/>
          <w:bCs/>
          <w:color w:val="auto"/>
          <w:sz w:val="21"/>
          <w:highlight w:val="none"/>
        </w:rPr>
        <w:t xml:space="preserve">8.5.2 </w:t>
      </w:r>
      <w:r>
        <w:rPr>
          <w:rFonts w:hint="eastAsia"/>
          <w:b/>
          <w:bCs/>
          <w:color w:val="auto"/>
          <w:sz w:val="21"/>
          <w:highlight w:val="none"/>
        </w:rPr>
        <w:t>保险凭证</w:t>
      </w:r>
      <w:bookmarkEnd w:id="1508"/>
    </w:p>
    <w:p w14:paraId="1540528A">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合同当事人应及时向另一方当事人提交其已投保的各项保险的凭证和保险单复印件，保险单必须与专用合同条件约定的条件保持一致。</w:t>
      </w:r>
    </w:p>
    <w:p w14:paraId="3E534C17">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r>
        <w:rPr>
          <w:rFonts w:hint="eastAsia"/>
          <w:b/>
          <w:bCs/>
          <w:color w:val="auto"/>
          <w:sz w:val="21"/>
          <w:highlight w:val="none"/>
        </w:rPr>
        <w:t>1</w:t>
      </w:r>
      <w:r>
        <w:rPr>
          <w:b/>
          <w:bCs/>
          <w:color w:val="auto"/>
          <w:sz w:val="21"/>
          <w:highlight w:val="none"/>
        </w:rPr>
        <w:t xml:space="preserve">8.5.3 </w:t>
      </w:r>
      <w:r>
        <w:rPr>
          <w:rFonts w:hint="eastAsia"/>
          <w:b/>
          <w:bCs/>
          <w:color w:val="auto"/>
          <w:sz w:val="21"/>
          <w:highlight w:val="none"/>
        </w:rPr>
        <w:t>未按约定投保的补救</w:t>
      </w:r>
    </w:p>
    <w:p w14:paraId="48DCD13A">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负有投保义务的一方当事人未按合同约定办理保险，或未能使保险持续有效的，则另一方当事人可代为办理，所需费用由负有投保义务的一方当事人承担。</w:t>
      </w:r>
    </w:p>
    <w:p w14:paraId="351A2EF1">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负有投保</w:t>
      </w:r>
      <w:bookmarkStart w:id="1509" w:name="_Toc351203619"/>
      <w:bookmarkStart w:id="1510" w:name="_Toc337558834"/>
      <w:r>
        <w:rPr>
          <w:rFonts w:hint="eastAsia" w:ascii="宋体" w:hAnsi="宋体"/>
          <w:color w:val="auto"/>
          <w:szCs w:val="21"/>
          <w:highlight w:val="none"/>
        </w:rPr>
        <w:t>义务的一方当事人未</w:t>
      </w:r>
      <w:bookmarkEnd w:id="1509"/>
      <w:r>
        <w:rPr>
          <w:rFonts w:hint="eastAsia" w:ascii="宋体" w:hAnsi="宋体"/>
          <w:color w:val="auto"/>
          <w:szCs w:val="21"/>
          <w:highlight w:val="none"/>
        </w:rPr>
        <w:t>按</w:t>
      </w:r>
      <w:bookmarkEnd w:id="1510"/>
      <w:r>
        <w:rPr>
          <w:rFonts w:hint="eastAsia" w:ascii="宋体" w:hAnsi="宋体"/>
          <w:color w:val="auto"/>
          <w:szCs w:val="21"/>
          <w:highlight w:val="none"/>
        </w:rPr>
        <w:t>合同约定办理某项保险，导致受益人未能得到足额赔偿的，由负有投保义务的一方当事人负责按照原应从该项保险得到的保险金数额进行补足。</w:t>
      </w:r>
    </w:p>
    <w:p w14:paraId="66E1C966">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1511" w:name="_Ref4692685"/>
      <w:r>
        <w:rPr>
          <w:rFonts w:hint="eastAsia"/>
          <w:b/>
          <w:bCs/>
          <w:color w:val="auto"/>
          <w:sz w:val="21"/>
          <w:highlight w:val="none"/>
        </w:rPr>
        <w:t>1</w:t>
      </w:r>
      <w:r>
        <w:rPr>
          <w:b/>
          <w:bCs/>
          <w:color w:val="auto"/>
          <w:sz w:val="21"/>
          <w:highlight w:val="none"/>
        </w:rPr>
        <w:t xml:space="preserve">8.5.4 </w:t>
      </w:r>
      <w:r>
        <w:rPr>
          <w:rFonts w:hint="eastAsia"/>
          <w:b/>
          <w:bCs/>
          <w:color w:val="auto"/>
          <w:sz w:val="21"/>
          <w:highlight w:val="none"/>
        </w:rPr>
        <w:t>通知义务</w:t>
      </w:r>
      <w:bookmarkEnd w:id="1511"/>
    </w:p>
    <w:p w14:paraId="658A3C20">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除专用合同条件另有约定外，任何一方当事人变更除工伤保险之外的保险合同时，应事先征得另一方当事人同意，并通知工程师。</w:t>
      </w:r>
    </w:p>
    <w:p w14:paraId="1296FDAC">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保险事故发生时，投保人应按照保险合同规定的条件和期限及时向保险人报告。发包人和承包人应当在知道保险事故发生后及时通知对方。</w:t>
      </w:r>
    </w:p>
    <w:p w14:paraId="6D52450A">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双方按本条规定投保不减少双方在合同下的其他义务。</w:t>
      </w:r>
    </w:p>
    <w:p w14:paraId="17C14546">
      <w:pPr>
        <w:pStyle w:val="178"/>
        <w:keepNext w:val="0"/>
        <w:keepLines w:val="0"/>
        <w:pageBreakBefore w:val="0"/>
        <w:numPr>
          <w:ilvl w:val="0"/>
          <w:numId w:val="0"/>
        </w:numPr>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512" w:name="_Toc54862320"/>
      <w:bookmarkStart w:id="1513" w:name="_Ref11874997"/>
      <w:bookmarkStart w:id="1514" w:name="_Toc22735"/>
      <w:bookmarkStart w:id="1515" w:name="_Toc21918"/>
      <w:bookmarkStart w:id="1516" w:name="_Toc22486"/>
      <w:bookmarkStart w:id="1517" w:name="_Toc18846"/>
      <w:r>
        <w:rPr>
          <w:rFonts w:hint="eastAsia" w:ascii="宋体" w:hAnsi="宋体" w:eastAsia="宋体"/>
          <w:b/>
          <w:bCs w:val="0"/>
          <w:color w:val="auto"/>
          <w:sz w:val="21"/>
          <w:szCs w:val="21"/>
          <w:highlight w:val="none"/>
        </w:rPr>
        <w:t>第1</w:t>
      </w:r>
      <w:r>
        <w:rPr>
          <w:rFonts w:ascii="宋体" w:hAnsi="宋体" w:eastAsia="宋体"/>
          <w:b/>
          <w:bCs w:val="0"/>
          <w:color w:val="auto"/>
          <w:sz w:val="21"/>
          <w:szCs w:val="21"/>
          <w:highlight w:val="none"/>
        </w:rPr>
        <w:t>9</w:t>
      </w:r>
      <w:r>
        <w:rPr>
          <w:rFonts w:hint="eastAsia" w:ascii="宋体" w:hAnsi="宋体" w:eastAsia="宋体"/>
          <w:b/>
          <w:bCs w:val="0"/>
          <w:color w:val="auto"/>
          <w:sz w:val="21"/>
          <w:szCs w:val="21"/>
          <w:highlight w:val="none"/>
        </w:rPr>
        <w:t>条 索赔</w:t>
      </w:r>
      <w:bookmarkEnd w:id="1398"/>
      <w:bookmarkEnd w:id="1399"/>
      <w:bookmarkEnd w:id="1512"/>
      <w:bookmarkEnd w:id="1513"/>
      <w:bookmarkEnd w:id="1514"/>
      <w:bookmarkEnd w:id="1515"/>
      <w:bookmarkEnd w:id="1516"/>
      <w:bookmarkEnd w:id="1517"/>
    </w:p>
    <w:p w14:paraId="6A381A52">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518" w:name="_Ref4798173"/>
      <w:bookmarkStart w:id="1519" w:name="_Ref4798164"/>
      <w:bookmarkStart w:id="1520" w:name="_Toc31415"/>
      <w:bookmarkStart w:id="1521" w:name="_Toc18608"/>
      <w:bookmarkStart w:id="1522" w:name="_Toc27084"/>
      <w:bookmarkStart w:id="1523" w:name="_Toc54862321"/>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9.1 </w:t>
      </w:r>
      <w:r>
        <w:rPr>
          <w:rFonts w:hint="eastAsia" w:ascii="宋体" w:hAnsi="宋体" w:eastAsia="宋体"/>
          <w:b/>
          <w:bCs w:val="0"/>
          <w:color w:val="auto"/>
          <w:sz w:val="21"/>
          <w:szCs w:val="21"/>
          <w:highlight w:val="none"/>
        </w:rPr>
        <w:t>索赔</w:t>
      </w:r>
      <w:bookmarkEnd w:id="1518"/>
      <w:bookmarkEnd w:id="1519"/>
      <w:r>
        <w:rPr>
          <w:rFonts w:hint="eastAsia" w:ascii="宋体" w:hAnsi="宋体" w:eastAsia="宋体"/>
          <w:b/>
          <w:bCs w:val="0"/>
          <w:color w:val="auto"/>
          <w:sz w:val="21"/>
          <w:szCs w:val="21"/>
          <w:highlight w:val="none"/>
        </w:rPr>
        <w:t>的提出</w:t>
      </w:r>
      <w:bookmarkEnd w:id="1520"/>
      <w:bookmarkEnd w:id="1521"/>
      <w:bookmarkEnd w:id="1522"/>
      <w:bookmarkEnd w:id="1523"/>
    </w:p>
    <w:p w14:paraId="4D34F804">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根据合同约定，任意一方认为有权得到追加/减少付款、延长缺陷责任期和（或）延长工期的，应按以下程序向对方提出索赔：</w:t>
      </w:r>
    </w:p>
    <w:p w14:paraId="2A767CD7">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 索赔方应在知道或应当知道索赔事件发生后28天内，向对方递交索赔意向通知书，并说明发生索赔事件的事由；索赔方未在前述28天内发出索赔意向通知书的，丧失要求追加</w:t>
      </w:r>
      <w:r>
        <w:rPr>
          <w:rFonts w:ascii="宋体" w:hAnsi="宋体"/>
          <w:color w:val="auto"/>
          <w:szCs w:val="21"/>
          <w:highlight w:val="none"/>
        </w:rPr>
        <w:t>/减少付款、延长缺陷责任期和（或）延长工期</w:t>
      </w:r>
      <w:r>
        <w:rPr>
          <w:rFonts w:hint="eastAsia" w:ascii="宋体" w:hAnsi="宋体"/>
          <w:color w:val="auto"/>
          <w:szCs w:val="21"/>
          <w:highlight w:val="none"/>
        </w:rPr>
        <w:t>的权利；</w:t>
      </w:r>
    </w:p>
    <w:p w14:paraId="3DA729F2">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 索赔方应在发出索赔意向通知书后28天内，向对方正式递交索赔报告；索赔报告应详细说明索赔理由以及要求追加的付款金额、延长缺陷责任期和（或）延长的工期，并附必要的记录和证明材料；</w:t>
      </w:r>
    </w:p>
    <w:p w14:paraId="06425B28">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（3） 索赔事件具有持续影响的，索赔方应每月递交延续索赔通知，说明持续影响的实际情况和记录，列出累计的追加付款金额、延长缺陷责任期和（或）工期延长天数；</w:t>
      </w:r>
    </w:p>
    <w:p w14:paraId="05ACF134">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bookmarkStart w:id="1524" w:name="_Ref4796178"/>
      <w:r>
        <w:rPr>
          <w:rFonts w:hint="eastAsia" w:ascii="宋体" w:hAnsi="宋体"/>
          <w:color w:val="auto"/>
          <w:szCs w:val="21"/>
          <w:highlight w:val="none"/>
        </w:rPr>
        <w:t>（4） 在索赔事件影响结束后28天内，索赔方应向对方递交最终索赔报告，说明最终要求索赔的追加付款金额、延长缺陷责任期和（或）延长的工期，并附必要的记录和证明材料。</w:t>
      </w:r>
      <w:bookmarkEnd w:id="1524"/>
    </w:p>
    <w:p w14:paraId="236C545C">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（5） 承包人作为索赔方时，其索赔意向通知书、索赔报告及相关索赔文件应向工程师提出；发包人作为索赔方时，其索赔意向通知书、索赔报告及相关索赔文件可自行向承包人提出或由工程师向承包人提出。</w:t>
      </w:r>
    </w:p>
    <w:p w14:paraId="4FA50FF0">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525" w:name="_Toc9035"/>
      <w:bookmarkStart w:id="1526" w:name="_Toc54862322"/>
      <w:bookmarkStart w:id="1527" w:name="_Ref4796254"/>
      <w:bookmarkStart w:id="1528" w:name="_Toc17650"/>
      <w:bookmarkStart w:id="1529" w:name="_Toc1656"/>
      <w:bookmarkStart w:id="1530" w:name="_Ref4796262"/>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9.2 承包人索赔</w:t>
      </w:r>
      <w:r>
        <w:rPr>
          <w:rFonts w:hint="eastAsia" w:ascii="宋体" w:hAnsi="宋体" w:eastAsia="宋体"/>
          <w:b/>
          <w:bCs w:val="0"/>
          <w:color w:val="auto"/>
          <w:sz w:val="21"/>
          <w:szCs w:val="21"/>
          <w:highlight w:val="none"/>
        </w:rPr>
        <w:t>的处理程序</w:t>
      </w:r>
      <w:bookmarkEnd w:id="1525"/>
      <w:bookmarkEnd w:id="1526"/>
      <w:bookmarkEnd w:id="1527"/>
      <w:bookmarkEnd w:id="1528"/>
      <w:bookmarkEnd w:id="1529"/>
      <w:bookmarkEnd w:id="1530"/>
    </w:p>
    <w:p w14:paraId="4963DB72">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 工程师收到承包人提交的索赔报告后，应及时审查索赔报告的内容、查验承包人的记录和证明材料，必要时工程师可要求承包人提交全部原始记录副本。</w:t>
      </w:r>
    </w:p>
    <w:p w14:paraId="07362E27">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 工程师应按第</w:t>
      </w:r>
      <w:r>
        <w:rPr>
          <w:rFonts w:ascii="宋体" w:hAnsi="宋体"/>
          <w:color w:val="auto"/>
          <w:szCs w:val="21"/>
          <w:highlight w:val="none"/>
        </w:rPr>
        <w:t>3.6</w:t>
      </w:r>
      <w:r>
        <w:rPr>
          <w:rFonts w:hint="eastAsia" w:ascii="宋体" w:hAnsi="宋体"/>
          <w:color w:val="auto"/>
          <w:szCs w:val="21"/>
          <w:highlight w:val="none"/>
        </w:rPr>
        <w:t>款[商定或确定]商定或确定追加的付款和（或）延长的工期，并在收到上述索赔报告或有关索赔的进一步证明材料后及时书面告知发包人，并在42天内，将发包人书面认可的索赔处理结果答复承包人。工程师在收到索赔报告或有关索赔的进一步证明材料后的42天内不予答复的，视为认可索赔。</w:t>
      </w:r>
    </w:p>
    <w:p w14:paraId="7BE95C98">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（3） 承包人接受索赔处理结果的，发包人应在作出索赔处理结果答复后28天内完成支付。承包人不接受索赔处理结果的，按照第</w:t>
      </w:r>
      <w:r>
        <w:rPr>
          <w:rFonts w:ascii="宋体" w:hAnsi="宋体"/>
          <w:color w:val="auto"/>
          <w:szCs w:val="21"/>
          <w:highlight w:val="none"/>
        </w:rPr>
        <w:t>20条</w:t>
      </w:r>
      <w:r>
        <w:rPr>
          <w:rFonts w:hint="eastAsia" w:ascii="宋体" w:hAnsi="宋体"/>
          <w:color w:val="auto"/>
          <w:szCs w:val="21"/>
          <w:highlight w:val="none"/>
        </w:rPr>
        <w:t>[争议解决]约定处理。</w:t>
      </w:r>
    </w:p>
    <w:p w14:paraId="00F3D6D9">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531" w:name="_Toc15833"/>
      <w:bookmarkStart w:id="1532" w:name="_Toc54862323"/>
      <w:bookmarkStart w:id="1533" w:name="_Toc218"/>
      <w:bookmarkStart w:id="1534" w:name="_Toc25175"/>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9.3 </w:t>
      </w:r>
      <w:r>
        <w:rPr>
          <w:rFonts w:hint="eastAsia" w:ascii="宋体" w:hAnsi="宋体" w:eastAsia="宋体"/>
          <w:b/>
          <w:bCs w:val="0"/>
          <w:color w:val="auto"/>
          <w:sz w:val="21"/>
          <w:szCs w:val="21"/>
          <w:highlight w:val="none"/>
        </w:rPr>
        <w:t>发包人索赔的处理程序</w:t>
      </w:r>
      <w:bookmarkEnd w:id="1531"/>
      <w:bookmarkEnd w:id="1532"/>
      <w:bookmarkEnd w:id="1533"/>
      <w:bookmarkEnd w:id="1534"/>
    </w:p>
    <w:p w14:paraId="11B880D7">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 承包人收到发包人提交的索赔报告后，应及时审查索赔报告的内容、查验发包人证明材料；</w:t>
      </w:r>
    </w:p>
    <w:p w14:paraId="41343719">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 承包人应在收到上述索赔报告或有关索赔的进一步证明材料后42天内，将索赔处理结果答复发包人。承包人在收到索赔通知书或有关索赔的进一步证明材料后的42天内不予答复的，视为认可索赔。</w:t>
      </w:r>
    </w:p>
    <w:p w14:paraId="050F6D3D">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（3） 发包人接受索赔处理结果的，发包人可从应支付给承包人的合同价款中扣除赔付的金额或延长缺陷责任期；发包人不接受索赔处理结果的，按第</w:t>
      </w:r>
      <w:r>
        <w:rPr>
          <w:rFonts w:ascii="宋体" w:hAnsi="宋体"/>
          <w:color w:val="auto"/>
          <w:szCs w:val="21"/>
          <w:highlight w:val="none"/>
        </w:rPr>
        <w:t>20条</w:t>
      </w:r>
      <w:r>
        <w:rPr>
          <w:rFonts w:hint="eastAsia" w:ascii="宋体" w:hAnsi="宋体"/>
          <w:color w:val="auto"/>
          <w:szCs w:val="21"/>
          <w:highlight w:val="none"/>
        </w:rPr>
        <w:t>[争议解决]约定处理。</w:t>
      </w:r>
    </w:p>
    <w:p w14:paraId="303BA827">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535" w:name="_Toc26571"/>
      <w:bookmarkStart w:id="1536" w:name="_Toc4040"/>
      <w:bookmarkStart w:id="1537" w:name="_Toc8314"/>
      <w:bookmarkStart w:id="1538" w:name="_Toc54862324"/>
      <w:r>
        <w:rPr>
          <w:rFonts w:hint="eastAsia" w:ascii="宋体" w:hAnsi="宋体" w:eastAsia="宋体"/>
          <w:b/>
          <w:bCs w:val="0"/>
          <w:color w:val="auto"/>
          <w:sz w:val="21"/>
          <w:szCs w:val="21"/>
          <w:highlight w:val="none"/>
        </w:rPr>
        <w:t>1</w:t>
      </w:r>
      <w:r>
        <w:rPr>
          <w:rFonts w:ascii="宋体" w:hAnsi="宋体" w:eastAsia="宋体"/>
          <w:b/>
          <w:bCs w:val="0"/>
          <w:color w:val="auto"/>
          <w:sz w:val="21"/>
          <w:szCs w:val="21"/>
          <w:highlight w:val="none"/>
        </w:rPr>
        <w:t xml:space="preserve">9.4 </w:t>
      </w:r>
      <w:r>
        <w:rPr>
          <w:rFonts w:hint="eastAsia" w:ascii="宋体" w:hAnsi="宋体" w:eastAsia="宋体"/>
          <w:b/>
          <w:bCs w:val="0"/>
          <w:color w:val="auto"/>
          <w:sz w:val="21"/>
          <w:szCs w:val="21"/>
          <w:highlight w:val="none"/>
        </w:rPr>
        <w:t>提出索赔的期限</w:t>
      </w:r>
      <w:bookmarkEnd w:id="1535"/>
      <w:bookmarkEnd w:id="1536"/>
      <w:bookmarkEnd w:id="1537"/>
      <w:bookmarkEnd w:id="1538"/>
    </w:p>
    <w:p w14:paraId="7D076CD8">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（1） 承包人按第</w:t>
      </w:r>
      <w:r>
        <w:rPr>
          <w:rFonts w:ascii="宋体" w:hAnsi="宋体"/>
          <w:color w:val="auto"/>
          <w:szCs w:val="21"/>
          <w:highlight w:val="none"/>
        </w:rPr>
        <w:t>14.5</w:t>
      </w:r>
      <w:r>
        <w:rPr>
          <w:rFonts w:hint="eastAsia" w:ascii="宋体" w:hAnsi="宋体"/>
          <w:color w:val="auto"/>
          <w:szCs w:val="21"/>
          <w:highlight w:val="none"/>
        </w:rPr>
        <w:t>款[竣工结算</w:t>
      </w:r>
      <w:bookmarkStart w:id="1539" w:name="_Ref3826634"/>
      <w:bookmarkStart w:id="1540" w:name="_Ref3826629"/>
      <w:r>
        <w:rPr>
          <w:rFonts w:hint="eastAsia" w:ascii="宋体" w:hAnsi="宋体"/>
          <w:color w:val="auto"/>
          <w:szCs w:val="21"/>
          <w:highlight w:val="none"/>
        </w:rPr>
        <w:t>]约定接收竣工付款证书后，应被认为已无权再提出在合同工程接收证书颁发前所发生的任何索赔。</w:t>
      </w:r>
    </w:p>
    <w:p w14:paraId="45B97FEA">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（2） 承包人按第</w:t>
      </w:r>
      <w:r>
        <w:rPr>
          <w:rFonts w:ascii="宋体" w:hAnsi="宋体"/>
          <w:color w:val="auto"/>
          <w:szCs w:val="21"/>
          <w:highlight w:val="none"/>
        </w:rPr>
        <w:t>14.7</w:t>
      </w:r>
      <w:r>
        <w:rPr>
          <w:rFonts w:hint="eastAsia" w:ascii="宋体" w:hAnsi="宋体"/>
          <w:color w:val="auto"/>
          <w:szCs w:val="21"/>
          <w:highlight w:val="none"/>
        </w:rPr>
        <w:t>款[</w:t>
      </w:r>
      <w:r>
        <w:rPr>
          <w:rFonts w:ascii="宋体" w:hAnsi="宋体"/>
          <w:color w:val="auto"/>
          <w:szCs w:val="21"/>
          <w:highlight w:val="none"/>
        </w:rPr>
        <w:t>最终结清</w:t>
      </w:r>
      <w:r>
        <w:rPr>
          <w:rFonts w:hint="eastAsia" w:ascii="宋体" w:hAnsi="宋体"/>
          <w:color w:val="auto"/>
          <w:szCs w:val="21"/>
          <w:highlight w:val="none"/>
        </w:rPr>
        <w:t>]提交的最终结清申请单中，只限于提出工程接收证书颁发后发生的索赔。提出索赔的期限均自接受最终结清证书时终止。</w:t>
      </w:r>
      <w:bookmarkEnd w:id="1539"/>
      <w:bookmarkEnd w:id="1540"/>
    </w:p>
    <w:p w14:paraId="46FA2054">
      <w:pPr>
        <w:pStyle w:val="178"/>
        <w:keepNext w:val="0"/>
        <w:keepLines w:val="0"/>
        <w:pageBreakBefore w:val="0"/>
        <w:numPr>
          <w:ilvl w:val="0"/>
          <w:numId w:val="0"/>
        </w:numPr>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541" w:name="_Toc43"/>
      <w:bookmarkStart w:id="1542" w:name="_Ref532197861"/>
      <w:bookmarkStart w:id="1543" w:name="_Toc13884"/>
      <w:bookmarkStart w:id="1544" w:name="_Ref532142075"/>
      <w:bookmarkStart w:id="1545" w:name="_Toc54862325"/>
      <w:bookmarkStart w:id="1546" w:name="_Toc25519"/>
      <w:bookmarkStart w:id="1547" w:name="_Toc3456"/>
      <w:r>
        <w:rPr>
          <w:rFonts w:hint="eastAsia" w:ascii="宋体" w:hAnsi="宋体" w:eastAsia="宋体"/>
          <w:b/>
          <w:bCs w:val="0"/>
          <w:color w:val="auto"/>
          <w:sz w:val="21"/>
          <w:szCs w:val="21"/>
          <w:highlight w:val="none"/>
        </w:rPr>
        <w:t>第2</w:t>
      </w:r>
      <w:r>
        <w:rPr>
          <w:rFonts w:ascii="宋体" w:hAnsi="宋体" w:eastAsia="宋体"/>
          <w:b/>
          <w:bCs w:val="0"/>
          <w:color w:val="auto"/>
          <w:sz w:val="21"/>
          <w:szCs w:val="21"/>
          <w:highlight w:val="none"/>
        </w:rPr>
        <w:t>0</w:t>
      </w:r>
      <w:r>
        <w:rPr>
          <w:rFonts w:hint="eastAsia" w:ascii="宋体" w:hAnsi="宋体" w:eastAsia="宋体"/>
          <w:b/>
          <w:bCs w:val="0"/>
          <w:color w:val="auto"/>
          <w:sz w:val="21"/>
          <w:szCs w:val="21"/>
          <w:highlight w:val="none"/>
        </w:rPr>
        <w:t>条 争议解决</w:t>
      </w:r>
      <w:bookmarkEnd w:id="1541"/>
      <w:bookmarkEnd w:id="1542"/>
      <w:bookmarkEnd w:id="1543"/>
      <w:bookmarkEnd w:id="1544"/>
      <w:bookmarkEnd w:id="1545"/>
      <w:bookmarkEnd w:id="1546"/>
      <w:bookmarkEnd w:id="1547"/>
    </w:p>
    <w:p w14:paraId="6EAEB335">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548" w:name="_Toc54862326"/>
      <w:bookmarkStart w:id="1549" w:name="_Ref415507198"/>
      <w:bookmarkStart w:id="1550" w:name="_Toc23440"/>
      <w:bookmarkStart w:id="1551" w:name="_Toc14879"/>
      <w:bookmarkStart w:id="1552" w:name="_Toc7118"/>
      <w:r>
        <w:rPr>
          <w:rFonts w:hint="eastAsia" w:ascii="宋体" w:hAnsi="宋体" w:eastAsia="宋体"/>
          <w:b/>
          <w:bCs w:val="0"/>
          <w:color w:val="auto"/>
          <w:sz w:val="21"/>
          <w:szCs w:val="21"/>
          <w:highlight w:val="none"/>
        </w:rPr>
        <w:t>2</w:t>
      </w:r>
      <w:r>
        <w:rPr>
          <w:rFonts w:ascii="宋体" w:hAnsi="宋体" w:eastAsia="宋体"/>
          <w:b/>
          <w:bCs w:val="0"/>
          <w:color w:val="auto"/>
          <w:sz w:val="21"/>
          <w:szCs w:val="21"/>
          <w:highlight w:val="none"/>
        </w:rPr>
        <w:t xml:space="preserve">0.1 </w:t>
      </w:r>
      <w:r>
        <w:rPr>
          <w:rFonts w:hint="eastAsia" w:ascii="宋体" w:hAnsi="宋体" w:eastAsia="宋体"/>
          <w:b/>
          <w:bCs w:val="0"/>
          <w:color w:val="auto"/>
          <w:sz w:val="21"/>
          <w:szCs w:val="21"/>
          <w:highlight w:val="none"/>
        </w:rPr>
        <w:t>和解</w:t>
      </w:r>
      <w:bookmarkEnd w:id="1548"/>
      <w:bookmarkEnd w:id="1549"/>
      <w:bookmarkEnd w:id="1550"/>
      <w:bookmarkEnd w:id="1551"/>
      <w:bookmarkEnd w:id="1552"/>
    </w:p>
    <w:p w14:paraId="69451EDC">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合同当事人可以就争议自行和解，自行和解达成协议的经双方签字并盖章后作为合同补充文件，双方均应遵照执行。</w:t>
      </w:r>
    </w:p>
    <w:p w14:paraId="088D0BD3">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553" w:name="_Toc54862327"/>
      <w:bookmarkStart w:id="1554" w:name="_Toc16293"/>
      <w:bookmarkStart w:id="1555" w:name="_Toc476"/>
      <w:bookmarkStart w:id="1556" w:name="_Toc30268"/>
      <w:r>
        <w:rPr>
          <w:rFonts w:hint="eastAsia" w:ascii="宋体" w:hAnsi="宋体" w:eastAsia="宋体"/>
          <w:b/>
          <w:bCs w:val="0"/>
          <w:color w:val="auto"/>
          <w:sz w:val="21"/>
          <w:szCs w:val="21"/>
          <w:highlight w:val="none"/>
        </w:rPr>
        <w:t>2</w:t>
      </w:r>
      <w:r>
        <w:rPr>
          <w:rFonts w:ascii="宋体" w:hAnsi="宋体" w:eastAsia="宋体"/>
          <w:b/>
          <w:bCs w:val="0"/>
          <w:color w:val="auto"/>
          <w:sz w:val="21"/>
          <w:szCs w:val="21"/>
          <w:highlight w:val="none"/>
        </w:rPr>
        <w:t xml:space="preserve">0.2 </w:t>
      </w:r>
      <w:r>
        <w:rPr>
          <w:rFonts w:hint="eastAsia" w:ascii="宋体" w:hAnsi="宋体" w:eastAsia="宋体"/>
          <w:b/>
          <w:bCs w:val="0"/>
          <w:color w:val="auto"/>
          <w:sz w:val="21"/>
          <w:szCs w:val="21"/>
          <w:highlight w:val="none"/>
        </w:rPr>
        <w:t>调解</w:t>
      </w:r>
      <w:bookmarkEnd w:id="1553"/>
      <w:bookmarkEnd w:id="1554"/>
      <w:bookmarkEnd w:id="1555"/>
      <w:bookmarkEnd w:id="1556"/>
    </w:p>
    <w:p w14:paraId="5256EE35">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合同当事人可以就争议请求建设行政主管部门、行业协会或其他第三方进行调解，调解达成协议的，经双方签字盖章后作为合同补充文件，双方均应遵照执行。</w:t>
      </w:r>
    </w:p>
    <w:p w14:paraId="1CDD1B0B">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557" w:name="_Ref532221527"/>
      <w:bookmarkStart w:id="1558" w:name="_Toc31942"/>
      <w:bookmarkStart w:id="1559" w:name="_Toc54862328"/>
      <w:bookmarkStart w:id="1560" w:name="_Ref532221532"/>
      <w:bookmarkStart w:id="1561" w:name="_Toc1996"/>
      <w:bookmarkStart w:id="1562" w:name="_Toc3070"/>
      <w:r>
        <w:rPr>
          <w:rFonts w:hint="eastAsia" w:ascii="宋体" w:hAnsi="宋体" w:eastAsia="宋体"/>
          <w:b/>
          <w:bCs w:val="0"/>
          <w:color w:val="auto"/>
          <w:sz w:val="21"/>
          <w:szCs w:val="21"/>
          <w:highlight w:val="none"/>
        </w:rPr>
        <w:t>2</w:t>
      </w:r>
      <w:r>
        <w:rPr>
          <w:rFonts w:ascii="宋体" w:hAnsi="宋体" w:eastAsia="宋体"/>
          <w:b/>
          <w:bCs w:val="0"/>
          <w:color w:val="auto"/>
          <w:sz w:val="21"/>
          <w:szCs w:val="21"/>
          <w:highlight w:val="none"/>
        </w:rPr>
        <w:t xml:space="preserve">0.3 </w:t>
      </w:r>
      <w:r>
        <w:rPr>
          <w:rFonts w:hint="eastAsia" w:ascii="宋体" w:hAnsi="宋体" w:eastAsia="宋体"/>
          <w:b/>
          <w:bCs w:val="0"/>
          <w:color w:val="auto"/>
          <w:sz w:val="21"/>
          <w:szCs w:val="21"/>
          <w:highlight w:val="none"/>
        </w:rPr>
        <w:t>争议评审</w:t>
      </w:r>
      <w:bookmarkEnd w:id="1557"/>
      <w:bookmarkEnd w:id="1558"/>
      <w:bookmarkEnd w:id="1559"/>
      <w:bookmarkEnd w:id="1560"/>
      <w:bookmarkEnd w:id="1561"/>
      <w:bookmarkEnd w:id="1562"/>
    </w:p>
    <w:p w14:paraId="32164B12">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合同当事人在专用合同条件中约定采取争议评审方式及评审规则解决争议的，按下列约定执行：</w:t>
      </w:r>
    </w:p>
    <w:p w14:paraId="5ADB5657">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r>
        <w:rPr>
          <w:rFonts w:hint="eastAsia"/>
          <w:b/>
          <w:bCs/>
          <w:color w:val="auto"/>
          <w:sz w:val="21"/>
          <w:highlight w:val="none"/>
        </w:rPr>
        <w:t>2</w:t>
      </w:r>
      <w:r>
        <w:rPr>
          <w:b/>
          <w:bCs/>
          <w:color w:val="auto"/>
          <w:sz w:val="21"/>
          <w:highlight w:val="none"/>
        </w:rPr>
        <w:t xml:space="preserve">0.3.1 </w:t>
      </w:r>
      <w:r>
        <w:rPr>
          <w:rFonts w:hint="eastAsia"/>
          <w:b/>
          <w:bCs/>
          <w:color w:val="auto"/>
          <w:sz w:val="21"/>
          <w:highlight w:val="none"/>
        </w:rPr>
        <w:t>争议评审小组的确定</w:t>
      </w:r>
    </w:p>
    <w:p w14:paraId="0224C145">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合同当事人可以共同选择一名或三名争议评审员，组成争议评审小组。如专用合同条件未对成员人数进行约定，则应由三名成员组成。除专用合同条件另有约定外，合同当事人应当自合同订立后28天内，或者争议发生后14天内，选定争议评审员。</w:t>
      </w:r>
    </w:p>
    <w:p w14:paraId="11A27A60">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选择一名争议评审员的，由合同当事人共同确定；选择三名争议评审员的，各自选定一名，第三名成员由合同当事人共同确定或由合同当事人委托已选定的争议评审员共同确定，为首席争议评审员。争议评审员为一人且合同当事人未能达成一致的，或争议评审员为三人且合同当事人就首席争议评审员未能达成一致的，由专用合同条件约定的评审机构指定。</w:t>
      </w:r>
    </w:p>
    <w:p w14:paraId="60C749B6">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除专用合同条件另有约定外，争议评审员报酬由发包人和承包人各承担一半。</w:t>
      </w:r>
    </w:p>
    <w:p w14:paraId="604D704F">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1563" w:name="_Ref532287270"/>
      <w:r>
        <w:rPr>
          <w:rFonts w:hint="eastAsia"/>
          <w:b/>
          <w:bCs/>
          <w:color w:val="auto"/>
          <w:sz w:val="21"/>
          <w:highlight w:val="none"/>
        </w:rPr>
        <w:t>2</w:t>
      </w:r>
      <w:r>
        <w:rPr>
          <w:b/>
          <w:bCs/>
          <w:color w:val="auto"/>
          <w:sz w:val="21"/>
          <w:highlight w:val="none"/>
        </w:rPr>
        <w:t xml:space="preserve">0.3.2 </w:t>
      </w:r>
      <w:r>
        <w:rPr>
          <w:rFonts w:hint="eastAsia"/>
          <w:b/>
          <w:bCs/>
          <w:color w:val="auto"/>
          <w:sz w:val="21"/>
          <w:highlight w:val="none"/>
        </w:rPr>
        <w:t>争议的避免</w:t>
      </w:r>
      <w:bookmarkEnd w:id="1563"/>
    </w:p>
    <w:p w14:paraId="4207C44D">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合同当事人协商一致，可以共同书面请求争议评审小组，就合同履行过程中可能出现争议的情况提供协助或进行非正式讨论，争议评审小组应给出公正的意见或建议。</w:t>
      </w:r>
    </w:p>
    <w:p w14:paraId="0397FEE2">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此类协助或非正式讨论可在任何会议、施工现场视察或其他场合进行，并且除专用合同条件另有约定外，发包人和承包人均应出席。</w:t>
      </w:r>
    </w:p>
    <w:p w14:paraId="665BE70C">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争议评审小组在此类非正式讨论上给出的任何意见或建议，无论是口头还是书面的，对发包人和承包人不具有约束力，争议评审小组在之后的争议评审程序或决定中也不受此类意见或建议的约束。</w:t>
      </w:r>
    </w:p>
    <w:p w14:paraId="39ABD5F9">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bookmarkStart w:id="1564" w:name="_Ref4695594"/>
      <w:r>
        <w:rPr>
          <w:rFonts w:hint="eastAsia"/>
          <w:b/>
          <w:bCs/>
          <w:color w:val="auto"/>
          <w:sz w:val="21"/>
          <w:highlight w:val="none"/>
        </w:rPr>
        <w:t>2</w:t>
      </w:r>
      <w:r>
        <w:rPr>
          <w:b/>
          <w:bCs/>
          <w:color w:val="auto"/>
          <w:sz w:val="21"/>
          <w:highlight w:val="none"/>
        </w:rPr>
        <w:t xml:space="preserve">0.3.3 </w:t>
      </w:r>
      <w:r>
        <w:rPr>
          <w:rFonts w:hint="eastAsia"/>
          <w:b/>
          <w:bCs/>
          <w:color w:val="auto"/>
          <w:sz w:val="21"/>
          <w:highlight w:val="none"/>
        </w:rPr>
        <w:t>争议评审小组的决定</w:t>
      </w:r>
      <w:bookmarkEnd w:id="1564"/>
    </w:p>
    <w:p w14:paraId="7B76A2BD">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或争议评审小组建议并经双方同意的其他期限内作出书面决定，并说明理由。合同当事人可以在专用合同条件中对本项事项另行约定。</w:t>
      </w:r>
    </w:p>
    <w:p w14:paraId="32A3C5A1">
      <w:pPr>
        <w:pStyle w:val="153"/>
        <w:keepNext w:val="0"/>
        <w:keepLines w:val="0"/>
        <w:pageBreakBefore w:val="0"/>
        <w:kinsoku/>
        <w:wordWrap/>
        <w:overflowPunct/>
        <w:topLinePunct w:val="0"/>
        <w:bidi w:val="0"/>
        <w:spacing w:after="120"/>
        <w:ind w:firstLine="422" w:firstLineChars="200"/>
        <w:textAlignment w:val="auto"/>
        <w:rPr>
          <w:b/>
          <w:bCs/>
          <w:color w:val="auto"/>
          <w:sz w:val="21"/>
          <w:highlight w:val="none"/>
        </w:rPr>
      </w:pPr>
      <w:r>
        <w:rPr>
          <w:rFonts w:hint="eastAsia"/>
          <w:b/>
          <w:bCs/>
          <w:color w:val="auto"/>
          <w:sz w:val="21"/>
          <w:highlight w:val="none"/>
        </w:rPr>
        <w:t>2</w:t>
      </w:r>
      <w:r>
        <w:rPr>
          <w:b/>
          <w:bCs/>
          <w:color w:val="auto"/>
          <w:sz w:val="21"/>
          <w:highlight w:val="none"/>
        </w:rPr>
        <w:t xml:space="preserve">0.3.4 </w:t>
      </w:r>
      <w:r>
        <w:rPr>
          <w:rFonts w:hint="eastAsia"/>
          <w:b/>
          <w:bCs/>
          <w:color w:val="auto"/>
          <w:sz w:val="21"/>
          <w:highlight w:val="none"/>
        </w:rPr>
        <w:t>争议评审小组决定的效力</w:t>
      </w:r>
    </w:p>
    <w:p w14:paraId="28AA5FF7">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争议评审小组作出的书面决定经合同当事人签字确认后，对双方具有约束力，双方应遵照执行。</w:t>
      </w:r>
    </w:p>
    <w:p w14:paraId="3694527E">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任何一方当事人不接受争议评审小组决定或不履行争议评审小组决定的，双方可选择采用其他争议解决方式。</w:t>
      </w:r>
    </w:p>
    <w:p w14:paraId="26238616">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任何一方当事人不接受争议评审小组的决定，并不影响暂时执行争议评审小组的决定，直到在后续的采用其他争议解决方式中对争议评审小组的决定进行了改变。</w:t>
      </w:r>
    </w:p>
    <w:p w14:paraId="50DDF6C0">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565" w:name="_Ref532221748"/>
      <w:bookmarkStart w:id="1566" w:name="_Toc54862329"/>
      <w:bookmarkStart w:id="1567" w:name="_Toc4938"/>
      <w:bookmarkStart w:id="1568" w:name="_Ref532221752"/>
      <w:bookmarkStart w:id="1569" w:name="_Toc25780"/>
      <w:bookmarkStart w:id="1570" w:name="_Toc19642"/>
      <w:r>
        <w:rPr>
          <w:rFonts w:hint="eastAsia" w:ascii="宋体" w:hAnsi="宋体" w:eastAsia="宋体"/>
          <w:b/>
          <w:bCs w:val="0"/>
          <w:color w:val="auto"/>
          <w:sz w:val="21"/>
          <w:szCs w:val="21"/>
          <w:highlight w:val="none"/>
        </w:rPr>
        <w:t>2</w:t>
      </w:r>
      <w:r>
        <w:rPr>
          <w:rFonts w:ascii="宋体" w:hAnsi="宋体" w:eastAsia="宋体"/>
          <w:b/>
          <w:bCs w:val="0"/>
          <w:color w:val="auto"/>
          <w:sz w:val="21"/>
          <w:szCs w:val="21"/>
          <w:highlight w:val="none"/>
        </w:rPr>
        <w:t xml:space="preserve">0.4 </w:t>
      </w:r>
      <w:r>
        <w:rPr>
          <w:rFonts w:hint="eastAsia" w:ascii="宋体" w:hAnsi="宋体" w:eastAsia="宋体"/>
          <w:b/>
          <w:bCs w:val="0"/>
          <w:color w:val="auto"/>
          <w:sz w:val="21"/>
          <w:szCs w:val="21"/>
          <w:highlight w:val="none"/>
        </w:rPr>
        <w:t>仲裁或诉讼</w:t>
      </w:r>
      <w:bookmarkEnd w:id="1565"/>
      <w:bookmarkEnd w:id="1566"/>
      <w:bookmarkEnd w:id="1567"/>
      <w:bookmarkEnd w:id="1568"/>
      <w:bookmarkEnd w:id="1569"/>
      <w:bookmarkEnd w:id="1570"/>
    </w:p>
    <w:p w14:paraId="45135EFC">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因合同及合同有关事项产生的争议，合同当事人可以在专用合同条件中约定以下一种方式解决争议：</w:t>
      </w:r>
    </w:p>
    <w:p w14:paraId="12096EB7">
      <w:pPr>
        <w:pStyle w:val="168"/>
        <w:keepNext w:val="0"/>
        <w:keepLines w:val="0"/>
        <w:pageBreakBefore w:val="0"/>
        <w:widowControl/>
        <w:numPr>
          <w:ilvl w:val="0"/>
          <w:numId w:val="0"/>
        </w:numPr>
        <w:kinsoku/>
        <w:wordWrap/>
        <w:overflowPunct/>
        <w:topLinePunct w:val="0"/>
        <w:autoSpaceDE/>
        <w:autoSpaceDN/>
        <w:bidi w:val="0"/>
        <w:adjustRightInd w:val="0"/>
        <w:snapToGrid w:val="0"/>
        <w:spacing w:afterLines="0"/>
        <w:ind w:left="0" w:firstLine="420" w:firstLineChars="200"/>
        <w:textAlignment w:val="auto"/>
        <w:rPr>
          <w:color w:val="auto"/>
          <w:sz w:val="21"/>
          <w:szCs w:val="21"/>
          <w:highlight w:val="none"/>
        </w:rPr>
      </w:pPr>
      <w:r>
        <w:rPr>
          <w:rFonts w:hint="eastAsia"/>
          <w:color w:val="auto"/>
          <w:sz w:val="21"/>
          <w:szCs w:val="21"/>
          <w:highlight w:val="none"/>
        </w:rPr>
        <w:t>（1） 向约定的仲裁委员会申请仲裁；</w:t>
      </w:r>
    </w:p>
    <w:p w14:paraId="6F97EACE">
      <w:pPr>
        <w:pStyle w:val="168"/>
        <w:keepNext w:val="0"/>
        <w:keepLines w:val="0"/>
        <w:pageBreakBefore w:val="0"/>
        <w:widowControl/>
        <w:numPr>
          <w:ilvl w:val="0"/>
          <w:numId w:val="0"/>
        </w:numPr>
        <w:kinsoku/>
        <w:wordWrap/>
        <w:overflowPunct/>
        <w:topLinePunct w:val="0"/>
        <w:autoSpaceDE/>
        <w:autoSpaceDN/>
        <w:bidi w:val="0"/>
        <w:adjustRightInd w:val="0"/>
        <w:snapToGrid w:val="0"/>
        <w:spacing w:afterLines="0"/>
        <w:ind w:left="0" w:firstLine="420" w:firstLineChars="200"/>
        <w:textAlignment w:val="auto"/>
        <w:rPr>
          <w:color w:val="auto"/>
          <w:sz w:val="21"/>
          <w:szCs w:val="21"/>
          <w:highlight w:val="none"/>
        </w:rPr>
      </w:pPr>
      <w:r>
        <w:rPr>
          <w:rFonts w:hint="eastAsia"/>
          <w:color w:val="auto"/>
          <w:sz w:val="21"/>
          <w:szCs w:val="21"/>
          <w:highlight w:val="none"/>
        </w:rPr>
        <w:t>（2） 向有管辖权的人民法院起诉。</w:t>
      </w:r>
    </w:p>
    <w:p w14:paraId="748EA91A">
      <w:pPr>
        <w:pStyle w:val="167"/>
        <w:keepNext w:val="0"/>
        <w:keepLines w:val="0"/>
        <w:pageBreakBefore w:val="0"/>
        <w:widowControl/>
        <w:kinsoku/>
        <w:wordWrap/>
        <w:overflowPunct/>
        <w:topLinePunct w:val="0"/>
        <w:bidi w:val="0"/>
        <w:spacing w:after="120"/>
        <w:ind w:firstLine="422" w:firstLineChars="200"/>
        <w:textAlignment w:val="auto"/>
        <w:rPr>
          <w:rFonts w:ascii="宋体" w:hAnsi="宋体" w:eastAsia="宋体"/>
          <w:b/>
          <w:bCs w:val="0"/>
          <w:color w:val="auto"/>
          <w:sz w:val="21"/>
          <w:szCs w:val="21"/>
          <w:highlight w:val="none"/>
        </w:rPr>
      </w:pPr>
      <w:bookmarkStart w:id="1571" w:name="_Toc28451"/>
      <w:bookmarkStart w:id="1572" w:name="_Toc31913"/>
      <w:bookmarkStart w:id="1573" w:name="_Toc54862330"/>
      <w:bookmarkStart w:id="1574" w:name="_Toc15520"/>
      <w:r>
        <w:rPr>
          <w:rFonts w:hint="eastAsia" w:ascii="宋体" w:hAnsi="宋体" w:eastAsia="宋体"/>
          <w:b/>
          <w:bCs w:val="0"/>
          <w:color w:val="auto"/>
          <w:sz w:val="21"/>
          <w:szCs w:val="21"/>
          <w:highlight w:val="none"/>
        </w:rPr>
        <w:t>2</w:t>
      </w:r>
      <w:r>
        <w:rPr>
          <w:rFonts w:ascii="宋体" w:hAnsi="宋体" w:eastAsia="宋体"/>
          <w:b/>
          <w:bCs w:val="0"/>
          <w:color w:val="auto"/>
          <w:sz w:val="21"/>
          <w:szCs w:val="21"/>
          <w:highlight w:val="none"/>
        </w:rPr>
        <w:t xml:space="preserve">0.5 </w:t>
      </w:r>
      <w:r>
        <w:rPr>
          <w:rFonts w:hint="eastAsia" w:ascii="宋体" w:hAnsi="宋体" w:eastAsia="宋体"/>
          <w:b/>
          <w:bCs w:val="0"/>
          <w:color w:val="auto"/>
          <w:sz w:val="21"/>
          <w:szCs w:val="21"/>
          <w:highlight w:val="none"/>
        </w:rPr>
        <w:t>争议解决条款效力</w:t>
      </w:r>
      <w:bookmarkEnd w:id="1571"/>
      <w:bookmarkEnd w:id="1572"/>
      <w:bookmarkEnd w:id="1573"/>
      <w:bookmarkEnd w:id="1574"/>
    </w:p>
    <w:p w14:paraId="2759EC79">
      <w:pPr>
        <w:keepNext w:val="0"/>
        <w:keepLines w:val="0"/>
        <w:pageBreakBefore w:val="0"/>
        <w:kinsoku/>
        <w:wordWrap/>
        <w:overflowPunct/>
        <w:topLinePunct w:val="0"/>
        <w:bidi w:val="0"/>
        <w:spacing w:line="360" w:lineRule="auto"/>
        <w:ind w:firstLine="420" w:firstLineChars="200"/>
        <w:textAlignment w:val="auto"/>
        <w:rPr>
          <w:rFonts w:ascii="宋体" w:hAnsi="宋体"/>
          <w:color w:val="auto"/>
          <w:szCs w:val="21"/>
          <w:highlight w:val="none"/>
        </w:rPr>
      </w:pPr>
      <w:r>
        <w:rPr>
          <w:rFonts w:hint="eastAsia" w:ascii="宋体" w:hAnsi="宋体"/>
          <w:color w:val="auto"/>
          <w:szCs w:val="21"/>
          <w:highlight w:val="none"/>
        </w:rPr>
        <w:t>合同有关争议解决的条款独立存在，合同的不生效、无效、被撤销或者终止的，不影响合同中有关争议解决条款的效力。</w:t>
      </w:r>
    </w:p>
    <w:p w14:paraId="21987923">
      <w:pPr>
        <w:spacing w:line="360" w:lineRule="auto"/>
        <w:ind w:firstLine="420"/>
        <w:rPr>
          <w:rFonts w:ascii="宋体" w:hAnsi="宋体"/>
          <w:color w:val="auto"/>
          <w:szCs w:val="21"/>
          <w:highlight w:val="none"/>
        </w:rPr>
      </w:pPr>
      <w:r>
        <w:rPr>
          <w:rFonts w:ascii="宋体" w:hAnsi="宋体"/>
          <w:color w:val="auto"/>
          <w:szCs w:val="21"/>
          <w:highlight w:val="none"/>
        </w:rPr>
        <w:br w:type="page"/>
      </w:r>
    </w:p>
    <w:p w14:paraId="0CE4FCA7">
      <w:pPr>
        <w:ind w:firstLine="420"/>
        <w:jc w:val="center"/>
        <w:outlineLvl w:val="0"/>
        <w:rPr>
          <w:rStyle w:val="170"/>
          <w:rFonts w:hint="eastAsia"/>
          <w:color w:val="auto"/>
          <w:highlight w:val="none"/>
        </w:rPr>
      </w:pPr>
      <w:bookmarkStart w:id="1575" w:name="_Toc30748"/>
      <w:bookmarkStart w:id="1576" w:name="_Toc25751"/>
      <w:bookmarkStart w:id="1577" w:name="_Toc54862331"/>
      <w:r>
        <w:rPr>
          <w:rStyle w:val="170"/>
          <w:rFonts w:hint="eastAsia"/>
          <w:color w:val="auto"/>
          <w:highlight w:val="none"/>
          <w:lang w:eastAsia="zh-CN"/>
        </w:rPr>
        <w:t>第三部分</w:t>
      </w:r>
      <w:r>
        <w:rPr>
          <w:rStyle w:val="170"/>
          <w:rFonts w:hint="eastAsia"/>
          <w:color w:val="auto"/>
          <w:highlight w:val="none"/>
          <w:lang w:val="en-US" w:eastAsia="zh-CN"/>
        </w:rPr>
        <w:t xml:space="preserve"> </w:t>
      </w:r>
      <w:r>
        <w:rPr>
          <w:rStyle w:val="170"/>
          <w:rFonts w:hint="eastAsia"/>
          <w:color w:val="auto"/>
          <w:highlight w:val="none"/>
        </w:rPr>
        <w:t>专用合同条件</w:t>
      </w:r>
      <w:bookmarkEnd w:id="1575"/>
      <w:bookmarkEnd w:id="1576"/>
      <w:bookmarkEnd w:id="1577"/>
    </w:p>
    <w:p w14:paraId="53646F41">
      <w:pPr>
        <w:pStyle w:val="156"/>
        <w:spacing w:before="260" w:after="120" w:line="280" w:lineRule="exact"/>
        <w:ind w:firstLine="422" w:firstLineChars="200"/>
        <w:rPr>
          <w:rFonts w:cs="宋体"/>
          <w:b/>
          <w:bCs/>
          <w:color w:val="auto"/>
          <w:sz w:val="21"/>
          <w:szCs w:val="21"/>
          <w:highlight w:val="none"/>
        </w:rPr>
      </w:pPr>
      <w:bookmarkStart w:id="1578" w:name="_Toc32671"/>
      <w:bookmarkStart w:id="1579" w:name="_Toc8741"/>
      <w:bookmarkStart w:id="1580" w:name="_Toc16695"/>
      <w:bookmarkStart w:id="1581" w:name="_Toc54862332"/>
      <w:bookmarkStart w:id="1582" w:name="_Toc24852"/>
      <w:r>
        <w:rPr>
          <w:rFonts w:hint="eastAsia" w:cs="宋体"/>
          <w:b/>
          <w:bCs/>
          <w:color w:val="auto"/>
          <w:sz w:val="21"/>
          <w:szCs w:val="21"/>
          <w:highlight w:val="none"/>
        </w:rPr>
        <w:t>第1条 一般约定</w:t>
      </w:r>
      <w:bookmarkEnd w:id="1578"/>
      <w:bookmarkEnd w:id="1579"/>
      <w:bookmarkEnd w:id="1580"/>
      <w:bookmarkEnd w:id="1581"/>
      <w:bookmarkEnd w:id="1582"/>
    </w:p>
    <w:p w14:paraId="6AA83C47">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1.1 词语定义和解释</w:t>
      </w:r>
    </w:p>
    <w:p w14:paraId="140E4E5B">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1.1.1 合同</w:t>
      </w:r>
    </w:p>
    <w:p w14:paraId="75CA7D31">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1.1.1.10 其他合同文件：</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rPr>
        <w:t>。</w:t>
      </w:r>
    </w:p>
    <w:p w14:paraId="4EBA402C">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1.1.3 工程和设备</w:t>
      </w:r>
    </w:p>
    <w:p w14:paraId="2B66ACCC">
      <w:pPr>
        <w:keepNext w:val="0"/>
        <w:keepLines w:val="0"/>
        <w:pageBreakBefore w:val="0"/>
        <w:widowControl w:val="0"/>
        <w:kinsoku/>
        <w:wordWrap/>
        <w:overflowPunct/>
        <w:topLinePunct w:val="0"/>
        <w:autoSpaceDE/>
        <w:autoSpaceDN/>
        <w:bidi w:val="0"/>
        <w:adjustRightInd/>
        <w:snapToGrid/>
        <w:spacing w:before="260" w:line="360" w:lineRule="auto"/>
        <w:ind w:firstLine="420"/>
        <w:textAlignment w:val="auto"/>
        <w:rPr>
          <w:rFonts w:hint="eastAsia" w:ascii="宋体" w:hAnsi="宋体" w:cs="宋体"/>
          <w:color w:val="auto"/>
          <w:szCs w:val="21"/>
          <w:highlight w:val="none"/>
          <w:u w:val="single"/>
          <w:lang w:val="en-US" w:eastAsia="zh-CN"/>
        </w:rPr>
      </w:pPr>
      <w:r>
        <w:rPr>
          <w:rFonts w:hint="eastAsia" w:ascii="宋体" w:hAnsi="宋体" w:cs="宋体"/>
          <w:color w:val="auto"/>
          <w:szCs w:val="21"/>
          <w:highlight w:val="none"/>
        </w:rPr>
        <w:t>1.1.3.5 单位/区段工程的范围：</w:t>
      </w:r>
      <w:r>
        <w:rPr>
          <w:rFonts w:hint="eastAsia" w:ascii="宋体" w:hAnsi="宋体" w:cs="宋体"/>
          <w:color w:val="auto"/>
          <w:szCs w:val="21"/>
          <w:highlight w:val="none"/>
          <w:u w:val="single"/>
          <w:lang w:val="en-US" w:eastAsia="zh-CN"/>
        </w:rPr>
        <w:t>包括拆除并改造二、三级网管道长度总计157102米，其中拆除并改造二级网管道长度为38656米，拆除并改造三级网管道长度为118446米、换热站工艺改造（涉及44座换热站）及华源区域电控系统升级改造（涉及7座换热站、新港调度系统和芦屯调度系统）。改造区域涉及昌辉区域、鸿通区域和华源区域三个供热区域114个小区的供热管网设施更新改造工程。</w:t>
      </w:r>
    </w:p>
    <w:p w14:paraId="20AF1960">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1.1.3.9 作为施工场所组成部分的其他场所包括：</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lang w:val="en-US" w:eastAsia="zh-CN"/>
        </w:rPr>
        <w:t>。</w:t>
      </w:r>
    </w:p>
    <w:p w14:paraId="0A79A65C">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1.1.3.10 永久占地包括：</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rPr>
        <w:t>。</w:t>
      </w:r>
    </w:p>
    <w:p w14:paraId="24D9773B">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1.1.3.11 临时占地包括：</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rPr>
        <w:t xml:space="preserve"> 。</w:t>
      </w:r>
    </w:p>
    <w:p w14:paraId="44B17583">
      <w:pPr>
        <w:spacing w:before="260" w:line="280" w:lineRule="exact"/>
        <w:ind w:firstLine="420"/>
        <w:rPr>
          <w:rFonts w:ascii="宋体" w:hAnsi="宋体" w:cs="宋体"/>
          <w:b/>
          <w:bCs/>
          <w:color w:val="auto"/>
          <w:szCs w:val="21"/>
          <w:highlight w:val="none"/>
        </w:rPr>
      </w:pPr>
      <w:r>
        <w:rPr>
          <w:rFonts w:hint="eastAsia" w:ascii="宋体" w:hAnsi="宋体" w:cs="宋体"/>
          <w:b/>
          <w:bCs/>
          <w:color w:val="auto"/>
          <w:szCs w:val="21"/>
          <w:highlight w:val="none"/>
        </w:rPr>
        <w:t>1.2 语言文字</w:t>
      </w:r>
    </w:p>
    <w:p w14:paraId="11484DE6">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本合同除使用汉语外，还使用</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语言。</w:t>
      </w:r>
    </w:p>
    <w:p w14:paraId="1200AD5A">
      <w:pPr>
        <w:spacing w:before="260" w:line="280" w:lineRule="exact"/>
        <w:ind w:firstLine="420"/>
        <w:rPr>
          <w:rFonts w:ascii="宋体" w:hAnsi="宋体" w:cs="宋体"/>
          <w:b/>
          <w:bCs/>
          <w:color w:val="auto"/>
          <w:szCs w:val="21"/>
          <w:highlight w:val="none"/>
        </w:rPr>
      </w:pPr>
      <w:r>
        <w:rPr>
          <w:rFonts w:hint="eastAsia" w:ascii="宋体" w:hAnsi="宋体" w:cs="宋体"/>
          <w:b/>
          <w:bCs/>
          <w:color w:val="auto"/>
          <w:szCs w:val="21"/>
          <w:highlight w:val="none"/>
        </w:rPr>
        <w:t>1.3 法律</w:t>
      </w:r>
    </w:p>
    <w:p w14:paraId="790E5919">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适用于合同的其他规范性文件：</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rPr>
        <w:t xml:space="preserve"> 。</w:t>
      </w:r>
    </w:p>
    <w:p w14:paraId="62C2DCA6">
      <w:pPr>
        <w:spacing w:before="260" w:line="280" w:lineRule="exact"/>
        <w:ind w:firstLine="420"/>
        <w:rPr>
          <w:rFonts w:ascii="宋体" w:hAnsi="宋体" w:cs="宋体"/>
          <w:b/>
          <w:bCs/>
          <w:color w:val="auto"/>
          <w:szCs w:val="21"/>
          <w:highlight w:val="none"/>
        </w:rPr>
      </w:pPr>
      <w:r>
        <w:rPr>
          <w:rFonts w:hint="eastAsia" w:ascii="宋体" w:hAnsi="宋体" w:cs="宋体"/>
          <w:b/>
          <w:bCs/>
          <w:color w:val="auto"/>
          <w:szCs w:val="21"/>
          <w:highlight w:val="none"/>
        </w:rPr>
        <w:t>1.4 标准和规范</w:t>
      </w:r>
    </w:p>
    <w:p w14:paraId="2B2CAB1B">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1.4.1 适用于本合同的标准、规范（名称）包括：</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rPr>
        <w:t xml:space="preserve"> 。</w:t>
      </w:r>
    </w:p>
    <w:p w14:paraId="448B114A">
      <w:pPr>
        <w:keepNext w:val="0"/>
        <w:keepLines w:val="0"/>
        <w:pageBreakBefore w:val="0"/>
        <w:widowControl w:val="0"/>
        <w:kinsoku/>
        <w:wordWrap/>
        <w:overflowPunct/>
        <w:topLinePunct w:val="0"/>
        <w:autoSpaceDE/>
        <w:autoSpaceDN/>
        <w:bidi w:val="0"/>
        <w:adjustRightInd/>
        <w:snapToGrid/>
        <w:spacing w:before="260" w:line="360" w:lineRule="auto"/>
        <w:ind w:firstLine="420"/>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1.4.2 发包人提供的国外标准、规范的名称：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；发包人提供的国外标准、规范的份数：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；发包人提供的国外标准、规范的时间：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lang w:eastAsia="zh-CN"/>
        </w:rPr>
        <w:t>。</w:t>
      </w:r>
    </w:p>
    <w:p w14:paraId="548B300A">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1.4.3 没有成文规范、标准规定的约定：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9BAC58B">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1.4.4 发包人对于工程的技术标准、功能要求：</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F7153DE">
      <w:pPr>
        <w:spacing w:before="260" w:line="280" w:lineRule="exact"/>
        <w:ind w:firstLine="420"/>
        <w:rPr>
          <w:rFonts w:ascii="宋体" w:hAnsi="宋体" w:cs="宋体"/>
          <w:b/>
          <w:bCs/>
          <w:color w:val="auto"/>
          <w:szCs w:val="21"/>
          <w:highlight w:val="none"/>
        </w:rPr>
      </w:pPr>
      <w:r>
        <w:rPr>
          <w:rFonts w:hint="eastAsia" w:ascii="宋体" w:hAnsi="宋体" w:cs="宋体"/>
          <w:b/>
          <w:bCs/>
          <w:color w:val="auto"/>
          <w:szCs w:val="21"/>
          <w:highlight w:val="none"/>
        </w:rPr>
        <w:t>1.5 合同文件的优先顺序</w:t>
      </w:r>
    </w:p>
    <w:p w14:paraId="5162B95B">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合同文件组成及优先顺序为：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658A3C97">
      <w:pPr>
        <w:spacing w:before="260" w:line="280" w:lineRule="exact"/>
        <w:ind w:firstLine="420"/>
        <w:rPr>
          <w:rFonts w:ascii="宋体" w:hAnsi="宋体" w:cs="宋体"/>
          <w:b/>
          <w:bCs/>
          <w:color w:val="auto"/>
          <w:szCs w:val="21"/>
          <w:highlight w:val="none"/>
        </w:rPr>
      </w:pPr>
      <w:r>
        <w:rPr>
          <w:rFonts w:hint="eastAsia" w:ascii="宋体" w:hAnsi="宋体" w:cs="宋体"/>
          <w:b/>
          <w:bCs/>
          <w:color w:val="auto"/>
          <w:szCs w:val="21"/>
          <w:highlight w:val="none"/>
        </w:rPr>
        <w:t>1.6 文件的提供和照管</w:t>
      </w:r>
    </w:p>
    <w:p w14:paraId="1D1DEBE8">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1.6.1 发包人文件的提供</w:t>
      </w:r>
    </w:p>
    <w:p w14:paraId="241646E9">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发包人文件的提供期限、名称、数量和形式：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72136FD">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1.6.2 承包人文件的提供</w:t>
      </w:r>
    </w:p>
    <w:p w14:paraId="55D2D85C">
      <w:pPr>
        <w:spacing w:before="260" w:line="276" w:lineRule="auto"/>
        <w:ind w:firstLine="420"/>
        <w:rPr>
          <w:rFonts w:ascii="宋体" w:hAnsi="宋体" w:cs="宋体"/>
          <w:color w:val="auto"/>
          <w:szCs w:val="21"/>
          <w:highlight w:val="none"/>
        </w:rPr>
      </w:pPr>
      <w:r>
        <w:rPr>
          <w:rFonts w:hint="eastAsia" w:ascii="宋体" w:hAnsi="宋体" w:cs="宋体"/>
          <w:color w:val="auto"/>
          <w:szCs w:val="21"/>
          <w:highlight w:val="none"/>
        </w:rPr>
        <w:t>承包人文件的内容、提供期限、名称、数量和形式：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1698B507">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1.6.4 文件的照管</w:t>
      </w:r>
    </w:p>
    <w:p w14:paraId="02B0B4EF">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关于现场文件准备的约定：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88E5DF4">
      <w:pPr>
        <w:spacing w:before="260" w:line="280" w:lineRule="exact"/>
        <w:ind w:firstLine="420"/>
        <w:rPr>
          <w:rFonts w:ascii="宋体" w:hAnsi="宋体" w:cs="宋体"/>
          <w:b/>
          <w:bCs/>
          <w:color w:val="auto"/>
          <w:szCs w:val="21"/>
          <w:highlight w:val="none"/>
        </w:rPr>
      </w:pPr>
      <w:r>
        <w:rPr>
          <w:rFonts w:hint="eastAsia" w:ascii="宋体" w:hAnsi="宋体" w:cs="宋体"/>
          <w:b/>
          <w:bCs/>
          <w:color w:val="auto"/>
          <w:szCs w:val="21"/>
          <w:highlight w:val="none"/>
        </w:rPr>
        <w:t>1.7 联络</w:t>
      </w:r>
    </w:p>
    <w:p w14:paraId="09B23249">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1.7.2 发包人指定的送达方式（包括电子传输方式）：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A80CB76">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发包人的送达地址：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FF24F81">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承包人指定的送达方式（包括电子传输方式）：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47BB02C">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承包人的送达地址：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9C7E0F4">
      <w:pPr>
        <w:spacing w:before="260" w:line="280" w:lineRule="exact"/>
        <w:ind w:firstLine="420"/>
        <w:rPr>
          <w:rFonts w:ascii="宋体" w:hAnsi="宋体" w:cs="宋体"/>
          <w:b/>
          <w:bCs/>
          <w:color w:val="auto"/>
          <w:szCs w:val="21"/>
          <w:highlight w:val="none"/>
        </w:rPr>
      </w:pPr>
      <w:r>
        <w:rPr>
          <w:rFonts w:hint="eastAsia" w:ascii="宋体" w:hAnsi="宋体" w:cs="宋体"/>
          <w:b/>
          <w:bCs/>
          <w:color w:val="auto"/>
          <w:szCs w:val="21"/>
          <w:highlight w:val="none"/>
        </w:rPr>
        <w:t>1.10 知识产权</w:t>
      </w:r>
    </w:p>
    <w:p w14:paraId="7AFA8567">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1.10.1 由发包人（或以发包人名义）编制的《发包人要求》和其他文件的著作权归属：</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B5D8B3B">
      <w:pPr>
        <w:keepNext w:val="0"/>
        <w:keepLines w:val="0"/>
        <w:pageBreakBefore w:val="0"/>
        <w:widowControl w:val="0"/>
        <w:kinsoku/>
        <w:wordWrap/>
        <w:overflowPunct/>
        <w:topLinePunct w:val="0"/>
        <w:autoSpaceDE/>
        <w:autoSpaceDN/>
        <w:bidi w:val="0"/>
        <w:adjustRightInd/>
        <w:snapToGrid/>
        <w:spacing w:before="260" w:line="360" w:lineRule="auto"/>
        <w:ind w:firstLine="420"/>
        <w:textAlignment w:val="auto"/>
        <w:rPr>
          <w:rFonts w:ascii="宋体" w:hAnsi="宋体" w:cs="宋体"/>
          <w:color w:val="auto"/>
          <w:szCs w:val="21"/>
          <w:highlight w:val="none"/>
        </w:rPr>
      </w:pPr>
      <w:r>
        <w:rPr>
          <w:rFonts w:hint="eastAsia" w:ascii="宋体" w:hAnsi="宋体" w:cs="宋体"/>
          <w:color w:val="auto"/>
          <w:szCs w:val="21"/>
          <w:highlight w:val="none"/>
        </w:rPr>
        <w:t>1.10.2 由承包人（或以承包人名义）为实施工程所编制的文件、承包人完成的设计工作成果和建造完成的建筑物的知识产权归属：</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与本工程有关的知识产权均归发包人所有</w:t>
      </w:r>
      <w:r>
        <w:rPr>
          <w:rFonts w:hint="eastAsia" w:ascii="宋体" w:hAnsi="宋体" w:cs="宋体"/>
          <w:color w:val="auto"/>
          <w:szCs w:val="21"/>
          <w:highlight w:val="none"/>
        </w:rPr>
        <w:t>。</w:t>
      </w:r>
    </w:p>
    <w:p w14:paraId="61585D7F">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1.10.4 承包人在投标文件中采用的专利、专有技术、技术秘密的使用费的承担方式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C422C51">
      <w:pPr>
        <w:spacing w:before="260" w:line="280" w:lineRule="exact"/>
        <w:ind w:firstLine="420"/>
        <w:rPr>
          <w:rFonts w:ascii="宋体" w:hAnsi="宋体" w:cs="宋体"/>
          <w:b/>
          <w:bCs/>
          <w:color w:val="auto"/>
          <w:szCs w:val="21"/>
          <w:highlight w:val="none"/>
        </w:rPr>
      </w:pPr>
      <w:r>
        <w:rPr>
          <w:rFonts w:hint="eastAsia" w:ascii="宋体" w:hAnsi="宋体" w:cs="宋体"/>
          <w:b/>
          <w:bCs/>
          <w:color w:val="auto"/>
          <w:szCs w:val="21"/>
          <w:highlight w:val="none"/>
        </w:rPr>
        <w:t>1.11 保密</w:t>
      </w:r>
    </w:p>
    <w:p w14:paraId="3F1BAAC7">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双方订立的商业保密协议（名称）：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，作为本合同附件。</w:t>
      </w:r>
    </w:p>
    <w:p w14:paraId="1150ABD0">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双方订立的技术保密协议（名称）：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，作为本合同附件。</w:t>
      </w:r>
    </w:p>
    <w:p w14:paraId="7A7B7A6D">
      <w:pPr>
        <w:spacing w:before="260" w:line="280" w:lineRule="exact"/>
        <w:ind w:firstLine="420"/>
        <w:rPr>
          <w:rFonts w:ascii="宋体" w:hAnsi="宋体" w:cs="宋体"/>
          <w:b/>
          <w:bCs/>
          <w:color w:val="auto"/>
          <w:szCs w:val="21"/>
          <w:highlight w:val="none"/>
        </w:rPr>
      </w:pPr>
      <w:r>
        <w:rPr>
          <w:rFonts w:hint="eastAsia" w:ascii="宋体" w:hAnsi="宋体" w:cs="宋体"/>
          <w:b/>
          <w:bCs/>
          <w:color w:val="auto"/>
          <w:szCs w:val="21"/>
          <w:highlight w:val="none"/>
        </w:rPr>
        <w:t>1.13 责任限制</w:t>
      </w:r>
    </w:p>
    <w:p w14:paraId="68DA2734">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承包人对发包人赔偿责任的最高限额为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C459CF9">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1.14 建筑信息模型技术的应用</w:t>
      </w:r>
    </w:p>
    <w:p w14:paraId="37CCBB2C">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关于建筑信息模型技术的开发、使用、存储、传输、交付及费用约定如下：</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DE36DDE">
      <w:pPr>
        <w:pStyle w:val="156"/>
        <w:spacing w:before="260" w:after="120" w:line="280" w:lineRule="exact"/>
        <w:ind w:firstLine="422" w:firstLineChars="200"/>
        <w:rPr>
          <w:rFonts w:cs="宋体"/>
          <w:b/>
          <w:bCs/>
          <w:color w:val="auto"/>
          <w:sz w:val="21"/>
          <w:szCs w:val="21"/>
          <w:highlight w:val="none"/>
        </w:rPr>
      </w:pPr>
      <w:bookmarkStart w:id="1583" w:name="_Toc23007"/>
      <w:bookmarkStart w:id="1584" w:name="_Toc54862333"/>
      <w:bookmarkStart w:id="1585" w:name="_Toc26722"/>
      <w:bookmarkStart w:id="1586" w:name="_Toc24251"/>
      <w:bookmarkStart w:id="1587" w:name="_Toc5358"/>
      <w:r>
        <w:rPr>
          <w:rFonts w:hint="eastAsia" w:cs="宋体"/>
          <w:b/>
          <w:bCs/>
          <w:color w:val="auto"/>
          <w:sz w:val="21"/>
          <w:szCs w:val="21"/>
          <w:highlight w:val="none"/>
        </w:rPr>
        <w:t>第2条 发包人</w:t>
      </w:r>
      <w:bookmarkEnd w:id="1583"/>
      <w:bookmarkEnd w:id="1584"/>
      <w:bookmarkEnd w:id="1585"/>
      <w:bookmarkEnd w:id="1586"/>
      <w:bookmarkEnd w:id="1587"/>
    </w:p>
    <w:p w14:paraId="0F689EA2">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2.2 提供施工现场和工作条件</w:t>
      </w:r>
    </w:p>
    <w:p w14:paraId="1478520A">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2.2.1 提供施工现场</w:t>
      </w:r>
    </w:p>
    <w:p w14:paraId="5EAD093E">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关于发包人提供施工现场的范围和期限：</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21B2E89">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2.2.2 提供工作条件</w:t>
      </w:r>
    </w:p>
    <w:p w14:paraId="214CD523">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关于发包人应负责提供的工作条件包括：</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624EF33E">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2.3 提供基础资料</w:t>
      </w:r>
    </w:p>
    <w:p w14:paraId="1C224A17">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关于发包人应提供的基础资料的范围和期限：</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A92CE41">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2.5 支付合同价款</w:t>
      </w:r>
    </w:p>
    <w:p w14:paraId="448FDDCA">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2.5.2 发包人提供资金来源证明及资金安排的期限要求：</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6681F39B">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2.5.3 发包人提供支付担保的形式、期限、金额（或比例）：</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05B9373">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2.7 其他义务</w:t>
      </w:r>
    </w:p>
    <w:p w14:paraId="2E034A8D">
      <w:pPr>
        <w:keepNext w:val="0"/>
        <w:keepLines w:val="0"/>
        <w:pageBreakBefore w:val="0"/>
        <w:widowControl w:val="0"/>
        <w:kinsoku/>
        <w:wordWrap/>
        <w:overflowPunct/>
        <w:topLinePunct w:val="0"/>
        <w:autoSpaceDE/>
        <w:autoSpaceDN/>
        <w:bidi w:val="0"/>
        <w:adjustRightInd/>
        <w:snapToGrid/>
        <w:spacing w:before="260" w:line="360" w:lineRule="auto"/>
        <w:ind w:firstLine="420"/>
        <w:textAlignment w:val="auto"/>
        <w:rPr>
          <w:rFonts w:ascii="宋体" w:hAnsi="宋体" w:cs="宋体"/>
          <w:color w:val="auto"/>
          <w:szCs w:val="21"/>
          <w:highlight w:val="none"/>
        </w:rPr>
      </w:pPr>
      <w:r>
        <w:rPr>
          <w:rFonts w:hint="eastAsia" w:ascii="宋体" w:hAnsi="宋体" w:cs="宋体"/>
          <w:color w:val="auto"/>
          <w:szCs w:val="21"/>
          <w:highlight w:val="none"/>
        </w:rPr>
        <w:t>发包人应履行的其他义务：</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按合同约定应当由监理人或者发包人回复、批复、批准、确认或提出修改意见的承包人的要求、请求、申请和报批等，自监理人或者发包人指定的接收人收到承包人发出的相应要求、请求、申请和报批之日起，如果监理人或者发包人在合同约定的期限内未予回复、批复、批准、确认或提出修改意见的，视为监理人和发包人已经同意、确认或者批准</w:t>
      </w:r>
      <w:r>
        <w:rPr>
          <w:rFonts w:hint="eastAsia" w:ascii="宋体" w:hAnsi="宋体" w:cs="宋体"/>
          <w:color w:val="auto"/>
          <w:szCs w:val="21"/>
          <w:highlight w:val="none"/>
        </w:rPr>
        <w:t>。</w:t>
      </w:r>
    </w:p>
    <w:p w14:paraId="6116A2D0">
      <w:pPr>
        <w:pStyle w:val="156"/>
        <w:spacing w:before="260" w:after="120" w:line="280" w:lineRule="exact"/>
        <w:ind w:firstLine="422" w:firstLineChars="200"/>
        <w:rPr>
          <w:rFonts w:cs="宋体"/>
          <w:b/>
          <w:bCs/>
          <w:color w:val="auto"/>
          <w:sz w:val="21"/>
          <w:szCs w:val="21"/>
          <w:highlight w:val="none"/>
        </w:rPr>
      </w:pPr>
      <w:bookmarkStart w:id="1588" w:name="_Toc54862334"/>
      <w:bookmarkStart w:id="1589" w:name="_Toc25047"/>
      <w:bookmarkStart w:id="1590" w:name="_Toc7226"/>
      <w:bookmarkStart w:id="1591" w:name="_Toc10391"/>
      <w:bookmarkStart w:id="1592" w:name="_Toc23734"/>
      <w:r>
        <w:rPr>
          <w:rFonts w:hint="eastAsia" w:cs="宋体"/>
          <w:b/>
          <w:bCs/>
          <w:color w:val="auto"/>
          <w:sz w:val="21"/>
          <w:szCs w:val="21"/>
          <w:highlight w:val="none"/>
        </w:rPr>
        <w:t>第3条 发包人的管理</w:t>
      </w:r>
      <w:bookmarkEnd w:id="1588"/>
      <w:bookmarkEnd w:id="1589"/>
      <w:bookmarkEnd w:id="1590"/>
      <w:bookmarkEnd w:id="1591"/>
      <w:bookmarkEnd w:id="1592"/>
    </w:p>
    <w:p w14:paraId="2C861C50">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3.1 发包人代表</w:t>
      </w:r>
    </w:p>
    <w:p w14:paraId="49BDCA5D">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发包人代表的姓名：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0201704">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发包人代表的身份证号：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6ADFC7C">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发包人代表的职务：</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615C6127">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发包人代表的联系电话：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F5CFA48">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发包人代表的电子邮箱：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ED1C177">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发包人代表的通信地址：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F7CCFAF">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发包人对发包人代表的授权范围如下：</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16CBD6C8">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发包人代表的职责：</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6B982187">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3.2 发包人人员</w:t>
      </w:r>
    </w:p>
    <w:p w14:paraId="146D29FE">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发包人人员姓名：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696E3180">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发包人人员职务：</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464F3D7">
      <w:pPr>
        <w:spacing w:before="260" w:line="280" w:lineRule="exact"/>
        <w:ind w:firstLine="42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发包人人员职责：</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lang w:eastAsia="zh-CN"/>
        </w:rPr>
        <w:t>。</w:t>
      </w:r>
    </w:p>
    <w:p w14:paraId="5833BA2B">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3.3 工程师</w:t>
      </w:r>
    </w:p>
    <w:p w14:paraId="1AA0FC82">
      <w:pPr>
        <w:keepNext w:val="0"/>
        <w:keepLines w:val="0"/>
        <w:pageBreakBefore w:val="0"/>
        <w:widowControl w:val="0"/>
        <w:kinsoku/>
        <w:wordWrap/>
        <w:overflowPunct/>
        <w:topLinePunct w:val="0"/>
        <w:autoSpaceDE/>
        <w:autoSpaceDN/>
        <w:bidi w:val="0"/>
        <w:adjustRightInd/>
        <w:snapToGrid/>
        <w:spacing w:before="260" w:line="360" w:lineRule="auto"/>
        <w:ind w:firstLine="420"/>
        <w:textAlignment w:val="auto"/>
        <w:rPr>
          <w:rFonts w:ascii="宋体" w:hAnsi="宋体" w:cs="宋体"/>
          <w:color w:val="auto"/>
          <w:szCs w:val="21"/>
          <w:highlight w:val="none"/>
        </w:rPr>
      </w:pPr>
      <w:r>
        <w:rPr>
          <w:rFonts w:hint="eastAsia" w:ascii="宋体" w:hAnsi="宋体" w:cs="宋体"/>
          <w:color w:val="auto"/>
          <w:szCs w:val="21"/>
          <w:highlight w:val="none"/>
        </w:rPr>
        <w:t>3.3.1 工程师名称：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；工程师监督管理范围、内容：</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；工程师权限：</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F7BA498">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3.6 商定或确定</w:t>
      </w:r>
    </w:p>
    <w:p w14:paraId="5756B81E">
      <w:pPr>
        <w:spacing w:before="260" w:line="280" w:lineRule="exact"/>
        <w:ind w:firstLine="42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3.6.2 关于商定时间限制的具体约定：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lang w:eastAsia="zh-CN"/>
        </w:rPr>
        <w:t>。</w:t>
      </w:r>
    </w:p>
    <w:p w14:paraId="2580393A">
      <w:pPr>
        <w:keepNext w:val="0"/>
        <w:keepLines w:val="0"/>
        <w:pageBreakBefore w:val="0"/>
        <w:widowControl w:val="0"/>
        <w:kinsoku/>
        <w:wordWrap/>
        <w:overflowPunct/>
        <w:topLinePunct w:val="0"/>
        <w:autoSpaceDE/>
        <w:autoSpaceDN/>
        <w:bidi w:val="0"/>
        <w:adjustRightInd/>
        <w:snapToGrid/>
        <w:spacing w:before="260" w:line="360" w:lineRule="auto"/>
        <w:ind w:firstLine="420"/>
        <w:textAlignment w:val="auto"/>
        <w:rPr>
          <w:rFonts w:ascii="宋体" w:hAnsi="宋体" w:cs="宋体"/>
          <w:color w:val="auto"/>
          <w:szCs w:val="21"/>
          <w:highlight w:val="none"/>
        </w:rPr>
      </w:pPr>
      <w:r>
        <w:rPr>
          <w:rFonts w:hint="eastAsia" w:ascii="宋体" w:hAnsi="宋体" w:cs="宋体"/>
          <w:color w:val="auto"/>
          <w:szCs w:val="21"/>
          <w:highlight w:val="none"/>
        </w:rPr>
        <w:t>3.6.3 关于商定或确定效力的具体约定：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；关于对工程师的确定提出异议的具体约定：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997DC3C">
      <w:pPr>
        <w:keepNext w:val="0"/>
        <w:keepLines w:val="0"/>
        <w:pageBreakBefore w:val="0"/>
        <w:widowControl w:val="0"/>
        <w:kinsoku/>
        <w:wordWrap/>
        <w:overflowPunct/>
        <w:topLinePunct w:val="0"/>
        <w:autoSpaceDE/>
        <w:autoSpaceDN/>
        <w:bidi w:val="0"/>
        <w:adjustRightInd/>
        <w:snapToGrid/>
        <w:spacing w:before="260" w:line="360" w:lineRule="auto"/>
        <w:ind w:firstLine="420"/>
        <w:textAlignment w:val="auto"/>
        <w:rPr>
          <w:rFonts w:ascii="宋体" w:hAnsi="宋体" w:cs="宋体"/>
          <w:color w:val="auto"/>
          <w:szCs w:val="21"/>
          <w:highlight w:val="none"/>
        </w:rPr>
      </w:pPr>
      <w:r>
        <w:rPr>
          <w:rFonts w:hint="eastAsia" w:ascii="宋体" w:hAnsi="宋体" w:cs="宋体"/>
          <w:color w:val="auto"/>
          <w:szCs w:val="21"/>
          <w:highlight w:val="none"/>
        </w:rPr>
        <w:t>3.7 会议</w:t>
      </w:r>
    </w:p>
    <w:p w14:paraId="519F547A">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3.7.1 关于召开会议的具体约定：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161986D">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3.7.2 关于保存和提供会议纪要的具体约定：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7B9B680">
      <w:pPr>
        <w:pStyle w:val="156"/>
        <w:spacing w:before="260" w:after="120" w:line="280" w:lineRule="exact"/>
        <w:ind w:firstLine="422" w:firstLineChars="200"/>
        <w:rPr>
          <w:rFonts w:cs="宋体"/>
          <w:b/>
          <w:bCs/>
          <w:color w:val="auto"/>
          <w:sz w:val="21"/>
          <w:szCs w:val="21"/>
          <w:highlight w:val="none"/>
        </w:rPr>
      </w:pPr>
      <w:bookmarkStart w:id="1593" w:name="_Toc8989"/>
      <w:bookmarkStart w:id="1594" w:name="_Toc20646"/>
      <w:bookmarkStart w:id="1595" w:name="_Toc13211"/>
      <w:bookmarkStart w:id="1596" w:name="_Toc54862335"/>
      <w:bookmarkStart w:id="1597" w:name="_Toc30283"/>
      <w:r>
        <w:rPr>
          <w:rFonts w:hint="eastAsia" w:cs="宋体"/>
          <w:b/>
          <w:bCs/>
          <w:color w:val="auto"/>
          <w:sz w:val="21"/>
          <w:szCs w:val="21"/>
          <w:highlight w:val="none"/>
        </w:rPr>
        <w:t>第4条 承包人</w:t>
      </w:r>
      <w:bookmarkEnd w:id="1593"/>
      <w:bookmarkEnd w:id="1594"/>
      <w:bookmarkEnd w:id="1595"/>
      <w:bookmarkEnd w:id="1596"/>
      <w:bookmarkEnd w:id="1597"/>
    </w:p>
    <w:p w14:paraId="6D248E06">
      <w:pPr>
        <w:spacing w:before="260" w:line="280" w:lineRule="exact"/>
        <w:ind w:firstLine="420"/>
        <w:rPr>
          <w:rFonts w:hint="eastAsia" w:ascii="宋体" w:hAnsi="宋体" w:cs="宋体"/>
          <w:color w:val="auto"/>
          <w:szCs w:val="21"/>
          <w:highlight w:val="none"/>
        </w:rPr>
      </w:pPr>
      <w:r>
        <w:rPr>
          <w:rFonts w:hint="eastAsia" w:ascii="宋体" w:hAnsi="宋体" w:cs="宋体"/>
          <w:color w:val="auto"/>
          <w:szCs w:val="21"/>
          <w:highlight w:val="none"/>
        </w:rPr>
        <w:t>4.1 承包人的一般义务</w:t>
      </w:r>
    </w:p>
    <w:p w14:paraId="11CD23AA">
      <w:pPr>
        <w:keepNext w:val="0"/>
        <w:keepLines w:val="0"/>
        <w:pageBreakBefore w:val="0"/>
        <w:widowControl w:val="0"/>
        <w:kinsoku/>
        <w:wordWrap/>
        <w:overflowPunct/>
        <w:topLinePunct w:val="0"/>
        <w:autoSpaceDE/>
        <w:autoSpaceDN/>
        <w:bidi w:val="0"/>
        <w:adjustRightInd/>
        <w:snapToGrid/>
        <w:spacing w:before="260" w:line="360" w:lineRule="auto"/>
        <w:ind w:firstLine="420"/>
        <w:textAlignment w:val="auto"/>
        <w:rPr>
          <w:rFonts w:hint="eastAsia" w:ascii="宋体" w:hAnsi="宋体" w:cs="宋体"/>
          <w:color w:val="auto"/>
          <w:szCs w:val="21"/>
          <w:highlight w:val="none"/>
          <w:u w:val="single"/>
          <w:lang w:val="en-US" w:eastAsia="zh-CN"/>
        </w:rPr>
      </w:pPr>
      <w:r>
        <w:rPr>
          <w:rFonts w:hint="eastAsia" w:ascii="宋体" w:hAnsi="宋体" w:cs="宋体"/>
          <w:color w:val="auto"/>
          <w:szCs w:val="21"/>
          <w:highlight w:val="none"/>
        </w:rPr>
        <w:t>承包人</w:t>
      </w:r>
      <w:r>
        <w:rPr>
          <w:rFonts w:hint="eastAsia" w:ascii="宋体" w:hAnsi="宋体" w:cs="宋体"/>
          <w:color w:val="auto"/>
          <w:szCs w:val="21"/>
          <w:highlight w:val="none"/>
          <w:lang w:val="en-US" w:eastAsia="zh-CN"/>
        </w:rPr>
        <w:t>应履行的其他</w:t>
      </w:r>
      <w:r>
        <w:rPr>
          <w:rFonts w:hint="eastAsia" w:ascii="宋体" w:hAnsi="宋体" w:cs="宋体"/>
          <w:color w:val="auto"/>
          <w:szCs w:val="21"/>
          <w:highlight w:val="none"/>
        </w:rPr>
        <w:t>义务</w:t>
      </w:r>
      <w:r>
        <w:rPr>
          <w:rFonts w:hint="eastAsia" w:ascii="宋体" w:hAnsi="宋体" w:cs="宋体"/>
          <w:color w:val="auto"/>
          <w:szCs w:val="21"/>
          <w:highlight w:val="none"/>
          <w:u w:val="single"/>
          <w:lang w:val="en-US" w:eastAsia="zh-CN"/>
        </w:rPr>
        <w:t>1、遵守有关法律、法规和规定，承包人在施工过程中如违反国家有关法律、法规和规定，承包人将承担法律责任，并承担由此给发包人造成的一切损失。</w:t>
      </w:r>
    </w:p>
    <w:p w14:paraId="0FCFC34A">
      <w:pPr>
        <w:keepNext w:val="0"/>
        <w:keepLines w:val="0"/>
        <w:pageBreakBefore w:val="0"/>
        <w:widowControl w:val="0"/>
        <w:kinsoku/>
        <w:wordWrap/>
        <w:overflowPunct/>
        <w:topLinePunct w:val="0"/>
        <w:autoSpaceDE/>
        <w:autoSpaceDN/>
        <w:bidi w:val="0"/>
        <w:adjustRightInd/>
        <w:snapToGrid/>
        <w:spacing w:before="260" w:line="360" w:lineRule="auto"/>
        <w:ind w:firstLine="420"/>
        <w:textAlignment w:val="auto"/>
        <w:rPr>
          <w:rFonts w:hint="eastAsia" w:ascii="宋体" w:hAnsi="宋体" w:cs="宋体"/>
          <w:color w:val="auto"/>
          <w:szCs w:val="21"/>
          <w:highlight w:val="none"/>
          <w:u w:val="single"/>
        </w:rPr>
      </w:pPr>
      <w:r>
        <w:rPr>
          <w:rFonts w:hint="eastAsia" w:ascii="宋体" w:hAnsi="宋体" w:cs="宋体"/>
          <w:color w:val="auto"/>
          <w:szCs w:val="21"/>
          <w:highlight w:val="none"/>
          <w:u w:val="single"/>
          <w:lang w:val="en-US" w:eastAsia="zh-CN"/>
        </w:rPr>
        <w:t>2、履行本合同中规定的承包人有关权利和义务，按本合同文件要求及施工图纸、图纸会审纪要、发包人和监理的指令、施工及验收规范进行施工。应在图纸会审中审慎审查，发现图纸不符合技术规范的情形，过错责任由承包人承担，并负责修改。如承包人未能完成或未能按期完成合同文件规定的内容，应支付发包人违约金，造成发包人损失的，承包人负责赔偿发包人的有关损失。</w:t>
      </w:r>
    </w:p>
    <w:p w14:paraId="467E541A">
      <w:pPr>
        <w:keepNext w:val="0"/>
        <w:keepLines w:val="0"/>
        <w:pageBreakBefore w:val="0"/>
        <w:widowControl w:val="0"/>
        <w:kinsoku/>
        <w:wordWrap/>
        <w:overflowPunct/>
        <w:topLinePunct w:val="0"/>
        <w:autoSpaceDE/>
        <w:autoSpaceDN/>
        <w:bidi w:val="0"/>
        <w:adjustRightInd/>
        <w:snapToGrid/>
        <w:spacing w:before="260" w:line="360" w:lineRule="auto"/>
        <w:ind w:firstLine="420"/>
        <w:textAlignment w:val="auto"/>
        <w:rPr>
          <w:rFonts w:hint="eastAsia" w:ascii="宋体" w:hAnsi="宋体" w:cs="宋体"/>
          <w:color w:val="auto"/>
          <w:szCs w:val="21"/>
          <w:highlight w:val="none"/>
          <w:u w:val="single"/>
        </w:rPr>
      </w:pPr>
      <w:r>
        <w:rPr>
          <w:rFonts w:hint="eastAsia" w:ascii="宋体" w:hAnsi="宋体" w:cs="宋体"/>
          <w:color w:val="auto"/>
          <w:szCs w:val="21"/>
          <w:highlight w:val="none"/>
          <w:u w:val="single"/>
          <w:lang w:val="en-US" w:eastAsia="zh-CN"/>
        </w:rPr>
        <w:t>3、开工前，承包人应依据国家基本建设程序与项目所在地有关规定和要求报批办理的手续、交纳相关费用。如有疏忽，一切经济和工期损失、造成的罚款由承包人负责。如果承包人迟延缴纳，则发包人可代为承包人缴纳，相关费用从应支付承包人的工程款中扣除。</w:t>
      </w:r>
    </w:p>
    <w:p w14:paraId="315BC05E">
      <w:pPr>
        <w:keepNext w:val="0"/>
        <w:keepLines w:val="0"/>
        <w:pageBreakBefore w:val="0"/>
        <w:widowControl w:val="0"/>
        <w:kinsoku/>
        <w:wordWrap/>
        <w:overflowPunct/>
        <w:topLinePunct w:val="0"/>
        <w:autoSpaceDE/>
        <w:autoSpaceDN/>
        <w:bidi w:val="0"/>
        <w:adjustRightInd/>
        <w:snapToGrid/>
        <w:spacing w:before="260" w:line="360" w:lineRule="auto"/>
        <w:ind w:firstLine="420"/>
        <w:textAlignment w:val="auto"/>
        <w:rPr>
          <w:rFonts w:hint="eastAsia" w:ascii="宋体" w:hAnsi="宋体" w:cs="宋体"/>
          <w:color w:val="auto"/>
          <w:szCs w:val="21"/>
          <w:highlight w:val="none"/>
          <w:u w:val="single"/>
        </w:rPr>
      </w:pPr>
      <w:r>
        <w:rPr>
          <w:rFonts w:hint="eastAsia" w:ascii="宋体" w:hAnsi="宋体" w:cs="宋体"/>
          <w:color w:val="auto"/>
          <w:szCs w:val="21"/>
          <w:highlight w:val="none"/>
          <w:u w:val="single"/>
          <w:lang w:val="en-US" w:eastAsia="zh-CN"/>
        </w:rPr>
        <w:t>4、按时足额支付农民工工资</w:t>
      </w:r>
    </w:p>
    <w:p w14:paraId="46B94928">
      <w:pPr>
        <w:keepNext w:val="0"/>
        <w:keepLines w:val="0"/>
        <w:pageBreakBefore w:val="0"/>
        <w:widowControl w:val="0"/>
        <w:kinsoku/>
        <w:wordWrap/>
        <w:overflowPunct/>
        <w:topLinePunct w:val="0"/>
        <w:autoSpaceDE/>
        <w:autoSpaceDN/>
        <w:bidi w:val="0"/>
        <w:adjustRightInd/>
        <w:snapToGrid/>
        <w:spacing w:before="260" w:line="360" w:lineRule="auto"/>
        <w:ind w:firstLine="420"/>
        <w:textAlignment w:val="auto"/>
        <w:rPr>
          <w:rFonts w:hint="eastAsia" w:ascii="宋体" w:hAnsi="宋体" w:cs="宋体"/>
          <w:color w:val="auto"/>
          <w:szCs w:val="21"/>
          <w:highlight w:val="none"/>
          <w:u w:val="single"/>
        </w:rPr>
      </w:pPr>
      <w:r>
        <w:rPr>
          <w:rFonts w:hint="eastAsia" w:ascii="宋体" w:hAnsi="宋体" w:cs="宋体"/>
          <w:color w:val="auto"/>
          <w:szCs w:val="21"/>
          <w:highlight w:val="none"/>
          <w:u w:val="single"/>
          <w:lang w:val="en-US" w:eastAsia="zh-CN"/>
        </w:rPr>
        <w:t>a)承包人应当根据劳动合同约定的农民工工资标准等内容，按照依法签订的集体合同或劳动合同约定的日期每月按时核算，次月进行支付，并不得低于当地最低工资标准。</w:t>
      </w:r>
    </w:p>
    <w:p w14:paraId="457FD32F">
      <w:pPr>
        <w:keepNext w:val="0"/>
        <w:keepLines w:val="0"/>
        <w:pageBreakBefore w:val="0"/>
        <w:widowControl w:val="0"/>
        <w:kinsoku/>
        <w:wordWrap/>
        <w:overflowPunct/>
        <w:topLinePunct w:val="0"/>
        <w:autoSpaceDE/>
        <w:autoSpaceDN/>
        <w:bidi w:val="0"/>
        <w:adjustRightInd/>
        <w:snapToGrid/>
        <w:spacing w:before="260" w:line="360" w:lineRule="auto"/>
        <w:ind w:firstLine="420"/>
        <w:textAlignment w:val="auto"/>
        <w:rPr>
          <w:rFonts w:hint="eastAsia" w:ascii="宋体" w:hAnsi="宋体" w:cs="宋体"/>
          <w:color w:val="auto"/>
          <w:szCs w:val="21"/>
          <w:highlight w:val="none"/>
          <w:u w:val="single"/>
        </w:rPr>
      </w:pPr>
      <w:r>
        <w:rPr>
          <w:rFonts w:hint="eastAsia" w:ascii="宋体" w:hAnsi="宋体" w:cs="宋体"/>
          <w:color w:val="auto"/>
          <w:szCs w:val="21"/>
          <w:highlight w:val="none"/>
          <w:u w:val="single"/>
          <w:lang w:val="en-US" w:eastAsia="zh-CN"/>
        </w:rPr>
        <w:t>b)承包人应每月编制农民工工资支付表，如实记录支付时间、支付对象、支付金额等工资支付情况，并于每月底提交总监理工程师备案，并在其现场管理机构办公场所显眼位置公示，接受监督。</w:t>
      </w:r>
    </w:p>
    <w:p w14:paraId="0E92E9F9">
      <w:pPr>
        <w:keepNext w:val="0"/>
        <w:keepLines w:val="0"/>
        <w:pageBreakBefore w:val="0"/>
        <w:widowControl w:val="0"/>
        <w:kinsoku/>
        <w:wordWrap/>
        <w:overflowPunct/>
        <w:topLinePunct w:val="0"/>
        <w:autoSpaceDE/>
        <w:autoSpaceDN/>
        <w:bidi w:val="0"/>
        <w:adjustRightInd/>
        <w:snapToGrid/>
        <w:spacing w:before="260" w:line="360" w:lineRule="auto"/>
        <w:ind w:firstLine="420"/>
        <w:textAlignment w:val="auto"/>
        <w:rPr>
          <w:rFonts w:hint="eastAsia" w:ascii="宋体" w:hAnsi="宋体" w:cs="宋体"/>
          <w:color w:val="auto"/>
          <w:szCs w:val="21"/>
          <w:highlight w:val="none"/>
          <w:u w:val="single"/>
        </w:rPr>
      </w:pPr>
      <w:r>
        <w:rPr>
          <w:rFonts w:hint="eastAsia" w:ascii="宋体" w:hAnsi="宋体" w:cs="宋体"/>
          <w:color w:val="auto"/>
          <w:szCs w:val="21"/>
          <w:highlight w:val="none"/>
          <w:u w:val="single"/>
          <w:lang w:val="en-US" w:eastAsia="zh-CN"/>
        </w:rPr>
        <w:t>c)承包人应按上述a)、b)项要求对其专业分包或劳务分包单位工资支付进行监督，每月收集分包单位编制农民工工资支付表，并于每月底提交总监理工程师备案，督促其依法支付农民工工资。</w:t>
      </w:r>
    </w:p>
    <w:p w14:paraId="4963149F">
      <w:pPr>
        <w:keepNext w:val="0"/>
        <w:keepLines w:val="0"/>
        <w:pageBreakBefore w:val="0"/>
        <w:widowControl w:val="0"/>
        <w:kinsoku/>
        <w:wordWrap/>
        <w:overflowPunct/>
        <w:topLinePunct w:val="0"/>
        <w:autoSpaceDE/>
        <w:autoSpaceDN/>
        <w:bidi w:val="0"/>
        <w:adjustRightInd/>
        <w:snapToGrid/>
        <w:spacing w:before="260" w:line="360" w:lineRule="auto"/>
        <w:ind w:firstLine="420"/>
        <w:textAlignment w:val="auto"/>
        <w:rPr>
          <w:rFonts w:hint="eastAsia" w:ascii="宋体" w:hAnsi="宋体" w:cs="宋体"/>
          <w:color w:val="auto"/>
          <w:szCs w:val="21"/>
          <w:highlight w:val="none"/>
          <w:u w:val="single"/>
        </w:rPr>
      </w:pPr>
      <w:r>
        <w:rPr>
          <w:rFonts w:hint="eastAsia" w:ascii="宋体" w:hAnsi="宋体" w:cs="宋体"/>
          <w:color w:val="auto"/>
          <w:szCs w:val="21"/>
          <w:highlight w:val="none"/>
          <w:u w:val="single"/>
          <w:lang w:val="en-US" w:eastAsia="zh-CN"/>
        </w:rPr>
        <w:t>d)承包人必须以高度负责的态度，对存在的可能引发劳资纠纷的各种因素进行排查，及时化解、处理可能发生劳资纠纷的不稳定因素；尤其是对恶意煽动民工集体上访、集聚围阻的行为，要善于及时发现并敢于揭露、制止。</w:t>
      </w:r>
    </w:p>
    <w:p w14:paraId="4BE9DE7B">
      <w:pPr>
        <w:keepNext w:val="0"/>
        <w:keepLines w:val="0"/>
        <w:pageBreakBefore w:val="0"/>
        <w:widowControl w:val="0"/>
        <w:kinsoku/>
        <w:wordWrap/>
        <w:overflowPunct/>
        <w:topLinePunct w:val="0"/>
        <w:autoSpaceDE/>
        <w:autoSpaceDN/>
        <w:bidi w:val="0"/>
        <w:adjustRightInd/>
        <w:snapToGrid/>
        <w:spacing w:before="260" w:line="360" w:lineRule="auto"/>
        <w:ind w:firstLine="420"/>
        <w:textAlignment w:val="auto"/>
        <w:rPr>
          <w:rFonts w:hint="eastAsia" w:ascii="宋体" w:hAnsi="宋体" w:cs="宋体"/>
          <w:color w:val="auto"/>
          <w:szCs w:val="21"/>
          <w:highlight w:val="none"/>
          <w:u w:val="single"/>
          <w:lang w:val="en-US" w:eastAsia="zh-CN"/>
        </w:rPr>
      </w:pPr>
      <w:r>
        <w:rPr>
          <w:rFonts w:hint="eastAsia" w:ascii="宋体" w:hAnsi="宋体" w:cs="宋体"/>
          <w:color w:val="auto"/>
          <w:szCs w:val="21"/>
          <w:highlight w:val="none"/>
          <w:u w:val="single"/>
          <w:lang w:val="en-US" w:eastAsia="zh-CN"/>
        </w:rPr>
        <w:t>5、根据《建设工程安全生产管理条例》、《关于印发&lt;建筑施工企业安全生产管理机构设置及专职安全生产管理人员配备办法&gt;和&lt;危险性较大工程安全专项施工方案编制及专家论证审查办法&gt;的通知》（建质[2004]213号）、《建筑施工企业安全生产管理机构设置及专职安全生产管理人员配备办法》（建质[2008]91号）高大模板、深基坑支护工程等六类危险性较大工程需由承包人编制（通过其内部审批的）专项施工方案，并由承包人聘请专家进行论证评审通过后方可实施，该审查费用已包含在合同价中，发包人不予以另外支付。</w:t>
      </w:r>
    </w:p>
    <w:p w14:paraId="44B0C697">
      <w:pPr>
        <w:keepNext w:val="0"/>
        <w:keepLines w:val="0"/>
        <w:pageBreakBefore w:val="0"/>
        <w:widowControl w:val="0"/>
        <w:kinsoku/>
        <w:wordWrap/>
        <w:overflowPunct/>
        <w:topLinePunct w:val="0"/>
        <w:autoSpaceDE/>
        <w:autoSpaceDN/>
        <w:bidi w:val="0"/>
        <w:adjustRightInd/>
        <w:snapToGrid/>
        <w:spacing w:before="260" w:line="360" w:lineRule="auto"/>
        <w:ind w:firstLine="420"/>
        <w:textAlignment w:val="auto"/>
        <w:rPr>
          <w:rFonts w:hint="eastAsia" w:ascii="宋体" w:hAnsi="宋体" w:cs="宋体"/>
          <w:color w:val="auto"/>
          <w:szCs w:val="21"/>
          <w:highlight w:val="none"/>
          <w:u w:val="single"/>
        </w:rPr>
      </w:pPr>
      <w:r>
        <w:rPr>
          <w:rFonts w:hint="eastAsia" w:ascii="宋体" w:hAnsi="宋体" w:cs="宋体"/>
          <w:color w:val="auto"/>
          <w:szCs w:val="21"/>
          <w:highlight w:val="none"/>
          <w:u w:val="single"/>
          <w:lang w:val="en-US" w:eastAsia="zh-CN"/>
        </w:rPr>
        <w:t>6、承包人提交的竣工资料的内容：承包人应按照国家《城市建设档案管理规定》、营口市城市建设档案有关管理规定和发包人有关整理工程档案的管理规定及要求，在工程施工期间及时收集、汇总、整理、编制竣工档案。</w:t>
      </w:r>
    </w:p>
    <w:p w14:paraId="26A7C404">
      <w:pPr>
        <w:keepNext w:val="0"/>
        <w:keepLines w:val="0"/>
        <w:pageBreakBefore w:val="0"/>
        <w:widowControl w:val="0"/>
        <w:kinsoku/>
        <w:wordWrap/>
        <w:overflowPunct/>
        <w:topLinePunct w:val="0"/>
        <w:autoSpaceDE/>
        <w:autoSpaceDN/>
        <w:bidi w:val="0"/>
        <w:adjustRightInd/>
        <w:snapToGrid/>
        <w:spacing w:before="260" w:line="360" w:lineRule="auto"/>
        <w:ind w:firstLine="420"/>
        <w:textAlignment w:val="auto"/>
        <w:rPr>
          <w:rFonts w:hint="eastAsia" w:ascii="宋体" w:hAnsi="宋体" w:cs="宋体"/>
          <w:color w:val="auto"/>
          <w:szCs w:val="21"/>
          <w:highlight w:val="none"/>
          <w:u w:val="single"/>
          <w:lang w:val="en-US" w:eastAsia="zh-CN"/>
        </w:rPr>
      </w:pPr>
      <w:r>
        <w:rPr>
          <w:rFonts w:hint="eastAsia" w:ascii="宋体" w:hAnsi="宋体" w:cs="宋体"/>
          <w:color w:val="auto"/>
          <w:szCs w:val="21"/>
          <w:highlight w:val="none"/>
          <w:u w:val="single"/>
          <w:lang w:val="en-US" w:eastAsia="zh-CN"/>
        </w:rPr>
        <w:t>7、承担施工安全保卫工作及非夜间施工照明的责任和要求：</w:t>
      </w:r>
    </w:p>
    <w:p w14:paraId="21254773">
      <w:pPr>
        <w:keepNext w:val="0"/>
        <w:keepLines w:val="0"/>
        <w:pageBreakBefore w:val="0"/>
        <w:widowControl w:val="0"/>
        <w:kinsoku/>
        <w:wordWrap/>
        <w:overflowPunct/>
        <w:topLinePunct w:val="0"/>
        <w:autoSpaceDE/>
        <w:autoSpaceDN/>
        <w:bidi w:val="0"/>
        <w:adjustRightInd/>
        <w:snapToGrid/>
        <w:spacing w:before="260" w:line="360" w:lineRule="auto"/>
        <w:ind w:firstLine="420"/>
        <w:textAlignment w:val="auto"/>
        <w:rPr>
          <w:rFonts w:hint="eastAsia" w:ascii="宋体" w:hAnsi="宋体" w:cs="宋体"/>
          <w:color w:val="auto"/>
          <w:szCs w:val="21"/>
          <w:highlight w:val="none"/>
          <w:u w:val="single"/>
          <w:lang w:val="en-US" w:eastAsia="zh-CN"/>
        </w:rPr>
      </w:pPr>
      <w:r>
        <w:rPr>
          <w:rFonts w:hint="eastAsia" w:ascii="宋体" w:hAnsi="宋体" w:cs="宋体"/>
          <w:color w:val="auto"/>
          <w:szCs w:val="21"/>
          <w:highlight w:val="none"/>
          <w:u w:val="single"/>
          <w:lang w:val="en-US" w:eastAsia="zh-CN"/>
        </w:rPr>
        <w:t>a)自开工之日起，承包人应全面负责保管、维护本工程和用于本工程的所有材料、设备、机具以及工地范围内已有设施，直至工程完工交验通过。保管期间如果发生损失，由承包人自理。</w:t>
      </w:r>
    </w:p>
    <w:p w14:paraId="3CBCD836">
      <w:pPr>
        <w:keepNext w:val="0"/>
        <w:keepLines w:val="0"/>
        <w:pageBreakBefore w:val="0"/>
        <w:widowControl w:val="0"/>
        <w:kinsoku/>
        <w:wordWrap/>
        <w:overflowPunct/>
        <w:topLinePunct w:val="0"/>
        <w:autoSpaceDE/>
        <w:autoSpaceDN/>
        <w:bidi w:val="0"/>
        <w:adjustRightInd/>
        <w:snapToGrid/>
        <w:spacing w:before="260" w:line="360" w:lineRule="auto"/>
        <w:ind w:firstLine="420"/>
        <w:textAlignment w:val="auto"/>
        <w:rPr>
          <w:rFonts w:hint="eastAsia" w:ascii="宋体" w:hAnsi="宋体" w:cs="宋体"/>
          <w:color w:val="auto"/>
          <w:szCs w:val="21"/>
          <w:highlight w:val="none"/>
          <w:u w:val="single"/>
        </w:rPr>
      </w:pPr>
      <w:r>
        <w:rPr>
          <w:rFonts w:hint="eastAsia" w:ascii="宋体" w:hAnsi="宋体" w:cs="宋体"/>
          <w:color w:val="auto"/>
          <w:szCs w:val="21"/>
          <w:highlight w:val="none"/>
          <w:u w:val="single"/>
          <w:lang w:val="en-US" w:eastAsia="zh-CN"/>
        </w:rPr>
        <w:t>b)承包人应于工程所在地公安部门办理工地治安管理手续并支付承包人承包范围内相应费用。</w:t>
      </w:r>
    </w:p>
    <w:p w14:paraId="65E4E012">
      <w:pPr>
        <w:keepNext w:val="0"/>
        <w:keepLines w:val="0"/>
        <w:pageBreakBefore w:val="0"/>
        <w:widowControl w:val="0"/>
        <w:kinsoku/>
        <w:wordWrap/>
        <w:overflowPunct/>
        <w:topLinePunct w:val="0"/>
        <w:autoSpaceDE/>
        <w:autoSpaceDN/>
        <w:bidi w:val="0"/>
        <w:adjustRightInd/>
        <w:snapToGrid/>
        <w:spacing w:before="260" w:line="360" w:lineRule="auto"/>
        <w:ind w:firstLine="420"/>
        <w:textAlignment w:val="auto"/>
        <w:rPr>
          <w:rFonts w:hint="eastAsia" w:ascii="宋体" w:hAnsi="宋体" w:cs="宋体"/>
          <w:color w:val="auto"/>
          <w:szCs w:val="21"/>
          <w:highlight w:val="none"/>
          <w:u w:val="single"/>
        </w:rPr>
      </w:pPr>
      <w:r>
        <w:rPr>
          <w:rFonts w:hint="eastAsia" w:ascii="宋体" w:hAnsi="宋体" w:cs="宋体"/>
          <w:color w:val="auto"/>
          <w:szCs w:val="21"/>
          <w:highlight w:val="none"/>
          <w:u w:val="single"/>
          <w:lang w:val="en-US" w:eastAsia="zh-CN"/>
        </w:rPr>
        <w:t>c)施工安全保卫工作应满足现场施工管理的需要，达到政府有关规定的要求及承诺。承包人按照规定负责施工现场的安全保卫工作、围栏设施及施工照明，负责施工人员的治安教育和施工安全教育工作，建立健全行之有效的防火管理制度，对火灾易发区域应采取特殊的消防安全措施，施工现场的临时用电安全参照现行规范执行，以确保施工阶段的一切安全工作。因措施不力、管理不善而由此发生的一切事故均由承包人负责承担。</w:t>
      </w:r>
    </w:p>
    <w:p w14:paraId="386E79A3">
      <w:pPr>
        <w:keepNext w:val="0"/>
        <w:keepLines w:val="0"/>
        <w:pageBreakBefore w:val="0"/>
        <w:widowControl w:val="0"/>
        <w:kinsoku/>
        <w:wordWrap/>
        <w:overflowPunct/>
        <w:topLinePunct w:val="0"/>
        <w:autoSpaceDE/>
        <w:autoSpaceDN/>
        <w:bidi w:val="0"/>
        <w:adjustRightInd/>
        <w:snapToGrid/>
        <w:spacing w:before="260" w:line="360" w:lineRule="auto"/>
        <w:ind w:firstLine="420"/>
        <w:textAlignment w:val="auto"/>
        <w:rPr>
          <w:rFonts w:hint="eastAsia" w:ascii="宋体" w:hAnsi="宋体" w:cs="宋体"/>
          <w:color w:val="auto"/>
          <w:szCs w:val="21"/>
          <w:highlight w:val="none"/>
          <w:u w:val="single"/>
        </w:rPr>
      </w:pPr>
      <w:r>
        <w:rPr>
          <w:rFonts w:hint="eastAsia" w:ascii="宋体" w:hAnsi="宋体" w:cs="宋体"/>
          <w:color w:val="auto"/>
          <w:szCs w:val="21"/>
          <w:highlight w:val="none"/>
          <w:u w:val="single"/>
          <w:lang w:val="en-US" w:eastAsia="zh-CN"/>
        </w:rPr>
        <w:t>d)承包人应充分关注和保障现场人员的安全，切实做好施工范围内的各项安全保卫工作及非夜间施工照明、围栏、护板、警告标识等设施的设置及维护工作，如因承包人未能对上述事项采取各种必要措施，导致或发生与此有关人员的人身伤害、索赔、损失补偿、诉讼费用及其他一切责任应由承包人承担。本合同工程施工期间，发包人对承包人雇员及第三方的人身死亡、伤残或财产（设备、机具）的损失或损坏不予赔偿，发包人也不对承包人与此有关的伤害、索赔、损失补偿、诉讼费用及其他支出承担连带责任。</w:t>
      </w:r>
    </w:p>
    <w:p w14:paraId="61903234">
      <w:pPr>
        <w:keepNext w:val="0"/>
        <w:keepLines w:val="0"/>
        <w:pageBreakBefore w:val="0"/>
        <w:widowControl w:val="0"/>
        <w:kinsoku/>
        <w:wordWrap/>
        <w:overflowPunct/>
        <w:topLinePunct w:val="0"/>
        <w:autoSpaceDE/>
        <w:autoSpaceDN/>
        <w:bidi w:val="0"/>
        <w:adjustRightInd/>
        <w:snapToGrid/>
        <w:spacing w:before="260" w:line="360" w:lineRule="auto"/>
        <w:ind w:firstLine="420"/>
        <w:textAlignment w:val="auto"/>
        <w:rPr>
          <w:rFonts w:hint="eastAsia" w:ascii="宋体" w:hAnsi="宋体" w:cs="宋体"/>
          <w:color w:val="auto"/>
          <w:szCs w:val="21"/>
          <w:highlight w:val="none"/>
          <w:u w:val="single"/>
        </w:rPr>
      </w:pPr>
      <w:r>
        <w:rPr>
          <w:rFonts w:hint="eastAsia" w:ascii="宋体" w:hAnsi="宋体" w:cs="宋体"/>
          <w:color w:val="auto"/>
          <w:szCs w:val="21"/>
          <w:highlight w:val="none"/>
          <w:u w:val="single"/>
          <w:lang w:val="en-US" w:eastAsia="zh-CN"/>
        </w:rPr>
        <w:t>以上工作承包人在报价书中已经报价，包含在合同价款内；</w:t>
      </w:r>
    </w:p>
    <w:p w14:paraId="0FB7DD85">
      <w:pPr>
        <w:keepNext w:val="0"/>
        <w:keepLines w:val="0"/>
        <w:pageBreakBefore w:val="0"/>
        <w:widowControl w:val="0"/>
        <w:kinsoku/>
        <w:wordWrap/>
        <w:overflowPunct/>
        <w:topLinePunct w:val="0"/>
        <w:autoSpaceDE/>
        <w:autoSpaceDN/>
        <w:bidi w:val="0"/>
        <w:adjustRightInd/>
        <w:snapToGrid/>
        <w:spacing w:before="260" w:line="360" w:lineRule="auto"/>
        <w:ind w:firstLine="420"/>
        <w:textAlignment w:val="auto"/>
        <w:rPr>
          <w:rFonts w:hint="eastAsia" w:ascii="宋体" w:hAnsi="宋体" w:cs="宋体"/>
          <w:color w:val="auto"/>
          <w:szCs w:val="21"/>
          <w:highlight w:val="none"/>
          <w:u w:val="single"/>
        </w:rPr>
      </w:pPr>
      <w:r>
        <w:rPr>
          <w:rFonts w:hint="eastAsia" w:ascii="宋体" w:hAnsi="宋体" w:cs="宋体"/>
          <w:color w:val="auto"/>
          <w:szCs w:val="21"/>
          <w:highlight w:val="none"/>
          <w:u w:val="single"/>
          <w:lang w:val="en-US" w:eastAsia="zh-CN"/>
        </w:rPr>
        <w:t>8、施工现场清洁卫生的要求：</w:t>
      </w:r>
    </w:p>
    <w:p w14:paraId="4BEA7069">
      <w:pPr>
        <w:keepNext w:val="0"/>
        <w:keepLines w:val="0"/>
        <w:pageBreakBefore w:val="0"/>
        <w:widowControl w:val="0"/>
        <w:kinsoku/>
        <w:wordWrap/>
        <w:overflowPunct/>
        <w:topLinePunct w:val="0"/>
        <w:autoSpaceDE/>
        <w:autoSpaceDN/>
        <w:bidi w:val="0"/>
        <w:adjustRightInd/>
        <w:snapToGrid/>
        <w:spacing w:before="260" w:line="360" w:lineRule="auto"/>
        <w:ind w:firstLine="420"/>
        <w:textAlignment w:val="auto"/>
        <w:rPr>
          <w:rFonts w:hint="eastAsia" w:ascii="宋体" w:hAnsi="宋体" w:cs="宋体"/>
          <w:color w:val="auto"/>
          <w:szCs w:val="21"/>
          <w:highlight w:val="none"/>
          <w:u w:val="single"/>
        </w:rPr>
      </w:pPr>
      <w:r>
        <w:rPr>
          <w:rFonts w:hint="eastAsia" w:ascii="宋体" w:hAnsi="宋体" w:cs="宋体"/>
          <w:color w:val="auto"/>
          <w:szCs w:val="21"/>
          <w:highlight w:val="none"/>
          <w:u w:val="single"/>
          <w:lang w:val="en-US" w:eastAsia="zh-CN"/>
        </w:rPr>
        <w:t>a)文明施工：按营口市有关规定执行，保证施工现场清洁符合环保和文明施工的有关规定。交工前清理现场达到监理工程师和发包人要求，承担因违反有关规定造成的损失、罚款及违约金。</w:t>
      </w:r>
    </w:p>
    <w:p w14:paraId="2F02D76D">
      <w:pPr>
        <w:keepNext w:val="0"/>
        <w:keepLines w:val="0"/>
        <w:pageBreakBefore w:val="0"/>
        <w:widowControl w:val="0"/>
        <w:kinsoku/>
        <w:wordWrap/>
        <w:overflowPunct/>
        <w:topLinePunct w:val="0"/>
        <w:autoSpaceDE/>
        <w:autoSpaceDN/>
        <w:bidi w:val="0"/>
        <w:adjustRightInd/>
        <w:snapToGrid/>
        <w:spacing w:before="260" w:line="360" w:lineRule="auto"/>
        <w:ind w:firstLine="420"/>
        <w:textAlignment w:val="auto"/>
        <w:rPr>
          <w:rFonts w:hint="eastAsia" w:ascii="宋体" w:hAnsi="宋体" w:cs="宋体"/>
          <w:color w:val="auto"/>
          <w:szCs w:val="21"/>
          <w:highlight w:val="none"/>
          <w:u w:val="single"/>
        </w:rPr>
      </w:pPr>
      <w:r>
        <w:rPr>
          <w:rFonts w:hint="eastAsia" w:ascii="宋体" w:hAnsi="宋体" w:cs="宋体"/>
          <w:color w:val="auto"/>
          <w:szCs w:val="21"/>
          <w:highlight w:val="none"/>
          <w:u w:val="single"/>
          <w:lang w:val="en-US" w:eastAsia="zh-CN"/>
        </w:rPr>
        <w:t>b)环境：严格遵守有关环境保护法律、法规，遵守政府主管部门对施工场地、施工污染、噪音等有关管理规定。由承包人办理的有关施工场地交通、环卫和施工噪音管理等手续和相关费用，并以书面形式通知发包人、监理，并按照环境检查审核要求，加强施工现场的环境管理，在施工过程中严格落实粉尘、废水等污染防治措施及生态保护、水土保持措施。由此发生的费用及由于承包人责任造成的罚款、工期延误等责任由承包人负责。</w:t>
      </w:r>
    </w:p>
    <w:p w14:paraId="3EA8E1CF">
      <w:pPr>
        <w:keepNext w:val="0"/>
        <w:keepLines w:val="0"/>
        <w:pageBreakBefore w:val="0"/>
        <w:widowControl w:val="0"/>
        <w:kinsoku/>
        <w:wordWrap/>
        <w:overflowPunct/>
        <w:topLinePunct w:val="0"/>
        <w:autoSpaceDE/>
        <w:autoSpaceDN/>
        <w:bidi w:val="0"/>
        <w:adjustRightInd/>
        <w:snapToGrid/>
        <w:spacing w:before="260" w:line="360" w:lineRule="auto"/>
        <w:ind w:firstLine="420"/>
        <w:textAlignment w:val="auto"/>
        <w:rPr>
          <w:rFonts w:hint="eastAsia" w:ascii="宋体" w:hAnsi="宋体" w:cs="宋体"/>
          <w:color w:val="auto"/>
          <w:szCs w:val="21"/>
          <w:highlight w:val="none"/>
        </w:rPr>
      </w:pPr>
      <w:r>
        <w:rPr>
          <w:rFonts w:hint="eastAsia" w:ascii="宋体" w:hAnsi="宋体" w:cs="宋体"/>
          <w:color w:val="auto"/>
          <w:szCs w:val="21"/>
          <w:highlight w:val="none"/>
          <w:u w:val="single"/>
          <w:lang w:val="en-US" w:eastAsia="zh-CN"/>
        </w:rPr>
        <w:t>c)承包人必须对本工程施工影响范围内的文明施工、环境保护等所有事项负全部责任，相关费用均含在合同总价中。</w:t>
      </w:r>
    </w:p>
    <w:p w14:paraId="56584766">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4.2 履约担保</w:t>
      </w:r>
    </w:p>
    <w:p w14:paraId="00993A2D">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承包人是否提供履约担保：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lang w:eastAsia="zh-CN"/>
        </w:rPr>
        <w:t>。</w:t>
      </w:r>
    </w:p>
    <w:p w14:paraId="20BDC1C2">
      <w:pPr>
        <w:spacing w:before="260" w:line="280" w:lineRule="exact"/>
        <w:ind w:firstLine="420"/>
        <w:rPr>
          <w:rFonts w:ascii="宋体" w:hAnsi="宋体" w:cs="宋体"/>
          <w:color w:val="auto"/>
          <w:szCs w:val="21"/>
          <w:highlight w:val="none"/>
          <w:u w:val="single"/>
        </w:rPr>
      </w:pPr>
      <w:r>
        <w:rPr>
          <w:rFonts w:hint="eastAsia" w:ascii="宋体" w:hAnsi="宋体" w:cs="宋体"/>
          <w:color w:val="auto"/>
          <w:szCs w:val="21"/>
          <w:highlight w:val="none"/>
        </w:rPr>
        <w:t>履约担保的方式、金额及期限:</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lang w:eastAsia="zh-CN"/>
        </w:rPr>
        <w:t>。</w:t>
      </w:r>
    </w:p>
    <w:p w14:paraId="07B70780">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4.3 工程总承包项目经理</w:t>
      </w:r>
    </w:p>
    <w:p w14:paraId="085C69F0">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4.3.1 工程总承包项目经理姓名：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5821563">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执业资格或职称类型：</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81CBAA5">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执业资格证或职称证号码：</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2C40005">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3063DEF">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电子邮箱：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13546F3">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通信地址：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96F75A8">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承包人未提交劳动合同，以及没有为工程总承包项目经理缴纳社会保险证明的违约责任：</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lang w:eastAsia="zh-CN"/>
        </w:rPr>
        <w:t>。</w:t>
      </w:r>
    </w:p>
    <w:p w14:paraId="5D0B2CF4">
      <w:pPr>
        <w:keepNext w:val="0"/>
        <w:keepLines w:val="0"/>
        <w:pageBreakBefore w:val="0"/>
        <w:widowControl w:val="0"/>
        <w:kinsoku/>
        <w:wordWrap/>
        <w:overflowPunct/>
        <w:topLinePunct w:val="0"/>
        <w:autoSpaceDE/>
        <w:autoSpaceDN/>
        <w:bidi w:val="0"/>
        <w:adjustRightInd/>
        <w:snapToGrid/>
        <w:spacing w:before="260" w:line="360" w:lineRule="auto"/>
        <w:ind w:firstLine="420"/>
        <w:textAlignment w:val="auto"/>
        <w:rPr>
          <w:rFonts w:ascii="宋体" w:hAnsi="宋体" w:cs="宋体"/>
          <w:color w:val="auto"/>
          <w:szCs w:val="21"/>
          <w:highlight w:val="none"/>
        </w:rPr>
      </w:pPr>
      <w:r>
        <w:rPr>
          <w:rFonts w:hint="eastAsia" w:ascii="宋体" w:hAnsi="宋体" w:cs="宋体"/>
          <w:color w:val="auto"/>
          <w:szCs w:val="21"/>
          <w:highlight w:val="none"/>
        </w:rPr>
        <w:t>4.3.2 工程总承包项目经理每月在现场的时间要求：</w:t>
      </w:r>
      <w:r>
        <w:rPr>
          <w:rFonts w:hint="eastAsia" w:ascii="宋体" w:hAnsi="宋体" w:cs="宋体"/>
          <w:color w:val="auto"/>
          <w:szCs w:val="21"/>
          <w:highlight w:val="none"/>
          <w:u w:val="single"/>
        </w:rPr>
        <w:t xml:space="preserve"> 不少于26天</w:t>
      </w:r>
      <w:r>
        <w:rPr>
          <w:rFonts w:hint="eastAsia" w:ascii="宋体" w:hAnsi="宋体" w:cs="宋体"/>
          <w:color w:val="auto"/>
          <w:szCs w:val="21"/>
          <w:highlight w:val="none"/>
          <w:u w:val="single"/>
          <w:lang w:eastAsia="zh-CN"/>
        </w:rPr>
        <w:t>（</w:t>
      </w:r>
      <w:r>
        <w:rPr>
          <w:rFonts w:hint="eastAsia" w:ascii="宋体" w:hAnsi="宋体" w:cs="宋体"/>
          <w:color w:val="auto"/>
          <w:szCs w:val="21"/>
          <w:highlight w:val="none"/>
          <w:u w:val="single"/>
          <w:lang w:val="en-US" w:eastAsia="zh-CN"/>
        </w:rPr>
        <w:t>在场时间必须满足现场施工需求）</w:t>
      </w:r>
      <w:r>
        <w:rPr>
          <w:rFonts w:hint="eastAsia" w:ascii="宋体" w:hAnsi="宋体" w:cs="宋体"/>
          <w:color w:val="auto"/>
          <w:szCs w:val="21"/>
          <w:highlight w:val="none"/>
          <w:u w:val="single"/>
        </w:rPr>
        <w:t>，项目经理如有特殊原因要</w:t>
      </w:r>
      <w:r>
        <w:rPr>
          <w:rFonts w:hint="eastAsia" w:ascii="宋体" w:hAnsi="宋体" w:cs="宋体"/>
          <w:color w:val="auto"/>
          <w:szCs w:val="21"/>
          <w:highlight w:val="none"/>
          <w:u w:val="single"/>
          <w:lang w:val="en-US" w:eastAsia="zh-CN"/>
        </w:rPr>
        <w:t>离</w:t>
      </w:r>
      <w:r>
        <w:rPr>
          <w:rFonts w:hint="eastAsia" w:ascii="宋体" w:hAnsi="宋体" w:cs="宋体"/>
          <w:color w:val="auto"/>
          <w:szCs w:val="21"/>
          <w:highlight w:val="none"/>
          <w:u w:val="single"/>
        </w:rPr>
        <w:t>开现场，</w:t>
      </w:r>
      <w:r>
        <w:rPr>
          <w:rFonts w:hint="eastAsia" w:ascii="宋体" w:hAnsi="宋体" w:cs="宋体"/>
          <w:color w:val="auto"/>
          <w:szCs w:val="21"/>
          <w:highlight w:val="none"/>
          <w:u w:val="single"/>
          <w:lang w:val="en-US" w:eastAsia="zh-CN"/>
        </w:rPr>
        <w:t>须</w:t>
      </w:r>
      <w:r>
        <w:rPr>
          <w:rFonts w:hint="eastAsia" w:ascii="宋体" w:hAnsi="宋体" w:cs="宋体"/>
          <w:color w:val="auto"/>
          <w:szCs w:val="21"/>
          <w:highlight w:val="none"/>
          <w:u w:val="single"/>
        </w:rPr>
        <w:t>提前一天通知监理人，并向</w:t>
      </w:r>
      <w:r>
        <w:rPr>
          <w:rFonts w:hint="eastAsia" w:ascii="宋体" w:hAnsi="宋体" w:cs="宋体"/>
          <w:color w:val="auto"/>
          <w:szCs w:val="21"/>
          <w:highlight w:val="none"/>
          <w:u w:val="single"/>
          <w:lang w:val="en-US" w:eastAsia="zh-CN"/>
        </w:rPr>
        <w:t>发包人提</w:t>
      </w:r>
      <w:r>
        <w:rPr>
          <w:rFonts w:hint="eastAsia" w:ascii="宋体" w:hAnsi="宋体" w:cs="宋体"/>
          <w:color w:val="auto"/>
          <w:szCs w:val="21"/>
          <w:highlight w:val="none"/>
          <w:u w:val="single"/>
        </w:rPr>
        <w:t>出申请</w:t>
      </w:r>
      <w:r>
        <w:rPr>
          <w:rFonts w:hint="eastAsia" w:ascii="宋体" w:hAnsi="宋体" w:cs="宋体"/>
          <w:color w:val="auto"/>
          <w:szCs w:val="21"/>
          <w:highlight w:val="none"/>
          <w:u w:val="single"/>
          <w:lang w:eastAsia="zh-CN"/>
        </w:rPr>
        <w:t>，</w:t>
      </w:r>
      <w:r>
        <w:rPr>
          <w:rFonts w:hint="eastAsia" w:ascii="宋体" w:hAnsi="宋体" w:cs="宋体"/>
          <w:color w:val="auto"/>
          <w:szCs w:val="21"/>
          <w:highlight w:val="none"/>
          <w:u w:val="single"/>
        </w:rPr>
        <w:t>在获得发包人</w:t>
      </w:r>
      <w:r>
        <w:rPr>
          <w:rFonts w:hint="eastAsia" w:ascii="宋体" w:hAnsi="宋体" w:cs="宋体"/>
          <w:color w:val="auto"/>
          <w:szCs w:val="21"/>
          <w:highlight w:val="none"/>
          <w:u w:val="single"/>
          <w:lang w:val="en-US" w:eastAsia="zh-CN"/>
        </w:rPr>
        <w:t>批</w:t>
      </w:r>
      <w:r>
        <w:rPr>
          <w:rFonts w:hint="eastAsia" w:ascii="宋体" w:hAnsi="宋体" w:cs="宋体"/>
          <w:color w:val="auto"/>
          <w:szCs w:val="21"/>
          <w:highlight w:val="none"/>
          <w:u w:val="single"/>
        </w:rPr>
        <w:t>准后才能外出</w:t>
      </w:r>
      <w:r>
        <w:rPr>
          <w:rFonts w:hint="eastAsia" w:ascii="宋体" w:hAnsi="宋体" w:cs="宋体"/>
          <w:color w:val="auto"/>
          <w:szCs w:val="21"/>
          <w:highlight w:val="none"/>
          <w:u w:val="none"/>
          <w:lang w:eastAsia="zh-CN"/>
        </w:rPr>
        <w:t>。</w:t>
      </w:r>
    </w:p>
    <w:p w14:paraId="0CDBD2C4">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4.3.3 承包人对工程总承包项目经理的授权范围:</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4EDCA311">
      <w:pPr>
        <w:spacing w:before="260" w:line="280" w:lineRule="exact"/>
        <w:ind w:firstLine="420"/>
        <w:rPr>
          <w:rFonts w:ascii="宋体" w:hAnsi="宋体" w:cs="宋体"/>
          <w:color w:val="auto"/>
          <w:szCs w:val="21"/>
          <w:highlight w:val="none"/>
          <w:u w:val="single"/>
        </w:rPr>
      </w:pPr>
      <w:r>
        <w:rPr>
          <w:rFonts w:hint="eastAsia" w:ascii="宋体" w:hAnsi="宋体" w:cs="宋体"/>
          <w:color w:val="auto"/>
          <w:szCs w:val="21"/>
          <w:highlight w:val="none"/>
        </w:rPr>
        <w:t>4.3.4 承包人擅自更换工程总承包项目经理的违约责任：</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16B7E52F">
      <w:pPr>
        <w:spacing w:before="260" w:line="280" w:lineRule="exact"/>
        <w:ind w:firstLine="420"/>
        <w:rPr>
          <w:rFonts w:hint="eastAsia" w:ascii="宋体" w:hAnsi="宋体" w:cs="宋体"/>
          <w:color w:val="auto"/>
          <w:szCs w:val="21"/>
          <w:highlight w:val="none"/>
          <w:u w:val="none"/>
          <w:lang w:eastAsia="zh-CN"/>
        </w:rPr>
      </w:pPr>
      <w:r>
        <w:rPr>
          <w:rFonts w:hint="eastAsia" w:ascii="宋体" w:hAnsi="宋体" w:cs="宋体"/>
          <w:color w:val="auto"/>
          <w:szCs w:val="21"/>
          <w:highlight w:val="none"/>
        </w:rPr>
        <w:t>4.3.5 承包人无正当理由拒绝更换工程总承包项目经理的违约责任:</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10C98DCF">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4.4 承包人人员</w:t>
      </w:r>
    </w:p>
    <w:p w14:paraId="0C9FE306">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4.4.1 人员安排</w:t>
      </w:r>
    </w:p>
    <w:p w14:paraId="78A7D6B0">
      <w:pPr>
        <w:spacing w:before="260" w:line="280" w:lineRule="exact"/>
        <w:ind w:firstLine="420"/>
        <w:rPr>
          <w:rFonts w:hint="eastAsia" w:ascii="宋体" w:hAnsi="宋体" w:cs="宋体"/>
          <w:color w:val="auto"/>
          <w:szCs w:val="21"/>
          <w:highlight w:val="none"/>
          <w:u w:val="none"/>
          <w:lang w:eastAsia="zh-CN"/>
        </w:rPr>
      </w:pPr>
      <w:r>
        <w:rPr>
          <w:rFonts w:hint="eastAsia" w:ascii="宋体" w:hAnsi="宋体" w:cs="宋体"/>
          <w:color w:val="auto"/>
          <w:szCs w:val="21"/>
          <w:highlight w:val="none"/>
        </w:rPr>
        <w:t>承包人提交项目管理机构及施工现场人员安排的报告的期限：</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lang w:eastAsia="zh-CN"/>
        </w:rPr>
        <w:t>。</w:t>
      </w:r>
    </w:p>
    <w:p w14:paraId="7AB49487">
      <w:pPr>
        <w:keepNext w:val="0"/>
        <w:keepLines w:val="0"/>
        <w:pageBreakBefore w:val="0"/>
        <w:widowControl w:val="0"/>
        <w:kinsoku/>
        <w:wordWrap/>
        <w:overflowPunct/>
        <w:topLinePunct w:val="0"/>
        <w:autoSpaceDE/>
        <w:autoSpaceDN/>
        <w:bidi w:val="0"/>
        <w:adjustRightInd/>
        <w:snapToGrid/>
        <w:spacing w:before="260" w:line="360" w:lineRule="auto"/>
        <w:ind w:firstLine="420"/>
        <w:textAlignment w:val="auto"/>
        <w:rPr>
          <w:rFonts w:ascii="宋体" w:hAnsi="宋体" w:cs="宋体"/>
          <w:color w:val="auto"/>
          <w:szCs w:val="21"/>
          <w:highlight w:val="none"/>
        </w:rPr>
      </w:pPr>
      <w:r>
        <w:rPr>
          <w:rFonts w:hint="eastAsia" w:ascii="宋体" w:hAnsi="宋体" w:cs="宋体"/>
          <w:color w:val="auto"/>
          <w:szCs w:val="21"/>
          <w:highlight w:val="none"/>
        </w:rPr>
        <w:t>承包人提交关键人员信息及注册执业资格等证明其具备担任关键人员能力的相关文件的期限：</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lang w:eastAsia="zh-CN"/>
        </w:rPr>
        <w:t>。</w:t>
      </w:r>
    </w:p>
    <w:p w14:paraId="66789B10">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4.4.2 关键人员更换</w:t>
      </w:r>
    </w:p>
    <w:p w14:paraId="1FD8B013">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承包人擅自更换关键人员的违约责任：</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lang w:eastAsia="zh-CN"/>
        </w:rPr>
        <w:t>。</w:t>
      </w:r>
    </w:p>
    <w:p w14:paraId="56573998">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承包人无正当理由拒绝撤换关键人员的违约责任：</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lang w:eastAsia="zh-CN"/>
        </w:rPr>
        <w:t>。</w:t>
      </w:r>
    </w:p>
    <w:p w14:paraId="4DBD58AD">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4.4.3 现场管理关键人员在岗要求</w:t>
      </w:r>
    </w:p>
    <w:p w14:paraId="3EBB266B">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承包人现场管理关键人员离开施工现场的批准要求：</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lang w:eastAsia="zh-CN"/>
        </w:rPr>
        <w:t>。</w:t>
      </w:r>
    </w:p>
    <w:p w14:paraId="7C3CF8D0">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承包人现场管理关键人员擅自离开施工现场的违约责任：</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lang w:eastAsia="zh-CN"/>
        </w:rPr>
        <w:t>。</w:t>
      </w:r>
    </w:p>
    <w:p w14:paraId="28C046AB">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4.5 分包</w:t>
      </w:r>
    </w:p>
    <w:p w14:paraId="775A133E">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4.5.1 一般约定</w:t>
      </w:r>
    </w:p>
    <w:p w14:paraId="2A844A91">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禁止分包的工程包括：</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lang w:eastAsia="zh-CN"/>
        </w:rPr>
        <w:t>。</w:t>
      </w:r>
    </w:p>
    <w:p w14:paraId="782878CF">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4.5.2 分包的确定</w:t>
      </w:r>
    </w:p>
    <w:p w14:paraId="64ACA523">
      <w:pPr>
        <w:spacing w:before="260" w:line="280" w:lineRule="exact"/>
        <w:ind w:firstLine="420"/>
        <w:rPr>
          <w:rFonts w:hint="eastAsia" w:ascii="宋体" w:hAnsi="宋体" w:cs="宋体"/>
          <w:color w:val="auto"/>
          <w:szCs w:val="21"/>
          <w:highlight w:val="none"/>
          <w:u w:val="none"/>
          <w:lang w:eastAsia="zh-CN"/>
        </w:rPr>
      </w:pPr>
      <w:r>
        <w:rPr>
          <w:rFonts w:hint="eastAsia" w:ascii="宋体" w:hAnsi="宋体" w:cs="宋体"/>
          <w:color w:val="auto"/>
          <w:szCs w:val="21"/>
          <w:highlight w:val="none"/>
        </w:rPr>
        <w:t>允许分包的工程包括：</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lang w:eastAsia="zh-CN"/>
        </w:rPr>
        <w:t>。</w:t>
      </w:r>
    </w:p>
    <w:p w14:paraId="3B44FBAE">
      <w:pPr>
        <w:spacing w:before="260" w:line="280" w:lineRule="exact"/>
        <w:ind w:firstLine="420"/>
        <w:rPr>
          <w:rFonts w:hint="eastAsia" w:ascii="宋体" w:hAnsi="宋体" w:cs="宋体"/>
          <w:color w:val="auto"/>
          <w:szCs w:val="21"/>
          <w:highlight w:val="none"/>
          <w:u w:val="none"/>
          <w:lang w:eastAsia="zh-CN"/>
        </w:rPr>
      </w:pPr>
      <w:r>
        <w:rPr>
          <w:rFonts w:hint="eastAsia" w:ascii="宋体" w:hAnsi="宋体" w:cs="宋体"/>
          <w:color w:val="auto"/>
          <w:szCs w:val="21"/>
          <w:highlight w:val="none"/>
          <w:u w:val="none"/>
          <w:lang w:val="en-US" w:eastAsia="zh-CN"/>
        </w:rPr>
        <w:t>其他关于分包的约定：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lang w:eastAsia="zh-CN"/>
        </w:rPr>
        <w:t>。</w:t>
      </w:r>
    </w:p>
    <w:p w14:paraId="032BFD71">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4.5.5 分包合同价款支付</w:t>
      </w:r>
    </w:p>
    <w:p w14:paraId="6EC04B9E">
      <w:pPr>
        <w:spacing w:before="260" w:line="280" w:lineRule="exact"/>
        <w:ind w:firstLine="420"/>
        <w:rPr>
          <w:rFonts w:hint="eastAsia" w:ascii="宋体" w:hAnsi="宋体" w:cs="宋体"/>
          <w:color w:val="auto"/>
          <w:szCs w:val="21"/>
          <w:highlight w:val="none"/>
          <w:u w:val="none"/>
          <w:lang w:eastAsia="zh-CN"/>
        </w:rPr>
      </w:pPr>
      <w:r>
        <w:rPr>
          <w:rFonts w:hint="eastAsia" w:ascii="宋体" w:hAnsi="宋体" w:cs="宋体"/>
          <w:color w:val="auto"/>
          <w:szCs w:val="21"/>
          <w:highlight w:val="none"/>
        </w:rPr>
        <w:t>关于分包合同价款支付的约定：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lang w:eastAsia="zh-CN"/>
        </w:rPr>
        <w:t>。</w:t>
      </w:r>
    </w:p>
    <w:p w14:paraId="591C06DA">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4.6 联合体</w:t>
      </w:r>
    </w:p>
    <w:p w14:paraId="52632A62">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4.6.2 联合体各成员的分工、费用收取、发票开具等事项：</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737B096">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4.7 承包人现场查勘</w:t>
      </w:r>
    </w:p>
    <w:p w14:paraId="510C792F">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4.7.1 双方当事人对现场查勘的责任承担的约定：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6EAF3B2C">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4.8 不可预见的困难</w:t>
      </w:r>
    </w:p>
    <w:p w14:paraId="7F5D0BF4">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不可预见的困难包括：</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68C9829B">
      <w:pPr>
        <w:pStyle w:val="156"/>
        <w:spacing w:before="260" w:after="120" w:line="280" w:lineRule="exact"/>
        <w:ind w:firstLine="422" w:firstLineChars="200"/>
        <w:rPr>
          <w:rFonts w:cs="宋体"/>
          <w:b/>
          <w:bCs/>
          <w:color w:val="auto"/>
          <w:sz w:val="21"/>
          <w:szCs w:val="21"/>
          <w:highlight w:val="none"/>
        </w:rPr>
      </w:pPr>
      <w:bookmarkStart w:id="1598" w:name="_Toc54862336"/>
      <w:bookmarkStart w:id="1599" w:name="_Toc11577"/>
      <w:bookmarkStart w:id="1600" w:name="_Toc27047"/>
      <w:bookmarkStart w:id="1601" w:name="_Toc22675"/>
      <w:bookmarkStart w:id="1602" w:name="_Toc5151"/>
      <w:r>
        <w:rPr>
          <w:rFonts w:hint="eastAsia" w:cs="宋体"/>
          <w:b/>
          <w:bCs/>
          <w:color w:val="auto"/>
          <w:sz w:val="21"/>
          <w:szCs w:val="21"/>
          <w:highlight w:val="none"/>
        </w:rPr>
        <w:t>第5条 设计</w:t>
      </w:r>
      <w:bookmarkEnd w:id="1598"/>
      <w:bookmarkEnd w:id="1599"/>
      <w:bookmarkEnd w:id="1600"/>
      <w:bookmarkEnd w:id="1601"/>
      <w:bookmarkEnd w:id="1602"/>
    </w:p>
    <w:p w14:paraId="22561120">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5.2 承包人文件审查</w:t>
      </w:r>
    </w:p>
    <w:p w14:paraId="2685DA91">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5.2.1 承包人文件审查的期限：</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5470625">
      <w:pPr>
        <w:spacing w:before="260" w:line="280" w:lineRule="exact"/>
        <w:ind w:firstLine="420"/>
        <w:rPr>
          <w:color w:val="auto"/>
          <w:szCs w:val="21"/>
          <w:highlight w:val="none"/>
        </w:rPr>
      </w:pPr>
      <w:r>
        <w:rPr>
          <w:rFonts w:hint="eastAsia" w:ascii="宋体" w:hAnsi="宋体" w:cs="宋体"/>
          <w:color w:val="auto"/>
          <w:szCs w:val="21"/>
          <w:highlight w:val="none"/>
        </w:rPr>
        <w:t>5.2.2 审查会议的审查形式和时间安排为：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，审查会议的相关费用由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承担。</w:t>
      </w:r>
    </w:p>
    <w:p w14:paraId="430E8C29">
      <w:pPr>
        <w:spacing w:before="260" w:line="280" w:lineRule="exact"/>
        <w:ind w:firstLine="420"/>
        <w:rPr>
          <w:rFonts w:hint="eastAsia" w:ascii="宋体" w:hAnsi="宋体" w:cs="宋体"/>
          <w:color w:val="auto"/>
          <w:szCs w:val="21"/>
          <w:highlight w:val="none"/>
          <w:u w:val="single"/>
        </w:rPr>
      </w:pPr>
      <w:r>
        <w:rPr>
          <w:rFonts w:hint="eastAsia" w:ascii="宋体" w:hAnsi="宋体" w:cs="宋体"/>
          <w:color w:val="auto"/>
          <w:szCs w:val="21"/>
          <w:highlight w:val="none"/>
        </w:rPr>
        <w:t>5.2.3 关于第三方审查单位的约定：</w:t>
      </w:r>
      <w:r>
        <w:rPr>
          <w:rFonts w:hint="eastAsia" w:ascii="宋体" w:hAnsi="宋体" w:cs="宋体"/>
          <w:color w:val="auto"/>
          <w:szCs w:val="21"/>
          <w:highlight w:val="none"/>
          <w:u w:val="single"/>
        </w:rPr>
        <w:t xml:space="preserve">                    </w:t>
      </w:r>
    </w:p>
    <w:p w14:paraId="5CC8E46F">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5.3 培训</w:t>
      </w:r>
    </w:p>
    <w:p w14:paraId="6BEDB7DF">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培训的时长为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，承包人应为培训提供的人员、设施和其它必要条件为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lang w:eastAsia="zh-CN"/>
        </w:rPr>
        <w:t>。</w:t>
      </w:r>
    </w:p>
    <w:p w14:paraId="284D751C">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5.4 竣工文件</w:t>
      </w:r>
    </w:p>
    <w:p w14:paraId="3320A9D7">
      <w:pPr>
        <w:spacing w:before="260" w:line="280" w:lineRule="exact"/>
        <w:ind w:firstLine="420"/>
        <w:rPr>
          <w:rFonts w:hint="eastAsia" w:ascii="宋体" w:hAnsi="宋体" w:cs="宋体"/>
          <w:color w:val="auto"/>
          <w:szCs w:val="21"/>
          <w:highlight w:val="none"/>
          <w:u w:val="none"/>
          <w:lang w:eastAsia="zh-CN"/>
        </w:rPr>
      </w:pPr>
      <w:r>
        <w:rPr>
          <w:rFonts w:hint="eastAsia" w:ascii="宋体" w:hAnsi="宋体" w:cs="宋体"/>
          <w:color w:val="auto"/>
          <w:szCs w:val="21"/>
          <w:highlight w:val="none"/>
        </w:rPr>
        <w:t>5.4.1 竣工文件的形式、提供的份数、技术标准以及其它相关要求：</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10份</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lang w:eastAsia="zh-CN"/>
        </w:rPr>
        <w:t>。</w:t>
      </w:r>
    </w:p>
    <w:p w14:paraId="2EFF634D">
      <w:pPr>
        <w:spacing w:before="260" w:line="280" w:lineRule="exact"/>
        <w:ind w:firstLine="42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5.4.3 关于竣工文件的其他约定：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lang w:eastAsia="zh-CN"/>
        </w:rPr>
        <w:t>。</w:t>
      </w:r>
    </w:p>
    <w:p w14:paraId="69C51A95">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5.5 操作和维修手册</w:t>
      </w:r>
    </w:p>
    <w:p w14:paraId="6E3C56B7">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5.5.3 对最终操作和维修手册的约定：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lang w:eastAsia="zh-CN"/>
        </w:rPr>
        <w:t>。</w:t>
      </w:r>
    </w:p>
    <w:p w14:paraId="4843193B">
      <w:pPr>
        <w:pStyle w:val="156"/>
        <w:spacing w:before="260" w:after="120" w:line="280" w:lineRule="exact"/>
        <w:ind w:firstLine="422" w:firstLineChars="200"/>
        <w:rPr>
          <w:rFonts w:cs="宋体"/>
          <w:b/>
          <w:bCs/>
          <w:color w:val="auto"/>
          <w:sz w:val="21"/>
          <w:szCs w:val="21"/>
          <w:highlight w:val="none"/>
        </w:rPr>
      </w:pPr>
      <w:bookmarkStart w:id="1603" w:name="_Toc54862337"/>
      <w:bookmarkStart w:id="1604" w:name="_Toc30893"/>
      <w:bookmarkStart w:id="1605" w:name="_Toc19817"/>
      <w:bookmarkStart w:id="1606" w:name="_Toc9182"/>
      <w:bookmarkStart w:id="1607" w:name="_Toc4941"/>
      <w:r>
        <w:rPr>
          <w:rFonts w:hint="eastAsia" w:cs="宋体"/>
          <w:b/>
          <w:bCs/>
          <w:color w:val="auto"/>
          <w:sz w:val="21"/>
          <w:szCs w:val="21"/>
          <w:highlight w:val="none"/>
        </w:rPr>
        <w:t>第6条 材料、工程设备</w:t>
      </w:r>
      <w:bookmarkEnd w:id="1603"/>
      <w:bookmarkEnd w:id="1604"/>
      <w:bookmarkEnd w:id="1605"/>
      <w:bookmarkEnd w:id="1606"/>
      <w:bookmarkEnd w:id="1607"/>
    </w:p>
    <w:p w14:paraId="67D86359">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6.1 实施方法</w:t>
      </w:r>
    </w:p>
    <w:p w14:paraId="5E987911">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双方当事人约定的实施方法、设备、设施和材料：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lang w:eastAsia="zh-CN"/>
        </w:rPr>
        <w:t>。</w:t>
      </w:r>
    </w:p>
    <w:p w14:paraId="3B5B5AA1">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6.2 材料和工程设备</w:t>
      </w:r>
    </w:p>
    <w:p w14:paraId="6C343977">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6.2.1 发包人提供的材料和工程设备</w:t>
      </w:r>
    </w:p>
    <w:p w14:paraId="0ADA24B6">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发包人提供的材料和工程设备验收后，由</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承包人承担</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负责接收、运输和保管。</w:t>
      </w:r>
    </w:p>
    <w:p w14:paraId="77A486D2">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6.2.2 承包人提供的材料和工程设备</w:t>
      </w:r>
    </w:p>
    <w:p w14:paraId="0253C26F">
      <w:pPr>
        <w:spacing w:before="260" w:line="280" w:lineRule="exact"/>
        <w:ind w:firstLine="420"/>
        <w:rPr>
          <w:rFonts w:hint="eastAsia" w:ascii="宋体" w:hAnsi="宋体" w:cs="宋体"/>
          <w:color w:val="auto"/>
          <w:szCs w:val="21"/>
          <w:highlight w:val="none"/>
          <w:u w:val="none"/>
          <w:lang w:eastAsia="zh-CN"/>
        </w:rPr>
      </w:pPr>
      <w:r>
        <w:rPr>
          <w:rFonts w:hint="eastAsia" w:ascii="宋体" w:hAnsi="宋体" w:cs="宋体"/>
          <w:color w:val="auto"/>
          <w:szCs w:val="21"/>
          <w:highlight w:val="none"/>
        </w:rPr>
        <w:t>材料和工程设备的类别、估算数量：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lang w:eastAsia="zh-CN"/>
        </w:rPr>
        <w:t>。</w:t>
      </w:r>
    </w:p>
    <w:p w14:paraId="24127D9F">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竣工后试验的生产性材料的类别或（和）清单：</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lang w:eastAsia="zh-CN"/>
        </w:rPr>
        <w:t>。</w:t>
      </w:r>
    </w:p>
    <w:p w14:paraId="252CBBFB">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6.2.3 材料和工程设备的保管</w:t>
      </w:r>
    </w:p>
    <w:p w14:paraId="3DD4ED52">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发包人供应的材料和工程设备的保管费用由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承包人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承担。</w:t>
      </w:r>
    </w:p>
    <w:p w14:paraId="4A49175E">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承包人提交保管、维护方案的时间：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lang w:eastAsia="zh-CN"/>
        </w:rPr>
        <w:t>。</w:t>
      </w:r>
    </w:p>
    <w:p w14:paraId="345F4017">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发包人提供的库房、堆场、设施和设备：</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lang w:eastAsia="zh-CN"/>
        </w:rPr>
        <w:t>。</w:t>
      </w:r>
    </w:p>
    <w:p w14:paraId="2C20448F">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6.3 样品</w:t>
      </w:r>
    </w:p>
    <w:p w14:paraId="006C5C0E">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6.3.1 样品的报送与封存</w:t>
      </w:r>
    </w:p>
    <w:p w14:paraId="7A09BDF4">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需要承包人报送样品的材料或工程设备，样品种类、名称、规格、数量：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lang w:eastAsia="zh-CN"/>
        </w:rPr>
        <w:t>。</w:t>
      </w:r>
    </w:p>
    <w:p w14:paraId="53FAF737">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6.4 质量检查</w:t>
      </w:r>
    </w:p>
    <w:p w14:paraId="07CC5E62">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6.4.1 工程质量要求</w:t>
      </w:r>
    </w:p>
    <w:p w14:paraId="62FAD5B7">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工程质量的特殊标准或要求：</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lang w:eastAsia="zh-CN"/>
        </w:rPr>
        <w:t>。</w:t>
      </w:r>
    </w:p>
    <w:p w14:paraId="5BD105B6">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6.4.2 质量检查</w:t>
      </w:r>
    </w:p>
    <w:p w14:paraId="0DA2C6DF">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除通用合同条件已列明的质量检查的地点外，发包人有权进行质量检查的其他地点：</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lang w:eastAsia="zh-CN"/>
        </w:rPr>
        <w:t>。</w:t>
      </w:r>
    </w:p>
    <w:p w14:paraId="4F56B882">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6.4.3 隐蔽工程检查</w:t>
      </w:r>
    </w:p>
    <w:p w14:paraId="73C2D997">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关于隐蔽工程和中间验收的特别约定：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lang w:eastAsia="zh-CN"/>
        </w:rPr>
        <w:t>。</w:t>
      </w:r>
    </w:p>
    <w:p w14:paraId="4681B282">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6.5 由承包人试验和检验</w:t>
      </w:r>
    </w:p>
    <w:p w14:paraId="4A0B0D01">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6.5.1 试验设备与试验人员</w:t>
      </w:r>
    </w:p>
    <w:p w14:paraId="41970B3A">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试验的内容、时间和地点：</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lang w:eastAsia="zh-CN"/>
        </w:rPr>
        <w:t>。</w:t>
      </w:r>
    </w:p>
    <w:p w14:paraId="4E4548EC">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试验所需要的试验设备、取样装置、试验场所和试验条件：</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lang w:eastAsia="zh-CN"/>
        </w:rPr>
        <w:t>。</w:t>
      </w:r>
    </w:p>
    <w:p w14:paraId="4B9BE1E8">
      <w:pPr>
        <w:spacing w:before="260" w:line="280" w:lineRule="exact"/>
        <w:ind w:firstLine="420"/>
        <w:rPr>
          <w:rFonts w:ascii="宋体" w:hAnsi="宋体" w:cs="宋体"/>
          <w:color w:val="auto"/>
          <w:szCs w:val="21"/>
          <w:highlight w:val="none"/>
          <w:u w:val="single"/>
        </w:rPr>
      </w:pPr>
      <w:r>
        <w:rPr>
          <w:rFonts w:hint="eastAsia" w:ascii="宋体" w:hAnsi="宋体" w:cs="宋体"/>
          <w:color w:val="auto"/>
          <w:szCs w:val="21"/>
          <w:highlight w:val="none"/>
        </w:rPr>
        <w:t>试验和检验费用的计价原则：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lang w:eastAsia="zh-CN"/>
        </w:rPr>
        <w:t>。</w:t>
      </w:r>
    </w:p>
    <w:p w14:paraId="1894C2AD">
      <w:pPr>
        <w:pStyle w:val="156"/>
        <w:spacing w:before="260" w:after="120" w:line="280" w:lineRule="exact"/>
        <w:ind w:firstLine="422" w:firstLineChars="200"/>
        <w:rPr>
          <w:rFonts w:cs="宋体"/>
          <w:color w:val="auto"/>
          <w:sz w:val="21"/>
          <w:szCs w:val="21"/>
          <w:highlight w:val="none"/>
        </w:rPr>
      </w:pPr>
      <w:bookmarkStart w:id="1608" w:name="_Toc16267"/>
      <w:bookmarkStart w:id="1609" w:name="_Toc1285"/>
      <w:bookmarkStart w:id="1610" w:name="_Toc54862338"/>
      <w:bookmarkStart w:id="1611" w:name="_Toc22435"/>
      <w:bookmarkStart w:id="1612" w:name="_Toc5252"/>
      <w:r>
        <w:rPr>
          <w:rFonts w:hint="eastAsia" w:cs="宋体"/>
          <w:color w:val="auto"/>
          <w:sz w:val="21"/>
          <w:szCs w:val="21"/>
          <w:highlight w:val="none"/>
        </w:rPr>
        <w:t>第7条 施工</w:t>
      </w:r>
      <w:bookmarkEnd w:id="1608"/>
      <w:bookmarkEnd w:id="1609"/>
      <w:bookmarkEnd w:id="1610"/>
      <w:bookmarkEnd w:id="1611"/>
      <w:bookmarkEnd w:id="1612"/>
    </w:p>
    <w:p w14:paraId="7DBFB6C2">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7.1 交通运输</w:t>
      </w:r>
    </w:p>
    <w:p w14:paraId="7421E22D">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7.1.1 出入现场的权利</w:t>
      </w:r>
    </w:p>
    <w:p w14:paraId="28846D05">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关于出入现场的权利的约定：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lang w:eastAsia="zh-CN"/>
        </w:rPr>
        <w:t>。</w:t>
      </w:r>
    </w:p>
    <w:p w14:paraId="44167694">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7.1.2 场外交通</w:t>
      </w:r>
    </w:p>
    <w:p w14:paraId="05EE79BF">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关于场外交通的特别约定：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lang w:eastAsia="zh-CN"/>
        </w:rPr>
        <w:t>。</w:t>
      </w:r>
    </w:p>
    <w:p w14:paraId="6DA28B8A">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7.1.3 场内交通</w:t>
      </w:r>
    </w:p>
    <w:p w14:paraId="04902DBA">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关于场内交通的特别约定：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lang w:eastAsia="zh-CN"/>
        </w:rPr>
        <w:t>。</w:t>
      </w:r>
    </w:p>
    <w:p w14:paraId="6E184171">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关于场内交通与场外交通边界的约定：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lang w:eastAsia="zh-CN"/>
        </w:rPr>
        <w:t>。</w:t>
      </w:r>
    </w:p>
    <w:p w14:paraId="642C9D39">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7.1.4 超大件和超重件的运输</w:t>
      </w:r>
    </w:p>
    <w:p w14:paraId="5E142717">
      <w:pPr>
        <w:keepNext w:val="0"/>
        <w:keepLines w:val="0"/>
        <w:pageBreakBefore w:val="0"/>
        <w:widowControl w:val="0"/>
        <w:kinsoku/>
        <w:wordWrap/>
        <w:overflowPunct/>
        <w:topLinePunct w:val="0"/>
        <w:autoSpaceDE/>
        <w:autoSpaceDN/>
        <w:bidi w:val="0"/>
        <w:adjustRightInd/>
        <w:snapToGrid/>
        <w:spacing w:before="260" w:line="360" w:lineRule="auto"/>
        <w:ind w:firstLine="420"/>
        <w:textAlignment w:val="auto"/>
        <w:rPr>
          <w:rFonts w:ascii="宋体" w:hAnsi="宋体" w:cs="宋体"/>
          <w:color w:val="auto"/>
          <w:szCs w:val="21"/>
          <w:highlight w:val="none"/>
        </w:rPr>
      </w:pPr>
      <w:r>
        <w:rPr>
          <w:rFonts w:hint="eastAsia" w:ascii="宋体" w:hAnsi="宋体" w:cs="宋体"/>
          <w:color w:val="auto"/>
          <w:szCs w:val="21"/>
          <w:highlight w:val="none"/>
        </w:rPr>
        <w:t>运输超大件或超重件所需的道路和桥梁临时加固改造费用和其他有关费用由</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kern w:val="2"/>
          <w:sz w:val="21"/>
          <w:szCs w:val="21"/>
          <w:highlight w:val="none"/>
          <w:u w:val="single"/>
          <w:lang w:val="en-US" w:eastAsia="zh-CN" w:bidi="ar-SA"/>
        </w:rPr>
        <w:t>承包人自行</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承担。</w:t>
      </w:r>
    </w:p>
    <w:p w14:paraId="4499096F">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7.2 施工设备和临时设施</w:t>
      </w:r>
    </w:p>
    <w:p w14:paraId="50B85DCE">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7.2.1 承包人提供的施工设备和临时设施</w:t>
      </w:r>
    </w:p>
    <w:p w14:paraId="399F5BC9">
      <w:pPr>
        <w:spacing w:before="260" w:line="280" w:lineRule="exact"/>
        <w:ind w:firstLine="42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临时设施的费用和临时占地手续和费用承担的特别约定：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lang w:eastAsia="zh-CN"/>
        </w:rPr>
        <w:t>。</w:t>
      </w:r>
    </w:p>
    <w:p w14:paraId="3ABDA7DD">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7.2.2 发包人提供的施工设备和临时设施</w:t>
      </w:r>
    </w:p>
    <w:p w14:paraId="57B5E7E9">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发包人提供的施工设备或临时设施范围：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lang w:eastAsia="zh-CN"/>
        </w:rPr>
        <w:t>。</w:t>
      </w:r>
    </w:p>
    <w:p w14:paraId="0C6377CF">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7.3 现场合作</w:t>
      </w:r>
    </w:p>
    <w:p w14:paraId="7C28A3C3">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关于现场合作费用的特别约定：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lang w:eastAsia="zh-CN"/>
        </w:rPr>
        <w:t>。</w:t>
      </w:r>
    </w:p>
    <w:p w14:paraId="293A63E5">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7.4 测量放线</w:t>
      </w:r>
    </w:p>
    <w:p w14:paraId="2347482B">
      <w:pPr>
        <w:keepNext w:val="0"/>
        <w:keepLines w:val="0"/>
        <w:pageBreakBefore w:val="0"/>
        <w:widowControl w:val="0"/>
        <w:kinsoku/>
        <w:wordWrap/>
        <w:overflowPunct/>
        <w:topLinePunct w:val="0"/>
        <w:autoSpaceDE/>
        <w:autoSpaceDN/>
        <w:bidi w:val="0"/>
        <w:adjustRightInd/>
        <w:snapToGrid/>
        <w:spacing w:before="260" w:line="360" w:lineRule="auto"/>
        <w:ind w:firstLine="420"/>
        <w:textAlignment w:val="auto"/>
        <w:rPr>
          <w:rFonts w:ascii="宋体" w:hAnsi="宋体" w:cs="宋体"/>
          <w:color w:val="auto"/>
          <w:szCs w:val="21"/>
          <w:highlight w:val="none"/>
        </w:rPr>
      </w:pPr>
      <w:r>
        <w:rPr>
          <w:rFonts w:hint="eastAsia" w:ascii="宋体" w:hAnsi="宋体" w:cs="宋体"/>
          <w:color w:val="auto"/>
          <w:szCs w:val="21"/>
          <w:highlight w:val="none"/>
        </w:rPr>
        <w:t>7.4.1 关于测量放线的特别约定的技术规范：</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lang w:eastAsia="zh-CN"/>
        </w:rPr>
        <w:t>。</w:t>
      </w:r>
      <w:r>
        <w:rPr>
          <w:rFonts w:hint="eastAsia" w:ascii="宋体" w:hAnsi="宋体" w:cs="宋体"/>
          <w:color w:val="auto"/>
          <w:szCs w:val="21"/>
          <w:highlight w:val="none"/>
        </w:rPr>
        <w:t>施工控制网资料的告知期限：</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lang w:eastAsia="zh-CN"/>
        </w:rPr>
        <w:t>。</w:t>
      </w:r>
    </w:p>
    <w:p w14:paraId="6057EB0F">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7.5 现场劳动用工</w:t>
      </w:r>
    </w:p>
    <w:p w14:paraId="37346931">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7.5.2 合同当事人对建筑工人工资清偿事宜和违约责任的约定：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lang w:eastAsia="zh-CN"/>
        </w:rPr>
        <w:t>。</w:t>
      </w:r>
    </w:p>
    <w:p w14:paraId="218A07CE">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7.6 安全文明施工</w:t>
      </w:r>
    </w:p>
    <w:p w14:paraId="27F50B2A">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7.6.1 安全生产要求</w:t>
      </w:r>
    </w:p>
    <w:p w14:paraId="32279003">
      <w:pPr>
        <w:spacing w:before="260" w:line="280" w:lineRule="exact"/>
        <w:ind w:left="124" w:leftChars="59" w:firstLine="420"/>
        <w:rPr>
          <w:rFonts w:ascii="宋体" w:hAnsi="宋体" w:cs="宋体"/>
          <w:color w:val="auto"/>
          <w:szCs w:val="21"/>
          <w:highlight w:val="none"/>
        </w:rPr>
      </w:pPr>
      <w:r>
        <w:rPr>
          <w:rFonts w:hint="eastAsia" w:ascii="宋体" w:hAnsi="宋体" w:cs="宋体"/>
          <w:color w:val="auto"/>
          <w:szCs w:val="21"/>
          <w:highlight w:val="none"/>
        </w:rPr>
        <w:t>合同当事人对安全施工的要求：</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lang w:eastAsia="zh-CN"/>
        </w:rPr>
        <w:t>。</w:t>
      </w:r>
    </w:p>
    <w:p w14:paraId="5CB8CF6A">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7.6.3 文明施工</w:t>
      </w:r>
    </w:p>
    <w:p w14:paraId="6AF06F37">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合同当事人对文明施工的要求：</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lang w:eastAsia="zh-CN"/>
        </w:rPr>
        <w:t>。</w:t>
      </w:r>
    </w:p>
    <w:p w14:paraId="52D61165">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7.9 临时性公用设施</w:t>
      </w:r>
    </w:p>
    <w:p w14:paraId="33528AD4">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关于临时性公用设施的特别约定：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lang w:eastAsia="zh-CN"/>
        </w:rPr>
        <w:t>。</w:t>
      </w:r>
    </w:p>
    <w:p w14:paraId="11334D1B">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7.10 现场安保</w:t>
      </w:r>
    </w:p>
    <w:p w14:paraId="0D713BF1">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承包人现场安保义务的特别约定：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lang w:eastAsia="zh-CN"/>
        </w:rPr>
        <w:t>。</w:t>
      </w:r>
    </w:p>
    <w:p w14:paraId="6CBAE08F">
      <w:pPr>
        <w:pStyle w:val="156"/>
        <w:spacing w:before="260" w:after="120" w:line="280" w:lineRule="exact"/>
        <w:ind w:firstLine="422" w:firstLineChars="200"/>
        <w:rPr>
          <w:rFonts w:cs="宋体"/>
          <w:b/>
          <w:bCs/>
          <w:color w:val="auto"/>
          <w:sz w:val="21"/>
          <w:szCs w:val="21"/>
          <w:highlight w:val="none"/>
        </w:rPr>
      </w:pPr>
      <w:bookmarkStart w:id="1613" w:name="_Toc30739"/>
      <w:bookmarkStart w:id="1614" w:name="_Toc7248"/>
      <w:bookmarkStart w:id="1615" w:name="_Toc54862339"/>
      <w:bookmarkStart w:id="1616" w:name="_Toc11279"/>
      <w:bookmarkStart w:id="1617" w:name="_Toc3096"/>
      <w:r>
        <w:rPr>
          <w:rFonts w:hint="eastAsia" w:cs="宋体"/>
          <w:b/>
          <w:bCs/>
          <w:color w:val="auto"/>
          <w:sz w:val="21"/>
          <w:szCs w:val="21"/>
          <w:highlight w:val="none"/>
        </w:rPr>
        <w:t>第8条 工期和进度</w:t>
      </w:r>
      <w:bookmarkEnd w:id="1613"/>
      <w:bookmarkEnd w:id="1614"/>
      <w:bookmarkEnd w:id="1615"/>
      <w:bookmarkEnd w:id="1616"/>
      <w:bookmarkEnd w:id="1617"/>
    </w:p>
    <w:p w14:paraId="65EAAD47">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8.1 开始工作</w:t>
      </w:r>
    </w:p>
    <w:p w14:paraId="56B4F6D9">
      <w:pPr>
        <w:keepNext w:val="0"/>
        <w:keepLines w:val="0"/>
        <w:pageBreakBefore w:val="0"/>
        <w:widowControl w:val="0"/>
        <w:kinsoku/>
        <w:wordWrap/>
        <w:overflowPunct/>
        <w:topLinePunct w:val="0"/>
        <w:autoSpaceDE/>
        <w:autoSpaceDN/>
        <w:bidi w:val="0"/>
        <w:adjustRightInd/>
        <w:snapToGrid/>
        <w:spacing w:before="260" w:line="360" w:lineRule="auto"/>
        <w:ind w:firstLine="420"/>
        <w:textAlignment w:val="auto"/>
        <w:rPr>
          <w:rFonts w:hint="eastAsia" w:ascii="宋体" w:hAnsi="宋体" w:cs="宋体"/>
          <w:color w:val="auto"/>
          <w:szCs w:val="21"/>
          <w:highlight w:val="none"/>
          <w:u w:val="none"/>
          <w:lang w:eastAsia="zh-CN"/>
        </w:rPr>
      </w:pPr>
      <w:r>
        <w:rPr>
          <w:rFonts w:hint="eastAsia" w:ascii="宋体" w:hAnsi="宋体" w:cs="宋体"/>
          <w:color w:val="auto"/>
          <w:szCs w:val="21"/>
          <w:highlight w:val="none"/>
        </w:rPr>
        <w:t>8.1.1 开始准备工作：</w:t>
      </w:r>
      <w:r>
        <w:rPr>
          <w:rFonts w:hint="eastAsia" w:ascii="宋体" w:hAnsi="宋体" w:cs="宋体"/>
          <w:color w:val="auto"/>
          <w:szCs w:val="21"/>
          <w:highlight w:val="none"/>
          <w:u w:val="single"/>
          <w:lang w:val="en-US" w:eastAsia="zh-CN"/>
        </w:rPr>
        <w:t>EPC总承包合同已经签订，各种审批手续已经齐全，发包人的要求已经确定，各项基础资料已经齐全，承包人人员、机械、设备等已经就位，具备正确、连续开展工作条件，并已经获得发包人书面同意</w:t>
      </w:r>
      <w:r>
        <w:rPr>
          <w:rFonts w:hint="eastAsia" w:ascii="宋体" w:hAnsi="宋体" w:cs="宋体"/>
          <w:color w:val="auto"/>
          <w:szCs w:val="21"/>
          <w:highlight w:val="none"/>
          <w:u w:val="none"/>
          <w:lang w:eastAsia="zh-CN"/>
        </w:rPr>
        <w:t>。</w:t>
      </w:r>
    </w:p>
    <w:p w14:paraId="64EE3A16">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8.1.2 发包人可在计划开始工作之日起84日后发出开始工作通知的特殊情形：</w:t>
      </w:r>
      <w:r>
        <w:rPr>
          <w:rFonts w:hint="eastAsia" w:ascii="宋体" w:hAnsi="宋体" w:cs="宋体"/>
          <w:color w:val="auto"/>
          <w:szCs w:val="21"/>
          <w:highlight w:val="none"/>
          <w:u w:val="single"/>
        </w:rPr>
        <w:t>无</w:t>
      </w:r>
      <w:r>
        <w:rPr>
          <w:rFonts w:hint="eastAsia" w:ascii="宋体" w:hAnsi="宋体" w:cs="宋体"/>
          <w:color w:val="auto"/>
          <w:szCs w:val="21"/>
          <w:highlight w:val="none"/>
        </w:rPr>
        <w:t>。</w:t>
      </w:r>
    </w:p>
    <w:p w14:paraId="5860D18C">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8.2 竣工日期</w:t>
      </w:r>
    </w:p>
    <w:p w14:paraId="5013C1D8">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竣工日期的约定：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lang w:eastAsia="zh-CN"/>
        </w:rPr>
        <w:t>。</w:t>
      </w:r>
    </w:p>
    <w:p w14:paraId="05844EF5">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8.3 项目实施计划</w:t>
      </w:r>
    </w:p>
    <w:p w14:paraId="4C214D8A">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8.3.1 项目实施计划的内容</w:t>
      </w:r>
    </w:p>
    <w:p w14:paraId="72186A7B">
      <w:pPr>
        <w:spacing w:before="260" w:line="280" w:lineRule="exact"/>
        <w:ind w:firstLine="420"/>
        <w:rPr>
          <w:rFonts w:hint="eastAsia" w:ascii="宋体" w:hAnsi="宋体" w:cs="宋体"/>
          <w:color w:val="auto"/>
          <w:szCs w:val="21"/>
          <w:highlight w:val="none"/>
          <w:u w:val="none"/>
          <w:lang w:eastAsia="zh-CN"/>
        </w:rPr>
      </w:pPr>
      <w:r>
        <w:rPr>
          <w:rFonts w:hint="eastAsia" w:ascii="宋体" w:hAnsi="宋体" w:cs="宋体"/>
          <w:color w:val="auto"/>
          <w:szCs w:val="21"/>
          <w:highlight w:val="none"/>
        </w:rPr>
        <w:t>项目实施计划的内容</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none"/>
          <w:lang w:eastAsia="zh-CN"/>
        </w:rPr>
        <w:t>。</w:t>
      </w:r>
    </w:p>
    <w:p w14:paraId="35D8E65F">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8.3.2 项目实施计划的提交和修改</w:t>
      </w:r>
    </w:p>
    <w:p w14:paraId="6218CC35">
      <w:pPr>
        <w:spacing w:before="260" w:line="280" w:lineRule="exact"/>
        <w:ind w:firstLine="420"/>
        <w:rPr>
          <w:rFonts w:ascii="宋体" w:hAnsi="宋体" w:cs="宋体"/>
          <w:color w:val="auto"/>
          <w:szCs w:val="21"/>
          <w:highlight w:val="none"/>
          <w:u w:val="single"/>
        </w:rPr>
      </w:pPr>
      <w:r>
        <w:rPr>
          <w:rFonts w:hint="eastAsia" w:ascii="宋体" w:hAnsi="宋体" w:cs="宋体"/>
          <w:color w:val="auto"/>
          <w:szCs w:val="21"/>
          <w:highlight w:val="none"/>
        </w:rPr>
        <w:t>项目实施计划的提交及修改期限：</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lang w:val="en-US" w:eastAsia="zh-CN"/>
        </w:rPr>
        <w:t>。</w:t>
      </w:r>
    </w:p>
    <w:p w14:paraId="2BBC9107">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8.4 项目进度计划</w:t>
      </w:r>
    </w:p>
    <w:p w14:paraId="4F738D0A">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8.4.1 工程师在收到进度计划后确认或提出修改意见的期限：</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lang w:val="en-US" w:eastAsia="zh-CN"/>
        </w:rPr>
        <w:t>。</w:t>
      </w:r>
    </w:p>
    <w:p w14:paraId="7EFB6504">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8.4.2 进度计划的具体要求：</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lang w:val="en-US" w:eastAsia="zh-CN"/>
        </w:rPr>
        <w:t>。</w:t>
      </w:r>
    </w:p>
    <w:p w14:paraId="029E9C0C">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关键路径及关键路径变化的确定原则：</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lang w:val="en-US" w:eastAsia="zh-CN"/>
        </w:rPr>
        <w:t>。</w:t>
      </w:r>
    </w:p>
    <w:p w14:paraId="35C6AEE9">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承包人提交项目进度计划的份数和时间：</w:t>
      </w:r>
      <w:r>
        <w:rPr>
          <w:rFonts w:hint="eastAsia" w:ascii="宋体" w:hAnsi="宋体" w:cs="宋体"/>
          <w:color w:val="auto"/>
          <w:szCs w:val="21"/>
          <w:highlight w:val="none"/>
          <w:u w:val="single"/>
          <w:lang w:val="en-US" w:eastAsia="zh-CN"/>
        </w:rPr>
        <w:t xml:space="preserve">  签订中标合同后7天内  </w:t>
      </w:r>
      <w:r>
        <w:rPr>
          <w:rFonts w:hint="eastAsia" w:ascii="宋体" w:hAnsi="宋体" w:cs="宋体"/>
          <w:color w:val="auto"/>
          <w:szCs w:val="21"/>
          <w:highlight w:val="none"/>
          <w:u w:val="none"/>
          <w:lang w:val="en-US" w:eastAsia="zh-CN"/>
        </w:rPr>
        <w:t>。</w:t>
      </w:r>
    </w:p>
    <w:p w14:paraId="38867851">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8.4.3 进度计划的修订</w:t>
      </w:r>
    </w:p>
    <w:p w14:paraId="272933AF">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承包人提交修订项目进度计划申请报告的期限：</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lang w:val="en-US" w:eastAsia="zh-CN"/>
        </w:rPr>
        <w:t>。</w:t>
      </w:r>
    </w:p>
    <w:p w14:paraId="6F4330B6">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发包人批复修订项目进度计划申请报告的期限：</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lang w:val="en-US" w:eastAsia="zh-CN"/>
        </w:rPr>
        <w:t>。</w:t>
      </w:r>
    </w:p>
    <w:p w14:paraId="231C2523">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承包人答复发包人提出修订合同计划的期限：</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lang w:val="en-US" w:eastAsia="zh-CN"/>
        </w:rPr>
        <w:t>。</w:t>
      </w:r>
    </w:p>
    <w:p w14:paraId="5113E8DD">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8.5 进度报告</w:t>
      </w:r>
    </w:p>
    <w:p w14:paraId="7840AC28">
      <w:pPr>
        <w:spacing w:before="260" w:line="280" w:lineRule="exact"/>
        <w:ind w:firstLine="420"/>
        <w:rPr>
          <w:rFonts w:hint="default" w:ascii="宋体" w:hAnsi="宋体" w:eastAsia="宋体" w:cs="宋体"/>
          <w:color w:val="auto"/>
          <w:szCs w:val="21"/>
          <w:highlight w:val="none"/>
          <w:u w:val="single"/>
          <w:lang w:val="en-US" w:eastAsia="zh-CN"/>
        </w:rPr>
      </w:pPr>
      <w:r>
        <w:rPr>
          <w:rFonts w:hint="eastAsia" w:ascii="宋体" w:hAnsi="宋体" w:cs="宋体"/>
          <w:color w:val="auto"/>
          <w:szCs w:val="21"/>
          <w:highlight w:val="none"/>
        </w:rPr>
        <w:t>进度报告的具体要求：</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lang w:val="en-US" w:eastAsia="zh-CN"/>
        </w:rPr>
        <w:t>。</w:t>
      </w:r>
    </w:p>
    <w:p w14:paraId="6928CDE0">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8.7 工期延误</w:t>
      </w:r>
    </w:p>
    <w:p w14:paraId="3C2BFFD0">
      <w:pPr>
        <w:keepNext w:val="0"/>
        <w:keepLines w:val="0"/>
        <w:pageBreakBefore w:val="0"/>
        <w:widowControl w:val="0"/>
        <w:kinsoku/>
        <w:wordWrap/>
        <w:overflowPunct/>
        <w:topLinePunct w:val="0"/>
        <w:autoSpaceDE/>
        <w:autoSpaceDN/>
        <w:bidi w:val="0"/>
        <w:adjustRightInd/>
        <w:snapToGrid/>
        <w:spacing w:before="260" w:line="360" w:lineRule="auto"/>
        <w:ind w:firstLine="420"/>
        <w:textAlignment w:val="auto"/>
        <w:rPr>
          <w:rFonts w:ascii="宋体" w:hAnsi="宋体" w:cs="宋体"/>
          <w:color w:val="auto"/>
          <w:szCs w:val="21"/>
          <w:highlight w:val="none"/>
        </w:rPr>
      </w:pPr>
      <w:r>
        <w:rPr>
          <w:rFonts w:hint="eastAsia" w:ascii="宋体" w:hAnsi="宋体" w:cs="宋体"/>
          <w:color w:val="auto"/>
          <w:szCs w:val="21"/>
          <w:highlight w:val="none"/>
        </w:rPr>
        <w:t>8.7.2 因承包人原因导致工期延误</w:t>
      </w:r>
    </w:p>
    <w:p w14:paraId="3768C57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lang w:val="en-US" w:eastAsia="zh-CN"/>
        </w:rPr>
        <w:t>因承包人原因使竣工日期延误，每延误1日的误期赔偿金额为合同协议书的合同价格的</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%或人民币金额为：</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、累计最高赔偿金额为合同协议书的合同价格的：</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%或人民币金额为：</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w:t>
      </w:r>
    </w:p>
    <w:p w14:paraId="466E45D5">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8.7.3 行政审批迟延</w:t>
      </w:r>
    </w:p>
    <w:p w14:paraId="76389A6B">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行政审批报送的职责分工：</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lang w:val="en-US" w:eastAsia="zh-CN"/>
        </w:rPr>
        <w:t>。</w:t>
      </w:r>
    </w:p>
    <w:p w14:paraId="51CFA78F">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8.7.4 异常恶劣的气候条件</w:t>
      </w:r>
    </w:p>
    <w:p w14:paraId="4953B91C">
      <w:pPr>
        <w:spacing w:before="260" w:line="280" w:lineRule="exact"/>
        <w:ind w:firstLine="420"/>
        <w:rPr>
          <w:rFonts w:hint="eastAsia" w:ascii="宋体" w:hAnsi="宋体" w:cs="宋体"/>
          <w:color w:val="auto"/>
          <w:szCs w:val="21"/>
          <w:highlight w:val="none"/>
          <w:u w:val="single"/>
          <w:lang w:val="en-US" w:eastAsia="zh-CN"/>
        </w:rPr>
      </w:pPr>
      <w:r>
        <w:rPr>
          <w:rFonts w:hint="eastAsia" w:ascii="宋体" w:hAnsi="宋体" w:cs="宋体"/>
          <w:color w:val="auto"/>
          <w:szCs w:val="21"/>
          <w:highlight w:val="none"/>
        </w:rPr>
        <w:t>双方约定视为异常恶劣的气候条件的情形：</w:t>
      </w:r>
      <w:r>
        <w:rPr>
          <w:rFonts w:hint="eastAsia" w:ascii="宋体" w:hAnsi="宋体" w:cs="宋体"/>
          <w:color w:val="auto"/>
          <w:szCs w:val="21"/>
          <w:highlight w:val="none"/>
          <w:u w:val="single"/>
          <w:lang w:val="en-US" w:eastAsia="zh-CN"/>
        </w:rPr>
        <w:t>（1）日降雨量大于50㎜的雨日连续超过3天；</w:t>
      </w:r>
    </w:p>
    <w:p w14:paraId="3354F768">
      <w:pPr>
        <w:spacing w:before="260" w:line="280" w:lineRule="exact"/>
        <w:ind w:firstLine="420"/>
        <w:rPr>
          <w:rFonts w:hint="eastAsia" w:ascii="宋体" w:hAnsi="宋体" w:cs="宋体"/>
          <w:color w:val="auto"/>
          <w:szCs w:val="21"/>
          <w:highlight w:val="none"/>
          <w:u w:val="single"/>
          <w:lang w:val="en-US" w:eastAsia="zh-CN"/>
        </w:rPr>
      </w:pPr>
      <w:r>
        <w:rPr>
          <w:rFonts w:hint="eastAsia" w:ascii="宋体" w:hAnsi="宋体" w:cs="宋体"/>
          <w:color w:val="auto"/>
          <w:szCs w:val="21"/>
          <w:highlight w:val="none"/>
          <w:u w:val="single"/>
          <w:lang w:val="en-US" w:eastAsia="zh-CN"/>
        </w:rPr>
        <w:t>（2）10级以上台风灾害；</w:t>
      </w:r>
    </w:p>
    <w:p w14:paraId="6F442A67">
      <w:pPr>
        <w:spacing w:before="260" w:line="280" w:lineRule="exact"/>
        <w:ind w:firstLine="420"/>
        <w:rPr>
          <w:rFonts w:hint="eastAsia" w:ascii="宋体" w:hAnsi="宋体" w:cs="宋体"/>
          <w:color w:val="auto"/>
          <w:szCs w:val="21"/>
          <w:highlight w:val="none"/>
          <w:u w:val="single"/>
          <w:lang w:val="en-US" w:eastAsia="zh-CN"/>
        </w:rPr>
      </w:pPr>
      <w:r>
        <w:rPr>
          <w:rFonts w:hint="eastAsia" w:ascii="宋体" w:hAnsi="宋体" w:cs="宋体"/>
          <w:color w:val="auto"/>
          <w:szCs w:val="21"/>
          <w:highlight w:val="none"/>
          <w:u w:val="single"/>
          <w:lang w:val="en-US" w:eastAsia="zh-CN"/>
        </w:rPr>
        <w:t>（3）连续日最高气温超过38℃的高温大于3天；</w:t>
      </w:r>
    </w:p>
    <w:p w14:paraId="61231F97">
      <w:pPr>
        <w:spacing w:before="260" w:line="280" w:lineRule="exact"/>
        <w:ind w:firstLine="420"/>
        <w:rPr>
          <w:rFonts w:hint="eastAsia" w:ascii="宋体" w:hAnsi="宋体" w:cs="宋体"/>
          <w:color w:val="auto"/>
          <w:szCs w:val="21"/>
          <w:highlight w:val="none"/>
          <w:u w:val="single"/>
          <w:lang w:val="en-US" w:eastAsia="zh-CN"/>
        </w:rPr>
      </w:pPr>
      <w:r>
        <w:rPr>
          <w:rFonts w:hint="eastAsia" w:ascii="宋体" w:hAnsi="宋体" w:cs="宋体"/>
          <w:color w:val="auto"/>
          <w:szCs w:val="21"/>
          <w:highlight w:val="none"/>
          <w:u w:val="single"/>
          <w:lang w:val="en-US" w:eastAsia="zh-CN"/>
        </w:rPr>
        <w:t>（4）连续日最低气温低于-30℃的严寒大于3天；</w:t>
      </w:r>
    </w:p>
    <w:p w14:paraId="67D14ECB">
      <w:pPr>
        <w:spacing w:before="260" w:line="280" w:lineRule="exact"/>
        <w:ind w:firstLine="420"/>
        <w:rPr>
          <w:rFonts w:hint="eastAsia" w:ascii="宋体" w:hAnsi="宋体" w:cs="宋体"/>
          <w:color w:val="auto"/>
          <w:szCs w:val="21"/>
          <w:highlight w:val="none"/>
          <w:u w:val="single"/>
          <w:lang w:val="en-US" w:eastAsia="zh-CN"/>
        </w:rPr>
      </w:pPr>
      <w:r>
        <w:rPr>
          <w:rFonts w:hint="eastAsia" w:ascii="宋体" w:hAnsi="宋体" w:cs="宋体"/>
          <w:color w:val="auto"/>
          <w:szCs w:val="21"/>
          <w:highlight w:val="none"/>
          <w:u w:val="single"/>
          <w:lang w:val="en-US" w:eastAsia="zh-CN"/>
        </w:rPr>
        <w:t>（5）造成工程损坏的冰雹；</w:t>
      </w:r>
    </w:p>
    <w:p w14:paraId="79C8140D">
      <w:pPr>
        <w:spacing w:before="260" w:line="280" w:lineRule="exact"/>
        <w:ind w:firstLine="420"/>
        <w:rPr>
          <w:rFonts w:ascii="宋体" w:hAnsi="宋体" w:cs="宋体"/>
          <w:color w:val="auto"/>
          <w:szCs w:val="21"/>
          <w:highlight w:val="none"/>
          <w:u w:val="single"/>
        </w:rPr>
      </w:pPr>
      <w:r>
        <w:rPr>
          <w:rFonts w:hint="eastAsia" w:ascii="宋体" w:hAnsi="宋体" w:cs="宋体"/>
          <w:color w:val="auto"/>
          <w:szCs w:val="21"/>
          <w:highlight w:val="none"/>
          <w:u w:val="single"/>
          <w:lang w:val="en-US" w:eastAsia="zh-CN"/>
        </w:rPr>
        <w:t xml:space="preserve">（6）日降雪量大于20mm的下雪日连续超过3天。 </w:t>
      </w:r>
    </w:p>
    <w:p w14:paraId="042EB004">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8.8 工期提前</w:t>
      </w:r>
    </w:p>
    <w:p w14:paraId="1231FBA0">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8.8.2 承包人提前竣工的奖励：</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w:t>
      </w:r>
    </w:p>
    <w:p w14:paraId="253274D7">
      <w:pPr>
        <w:pStyle w:val="156"/>
        <w:spacing w:before="260" w:after="120" w:line="280" w:lineRule="exact"/>
        <w:ind w:firstLine="422" w:firstLineChars="200"/>
        <w:rPr>
          <w:rFonts w:cs="宋体"/>
          <w:b/>
          <w:bCs/>
          <w:color w:val="auto"/>
          <w:sz w:val="21"/>
          <w:szCs w:val="21"/>
          <w:highlight w:val="none"/>
        </w:rPr>
      </w:pPr>
      <w:bookmarkStart w:id="1618" w:name="_Toc17863"/>
      <w:bookmarkStart w:id="1619" w:name="_Toc10927"/>
      <w:bookmarkStart w:id="1620" w:name="_Toc10618"/>
      <w:bookmarkStart w:id="1621" w:name="_Toc30009"/>
      <w:bookmarkStart w:id="1622" w:name="_Toc54862340"/>
      <w:r>
        <w:rPr>
          <w:rFonts w:hint="eastAsia" w:cs="宋体"/>
          <w:b/>
          <w:bCs/>
          <w:color w:val="auto"/>
          <w:sz w:val="21"/>
          <w:szCs w:val="21"/>
          <w:highlight w:val="none"/>
        </w:rPr>
        <w:t>第9条 竣工试验</w:t>
      </w:r>
      <w:bookmarkEnd w:id="1618"/>
      <w:bookmarkEnd w:id="1619"/>
      <w:bookmarkEnd w:id="1620"/>
      <w:bookmarkEnd w:id="1621"/>
      <w:bookmarkEnd w:id="1622"/>
    </w:p>
    <w:p w14:paraId="53835AF8">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9.1 竣工试验的义务</w:t>
      </w:r>
    </w:p>
    <w:p w14:paraId="7FE5F251">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9.1.3 竣工试验的阶段、内容和顺序：</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w:t>
      </w:r>
    </w:p>
    <w:p w14:paraId="4A0BE089">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竣工试验的操作要求：</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w:t>
      </w:r>
    </w:p>
    <w:p w14:paraId="0D5B7128">
      <w:pPr>
        <w:pStyle w:val="156"/>
        <w:spacing w:before="260" w:after="120" w:line="280" w:lineRule="exact"/>
        <w:ind w:firstLine="422" w:firstLineChars="200"/>
        <w:rPr>
          <w:rFonts w:cs="宋体"/>
          <w:b/>
          <w:bCs/>
          <w:color w:val="auto"/>
          <w:sz w:val="21"/>
          <w:szCs w:val="21"/>
          <w:highlight w:val="none"/>
        </w:rPr>
      </w:pPr>
      <w:bookmarkStart w:id="1623" w:name="_Toc4784273"/>
      <w:bookmarkEnd w:id="1623"/>
      <w:bookmarkStart w:id="1624" w:name="_Toc4784272"/>
      <w:bookmarkEnd w:id="1624"/>
      <w:bookmarkStart w:id="1625" w:name="_Toc54862341"/>
      <w:bookmarkStart w:id="1626" w:name="_Toc8902"/>
      <w:bookmarkStart w:id="1627" w:name="_Toc25330"/>
      <w:bookmarkStart w:id="1628" w:name="_Toc24337"/>
      <w:bookmarkStart w:id="1629" w:name="_Toc30200"/>
      <w:r>
        <w:rPr>
          <w:rFonts w:hint="eastAsia" w:cs="宋体"/>
          <w:b/>
          <w:bCs/>
          <w:color w:val="auto"/>
          <w:sz w:val="21"/>
          <w:szCs w:val="21"/>
          <w:highlight w:val="none"/>
        </w:rPr>
        <w:t>第10条 验收和工程接收</w:t>
      </w:r>
      <w:bookmarkEnd w:id="1625"/>
      <w:bookmarkEnd w:id="1626"/>
      <w:bookmarkEnd w:id="1627"/>
      <w:bookmarkEnd w:id="1628"/>
      <w:bookmarkEnd w:id="1629"/>
    </w:p>
    <w:p w14:paraId="05AC1169">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10.1 竣工验收</w:t>
      </w:r>
    </w:p>
    <w:p w14:paraId="1344A574">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10.1.2 关于竣工验收程序的约定：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11AAFDE6">
      <w:pPr>
        <w:spacing w:before="260" w:line="280" w:lineRule="exact"/>
        <w:ind w:firstLine="420"/>
        <w:rPr>
          <w:rFonts w:ascii="宋体" w:hAnsi="宋体" w:cs="宋体"/>
          <w:color w:val="auto"/>
          <w:szCs w:val="21"/>
          <w:highlight w:val="none"/>
        </w:rPr>
      </w:pPr>
      <w:bookmarkStart w:id="1630" w:name="_Hlk46406260"/>
      <w:r>
        <w:rPr>
          <w:rFonts w:hint="eastAsia" w:ascii="宋体" w:hAnsi="宋体" w:cs="宋体"/>
          <w:color w:val="auto"/>
          <w:szCs w:val="21"/>
          <w:highlight w:val="none"/>
        </w:rPr>
        <w:t>发包人不按照合同约定组织竣工验收、颁发工程接受证书的违约金的计算方式：</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w:t>
      </w:r>
    </w:p>
    <w:bookmarkEnd w:id="1630"/>
    <w:p w14:paraId="14FDF2B4">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10.3</w:t>
      </w:r>
      <w:r>
        <w:rPr>
          <w:rFonts w:hint="eastAsia" w:ascii="宋体" w:hAnsi="宋体" w:cs="宋体"/>
          <w:color w:val="auto"/>
          <w:szCs w:val="21"/>
          <w:highlight w:val="none"/>
        </w:rPr>
        <w:tab/>
      </w:r>
      <w:r>
        <w:rPr>
          <w:rFonts w:hint="eastAsia" w:ascii="宋体" w:hAnsi="宋体" w:cs="宋体"/>
          <w:color w:val="auto"/>
          <w:szCs w:val="21"/>
          <w:highlight w:val="none"/>
        </w:rPr>
        <w:t xml:space="preserve"> 工程的接收</w:t>
      </w:r>
    </w:p>
    <w:p w14:paraId="38E19D69">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10.3.1工程接收的先后顺序、时间安排和其他要求：</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w:t>
      </w:r>
    </w:p>
    <w:p w14:paraId="70D95953">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10.3.2 接受工程时承包人需提交竣工验收资料的类别、内容、份数和提交时间：</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w:t>
      </w:r>
    </w:p>
    <w:p w14:paraId="49102B3A">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10.3.3 发包人逾期接收工程的违约责任：</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w:t>
      </w:r>
    </w:p>
    <w:p w14:paraId="45C21F04">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10.3.4 承包人无正当理由不移交工程的违约责任：</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w:t>
      </w:r>
    </w:p>
    <w:p w14:paraId="45D82097">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10.4 接收证书</w:t>
      </w:r>
    </w:p>
    <w:p w14:paraId="301A5BD6">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10.4.1 工程接收证书颁发时间：</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w:t>
      </w:r>
    </w:p>
    <w:p w14:paraId="36B76957">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10.5 竣工退场</w:t>
      </w:r>
    </w:p>
    <w:p w14:paraId="0F4504F7">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10.5.1 竣工退场的相关约定：</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w:t>
      </w:r>
    </w:p>
    <w:p w14:paraId="7123241C">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10.5.3人员撤离</w:t>
      </w:r>
    </w:p>
    <w:p w14:paraId="069F4161">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工程师同意需在缺陷责任期内继续工作和使用的人员、施工设备和临时工程的内容：</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w:t>
      </w:r>
    </w:p>
    <w:p w14:paraId="7338A3DA">
      <w:pPr>
        <w:pStyle w:val="156"/>
        <w:spacing w:before="260" w:after="120" w:line="280" w:lineRule="exact"/>
        <w:ind w:firstLine="422" w:firstLineChars="200"/>
        <w:rPr>
          <w:rFonts w:cs="宋体"/>
          <w:b/>
          <w:bCs/>
          <w:color w:val="auto"/>
          <w:sz w:val="21"/>
          <w:szCs w:val="21"/>
          <w:highlight w:val="none"/>
        </w:rPr>
      </w:pPr>
      <w:bookmarkStart w:id="1631" w:name="_Toc27593"/>
      <w:bookmarkStart w:id="1632" w:name="_Toc17310"/>
      <w:bookmarkStart w:id="1633" w:name="_Toc17761"/>
      <w:bookmarkStart w:id="1634" w:name="_Toc54862342"/>
      <w:bookmarkStart w:id="1635" w:name="_Toc18332"/>
      <w:r>
        <w:rPr>
          <w:rFonts w:hint="eastAsia" w:cs="宋体"/>
          <w:b/>
          <w:bCs/>
          <w:color w:val="auto"/>
          <w:sz w:val="21"/>
          <w:szCs w:val="21"/>
          <w:highlight w:val="none"/>
        </w:rPr>
        <w:t>第11条 缺陷责任与保修</w:t>
      </w:r>
      <w:bookmarkEnd w:id="1631"/>
      <w:bookmarkEnd w:id="1632"/>
      <w:bookmarkEnd w:id="1633"/>
      <w:bookmarkEnd w:id="1634"/>
      <w:bookmarkEnd w:id="1635"/>
    </w:p>
    <w:p w14:paraId="1CBDEBB0">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11.2 缺陷责任期</w:t>
      </w:r>
    </w:p>
    <w:p w14:paraId="4F798BE7">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缺陷责任期的期限：</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w:t>
      </w:r>
    </w:p>
    <w:p w14:paraId="7817BE96">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11.3 缺陷调查</w:t>
      </w:r>
    </w:p>
    <w:p w14:paraId="172A776E">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11.3.4 修复通知</w:t>
      </w:r>
    </w:p>
    <w:p w14:paraId="37367618">
      <w:pPr>
        <w:spacing w:before="260" w:line="280" w:lineRule="exact"/>
        <w:ind w:firstLine="420"/>
        <w:rPr>
          <w:rFonts w:hint="eastAsia" w:ascii="宋体" w:hAnsi="宋体" w:cs="宋体"/>
          <w:color w:val="auto"/>
          <w:szCs w:val="21"/>
          <w:highlight w:val="none"/>
          <w:lang w:val="en-US" w:eastAsia="zh-CN"/>
        </w:rPr>
      </w:pPr>
      <w:r>
        <w:rPr>
          <w:rFonts w:hint="eastAsia" w:ascii="宋体" w:hAnsi="宋体" w:cs="宋体"/>
          <w:color w:val="auto"/>
          <w:szCs w:val="21"/>
          <w:highlight w:val="none"/>
        </w:rPr>
        <w:t>承包人收到保修通知并到达工程现场的合理时间：</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w:t>
      </w:r>
    </w:p>
    <w:p w14:paraId="6558E805">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11.6 缺陷责任期终止证书</w:t>
      </w:r>
    </w:p>
    <w:p w14:paraId="180DBB8C">
      <w:pPr>
        <w:keepNext w:val="0"/>
        <w:keepLines w:val="0"/>
        <w:pageBreakBefore w:val="0"/>
        <w:widowControl w:val="0"/>
        <w:kinsoku/>
        <w:wordWrap/>
        <w:overflowPunct/>
        <w:topLinePunct w:val="0"/>
        <w:autoSpaceDE/>
        <w:autoSpaceDN/>
        <w:bidi w:val="0"/>
        <w:adjustRightInd/>
        <w:snapToGrid/>
        <w:spacing w:before="260" w:line="360" w:lineRule="auto"/>
        <w:ind w:firstLine="420"/>
        <w:textAlignment w:val="auto"/>
        <w:rPr>
          <w:rFonts w:ascii="宋体" w:hAnsi="宋体" w:cs="宋体"/>
          <w:color w:val="auto"/>
          <w:szCs w:val="21"/>
          <w:highlight w:val="none"/>
        </w:rPr>
      </w:pPr>
      <w:r>
        <w:rPr>
          <w:rFonts w:hint="eastAsia" w:ascii="宋体" w:hAnsi="宋体" w:cs="宋体"/>
          <w:color w:val="auto"/>
          <w:szCs w:val="21"/>
          <w:highlight w:val="none"/>
        </w:rPr>
        <w:t>承包人应于缺陷责任期届满后</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天内向发包人发出缺陷责任期届满通知，发包人应在收到缺陷责任期满通知后</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天内核实承包人是否履行缺陷修复义务，承包人未能履行缺陷修复义务的，发包人有权扣除相应金额的维修费用。发包人应在收到缺陷责任期届满通知后</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天内，向承包人颁发缺陷责任期终止证书。</w:t>
      </w:r>
    </w:p>
    <w:p w14:paraId="74617E15">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11.7 保修责任</w:t>
      </w:r>
    </w:p>
    <w:p w14:paraId="61209EF8">
      <w:pPr>
        <w:keepNext w:val="0"/>
        <w:keepLines w:val="0"/>
        <w:pageBreakBefore w:val="0"/>
        <w:widowControl w:val="0"/>
        <w:kinsoku/>
        <w:wordWrap/>
        <w:overflowPunct/>
        <w:topLinePunct w:val="0"/>
        <w:autoSpaceDE/>
        <w:autoSpaceDN/>
        <w:bidi w:val="0"/>
        <w:adjustRightInd/>
        <w:snapToGrid/>
        <w:spacing w:before="260" w:line="360" w:lineRule="auto"/>
        <w:ind w:firstLine="420"/>
        <w:textAlignment w:val="auto"/>
        <w:rPr>
          <w:rFonts w:ascii="宋体" w:hAnsi="宋体" w:cs="宋体"/>
          <w:color w:val="auto"/>
          <w:szCs w:val="21"/>
          <w:highlight w:val="none"/>
        </w:rPr>
      </w:pPr>
      <w:r>
        <w:rPr>
          <w:rFonts w:hint="eastAsia" w:ascii="宋体" w:hAnsi="宋体" w:cs="宋体"/>
          <w:color w:val="auto"/>
          <w:szCs w:val="21"/>
          <w:highlight w:val="none"/>
        </w:rPr>
        <w:t>工程质量保修范围、期限和责任为：</w:t>
      </w:r>
      <w:r>
        <w:rPr>
          <w:rFonts w:hint="eastAsia" w:ascii="宋体" w:hAnsi="宋体" w:cs="宋体"/>
          <w:color w:val="auto"/>
          <w:szCs w:val="21"/>
          <w:highlight w:val="none"/>
          <w:u w:val="single"/>
          <w:lang w:val="en-US" w:eastAsia="zh-CN"/>
        </w:rPr>
        <w:t>（1）工程质量保修范围：整个工程。（2）工程质量保修期限：按《中华人民共和国国务院令第279号（2000）〈建设工程质量管理条例〉》执行。从工程实际完工、验收合格之日（以验收报告日为准）算起保修期二年,保修期内，如发现工程施工质量不佳，不能正常使用，须延长保修期。（3）工程质量保修责任：按《建设工程质量管理条例》执行</w:t>
      </w:r>
      <w:r>
        <w:rPr>
          <w:rFonts w:hint="eastAsia" w:ascii="宋体" w:hAnsi="宋体" w:cs="宋体"/>
          <w:color w:val="auto"/>
          <w:szCs w:val="21"/>
          <w:highlight w:val="none"/>
        </w:rPr>
        <w:t>。</w:t>
      </w:r>
    </w:p>
    <w:p w14:paraId="7D177278">
      <w:pPr>
        <w:pStyle w:val="156"/>
        <w:spacing w:before="260" w:after="120" w:line="280" w:lineRule="exact"/>
        <w:ind w:firstLine="422" w:firstLineChars="200"/>
        <w:rPr>
          <w:rFonts w:cs="宋体"/>
          <w:b/>
          <w:bCs/>
          <w:color w:val="auto"/>
          <w:sz w:val="21"/>
          <w:szCs w:val="21"/>
          <w:highlight w:val="none"/>
        </w:rPr>
      </w:pPr>
      <w:bookmarkStart w:id="1636" w:name="_Toc21529"/>
      <w:bookmarkStart w:id="1637" w:name="_Toc5483"/>
      <w:bookmarkStart w:id="1638" w:name="_Toc32243"/>
      <w:bookmarkStart w:id="1639" w:name="_Toc26235"/>
      <w:bookmarkStart w:id="1640" w:name="_Toc54862343"/>
      <w:r>
        <w:rPr>
          <w:rFonts w:hint="eastAsia" w:cs="宋体"/>
          <w:b/>
          <w:bCs/>
          <w:color w:val="auto"/>
          <w:sz w:val="21"/>
          <w:szCs w:val="21"/>
          <w:highlight w:val="none"/>
        </w:rPr>
        <w:t>第12条 竣工后试验</w:t>
      </w:r>
      <w:bookmarkEnd w:id="1636"/>
      <w:bookmarkEnd w:id="1637"/>
      <w:bookmarkEnd w:id="1638"/>
      <w:bookmarkEnd w:id="1639"/>
      <w:bookmarkEnd w:id="1640"/>
    </w:p>
    <w:p w14:paraId="6606318F">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本合同工程是否包含竣工后试验：</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w:t>
      </w:r>
    </w:p>
    <w:p w14:paraId="37427416">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12.1 竣工后试验的程序</w:t>
      </w:r>
    </w:p>
    <w:p w14:paraId="0949C3AF">
      <w:pPr>
        <w:keepNext w:val="0"/>
        <w:keepLines w:val="0"/>
        <w:pageBreakBefore w:val="0"/>
        <w:widowControl w:val="0"/>
        <w:kinsoku/>
        <w:wordWrap/>
        <w:overflowPunct/>
        <w:topLinePunct w:val="0"/>
        <w:autoSpaceDE/>
        <w:autoSpaceDN/>
        <w:bidi w:val="0"/>
        <w:adjustRightInd/>
        <w:snapToGrid/>
        <w:spacing w:before="260" w:line="360" w:lineRule="auto"/>
        <w:ind w:firstLine="420"/>
        <w:textAlignment w:val="auto"/>
        <w:rPr>
          <w:rFonts w:ascii="宋体" w:hAnsi="宋体" w:cs="宋体"/>
          <w:color w:val="auto"/>
          <w:szCs w:val="21"/>
          <w:highlight w:val="none"/>
        </w:rPr>
      </w:pPr>
      <w:r>
        <w:rPr>
          <w:rFonts w:hint="eastAsia" w:ascii="宋体" w:hAnsi="宋体" w:cs="宋体"/>
          <w:color w:val="auto"/>
          <w:szCs w:val="21"/>
          <w:highlight w:val="none"/>
        </w:rPr>
        <w:t>12.1.2 竣工后试验全部电力、水、污水处理、燃料、消耗品和材料，以及全部其他仪器、协助、文件或其他信息、设备、工具、劳力，启动工程设备，并组织安排有适当资质、经验和能力的工作人员等必要条件的提供方：</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w:t>
      </w:r>
    </w:p>
    <w:p w14:paraId="5DC0050F">
      <w:pPr>
        <w:pStyle w:val="156"/>
        <w:spacing w:before="260" w:after="120" w:line="280" w:lineRule="exact"/>
        <w:ind w:firstLine="422" w:firstLineChars="200"/>
        <w:rPr>
          <w:rFonts w:cs="宋体"/>
          <w:b/>
          <w:bCs/>
          <w:color w:val="auto"/>
          <w:sz w:val="21"/>
          <w:szCs w:val="21"/>
          <w:highlight w:val="none"/>
        </w:rPr>
      </w:pPr>
      <w:bookmarkStart w:id="1641" w:name="_Toc2858"/>
      <w:bookmarkStart w:id="1642" w:name="_Toc9336"/>
      <w:bookmarkStart w:id="1643" w:name="_Toc23667"/>
      <w:bookmarkStart w:id="1644" w:name="_Toc54862344"/>
      <w:bookmarkStart w:id="1645" w:name="_Toc24212"/>
      <w:r>
        <w:rPr>
          <w:rFonts w:hint="eastAsia" w:cs="宋体"/>
          <w:b/>
          <w:bCs/>
          <w:color w:val="auto"/>
          <w:sz w:val="21"/>
          <w:szCs w:val="21"/>
          <w:highlight w:val="none"/>
        </w:rPr>
        <w:t>第13条 变更与调整</w:t>
      </w:r>
      <w:bookmarkEnd w:id="1641"/>
      <w:bookmarkEnd w:id="1642"/>
      <w:bookmarkEnd w:id="1643"/>
      <w:bookmarkEnd w:id="1644"/>
      <w:bookmarkEnd w:id="1645"/>
    </w:p>
    <w:p w14:paraId="69DEAE66">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13.2 承包人的合理化建议</w:t>
      </w:r>
    </w:p>
    <w:p w14:paraId="7E518453">
      <w:pPr>
        <w:keepNext w:val="0"/>
        <w:keepLines w:val="0"/>
        <w:pageBreakBefore w:val="0"/>
        <w:widowControl w:val="0"/>
        <w:kinsoku/>
        <w:wordWrap/>
        <w:overflowPunct/>
        <w:topLinePunct w:val="0"/>
        <w:autoSpaceDE/>
        <w:autoSpaceDN/>
        <w:bidi w:val="0"/>
        <w:adjustRightInd/>
        <w:snapToGrid/>
        <w:spacing w:before="260" w:line="360" w:lineRule="auto"/>
        <w:ind w:firstLine="420"/>
        <w:textAlignment w:val="auto"/>
        <w:rPr>
          <w:rFonts w:ascii="宋体" w:hAnsi="宋体" w:cs="宋体"/>
          <w:color w:val="auto"/>
          <w:szCs w:val="21"/>
          <w:highlight w:val="none"/>
        </w:rPr>
      </w:pPr>
      <w:r>
        <w:rPr>
          <w:rFonts w:hint="eastAsia" w:ascii="宋体" w:hAnsi="宋体" w:cs="宋体"/>
          <w:color w:val="auto"/>
          <w:szCs w:val="21"/>
          <w:highlight w:val="none"/>
        </w:rPr>
        <w:t>13.2.2 工程师应在收到承包人提交的合理化建议后</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日内审查完毕并报送发包人，发现其中存在技术上的缺陷，应通知承包人修改。发包人应在收到工程师报送的合理化建议后日内审批完毕。合理化建议经发包人批准的，工程师应及时发出变更指示，由此引起的合同价格调整按照</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执行。发包人不同意变更的，工程师应书面通知承包人</w:t>
      </w:r>
    </w:p>
    <w:p w14:paraId="58E4D932">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13.2.3 承包人提出的合理化变更建议的利益分享约定：</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w:t>
      </w:r>
    </w:p>
    <w:p w14:paraId="08774E60">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13.3 变更程序</w:t>
      </w:r>
    </w:p>
    <w:p w14:paraId="01D735E3">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13.3.3 变更估价</w:t>
      </w:r>
    </w:p>
    <w:p w14:paraId="42BEC625">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13.3.3.1 变更估价原则</w:t>
      </w:r>
    </w:p>
    <w:p w14:paraId="07F78A09">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关于变更估价原则的约定：</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w:t>
      </w:r>
    </w:p>
    <w:p w14:paraId="6284D979">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13.4 暂估价</w:t>
      </w:r>
    </w:p>
    <w:p w14:paraId="456B7CD6">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13.4.1 依法必须招标的暂估价项目</w:t>
      </w:r>
    </w:p>
    <w:p w14:paraId="38D1BCEF">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承包人可以参与投标的暂估价项目范围：</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w:t>
      </w:r>
    </w:p>
    <w:p w14:paraId="43A7127C">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承包人不得参与投标的暂估价项目范围：</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w:t>
      </w:r>
    </w:p>
    <w:p w14:paraId="3E0EA99C">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招投标程序及其他约定：</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w:t>
      </w:r>
    </w:p>
    <w:p w14:paraId="3FE955E6">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13.4.2 不属于依法必须招标的暂估价项目</w:t>
      </w:r>
    </w:p>
    <w:p w14:paraId="1592B86B">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不属于依法必须招标的暂估价项目的协商及估价的约定：</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w:t>
      </w:r>
    </w:p>
    <w:p w14:paraId="2551A49A">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13.5 暂列金额</w:t>
      </w:r>
    </w:p>
    <w:p w14:paraId="407E2393">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其他关于暂列金额使用的约定：</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w:t>
      </w:r>
    </w:p>
    <w:p w14:paraId="131E91DE">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13.8 市场价格波动引起的调整</w:t>
      </w:r>
    </w:p>
    <w:p w14:paraId="7D814EB6">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13.8.2 关于是否采用《价格指数权重表》的约定：</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w:t>
      </w:r>
    </w:p>
    <w:p w14:paraId="19036E77">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13.8.3 关于采用其他方式调整合同价款的约定：</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w:t>
      </w:r>
    </w:p>
    <w:p w14:paraId="6FBC95F3">
      <w:pPr>
        <w:pStyle w:val="156"/>
        <w:spacing w:before="260" w:after="120" w:line="280" w:lineRule="exact"/>
        <w:ind w:firstLine="422" w:firstLineChars="200"/>
        <w:rPr>
          <w:rFonts w:cs="宋体"/>
          <w:b/>
          <w:bCs/>
          <w:color w:val="auto"/>
          <w:sz w:val="21"/>
          <w:szCs w:val="21"/>
          <w:highlight w:val="none"/>
        </w:rPr>
      </w:pPr>
      <w:bookmarkStart w:id="1646" w:name="_Toc54862345"/>
      <w:bookmarkStart w:id="1647" w:name="_Toc21199"/>
      <w:bookmarkStart w:id="1648" w:name="_Toc1477"/>
      <w:bookmarkStart w:id="1649" w:name="_Toc18429"/>
      <w:bookmarkStart w:id="1650" w:name="_Toc8600"/>
      <w:r>
        <w:rPr>
          <w:rFonts w:hint="eastAsia" w:cs="宋体"/>
          <w:b/>
          <w:bCs/>
          <w:color w:val="auto"/>
          <w:sz w:val="21"/>
          <w:szCs w:val="21"/>
          <w:highlight w:val="none"/>
        </w:rPr>
        <w:t>第14条 合同价格与支付</w:t>
      </w:r>
      <w:bookmarkEnd w:id="1646"/>
      <w:bookmarkEnd w:id="1647"/>
      <w:bookmarkEnd w:id="1648"/>
      <w:bookmarkEnd w:id="1649"/>
      <w:bookmarkEnd w:id="1650"/>
    </w:p>
    <w:p w14:paraId="33608E16">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14.1 合同价格形式</w:t>
      </w:r>
    </w:p>
    <w:p w14:paraId="29160E0A">
      <w:pPr>
        <w:adjustRightInd w:val="0"/>
        <w:snapToGrid w:val="0"/>
        <w:spacing w:line="360" w:lineRule="exact"/>
        <w:ind w:firstLine="420" w:firstLineChars="200"/>
        <w:rPr>
          <w:rFonts w:ascii="宋体" w:hAnsi="宋体"/>
          <w:bCs/>
          <w:color w:val="auto"/>
          <w:szCs w:val="21"/>
          <w:highlight w:val="none"/>
          <w:u w:val="single"/>
        </w:rPr>
      </w:pPr>
      <w:r>
        <w:rPr>
          <w:rFonts w:hint="eastAsia" w:ascii="宋体" w:hAnsi="宋体" w:cs="宋体"/>
          <w:color w:val="auto"/>
          <w:szCs w:val="21"/>
          <w:highlight w:val="none"/>
        </w:rPr>
        <w:t>14.1.1 关于合同价格形式的约定：</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w:t>
      </w:r>
    </w:p>
    <w:p w14:paraId="02E2DF18">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14.1.2 关于合同价格调整的约定：</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w:t>
      </w:r>
    </w:p>
    <w:p w14:paraId="0361CC85">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14.1.3 按实际完成的工程量支付工程价款的计量方法、估价方法：</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w:t>
      </w:r>
    </w:p>
    <w:p w14:paraId="44E2D8F2">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14.2 预付款</w:t>
      </w:r>
    </w:p>
    <w:p w14:paraId="4BF48296">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14.2.1 预付款支付</w:t>
      </w:r>
    </w:p>
    <w:p w14:paraId="6A77BB85">
      <w:pPr>
        <w:keepNext w:val="0"/>
        <w:keepLines w:val="0"/>
        <w:pageBreakBefore w:val="0"/>
        <w:widowControl w:val="0"/>
        <w:kinsoku/>
        <w:wordWrap/>
        <w:overflowPunct/>
        <w:topLinePunct w:val="0"/>
        <w:autoSpaceDE/>
        <w:autoSpaceDN/>
        <w:bidi w:val="0"/>
        <w:adjustRightInd/>
        <w:snapToGrid/>
        <w:spacing w:before="260" w:line="360" w:lineRule="auto"/>
        <w:ind w:firstLine="420"/>
        <w:textAlignment w:val="auto"/>
        <w:rPr>
          <w:rFonts w:ascii="宋体" w:hAnsi="宋体" w:cs="宋体"/>
          <w:color w:val="auto"/>
          <w:szCs w:val="21"/>
          <w:highlight w:val="none"/>
        </w:rPr>
      </w:pPr>
      <w:r>
        <w:rPr>
          <w:rFonts w:hint="eastAsia" w:ascii="宋体" w:hAnsi="宋体" w:cs="宋体"/>
          <w:color w:val="auto"/>
          <w:szCs w:val="21"/>
          <w:highlight w:val="none"/>
        </w:rPr>
        <w:t>预付款的金额或比例为：</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w:t>
      </w:r>
    </w:p>
    <w:p w14:paraId="7091A502">
      <w:pPr>
        <w:keepNext w:val="0"/>
        <w:keepLines w:val="0"/>
        <w:pageBreakBefore w:val="0"/>
        <w:widowControl w:val="0"/>
        <w:kinsoku/>
        <w:wordWrap/>
        <w:overflowPunct/>
        <w:topLinePunct w:val="0"/>
        <w:autoSpaceDE/>
        <w:autoSpaceDN/>
        <w:bidi w:val="0"/>
        <w:adjustRightInd/>
        <w:snapToGrid/>
        <w:spacing w:before="260" w:line="360" w:lineRule="auto"/>
        <w:ind w:firstLine="420"/>
        <w:textAlignment w:val="auto"/>
        <w:rPr>
          <w:rFonts w:ascii="宋体" w:hAnsi="宋体" w:cs="宋体"/>
          <w:color w:val="auto"/>
          <w:szCs w:val="21"/>
          <w:highlight w:val="none"/>
        </w:rPr>
      </w:pPr>
      <w:r>
        <w:rPr>
          <w:rFonts w:hint="eastAsia" w:ascii="宋体" w:hAnsi="宋体" w:cs="宋体"/>
          <w:color w:val="auto"/>
          <w:szCs w:val="21"/>
          <w:highlight w:val="none"/>
        </w:rPr>
        <w:t>预付款支付期限：</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w:t>
      </w:r>
    </w:p>
    <w:p w14:paraId="50C37E79">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预付款扣回的方式：</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w:t>
      </w:r>
    </w:p>
    <w:p w14:paraId="5BD090FE">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14.2.2预付款担保</w:t>
      </w:r>
    </w:p>
    <w:p w14:paraId="68EA9D74">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提供预付款担保期限：</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w:t>
      </w:r>
    </w:p>
    <w:p w14:paraId="1BD18BCE">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预付款担保形式：</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w:t>
      </w:r>
    </w:p>
    <w:p w14:paraId="738054BE">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14.3 工程进度款</w:t>
      </w:r>
    </w:p>
    <w:p w14:paraId="57B7B00E">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14.3.1 工程进度付款申请</w:t>
      </w:r>
    </w:p>
    <w:p w14:paraId="44900432">
      <w:pPr>
        <w:pStyle w:val="78"/>
        <w:spacing w:before="260" w:line="280" w:lineRule="exact"/>
        <w:ind w:firstLine="420" w:firstLineChars="200"/>
        <w:rPr>
          <w:rFonts w:ascii="宋体" w:hAnsi="宋体"/>
          <w:bCs/>
          <w:color w:val="auto"/>
          <w:szCs w:val="21"/>
          <w:highlight w:val="none"/>
          <w:u w:val="single"/>
        </w:rPr>
      </w:pPr>
      <w:r>
        <w:rPr>
          <w:rFonts w:hint="eastAsia" w:ascii="宋体" w:hAnsi="宋体" w:cs="宋体"/>
          <w:color w:val="auto"/>
          <w:szCs w:val="21"/>
          <w:highlight w:val="none"/>
        </w:rPr>
        <w:t>工程进度付款申请方式：</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w:t>
      </w:r>
    </w:p>
    <w:p w14:paraId="5987C418">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承包人提交进度付款申请单的格式、内容、份数和时间：</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w:t>
      </w:r>
    </w:p>
    <w:p w14:paraId="1B843E89">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进度付款申请单应包括的内容：</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w:t>
      </w:r>
    </w:p>
    <w:p w14:paraId="770A4076">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14.3.2 进度付款审核和支付</w:t>
      </w:r>
    </w:p>
    <w:p w14:paraId="7D0764D8">
      <w:pPr>
        <w:keepNext w:val="0"/>
        <w:keepLines w:val="0"/>
        <w:pageBreakBefore w:val="0"/>
        <w:widowControl w:val="0"/>
        <w:kinsoku/>
        <w:wordWrap/>
        <w:overflowPunct/>
        <w:topLinePunct w:val="0"/>
        <w:autoSpaceDE/>
        <w:autoSpaceDN/>
        <w:bidi w:val="0"/>
        <w:adjustRightInd/>
        <w:snapToGrid/>
        <w:spacing w:before="260" w:line="360" w:lineRule="auto"/>
        <w:ind w:firstLine="420"/>
        <w:textAlignment w:val="auto"/>
        <w:rPr>
          <w:rFonts w:hint="eastAsia" w:ascii="宋体" w:hAnsi="宋体" w:cs="宋体"/>
          <w:color w:val="auto"/>
          <w:szCs w:val="21"/>
          <w:highlight w:val="none"/>
          <w:u w:val="single"/>
          <w:lang w:val="en-US" w:eastAsia="zh-CN"/>
        </w:rPr>
      </w:pPr>
      <w:r>
        <w:rPr>
          <w:rFonts w:hint="eastAsia" w:ascii="宋体" w:hAnsi="宋体" w:cs="宋体"/>
          <w:color w:val="auto"/>
          <w:szCs w:val="21"/>
          <w:highlight w:val="none"/>
          <w:u w:val="none"/>
          <w:lang w:val="en-US" w:eastAsia="zh-CN"/>
        </w:rPr>
        <w:t>进度付款的审核方式和支付的约定：</w:t>
      </w:r>
      <w:r>
        <w:rPr>
          <w:rFonts w:hint="eastAsia" w:ascii="宋体" w:hAnsi="宋体" w:cs="宋体"/>
          <w:color w:val="auto"/>
          <w:szCs w:val="21"/>
          <w:highlight w:val="none"/>
          <w:u w:val="single"/>
          <w:lang w:val="en-US" w:eastAsia="zh-CN"/>
        </w:rPr>
        <w:t>按照工程形象进度的80%付工程款，工程竣工结算审核后，支付至工程结算的98%，余款作为质保金，质保期(两年)结束无质量问题三个月内无息返还。</w:t>
      </w:r>
    </w:p>
    <w:p w14:paraId="412244F7">
      <w:pPr>
        <w:keepNext w:val="0"/>
        <w:keepLines w:val="0"/>
        <w:pageBreakBefore w:val="0"/>
        <w:widowControl w:val="0"/>
        <w:kinsoku/>
        <w:wordWrap/>
        <w:overflowPunct/>
        <w:topLinePunct w:val="0"/>
        <w:autoSpaceDE/>
        <w:autoSpaceDN/>
        <w:bidi w:val="0"/>
        <w:adjustRightInd/>
        <w:snapToGrid/>
        <w:spacing w:before="260" w:line="360" w:lineRule="auto"/>
        <w:ind w:firstLine="420"/>
        <w:textAlignment w:val="auto"/>
        <w:rPr>
          <w:rFonts w:ascii="宋体" w:hAnsi="宋体" w:cs="宋体"/>
          <w:color w:val="auto"/>
          <w:szCs w:val="21"/>
          <w:highlight w:val="none"/>
          <w:u w:val="none"/>
        </w:rPr>
      </w:pPr>
      <w:r>
        <w:rPr>
          <w:rFonts w:hint="eastAsia" w:ascii="宋体" w:hAnsi="宋体" w:cs="宋体"/>
          <w:color w:val="auto"/>
          <w:szCs w:val="21"/>
          <w:highlight w:val="none"/>
          <w:u w:val="none"/>
          <w:lang w:val="en-US" w:eastAsia="zh-CN"/>
        </w:rPr>
        <w:t>发包人应在进度款支付证书或临时进度款支付证书签发后的</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lang w:val="en-US" w:eastAsia="zh-CN"/>
        </w:rPr>
        <w:t>天内完成支付，发包逾期支付进度款的，应按照</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lang w:val="en-US" w:eastAsia="zh-CN"/>
        </w:rPr>
        <w:t>支付违约金</w:t>
      </w:r>
      <w:r>
        <w:rPr>
          <w:rFonts w:hint="eastAsia" w:ascii="宋体" w:hAnsi="宋体" w:cs="宋体"/>
          <w:color w:val="auto"/>
          <w:szCs w:val="21"/>
          <w:highlight w:val="none"/>
          <w:lang w:val="en-US" w:eastAsia="zh-CN"/>
        </w:rPr>
        <w:t>。</w:t>
      </w:r>
    </w:p>
    <w:p w14:paraId="2738335F">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14.4 付款计划表</w:t>
      </w:r>
    </w:p>
    <w:p w14:paraId="59CC1135">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14.4.1 付款计划表的编制要求：</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w:t>
      </w:r>
    </w:p>
    <w:p w14:paraId="0E464595">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14.4.2 付款计划表的编制与审批</w:t>
      </w:r>
    </w:p>
    <w:p w14:paraId="095622BA">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付款计划表的编制：</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w:t>
      </w:r>
    </w:p>
    <w:p w14:paraId="32089AAB">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14.5 竣工结算</w:t>
      </w:r>
    </w:p>
    <w:p w14:paraId="55FF8FC2">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14.5.1 竣工结算申请</w:t>
      </w:r>
    </w:p>
    <w:p w14:paraId="70C966D4">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承包人提交竣工结算申请的时间：</w:t>
      </w:r>
      <w:r>
        <w:rPr>
          <w:rFonts w:hint="eastAsia" w:ascii="宋体" w:hAnsi="宋体" w:cs="宋体"/>
          <w:color w:val="auto"/>
          <w:szCs w:val="21"/>
          <w:highlight w:val="none"/>
          <w:u w:val="single"/>
          <w:lang w:val="en-US" w:eastAsia="zh-CN"/>
        </w:rPr>
        <w:t xml:space="preserve"> 竣工验收合格后28天内 </w:t>
      </w:r>
      <w:r>
        <w:rPr>
          <w:rFonts w:hint="eastAsia" w:ascii="宋体" w:hAnsi="宋体" w:cs="宋体"/>
          <w:color w:val="auto"/>
          <w:szCs w:val="21"/>
          <w:highlight w:val="none"/>
          <w:lang w:val="en-US" w:eastAsia="zh-CN"/>
        </w:rPr>
        <w:t>。</w:t>
      </w:r>
    </w:p>
    <w:p w14:paraId="6F574E80">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竣工结算申请的资料清单和份数：</w:t>
      </w:r>
      <w:r>
        <w:rPr>
          <w:rFonts w:hint="eastAsia" w:ascii="宋体" w:hAnsi="宋体" w:cs="宋体"/>
          <w:color w:val="auto"/>
          <w:szCs w:val="21"/>
          <w:highlight w:val="none"/>
          <w:u w:val="single"/>
          <w:lang w:val="en-US" w:eastAsia="zh-CN"/>
        </w:rPr>
        <w:t xml:space="preserve"> 按发包人及监理人要求 </w:t>
      </w:r>
      <w:r>
        <w:rPr>
          <w:rFonts w:hint="eastAsia" w:ascii="宋体" w:hAnsi="宋体" w:cs="宋体"/>
          <w:color w:val="auto"/>
          <w:szCs w:val="21"/>
          <w:highlight w:val="none"/>
          <w:lang w:val="en-US" w:eastAsia="zh-CN"/>
        </w:rPr>
        <w:t>。</w:t>
      </w:r>
    </w:p>
    <w:p w14:paraId="0FA9E142">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竣工结算申请单的内容应包括：</w:t>
      </w:r>
      <w:r>
        <w:rPr>
          <w:rFonts w:hint="eastAsia" w:ascii="宋体" w:hAnsi="宋体" w:cs="宋体"/>
          <w:color w:val="auto"/>
          <w:szCs w:val="21"/>
          <w:highlight w:val="none"/>
          <w:u w:val="single"/>
          <w:lang w:val="en-US" w:eastAsia="zh-CN"/>
        </w:rPr>
        <w:t xml:space="preserve">   执行通用条款  </w:t>
      </w:r>
      <w:r>
        <w:rPr>
          <w:rFonts w:hint="eastAsia" w:ascii="宋体" w:hAnsi="宋体" w:cs="宋体"/>
          <w:color w:val="auto"/>
          <w:szCs w:val="21"/>
          <w:highlight w:val="none"/>
          <w:lang w:val="en-US" w:eastAsia="zh-CN"/>
        </w:rPr>
        <w:t>。</w:t>
      </w:r>
    </w:p>
    <w:p w14:paraId="0070204B">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14.5.2 竣工结算审核</w:t>
      </w:r>
    </w:p>
    <w:p w14:paraId="1F173A47">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发包人审批竣工付款申请单的期限：</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w:t>
      </w:r>
    </w:p>
    <w:p w14:paraId="026B864C">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发包人完成竣工付款的期限：</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w:t>
      </w:r>
    </w:p>
    <w:p w14:paraId="6C346BBA">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关于竣工付款证书异议部分复核的方式和程序：</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w:t>
      </w:r>
    </w:p>
    <w:p w14:paraId="1E584D03">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14.6 质量保证金</w:t>
      </w:r>
    </w:p>
    <w:p w14:paraId="7F6B6E1F">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14.6.1 承包人提供质量保证金的方式</w:t>
      </w:r>
    </w:p>
    <w:p w14:paraId="00C075E5">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质量保证金采用以下第</w:t>
      </w:r>
      <w:r>
        <w:rPr>
          <w:rFonts w:hint="eastAsia" w:ascii="宋体" w:hAnsi="宋体" w:cs="宋体"/>
          <w:color w:val="auto"/>
          <w:szCs w:val="21"/>
          <w:highlight w:val="none"/>
          <w:u w:val="single"/>
          <w:lang w:val="en-US" w:eastAsia="zh-CN"/>
        </w:rPr>
        <w:t xml:space="preserve">    （2）     </w:t>
      </w:r>
      <w:r>
        <w:rPr>
          <w:rFonts w:hint="eastAsia" w:ascii="宋体" w:hAnsi="宋体" w:cs="宋体"/>
          <w:color w:val="auto"/>
          <w:szCs w:val="21"/>
          <w:highlight w:val="none"/>
        </w:rPr>
        <w:t>种方式：</w:t>
      </w:r>
    </w:p>
    <w:p w14:paraId="795811F1">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 工程质量保证担保，保证金额为：</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w:t>
      </w:r>
    </w:p>
    <w:p w14:paraId="473C812C">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 xml:space="preserve">(2) </w:t>
      </w:r>
      <w:r>
        <w:rPr>
          <w:rFonts w:hint="eastAsia" w:ascii="宋体" w:hAnsi="宋体" w:cs="宋体"/>
          <w:color w:val="auto"/>
          <w:szCs w:val="21"/>
          <w:highlight w:val="none"/>
          <w:u w:val="single"/>
          <w:lang w:val="en-US" w:eastAsia="zh-CN"/>
        </w:rPr>
        <w:t xml:space="preserve">   2   </w:t>
      </w:r>
      <w:r>
        <w:rPr>
          <w:rFonts w:hint="eastAsia" w:ascii="宋体" w:hAnsi="宋体" w:cs="宋体"/>
          <w:color w:val="auto"/>
          <w:szCs w:val="21"/>
          <w:highlight w:val="none"/>
        </w:rPr>
        <w:t>%的工程款；</w:t>
      </w:r>
    </w:p>
    <w:p w14:paraId="4F3B3BB7">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(3) 其他方式：</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w:t>
      </w:r>
    </w:p>
    <w:p w14:paraId="1BE7764E">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14.6.2 质量保证金的预留</w:t>
      </w:r>
    </w:p>
    <w:p w14:paraId="57840E12">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质量保证金的预留采取以下第</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种方式：</w:t>
      </w:r>
    </w:p>
    <w:p w14:paraId="4E31BD5C">
      <w:pPr>
        <w:keepNext w:val="0"/>
        <w:keepLines w:val="0"/>
        <w:pageBreakBefore w:val="0"/>
        <w:widowControl w:val="0"/>
        <w:kinsoku/>
        <w:wordWrap/>
        <w:overflowPunct/>
        <w:topLinePunct w:val="0"/>
        <w:autoSpaceDE/>
        <w:autoSpaceDN/>
        <w:bidi w:val="0"/>
        <w:adjustRightInd/>
        <w:snapToGrid/>
        <w:spacing w:before="260" w:line="360" w:lineRule="auto"/>
        <w:ind w:firstLine="420"/>
        <w:textAlignment w:val="auto"/>
        <w:rPr>
          <w:rFonts w:ascii="宋体" w:hAnsi="宋体" w:cs="宋体"/>
          <w:color w:val="auto"/>
          <w:szCs w:val="21"/>
          <w:highlight w:val="none"/>
        </w:rPr>
      </w:pPr>
      <w:r>
        <w:rPr>
          <w:rFonts w:hint="eastAsia" w:ascii="宋体" w:hAnsi="宋体" w:cs="宋体"/>
          <w:color w:val="auto"/>
          <w:szCs w:val="21"/>
          <w:highlight w:val="none"/>
        </w:rPr>
        <w:t>(1) 在支付工程进度款时逐次预留的质量保证金的比例：</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，在此情形下，质量保证金的计算基数不包括预付款的支付、扣回以及价格调整的金额；</w:t>
      </w:r>
    </w:p>
    <w:p w14:paraId="1AB90BDD">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(2) 工程竣工结算时一次性预留专用合同条件第14.6.1项第(2)目约定的工程款预留比例的质量保证金；</w:t>
      </w:r>
    </w:p>
    <w:p w14:paraId="58532844">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(3) 其他预留方式:</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w:t>
      </w:r>
    </w:p>
    <w:p w14:paraId="3DAA64CB">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关于质量保证金的补充约定：</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w:t>
      </w:r>
    </w:p>
    <w:p w14:paraId="116F19CB">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14.7 最终结清</w:t>
      </w:r>
    </w:p>
    <w:p w14:paraId="2E7FEBA8">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14.7.1 最终结清申请单</w:t>
      </w:r>
    </w:p>
    <w:p w14:paraId="03115002">
      <w:pPr>
        <w:spacing w:before="260" w:line="280" w:lineRule="exact"/>
        <w:ind w:firstLine="420"/>
        <w:rPr>
          <w:rFonts w:hint="eastAsia" w:ascii="宋体" w:hAnsi="宋体" w:cs="宋体"/>
          <w:color w:val="auto"/>
          <w:szCs w:val="21"/>
          <w:highlight w:val="none"/>
        </w:rPr>
      </w:pPr>
      <w:r>
        <w:rPr>
          <w:rFonts w:hint="eastAsia" w:ascii="宋体" w:hAnsi="宋体" w:cs="宋体"/>
          <w:color w:val="auto"/>
          <w:szCs w:val="21"/>
          <w:highlight w:val="none"/>
        </w:rPr>
        <w:t>当事人双方关于最终结清申请的其他约定：</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w:t>
      </w:r>
    </w:p>
    <w:p w14:paraId="236D05AC">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14.7.2 最终结清证书和支付</w:t>
      </w:r>
    </w:p>
    <w:p w14:paraId="433DC4CE">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当事人双方关于最终结清支付的其他约定：</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w:t>
      </w:r>
    </w:p>
    <w:p w14:paraId="06F1C9E2">
      <w:pPr>
        <w:pStyle w:val="156"/>
        <w:spacing w:before="260" w:after="120" w:line="280" w:lineRule="exact"/>
        <w:ind w:firstLine="422" w:firstLineChars="200"/>
        <w:rPr>
          <w:rFonts w:cs="宋体"/>
          <w:b/>
          <w:bCs/>
          <w:color w:val="auto"/>
          <w:sz w:val="21"/>
          <w:szCs w:val="21"/>
          <w:highlight w:val="none"/>
        </w:rPr>
      </w:pPr>
      <w:bookmarkStart w:id="1651" w:name="_Toc54862346"/>
      <w:bookmarkStart w:id="1652" w:name="_Toc32034"/>
      <w:bookmarkStart w:id="1653" w:name="_Toc9410"/>
      <w:bookmarkStart w:id="1654" w:name="_Toc15247"/>
      <w:bookmarkStart w:id="1655" w:name="_Toc28675"/>
      <w:r>
        <w:rPr>
          <w:rFonts w:hint="eastAsia" w:cs="宋体"/>
          <w:b/>
          <w:bCs/>
          <w:color w:val="auto"/>
          <w:sz w:val="21"/>
          <w:szCs w:val="21"/>
          <w:highlight w:val="none"/>
        </w:rPr>
        <w:t>第15条 违约</w:t>
      </w:r>
      <w:bookmarkEnd w:id="1651"/>
      <w:bookmarkEnd w:id="1652"/>
      <w:bookmarkEnd w:id="1653"/>
      <w:bookmarkEnd w:id="1654"/>
      <w:bookmarkEnd w:id="1655"/>
    </w:p>
    <w:p w14:paraId="716AD1FD">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15.1 发包人违约</w:t>
      </w:r>
    </w:p>
    <w:p w14:paraId="1723362E">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15.1.1 发包人违约的情形</w:t>
      </w:r>
    </w:p>
    <w:p w14:paraId="6777E01F">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发包人违约的其他情形</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lang w:val="en-US" w:eastAsia="zh-CN"/>
        </w:rPr>
        <w:t>。</w:t>
      </w:r>
    </w:p>
    <w:p w14:paraId="2382F5E6">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15.1.3 发包人违约的责任</w:t>
      </w:r>
    </w:p>
    <w:p w14:paraId="5F9E89C0">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发包人违约责任的承担方式和计算方法：</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lang w:val="en-US" w:eastAsia="zh-CN"/>
        </w:rPr>
        <w:t>。</w:t>
      </w:r>
    </w:p>
    <w:p w14:paraId="66A5A515">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15.2 承包人违约</w:t>
      </w:r>
    </w:p>
    <w:p w14:paraId="198EE4E3">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15.2.1 承包人违约的情形</w:t>
      </w:r>
    </w:p>
    <w:p w14:paraId="483AFC32">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承包人违约的</w:t>
      </w:r>
      <w:r>
        <w:rPr>
          <w:rFonts w:hint="eastAsia" w:ascii="宋体" w:hAnsi="宋体" w:cs="宋体"/>
          <w:color w:val="auto"/>
          <w:szCs w:val="21"/>
          <w:highlight w:val="none"/>
          <w:lang w:eastAsia="zh-CN"/>
        </w:rPr>
        <w:t>其他</w:t>
      </w:r>
      <w:r>
        <w:rPr>
          <w:rFonts w:hint="eastAsia" w:ascii="宋体" w:hAnsi="宋体" w:cs="宋体"/>
          <w:color w:val="auto"/>
          <w:szCs w:val="21"/>
          <w:highlight w:val="none"/>
        </w:rPr>
        <w:t>情形</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lang w:val="en-US" w:eastAsia="zh-CN"/>
        </w:rPr>
        <w:t>。</w:t>
      </w:r>
    </w:p>
    <w:p w14:paraId="7C1C0112">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15.2.2 通知改正</w:t>
      </w:r>
    </w:p>
    <w:p w14:paraId="090BDDEF">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工程师通知承包人改正的合理期限是：</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lang w:val="en-US" w:eastAsia="zh-CN"/>
        </w:rPr>
        <w:t>。</w:t>
      </w:r>
    </w:p>
    <w:p w14:paraId="3DDE9759">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15.2.3 承包人违约的责任</w:t>
      </w:r>
    </w:p>
    <w:p w14:paraId="5DDFB53C">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承包人违约责任的承担方式和计算方法</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lang w:val="en-US" w:eastAsia="zh-CN"/>
        </w:rPr>
        <w:t>。</w:t>
      </w:r>
    </w:p>
    <w:p w14:paraId="40968A07">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15.2.3 承包人违约的责任</w:t>
      </w:r>
    </w:p>
    <w:p w14:paraId="4946E27B">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承包人违约责任的承担方式和计算方法：</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lang w:val="en-US" w:eastAsia="zh-CN"/>
        </w:rPr>
        <w:t>。</w:t>
      </w:r>
    </w:p>
    <w:p w14:paraId="253E2D58">
      <w:pPr>
        <w:pStyle w:val="156"/>
        <w:spacing w:before="260" w:after="120" w:line="280" w:lineRule="exact"/>
        <w:ind w:firstLine="422" w:firstLineChars="200"/>
        <w:rPr>
          <w:rFonts w:cs="宋体"/>
          <w:b/>
          <w:bCs/>
          <w:color w:val="auto"/>
          <w:sz w:val="21"/>
          <w:szCs w:val="21"/>
          <w:highlight w:val="none"/>
        </w:rPr>
      </w:pPr>
      <w:bookmarkStart w:id="1656" w:name="_Toc4042"/>
      <w:bookmarkStart w:id="1657" w:name="_Toc6751"/>
      <w:bookmarkStart w:id="1658" w:name="_Toc21980"/>
      <w:bookmarkStart w:id="1659" w:name="_Toc9710"/>
      <w:bookmarkStart w:id="1660" w:name="_Toc54862347"/>
      <w:r>
        <w:rPr>
          <w:rFonts w:hint="eastAsia" w:cs="宋体"/>
          <w:b/>
          <w:bCs/>
          <w:color w:val="auto"/>
          <w:sz w:val="21"/>
          <w:szCs w:val="21"/>
          <w:highlight w:val="none"/>
        </w:rPr>
        <w:t>第16条 合同解除</w:t>
      </w:r>
      <w:bookmarkEnd w:id="1656"/>
      <w:bookmarkEnd w:id="1657"/>
      <w:bookmarkEnd w:id="1658"/>
      <w:bookmarkEnd w:id="1659"/>
      <w:bookmarkEnd w:id="1660"/>
    </w:p>
    <w:p w14:paraId="7AEC4BAF">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16.1 由发包人解除合同</w:t>
      </w:r>
    </w:p>
    <w:p w14:paraId="084D0CF2">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16.1.1 因承包人违约解除合同</w:t>
      </w:r>
    </w:p>
    <w:p w14:paraId="7BA0CF1D">
      <w:pPr>
        <w:spacing w:before="260" w:line="280" w:lineRule="exact"/>
        <w:ind w:left="420" w:leftChars="200" w:firstLine="0" w:firstLineChars="0"/>
        <w:rPr>
          <w:rFonts w:hint="eastAsia" w:ascii="宋体" w:hAnsi="宋体" w:cs="宋体"/>
          <w:color w:val="auto"/>
          <w:szCs w:val="21"/>
          <w:highlight w:val="none"/>
          <w:u w:val="none"/>
          <w:lang w:val="en-US" w:eastAsia="zh-CN"/>
        </w:rPr>
      </w:pPr>
      <w:r>
        <w:rPr>
          <w:rFonts w:hint="eastAsia" w:ascii="宋体" w:hAnsi="宋体" w:cs="宋体"/>
          <w:color w:val="auto"/>
          <w:szCs w:val="21"/>
          <w:highlight w:val="none"/>
        </w:rPr>
        <w:t>双方约定可由发包人解除合同的其他事由：</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lang w:val="en-US" w:eastAsia="zh-CN"/>
        </w:rPr>
        <w:t>。</w:t>
      </w:r>
    </w:p>
    <w:p w14:paraId="0DF67E4F">
      <w:pPr>
        <w:spacing w:before="260" w:line="280" w:lineRule="exact"/>
        <w:ind w:left="420" w:leftChars="200" w:firstLine="0" w:firstLineChars="0"/>
        <w:rPr>
          <w:rFonts w:ascii="宋体" w:hAnsi="宋体" w:cs="宋体"/>
          <w:color w:val="auto"/>
          <w:szCs w:val="21"/>
          <w:highlight w:val="none"/>
        </w:rPr>
      </w:pPr>
      <w:r>
        <w:rPr>
          <w:rFonts w:hint="eastAsia" w:ascii="宋体" w:hAnsi="宋体" w:cs="宋体"/>
          <w:color w:val="auto"/>
          <w:szCs w:val="21"/>
          <w:highlight w:val="none"/>
        </w:rPr>
        <w:t>16.2 由承包人解除合同</w:t>
      </w:r>
    </w:p>
    <w:p w14:paraId="5A17B6C7">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16.2.1 因发包人违约解除合同</w:t>
      </w:r>
    </w:p>
    <w:p w14:paraId="1460BFE0">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双方约定可由承包人解除合同的其他事由：</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lang w:val="en-US" w:eastAsia="zh-CN"/>
        </w:rPr>
        <w:t>。</w:t>
      </w:r>
    </w:p>
    <w:p w14:paraId="4430ABA0">
      <w:pPr>
        <w:pStyle w:val="156"/>
        <w:spacing w:before="260" w:after="120" w:line="280" w:lineRule="exact"/>
        <w:ind w:firstLine="422" w:firstLineChars="200"/>
        <w:rPr>
          <w:rFonts w:cs="宋体"/>
          <w:b/>
          <w:bCs/>
          <w:color w:val="auto"/>
          <w:sz w:val="21"/>
          <w:szCs w:val="21"/>
          <w:highlight w:val="none"/>
        </w:rPr>
      </w:pPr>
      <w:bookmarkStart w:id="1661" w:name="_Toc54862348"/>
      <w:bookmarkStart w:id="1662" w:name="_Toc19702"/>
      <w:bookmarkStart w:id="1663" w:name="_Toc3725"/>
      <w:bookmarkStart w:id="1664" w:name="_Toc19962"/>
      <w:bookmarkStart w:id="1665" w:name="_Toc29840"/>
      <w:r>
        <w:rPr>
          <w:rFonts w:hint="eastAsia" w:cs="宋体"/>
          <w:b/>
          <w:bCs/>
          <w:color w:val="auto"/>
          <w:sz w:val="21"/>
          <w:szCs w:val="21"/>
          <w:highlight w:val="none"/>
        </w:rPr>
        <w:t>第17条 不可抗力</w:t>
      </w:r>
      <w:bookmarkEnd w:id="1661"/>
      <w:bookmarkEnd w:id="1662"/>
      <w:bookmarkEnd w:id="1663"/>
      <w:bookmarkEnd w:id="1664"/>
      <w:bookmarkEnd w:id="1665"/>
    </w:p>
    <w:p w14:paraId="465CE4D3">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17.1 不可抗力的定义</w:t>
      </w:r>
    </w:p>
    <w:p w14:paraId="44E1265D">
      <w:pPr>
        <w:keepNext w:val="0"/>
        <w:keepLines w:val="0"/>
        <w:pageBreakBefore w:val="0"/>
        <w:widowControl w:val="0"/>
        <w:kinsoku/>
        <w:wordWrap/>
        <w:overflowPunct/>
        <w:topLinePunct w:val="0"/>
        <w:autoSpaceDE/>
        <w:autoSpaceDN/>
        <w:bidi w:val="0"/>
        <w:adjustRightInd/>
        <w:snapToGrid/>
        <w:spacing w:before="260" w:line="360" w:lineRule="auto"/>
        <w:ind w:firstLine="420"/>
        <w:textAlignment w:val="auto"/>
        <w:rPr>
          <w:rFonts w:hint="eastAsia" w:ascii="宋体" w:hAnsi="宋体" w:cs="宋体"/>
          <w:color w:val="auto"/>
          <w:szCs w:val="21"/>
          <w:highlight w:val="none"/>
        </w:rPr>
      </w:pPr>
      <w:r>
        <w:rPr>
          <w:rFonts w:hint="eastAsia" w:ascii="宋体" w:hAnsi="宋体" w:cs="宋体"/>
          <w:color w:val="auto"/>
          <w:szCs w:val="21"/>
          <w:highlight w:val="none"/>
        </w:rPr>
        <w:t>除通用合同条件约定的不可抗力事件之外，视为不可抗力的其他情形：</w:t>
      </w:r>
    </w:p>
    <w:p w14:paraId="1DDB44C5">
      <w:pPr>
        <w:keepNext w:val="0"/>
        <w:keepLines w:val="0"/>
        <w:pageBreakBefore w:val="0"/>
        <w:widowControl w:val="0"/>
        <w:kinsoku/>
        <w:wordWrap/>
        <w:overflowPunct/>
        <w:topLinePunct w:val="0"/>
        <w:autoSpaceDE/>
        <w:autoSpaceDN/>
        <w:bidi w:val="0"/>
        <w:adjustRightInd/>
        <w:snapToGrid/>
        <w:spacing w:before="260" w:line="360" w:lineRule="auto"/>
        <w:ind w:firstLine="420"/>
        <w:textAlignment w:val="auto"/>
        <w:rPr>
          <w:rFonts w:hint="eastAsia" w:ascii="宋体" w:hAnsi="宋体" w:cs="宋体"/>
          <w:color w:val="auto"/>
          <w:szCs w:val="21"/>
          <w:highlight w:val="none"/>
          <w:u w:val="single"/>
          <w:lang w:val="en-US" w:eastAsia="zh-CN"/>
        </w:rPr>
      </w:pPr>
      <w:r>
        <w:rPr>
          <w:rFonts w:hint="eastAsia" w:ascii="宋体" w:hAnsi="宋体" w:cs="宋体"/>
          <w:color w:val="auto"/>
          <w:szCs w:val="21"/>
          <w:highlight w:val="none"/>
          <w:u w:val="single"/>
          <w:lang w:val="en-US" w:eastAsia="zh-CN"/>
        </w:rPr>
        <w:t>（1）政府或者发包人对本合同工程的政策变化、计划的调整，导致本合同工程不能如期进行；</w:t>
      </w:r>
    </w:p>
    <w:p w14:paraId="3F833E0D">
      <w:pPr>
        <w:keepNext w:val="0"/>
        <w:keepLines w:val="0"/>
        <w:pageBreakBefore w:val="0"/>
        <w:widowControl w:val="0"/>
        <w:kinsoku/>
        <w:wordWrap/>
        <w:overflowPunct/>
        <w:topLinePunct w:val="0"/>
        <w:autoSpaceDE/>
        <w:autoSpaceDN/>
        <w:bidi w:val="0"/>
        <w:adjustRightInd/>
        <w:snapToGrid/>
        <w:spacing w:before="260" w:line="360" w:lineRule="auto"/>
        <w:ind w:firstLine="420"/>
        <w:textAlignment w:val="auto"/>
        <w:rPr>
          <w:rFonts w:hint="eastAsia" w:ascii="宋体" w:hAnsi="宋体" w:cs="宋体"/>
          <w:color w:val="auto"/>
          <w:szCs w:val="21"/>
          <w:highlight w:val="none"/>
          <w:u w:val="single"/>
          <w:lang w:val="en-US" w:eastAsia="zh-CN"/>
        </w:rPr>
      </w:pPr>
      <w:r>
        <w:rPr>
          <w:rFonts w:hint="eastAsia" w:ascii="宋体" w:hAnsi="宋体" w:cs="宋体"/>
          <w:color w:val="auto"/>
          <w:szCs w:val="21"/>
          <w:highlight w:val="none"/>
          <w:u w:val="single"/>
          <w:lang w:val="en-US" w:eastAsia="zh-CN"/>
        </w:rPr>
        <w:t>（2）异常天气：仅指50年以上（含50年）一遇的洪水或24小时平均风力8级以上的大风或24个小时内降雨量为50mm以上的暴雨或38摄氏度以上的高温天气。因异常天气袭击工地为确保安全而停工的，承包人应于台风、洪水、暴雨、高温天气结束之日起7日内，向当地气象部门索取工程所在地台风、暴雨天气资料或报告（含气象实况及对此分析的内容），连同施工日志、现场照片办理证据保全公证，方可认定为是不可抗力；</w:t>
      </w:r>
    </w:p>
    <w:p w14:paraId="26F057E2">
      <w:pPr>
        <w:keepNext w:val="0"/>
        <w:keepLines w:val="0"/>
        <w:pageBreakBefore w:val="0"/>
        <w:widowControl w:val="0"/>
        <w:kinsoku/>
        <w:wordWrap/>
        <w:overflowPunct/>
        <w:topLinePunct w:val="0"/>
        <w:autoSpaceDE/>
        <w:autoSpaceDN/>
        <w:bidi w:val="0"/>
        <w:adjustRightInd/>
        <w:snapToGrid/>
        <w:spacing w:before="260" w:line="360" w:lineRule="auto"/>
        <w:ind w:firstLine="420"/>
        <w:textAlignment w:val="auto"/>
        <w:rPr>
          <w:rFonts w:ascii="宋体" w:hAnsi="宋体" w:cs="宋体"/>
          <w:color w:val="auto"/>
          <w:szCs w:val="21"/>
          <w:highlight w:val="none"/>
        </w:rPr>
      </w:pPr>
      <w:r>
        <w:rPr>
          <w:rFonts w:hint="eastAsia" w:ascii="宋体" w:hAnsi="宋体" w:cs="宋体"/>
          <w:color w:val="auto"/>
          <w:szCs w:val="21"/>
          <w:highlight w:val="none"/>
          <w:u w:val="single"/>
          <w:lang w:val="en-US" w:eastAsia="zh-CN"/>
        </w:rPr>
        <w:t>（3）里氏5级（含5级）以上的地震。</w:t>
      </w:r>
    </w:p>
    <w:p w14:paraId="745D58FC">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17.6 因不可抗力解除合同</w:t>
      </w:r>
    </w:p>
    <w:p w14:paraId="5701B01A">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合同解除后，发包人应当在商定或确定发包人应支付款项后的</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天内完成款项的支付。</w:t>
      </w:r>
    </w:p>
    <w:p w14:paraId="1F18A83A">
      <w:pPr>
        <w:pStyle w:val="156"/>
        <w:spacing w:before="260" w:after="120" w:line="280" w:lineRule="exact"/>
        <w:ind w:firstLine="422" w:firstLineChars="200"/>
        <w:rPr>
          <w:rFonts w:cs="宋体"/>
          <w:b/>
          <w:bCs/>
          <w:color w:val="auto"/>
          <w:sz w:val="21"/>
          <w:szCs w:val="21"/>
          <w:highlight w:val="none"/>
        </w:rPr>
      </w:pPr>
      <w:bookmarkStart w:id="1666" w:name="_Toc4784277"/>
      <w:bookmarkEnd w:id="1666"/>
      <w:bookmarkStart w:id="1667" w:name="_Toc4784276"/>
      <w:bookmarkEnd w:id="1667"/>
      <w:bookmarkStart w:id="1668" w:name="_Toc54862349"/>
      <w:bookmarkStart w:id="1669" w:name="_Toc19365"/>
      <w:bookmarkStart w:id="1670" w:name="_Toc19743"/>
      <w:bookmarkStart w:id="1671" w:name="_Toc6492"/>
      <w:bookmarkStart w:id="1672" w:name="_Toc11437"/>
      <w:r>
        <w:rPr>
          <w:rFonts w:hint="eastAsia" w:cs="宋体"/>
          <w:b/>
          <w:bCs/>
          <w:color w:val="auto"/>
          <w:sz w:val="21"/>
          <w:szCs w:val="21"/>
          <w:highlight w:val="none"/>
        </w:rPr>
        <w:t>第18条保险</w:t>
      </w:r>
      <w:bookmarkEnd w:id="1668"/>
      <w:bookmarkEnd w:id="1669"/>
      <w:bookmarkEnd w:id="1670"/>
      <w:bookmarkEnd w:id="1671"/>
      <w:bookmarkEnd w:id="1672"/>
    </w:p>
    <w:p w14:paraId="20059C13">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18.1 设计和工程保险</w:t>
      </w:r>
    </w:p>
    <w:p w14:paraId="54E6CA43">
      <w:pPr>
        <w:keepNext w:val="0"/>
        <w:keepLines w:val="0"/>
        <w:pageBreakBefore w:val="0"/>
        <w:widowControl w:val="0"/>
        <w:kinsoku/>
        <w:wordWrap/>
        <w:overflowPunct/>
        <w:topLinePunct w:val="0"/>
        <w:autoSpaceDE/>
        <w:autoSpaceDN/>
        <w:bidi w:val="0"/>
        <w:adjustRightInd/>
        <w:snapToGrid/>
        <w:spacing w:before="260" w:line="360" w:lineRule="auto"/>
        <w:ind w:firstLine="420"/>
        <w:textAlignment w:val="auto"/>
        <w:rPr>
          <w:rFonts w:ascii="宋体" w:hAnsi="宋体" w:cs="宋体"/>
          <w:color w:val="auto"/>
          <w:szCs w:val="21"/>
          <w:highlight w:val="none"/>
        </w:rPr>
      </w:pPr>
      <w:r>
        <w:rPr>
          <w:rFonts w:hint="eastAsia" w:ascii="宋体" w:hAnsi="宋体" w:cs="宋体"/>
          <w:color w:val="auto"/>
          <w:szCs w:val="21"/>
          <w:highlight w:val="none"/>
        </w:rPr>
        <w:t>18.1.1 双方当事人关于设计和工程保险的特别约定：</w:t>
      </w:r>
      <w:r>
        <w:rPr>
          <w:rFonts w:hint="eastAsia" w:ascii="宋体" w:hAnsi="宋体" w:cs="宋体"/>
          <w:color w:val="auto"/>
          <w:szCs w:val="21"/>
          <w:highlight w:val="none"/>
          <w:u w:val="single"/>
          <w:lang w:val="en-US" w:eastAsia="zh-CN"/>
        </w:rPr>
        <w:t xml:space="preserve"> 由承包人负责投保的保险种类、保险范围、投保金额、保险期限和持续有效的时间：由承包人负责施工现场的施工安全、设备安全、施工人员安全，承包人需自行投保建设工程设计责任险、工程质量险、建筑工程一切险、安装工程一切险、施工现场人员人身财产意外伤亡的保险及第三者责任险等，并承担相关费用 </w:t>
      </w:r>
      <w:r>
        <w:rPr>
          <w:rFonts w:hint="eastAsia" w:ascii="宋体" w:hAnsi="宋体" w:cs="宋体"/>
          <w:color w:val="auto"/>
          <w:szCs w:val="21"/>
          <w:highlight w:val="none"/>
          <w:u w:val="none"/>
          <w:lang w:val="en-US" w:eastAsia="zh-CN"/>
        </w:rPr>
        <w:t>。</w:t>
      </w:r>
    </w:p>
    <w:p w14:paraId="3AFC3440">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18.1.2 双方当事人关于第三方责任险的特别约定：</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lang w:val="en-US" w:eastAsia="zh-CN"/>
        </w:rPr>
        <w:t>。</w:t>
      </w:r>
    </w:p>
    <w:p w14:paraId="47723BEC">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18.2 工伤和意外伤害保险</w:t>
      </w:r>
    </w:p>
    <w:p w14:paraId="71E82F9B">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18.2.3 关于工伤保险和意外伤害保险的特别约定：</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lang w:val="en-US" w:eastAsia="zh-CN"/>
        </w:rPr>
        <w:t>。</w:t>
      </w:r>
    </w:p>
    <w:p w14:paraId="2416E037">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18.3 货物保险</w:t>
      </w:r>
    </w:p>
    <w:p w14:paraId="1B1EAE3B">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关于承包人应为其施工设备、材料、工程设备和临时工程等办理财产保险的特别约定：</w:t>
      </w:r>
      <w:r>
        <w:rPr>
          <w:rFonts w:hint="eastAsia" w:ascii="宋体" w:hAnsi="宋体" w:cs="宋体"/>
          <w:color w:val="auto"/>
          <w:szCs w:val="21"/>
          <w:highlight w:val="none"/>
          <w:u w:val="single"/>
          <w:lang w:val="en-US" w:eastAsia="zh-CN"/>
        </w:rPr>
        <w:t xml:space="preserve">   / </w:t>
      </w:r>
      <w:r>
        <w:rPr>
          <w:rFonts w:hint="eastAsia" w:ascii="宋体" w:hAnsi="宋体" w:cs="宋体"/>
          <w:color w:val="auto"/>
          <w:szCs w:val="21"/>
          <w:highlight w:val="none"/>
          <w:u w:val="none"/>
          <w:lang w:val="en-US" w:eastAsia="zh-CN"/>
        </w:rPr>
        <w:t>。</w:t>
      </w:r>
    </w:p>
    <w:p w14:paraId="0EB2629B">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18.4 其他保险</w:t>
      </w:r>
    </w:p>
    <w:p w14:paraId="046AA04E">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关于其他保险的约定：</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lang w:val="en-US" w:eastAsia="zh-CN"/>
        </w:rPr>
        <w:t>。</w:t>
      </w:r>
    </w:p>
    <w:p w14:paraId="595C3561">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18.5 对各项保险的一般要求</w:t>
      </w:r>
    </w:p>
    <w:p w14:paraId="6AEF6AF5">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18.5.2 保险凭证</w:t>
      </w:r>
    </w:p>
    <w:p w14:paraId="6E374524">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保险单的条件：</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lang w:val="en-US" w:eastAsia="zh-CN"/>
        </w:rPr>
        <w:t>。</w:t>
      </w:r>
    </w:p>
    <w:p w14:paraId="4C497CB3">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18.5.4 通知义务</w:t>
      </w:r>
    </w:p>
    <w:p w14:paraId="73C2B045">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关于变更保险合同时的通知义务的约定：</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lang w:val="en-US" w:eastAsia="zh-CN"/>
        </w:rPr>
        <w:t>。</w:t>
      </w:r>
    </w:p>
    <w:p w14:paraId="437EDA99">
      <w:pPr>
        <w:pStyle w:val="156"/>
        <w:spacing w:before="260" w:after="120" w:line="280" w:lineRule="exact"/>
        <w:ind w:firstLine="422" w:firstLineChars="200"/>
        <w:rPr>
          <w:rFonts w:cs="宋体"/>
          <w:b/>
          <w:bCs/>
          <w:color w:val="auto"/>
          <w:sz w:val="21"/>
          <w:szCs w:val="21"/>
          <w:highlight w:val="none"/>
        </w:rPr>
      </w:pPr>
      <w:bookmarkStart w:id="1673" w:name="_Toc23580"/>
      <w:bookmarkStart w:id="1674" w:name="_Toc6626"/>
      <w:bookmarkStart w:id="1675" w:name="_Toc54862350"/>
      <w:bookmarkStart w:id="1676" w:name="_Toc2297"/>
      <w:bookmarkStart w:id="1677" w:name="_Toc6441"/>
      <w:r>
        <w:rPr>
          <w:rFonts w:hint="eastAsia" w:cs="宋体"/>
          <w:b/>
          <w:bCs/>
          <w:color w:val="auto"/>
          <w:sz w:val="21"/>
          <w:szCs w:val="21"/>
          <w:highlight w:val="none"/>
        </w:rPr>
        <w:t>第20条 争议解决</w:t>
      </w:r>
      <w:bookmarkEnd w:id="1673"/>
      <w:bookmarkEnd w:id="1674"/>
      <w:bookmarkEnd w:id="1675"/>
      <w:bookmarkEnd w:id="1676"/>
      <w:bookmarkEnd w:id="1677"/>
    </w:p>
    <w:p w14:paraId="163DFA8C">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20.3 争议评审</w:t>
      </w:r>
    </w:p>
    <w:p w14:paraId="38610EF0">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合同当事人是否同意将工程争议提交争议评审小组决定：</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lang w:val="en-US" w:eastAsia="zh-CN"/>
        </w:rPr>
        <w:t>。</w:t>
      </w:r>
    </w:p>
    <w:p w14:paraId="52F96069">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20.3.1 争议评审小组的确定</w:t>
      </w:r>
    </w:p>
    <w:p w14:paraId="3574348C">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争议评审小组成员的人数：</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lang w:val="en-US" w:eastAsia="zh-CN"/>
        </w:rPr>
        <w:t>。</w:t>
      </w:r>
    </w:p>
    <w:p w14:paraId="72042F61">
      <w:pPr>
        <w:spacing w:before="260" w:line="280" w:lineRule="exact"/>
        <w:ind w:firstLine="420"/>
        <w:rPr>
          <w:rFonts w:hint="eastAsia" w:ascii="宋体" w:hAnsi="宋体" w:cs="宋体"/>
          <w:color w:val="auto"/>
          <w:szCs w:val="21"/>
          <w:highlight w:val="none"/>
          <w:u w:val="none"/>
          <w:lang w:val="en-US" w:eastAsia="zh-CN"/>
        </w:rPr>
      </w:pPr>
      <w:r>
        <w:rPr>
          <w:rFonts w:hint="eastAsia" w:ascii="宋体" w:hAnsi="宋体" w:cs="宋体"/>
          <w:color w:val="auto"/>
          <w:szCs w:val="21"/>
          <w:highlight w:val="none"/>
        </w:rPr>
        <w:t>争议评审小组成员的确定：</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lang w:val="en-US" w:eastAsia="zh-CN"/>
        </w:rPr>
        <w:t>。</w:t>
      </w:r>
    </w:p>
    <w:p w14:paraId="327EFF77">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选定争议避免/评审组的期限：</w:t>
      </w:r>
      <w:r>
        <w:rPr>
          <w:rFonts w:hint="eastAsia" w:ascii="宋体" w:hAnsi="宋体" w:cs="宋体"/>
          <w:color w:val="auto"/>
          <w:szCs w:val="21"/>
          <w:highlight w:val="none"/>
          <w:u w:val="single"/>
          <w:lang w:val="en-US" w:eastAsia="zh-CN"/>
        </w:rPr>
        <w:t xml:space="preserve"> 执行通用合同条款  </w:t>
      </w:r>
      <w:r>
        <w:rPr>
          <w:rFonts w:hint="eastAsia" w:ascii="宋体" w:hAnsi="宋体" w:cs="宋体"/>
          <w:color w:val="auto"/>
          <w:szCs w:val="21"/>
          <w:highlight w:val="none"/>
          <w:u w:val="none"/>
          <w:lang w:val="en-US" w:eastAsia="zh-CN"/>
        </w:rPr>
        <w:t>。</w:t>
      </w:r>
    </w:p>
    <w:p w14:paraId="19B10608">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评审机构：</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lang w:val="en-US" w:eastAsia="zh-CN"/>
        </w:rPr>
        <w:t>。</w:t>
      </w:r>
    </w:p>
    <w:p w14:paraId="7C202818">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其他事项的约定：</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lang w:val="en-US" w:eastAsia="zh-CN"/>
        </w:rPr>
        <w:t>。</w:t>
      </w:r>
    </w:p>
    <w:p w14:paraId="1832FBA9">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争议评审员报酬的承担人：</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lang w:val="en-US" w:eastAsia="zh-CN"/>
        </w:rPr>
        <w:t>。</w:t>
      </w:r>
    </w:p>
    <w:p w14:paraId="0F7399F6">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20.3.2 争议的避免</w:t>
      </w:r>
    </w:p>
    <w:p w14:paraId="0A08D8F1">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发包人和承包人是否均出席争议避免的非正式讨论：</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lang w:val="en-US" w:eastAsia="zh-CN"/>
        </w:rPr>
        <w:t>。</w:t>
      </w:r>
    </w:p>
    <w:p w14:paraId="3739E18A">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20.3.3 争议评审小组的决定</w:t>
      </w:r>
    </w:p>
    <w:p w14:paraId="6083D769">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关于争议评审小组的决定的特别约定：</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lang w:val="en-US" w:eastAsia="zh-CN"/>
        </w:rPr>
        <w:t>。</w:t>
      </w:r>
    </w:p>
    <w:p w14:paraId="573DCDCF">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20.4 仲裁或诉讼</w:t>
      </w:r>
    </w:p>
    <w:p w14:paraId="48D930F8">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因合同及合同有关事项发生的争议，按下列第</w:t>
      </w:r>
      <w:r>
        <w:rPr>
          <w:rFonts w:hint="eastAsia" w:ascii="宋体" w:hAnsi="宋体" w:cs="宋体"/>
          <w:color w:val="auto"/>
          <w:szCs w:val="21"/>
          <w:highlight w:val="none"/>
          <w:u w:val="single"/>
          <w:lang w:val="en-US" w:eastAsia="zh-CN"/>
        </w:rPr>
        <w:t xml:space="preserve">    （2）    </w:t>
      </w:r>
      <w:r>
        <w:rPr>
          <w:rFonts w:hint="eastAsia" w:ascii="宋体" w:hAnsi="宋体" w:cs="宋体"/>
          <w:color w:val="auto"/>
          <w:szCs w:val="21"/>
          <w:highlight w:val="none"/>
        </w:rPr>
        <w:t>种方式解决：</w:t>
      </w:r>
    </w:p>
    <w:p w14:paraId="3E6816E4">
      <w:pPr>
        <w:spacing w:before="260" w:line="280" w:lineRule="exact"/>
        <w:ind w:firstLine="420"/>
        <w:rPr>
          <w:rFonts w:ascii="宋体" w:hAnsi="宋体" w:cs="宋体"/>
          <w:color w:val="auto"/>
          <w:szCs w:val="21"/>
          <w:highlight w:val="none"/>
        </w:rPr>
      </w:pPr>
      <w:r>
        <w:rPr>
          <w:rFonts w:hint="eastAsia" w:ascii="宋体" w:hAnsi="宋体" w:cs="宋体"/>
          <w:color w:val="auto"/>
          <w:szCs w:val="21"/>
          <w:highlight w:val="none"/>
        </w:rPr>
        <w:t>（1）向</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仲裁委员会申请仲裁；</w:t>
      </w:r>
    </w:p>
    <w:p w14:paraId="71D02EFE">
      <w:pPr>
        <w:spacing w:before="260" w:line="2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（2）向</w:t>
      </w:r>
      <w:r>
        <w:rPr>
          <w:rFonts w:hint="eastAsia" w:ascii="宋体" w:hAnsi="宋体" w:cs="宋体"/>
          <w:color w:val="auto"/>
          <w:szCs w:val="21"/>
          <w:highlight w:val="none"/>
          <w:u w:val="single"/>
          <w:lang w:val="en-US" w:eastAsia="zh-CN"/>
        </w:rPr>
        <w:t xml:space="preserve">    施工所在地的    </w:t>
      </w:r>
      <w:r>
        <w:rPr>
          <w:rFonts w:hint="eastAsia" w:ascii="宋体" w:hAnsi="宋体" w:cs="宋体"/>
          <w:color w:val="auto"/>
          <w:szCs w:val="21"/>
          <w:highlight w:val="none"/>
        </w:rPr>
        <w:t>人民法院起诉。</w:t>
      </w:r>
    </w:p>
    <w:p w14:paraId="1C6A439C">
      <w:pPr>
        <w:spacing w:before="260" w:line="280" w:lineRule="exact"/>
        <w:ind w:firstLine="420"/>
        <w:rPr>
          <w:rFonts w:hint="eastAsia" w:ascii="宋体" w:hAnsi="宋体"/>
          <w:color w:val="auto"/>
          <w:szCs w:val="21"/>
          <w:highlight w:val="none"/>
          <w:lang w:eastAsia="zh-CN"/>
        </w:rPr>
        <w:sectPr>
          <w:headerReference r:id="rId45" w:type="default"/>
          <w:pgSz w:w="11906" w:h="16838"/>
          <w:pgMar w:top="1440" w:right="1800" w:bottom="1440" w:left="1800" w:header="720" w:footer="998" w:gutter="0"/>
          <w:pgNumType w:fmt="decimal"/>
          <w:cols w:space="720" w:num="1"/>
          <w:docGrid w:linePitch="326" w:charSpace="0"/>
        </w:sectPr>
      </w:pPr>
    </w:p>
    <w:p w14:paraId="70A80664">
      <w:pPr>
        <w:pStyle w:val="169"/>
        <w:keepNext w:val="0"/>
        <w:keepLines w:val="0"/>
        <w:widowControl/>
        <w:adjustRightInd w:val="0"/>
        <w:snapToGrid w:val="0"/>
        <w:spacing w:after="50" w:line="360" w:lineRule="auto"/>
        <w:rPr>
          <w:b/>
          <w:bCs w:val="0"/>
          <w:color w:val="auto"/>
          <w:sz w:val="21"/>
          <w:szCs w:val="21"/>
          <w:highlight w:val="none"/>
        </w:rPr>
      </w:pPr>
      <w:bookmarkStart w:id="1678" w:name="_Toc54862351"/>
      <w:bookmarkStart w:id="1679" w:name="_Toc18849"/>
      <w:bookmarkStart w:id="1680" w:name="_Toc6326"/>
      <w:r>
        <w:rPr>
          <w:rFonts w:hint="eastAsia"/>
          <w:b/>
          <w:bCs w:val="0"/>
          <w:color w:val="auto"/>
          <w:sz w:val="21"/>
          <w:szCs w:val="21"/>
          <w:highlight w:val="none"/>
        </w:rPr>
        <w:t>专用合同条件附件</w:t>
      </w:r>
      <w:bookmarkEnd w:id="1678"/>
      <w:bookmarkEnd w:id="1679"/>
      <w:bookmarkEnd w:id="1680"/>
    </w:p>
    <w:p w14:paraId="0C5A8091">
      <w:pPr>
        <w:spacing w:line="360" w:lineRule="auto"/>
        <w:ind w:firstLine="420"/>
        <w:rPr>
          <w:rFonts w:ascii="宋体" w:hAnsi="宋体"/>
          <w:color w:val="auto"/>
          <w:szCs w:val="21"/>
          <w:highlight w:val="none"/>
        </w:rPr>
      </w:pPr>
    </w:p>
    <w:p w14:paraId="6B80C389">
      <w:pPr>
        <w:spacing w:line="360" w:lineRule="auto"/>
        <w:ind w:firstLine="420"/>
        <w:rPr>
          <w:rFonts w:ascii="宋体" w:hAnsi="宋体" w:cs="仿宋_GB2312"/>
          <w:color w:val="auto"/>
          <w:szCs w:val="21"/>
          <w:highlight w:val="none"/>
        </w:rPr>
      </w:pPr>
      <w:r>
        <w:rPr>
          <w:rFonts w:hint="eastAsia" w:ascii="宋体" w:hAnsi="宋体" w:cs="仿宋_GB2312"/>
          <w:color w:val="auto"/>
          <w:szCs w:val="21"/>
          <w:highlight w:val="none"/>
        </w:rPr>
        <w:t>附件1：发包人要求</w:t>
      </w:r>
    </w:p>
    <w:p w14:paraId="61448C76">
      <w:pPr>
        <w:spacing w:line="360" w:lineRule="auto"/>
        <w:ind w:firstLine="420"/>
        <w:rPr>
          <w:rFonts w:ascii="宋体" w:hAnsi="宋体" w:cs="仿宋_GB2312"/>
          <w:color w:val="auto"/>
          <w:szCs w:val="21"/>
          <w:highlight w:val="none"/>
        </w:rPr>
      </w:pPr>
      <w:r>
        <w:rPr>
          <w:rFonts w:hint="eastAsia" w:ascii="宋体" w:hAnsi="宋体" w:cs="仿宋_GB2312"/>
          <w:color w:val="auto"/>
          <w:szCs w:val="21"/>
          <w:highlight w:val="none"/>
        </w:rPr>
        <w:t>附件2：发包人供应材料设备一览表</w:t>
      </w:r>
    </w:p>
    <w:p w14:paraId="6D05E98E">
      <w:pPr>
        <w:spacing w:line="360" w:lineRule="auto"/>
        <w:ind w:firstLine="420"/>
        <w:rPr>
          <w:rFonts w:ascii="宋体" w:hAnsi="宋体" w:cs="仿宋_GB2312"/>
          <w:color w:val="auto"/>
          <w:szCs w:val="21"/>
          <w:highlight w:val="none"/>
        </w:rPr>
      </w:pPr>
      <w:r>
        <w:rPr>
          <w:rFonts w:hint="eastAsia" w:ascii="宋体" w:hAnsi="宋体" w:cs="仿宋_GB2312"/>
          <w:color w:val="auto"/>
          <w:szCs w:val="21"/>
          <w:highlight w:val="none"/>
        </w:rPr>
        <w:t>附件3：工程质量保修书</w:t>
      </w:r>
    </w:p>
    <w:p w14:paraId="691475EF">
      <w:pPr>
        <w:spacing w:line="360" w:lineRule="auto"/>
        <w:ind w:firstLine="420"/>
        <w:rPr>
          <w:rFonts w:ascii="宋体" w:hAnsi="宋体" w:cs="仿宋_GB2312"/>
          <w:color w:val="auto"/>
          <w:szCs w:val="21"/>
          <w:highlight w:val="none"/>
        </w:rPr>
      </w:pPr>
      <w:r>
        <w:rPr>
          <w:rFonts w:hint="eastAsia" w:ascii="宋体" w:hAnsi="宋体" w:cs="仿宋_GB2312"/>
          <w:color w:val="auto"/>
          <w:szCs w:val="21"/>
          <w:highlight w:val="none"/>
        </w:rPr>
        <w:t>附件4：主要建设工程文件目录</w:t>
      </w:r>
    </w:p>
    <w:p w14:paraId="6BDBF565">
      <w:pPr>
        <w:spacing w:line="360" w:lineRule="auto"/>
        <w:ind w:firstLine="420"/>
        <w:rPr>
          <w:rFonts w:ascii="宋体" w:hAnsi="宋体" w:cs="仿宋_GB2312"/>
          <w:color w:val="auto"/>
          <w:szCs w:val="21"/>
          <w:highlight w:val="none"/>
        </w:rPr>
      </w:pPr>
      <w:r>
        <w:rPr>
          <w:rFonts w:hint="eastAsia" w:ascii="宋体" w:hAnsi="宋体" w:cs="仿宋_GB2312"/>
          <w:color w:val="auto"/>
          <w:szCs w:val="21"/>
          <w:highlight w:val="none"/>
        </w:rPr>
        <w:t>附件5：承包人主要管理人员表</w:t>
      </w:r>
    </w:p>
    <w:p w14:paraId="58B30DC4">
      <w:pPr>
        <w:spacing w:line="360" w:lineRule="auto"/>
        <w:ind w:firstLine="420"/>
        <w:rPr>
          <w:rFonts w:ascii="宋体" w:hAnsi="宋体" w:cs="仿宋_GB2312"/>
          <w:color w:val="auto"/>
          <w:szCs w:val="21"/>
          <w:highlight w:val="none"/>
        </w:rPr>
      </w:pPr>
      <w:r>
        <w:rPr>
          <w:rFonts w:hint="eastAsia" w:ascii="宋体" w:hAnsi="宋体" w:cs="仿宋_GB2312"/>
          <w:color w:val="auto"/>
          <w:szCs w:val="21"/>
          <w:highlight w:val="none"/>
        </w:rPr>
        <w:t>附件</w:t>
      </w:r>
      <w:r>
        <w:rPr>
          <w:rFonts w:ascii="宋体" w:hAnsi="宋体" w:cs="仿宋_GB2312"/>
          <w:color w:val="auto"/>
          <w:szCs w:val="21"/>
          <w:highlight w:val="none"/>
        </w:rPr>
        <w:t>6</w:t>
      </w:r>
      <w:r>
        <w:rPr>
          <w:rFonts w:hint="eastAsia" w:ascii="宋体" w:hAnsi="宋体" w:cs="仿宋_GB2312"/>
          <w:color w:val="auto"/>
          <w:szCs w:val="21"/>
          <w:highlight w:val="none"/>
        </w:rPr>
        <w:t>：价格指数权重表</w:t>
      </w:r>
    </w:p>
    <w:p w14:paraId="02D04127">
      <w:pPr>
        <w:spacing w:line="360" w:lineRule="auto"/>
        <w:ind w:firstLine="420"/>
        <w:rPr>
          <w:rFonts w:ascii="宋体" w:hAnsi="宋体"/>
          <w:color w:val="auto"/>
          <w:szCs w:val="21"/>
          <w:highlight w:val="none"/>
        </w:rPr>
      </w:pPr>
    </w:p>
    <w:p w14:paraId="6C50E166">
      <w:pPr>
        <w:spacing w:line="360" w:lineRule="auto"/>
        <w:ind w:firstLine="420"/>
        <w:rPr>
          <w:rFonts w:ascii="宋体" w:hAnsi="宋体"/>
          <w:color w:val="auto"/>
          <w:szCs w:val="21"/>
          <w:highlight w:val="none"/>
        </w:rPr>
      </w:pPr>
    </w:p>
    <w:p w14:paraId="48F23C7F">
      <w:pPr>
        <w:spacing w:line="360" w:lineRule="auto"/>
        <w:ind w:firstLine="420"/>
        <w:rPr>
          <w:rFonts w:ascii="宋体" w:hAnsi="宋体"/>
          <w:color w:val="auto"/>
          <w:szCs w:val="21"/>
          <w:highlight w:val="none"/>
        </w:rPr>
      </w:pPr>
    </w:p>
    <w:p w14:paraId="22601A73">
      <w:pPr>
        <w:spacing w:line="360" w:lineRule="auto"/>
        <w:jc w:val="left"/>
        <w:rPr>
          <w:rFonts w:ascii="宋体" w:hAnsi="宋体"/>
          <w:color w:val="auto"/>
          <w:szCs w:val="21"/>
          <w:highlight w:val="none"/>
        </w:rPr>
      </w:pPr>
      <w:r>
        <w:rPr>
          <w:rFonts w:ascii="宋体" w:hAnsi="宋体"/>
          <w:color w:val="auto"/>
          <w:szCs w:val="21"/>
          <w:highlight w:val="none"/>
        </w:rPr>
        <w:br w:type="page"/>
      </w:r>
    </w:p>
    <w:p w14:paraId="68210ECD">
      <w:pPr>
        <w:pStyle w:val="173"/>
        <w:numPr>
          <w:ilvl w:val="0"/>
          <w:numId w:val="0"/>
        </w:numPr>
        <w:wordWrap/>
        <w:spacing w:after="120"/>
        <w:rPr>
          <w:rFonts w:ascii="宋体" w:hAnsi="宋体" w:eastAsia="宋体"/>
          <w:color w:val="auto"/>
          <w:sz w:val="21"/>
          <w:szCs w:val="21"/>
          <w:highlight w:val="none"/>
        </w:rPr>
      </w:pPr>
      <w:bookmarkStart w:id="1681" w:name="_Toc54862352"/>
      <w:bookmarkStart w:id="1682" w:name="_Toc18633"/>
      <w:bookmarkStart w:id="1683" w:name="_Toc15939"/>
      <w:bookmarkStart w:id="1684" w:name="_Toc23155"/>
      <w:bookmarkStart w:id="1685" w:name="_Toc28219"/>
      <w:bookmarkStart w:id="1686" w:name="_Hlk38571789"/>
      <w:r>
        <w:rPr>
          <w:rFonts w:hint="eastAsia" w:ascii="宋体" w:hAnsi="宋体" w:eastAsia="宋体"/>
          <w:color w:val="auto"/>
          <w:sz w:val="21"/>
          <w:szCs w:val="21"/>
          <w:highlight w:val="none"/>
        </w:rPr>
        <w:t>附件1《发包人要求》</w:t>
      </w:r>
      <w:bookmarkEnd w:id="1681"/>
      <w:bookmarkEnd w:id="1682"/>
      <w:bookmarkEnd w:id="1683"/>
      <w:bookmarkEnd w:id="1684"/>
      <w:bookmarkEnd w:id="1685"/>
    </w:p>
    <w:bookmarkEnd w:id="1686"/>
    <w:p w14:paraId="74C86B74">
      <w:pPr>
        <w:spacing w:line="360" w:lineRule="auto"/>
        <w:ind w:firstLine="420"/>
        <w:rPr>
          <w:rFonts w:ascii="宋体" w:hAnsi="宋体"/>
          <w:color w:val="auto"/>
          <w:szCs w:val="21"/>
          <w:highlight w:val="none"/>
        </w:rPr>
      </w:pPr>
      <w:r>
        <w:rPr>
          <w:rFonts w:hint="eastAsia" w:ascii="宋体" w:hAnsi="宋体"/>
          <w:color w:val="auto"/>
          <w:szCs w:val="21"/>
          <w:highlight w:val="none"/>
        </w:rPr>
        <w:t>《发包人要求》应尽可能清晰准确，对于可以进行定量评估的工作，《发包人要求》不仅应明确规定其产能、功能、用途、质量、环境、安全，并且要规定偏离的范围和计算方法，以及检验、试验、试运行的具体要求。对于承包人负责提供的有关设备和服务，对发包人人员进行培训和提供一些消耗品等，在《发包人要求》中应一并明确规定。</w:t>
      </w:r>
    </w:p>
    <w:p w14:paraId="58B2D97E">
      <w:pPr>
        <w:spacing w:line="360" w:lineRule="auto"/>
        <w:ind w:firstLine="420"/>
        <w:rPr>
          <w:rFonts w:ascii="宋体" w:hAnsi="宋体"/>
          <w:color w:val="auto"/>
          <w:szCs w:val="21"/>
          <w:highlight w:val="none"/>
        </w:rPr>
      </w:pPr>
      <w:r>
        <w:rPr>
          <w:rFonts w:hint="eastAsia" w:ascii="宋体" w:hAnsi="宋体"/>
          <w:color w:val="auto"/>
          <w:szCs w:val="21"/>
          <w:highlight w:val="none"/>
        </w:rPr>
        <w:t>《发包人要求》通常包括但不限于以下内容：</w:t>
      </w:r>
    </w:p>
    <w:p w14:paraId="72AF0C9F">
      <w:pPr>
        <w:spacing w:line="360" w:lineRule="auto"/>
        <w:ind w:firstLine="420"/>
        <w:rPr>
          <w:rFonts w:ascii="宋体" w:hAnsi="宋体"/>
          <w:color w:val="auto"/>
          <w:szCs w:val="21"/>
          <w:highlight w:val="none"/>
        </w:rPr>
      </w:pPr>
      <w:r>
        <w:rPr>
          <w:rFonts w:hint="eastAsia" w:ascii="宋体" w:hAnsi="宋体"/>
          <w:color w:val="auto"/>
          <w:szCs w:val="21"/>
          <w:highlight w:val="none"/>
        </w:rPr>
        <w:t>一、功能要求</w:t>
      </w:r>
    </w:p>
    <w:p w14:paraId="6B4F2F90">
      <w:pPr>
        <w:spacing w:line="360" w:lineRule="auto"/>
        <w:ind w:firstLine="420"/>
        <w:rPr>
          <w:rFonts w:ascii="宋体" w:hAnsi="宋体"/>
          <w:color w:val="auto"/>
          <w:szCs w:val="21"/>
          <w:highlight w:val="none"/>
        </w:rPr>
      </w:pPr>
      <w:r>
        <w:rPr>
          <w:rFonts w:hint="eastAsia" w:ascii="宋体" w:hAnsi="宋体"/>
          <w:color w:val="auto"/>
          <w:szCs w:val="21"/>
          <w:highlight w:val="none"/>
        </w:rPr>
        <w:t>（一）工程目的：。</w:t>
      </w:r>
    </w:p>
    <w:p w14:paraId="1645FC14">
      <w:pPr>
        <w:spacing w:line="360" w:lineRule="auto"/>
        <w:ind w:firstLine="420"/>
        <w:rPr>
          <w:rFonts w:hint="eastAsia" w:ascii="宋体" w:hAnsi="宋体"/>
          <w:color w:val="auto"/>
          <w:szCs w:val="21"/>
          <w:highlight w:val="none"/>
          <w:u w:val="none"/>
          <w:lang w:val="en-US" w:eastAsia="zh-CN"/>
        </w:rPr>
      </w:pPr>
      <w:r>
        <w:rPr>
          <w:rFonts w:hint="eastAsia" w:ascii="宋体" w:hAnsi="宋体"/>
          <w:color w:val="auto"/>
          <w:szCs w:val="21"/>
          <w:highlight w:val="none"/>
        </w:rPr>
        <w:t>（二）工程规模：</w:t>
      </w:r>
      <w:r>
        <w:rPr>
          <w:rFonts w:hint="eastAsia" w:ascii="宋体" w:hAnsi="宋体"/>
          <w:color w:val="auto"/>
          <w:szCs w:val="21"/>
          <w:highlight w:val="none"/>
          <w:u w:val="none"/>
          <w:lang w:val="en-US" w:eastAsia="zh-CN"/>
        </w:rPr>
        <w:t>包括拆除并改造二、三级网管道长度总计157102米，其中拆除并改造二级网管道长度为38656米，拆除并改造三级网管道长度为118446米、换热站工艺改造（涉及44座换热站）及华源区域电控系统升级改造（涉及7座换热站、新港调度系统和芦屯调度系统）。改造区域涉及昌辉区域、鸿通区域和华源区域三个供热区域114个小区的供热管网设施更新改造工程。</w:t>
      </w:r>
    </w:p>
    <w:p w14:paraId="428F7C26">
      <w:pPr>
        <w:spacing w:line="360" w:lineRule="auto"/>
        <w:ind w:firstLine="420"/>
        <w:rPr>
          <w:rFonts w:ascii="宋体" w:hAnsi="宋体"/>
          <w:color w:val="auto"/>
          <w:szCs w:val="21"/>
          <w:highlight w:val="none"/>
        </w:rPr>
      </w:pPr>
      <w:r>
        <w:rPr>
          <w:rFonts w:hint="eastAsia" w:ascii="宋体" w:hAnsi="宋体"/>
          <w:color w:val="auto"/>
          <w:szCs w:val="21"/>
          <w:highlight w:val="none"/>
        </w:rPr>
        <w:t>二、招标范围</w:t>
      </w:r>
    </w:p>
    <w:p w14:paraId="5790BBB6">
      <w:pPr>
        <w:spacing w:line="360" w:lineRule="auto"/>
        <w:ind w:firstLine="420"/>
        <w:rPr>
          <w:rFonts w:ascii="宋体" w:hAnsi="宋体"/>
          <w:color w:val="auto"/>
          <w:szCs w:val="21"/>
          <w:highlight w:val="none"/>
        </w:rPr>
      </w:pPr>
      <w:r>
        <w:rPr>
          <w:rFonts w:hint="eastAsia" w:ascii="宋体" w:hAnsi="宋体"/>
          <w:color w:val="auto"/>
          <w:szCs w:val="21"/>
          <w:highlight w:val="none"/>
          <w:u w:val="none"/>
          <w:lang w:val="en-US" w:eastAsia="zh-CN"/>
        </w:rPr>
        <w:t>本项目为工程总承包（EPC）交钥匙工程，包含与本项目所有建安工程相关的建设内容和服务内容。具体包括工程规划范围内的全过程施工图设计、材料设备采购、施工、交(竣)工验收、质量保修期内服务，办理配套设施确认、配合完成最终结算审计等</w:t>
      </w:r>
      <w:r>
        <w:rPr>
          <w:rFonts w:hint="eastAsia" w:ascii="宋体" w:hAnsi="宋体" w:cs="宋体"/>
          <w:color w:val="auto"/>
          <w:szCs w:val="21"/>
          <w:highlight w:val="none"/>
          <w:u w:val="none"/>
        </w:rPr>
        <w:t>。</w:t>
      </w:r>
    </w:p>
    <w:p w14:paraId="5D68181E">
      <w:pPr>
        <w:spacing w:line="360" w:lineRule="auto"/>
        <w:ind w:firstLine="420"/>
        <w:rPr>
          <w:rFonts w:ascii="宋体" w:hAnsi="宋体"/>
          <w:color w:val="auto"/>
          <w:szCs w:val="21"/>
          <w:highlight w:val="none"/>
        </w:rPr>
      </w:pPr>
      <w:r>
        <w:rPr>
          <w:rFonts w:hint="eastAsia" w:ascii="宋体" w:hAnsi="宋体"/>
          <w:color w:val="auto"/>
          <w:szCs w:val="21"/>
          <w:highlight w:val="none"/>
        </w:rPr>
        <w:t>（二）包括的工作</w:t>
      </w:r>
    </w:p>
    <w:p w14:paraId="165C33B9">
      <w:pPr>
        <w:spacing w:line="360" w:lineRule="auto"/>
        <w:ind w:firstLine="420"/>
        <w:rPr>
          <w:rFonts w:ascii="宋体" w:hAnsi="宋体"/>
          <w:color w:val="auto"/>
          <w:szCs w:val="21"/>
          <w:highlight w:val="none"/>
        </w:rPr>
      </w:pPr>
      <w:r>
        <w:rPr>
          <w:rFonts w:hint="eastAsia" w:ascii="宋体" w:hAnsi="宋体"/>
          <w:color w:val="auto"/>
          <w:szCs w:val="21"/>
          <w:highlight w:val="none"/>
        </w:rPr>
        <w:t>1. 永久工程的设计、采购、施工范围。</w:t>
      </w:r>
    </w:p>
    <w:p w14:paraId="6DDE9CBD">
      <w:pPr>
        <w:spacing w:line="360" w:lineRule="auto"/>
        <w:ind w:firstLine="420"/>
        <w:rPr>
          <w:rFonts w:ascii="宋体" w:hAnsi="宋体"/>
          <w:color w:val="auto"/>
          <w:szCs w:val="21"/>
          <w:highlight w:val="none"/>
        </w:rPr>
      </w:pPr>
      <w:r>
        <w:rPr>
          <w:rFonts w:hint="eastAsia" w:ascii="宋体" w:hAnsi="宋体"/>
          <w:color w:val="auto"/>
          <w:szCs w:val="21"/>
          <w:highlight w:val="none"/>
        </w:rPr>
        <w:t>2. 临时工程的设计与施工范围。</w:t>
      </w:r>
    </w:p>
    <w:p w14:paraId="5892F7BA">
      <w:pPr>
        <w:spacing w:line="360" w:lineRule="auto"/>
        <w:ind w:firstLine="420"/>
        <w:rPr>
          <w:rFonts w:ascii="宋体" w:hAnsi="宋体"/>
          <w:color w:val="auto"/>
          <w:szCs w:val="21"/>
          <w:highlight w:val="none"/>
        </w:rPr>
      </w:pPr>
      <w:r>
        <w:rPr>
          <w:rFonts w:hint="eastAsia" w:ascii="宋体" w:hAnsi="宋体"/>
          <w:color w:val="auto"/>
          <w:szCs w:val="21"/>
          <w:highlight w:val="none"/>
        </w:rPr>
        <w:t>3. 竣工验收工作范围。</w:t>
      </w:r>
    </w:p>
    <w:p w14:paraId="39D2AC58">
      <w:pPr>
        <w:spacing w:line="360" w:lineRule="auto"/>
        <w:ind w:firstLine="420"/>
        <w:rPr>
          <w:rFonts w:ascii="宋体" w:hAnsi="宋体"/>
          <w:color w:val="auto"/>
          <w:szCs w:val="21"/>
          <w:highlight w:val="none"/>
        </w:rPr>
      </w:pPr>
      <w:r>
        <w:rPr>
          <w:rFonts w:hint="eastAsia" w:ascii="宋体" w:hAnsi="宋体"/>
          <w:color w:val="auto"/>
          <w:szCs w:val="21"/>
          <w:highlight w:val="none"/>
        </w:rPr>
        <w:t>4. 技术服务工作范围。</w:t>
      </w:r>
    </w:p>
    <w:p w14:paraId="7AD41151">
      <w:pPr>
        <w:spacing w:line="360" w:lineRule="auto"/>
        <w:ind w:firstLine="420"/>
        <w:rPr>
          <w:rFonts w:ascii="宋体" w:hAnsi="宋体"/>
          <w:color w:val="auto"/>
          <w:szCs w:val="21"/>
          <w:highlight w:val="none"/>
        </w:rPr>
      </w:pPr>
      <w:r>
        <w:rPr>
          <w:rFonts w:hint="eastAsia" w:ascii="宋体" w:hAnsi="宋体"/>
          <w:color w:val="auto"/>
          <w:szCs w:val="21"/>
          <w:highlight w:val="none"/>
        </w:rPr>
        <w:t>5. 培训工作范围。</w:t>
      </w:r>
    </w:p>
    <w:p w14:paraId="3550A5F9">
      <w:pPr>
        <w:spacing w:line="360" w:lineRule="auto"/>
        <w:ind w:firstLine="420"/>
        <w:rPr>
          <w:rFonts w:ascii="宋体" w:hAnsi="宋体"/>
          <w:color w:val="auto"/>
          <w:szCs w:val="21"/>
          <w:highlight w:val="none"/>
        </w:rPr>
      </w:pPr>
      <w:r>
        <w:rPr>
          <w:rFonts w:hint="eastAsia" w:ascii="宋体" w:hAnsi="宋体"/>
          <w:color w:val="auto"/>
          <w:szCs w:val="21"/>
          <w:highlight w:val="none"/>
        </w:rPr>
        <w:t>6. 保修工作范围。</w:t>
      </w:r>
    </w:p>
    <w:p w14:paraId="2427C7EE">
      <w:pPr>
        <w:spacing w:line="360" w:lineRule="auto"/>
        <w:ind w:firstLine="420"/>
        <w:rPr>
          <w:rFonts w:ascii="宋体" w:hAnsi="宋体"/>
          <w:color w:val="auto"/>
          <w:szCs w:val="21"/>
          <w:highlight w:val="none"/>
        </w:rPr>
      </w:pPr>
      <w:r>
        <w:rPr>
          <w:rFonts w:hint="eastAsia" w:ascii="宋体" w:hAnsi="宋体"/>
          <w:color w:val="auto"/>
          <w:szCs w:val="21"/>
          <w:highlight w:val="none"/>
        </w:rPr>
        <w:t>（三）工作界区</w:t>
      </w:r>
    </w:p>
    <w:p w14:paraId="1EB582A2">
      <w:pPr>
        <w:spacing w:line="360" w:lineRule="auto"/>
        <w:ind w:firstLine="420"/>
        <w:rPr>
          <w:rFonts w:ascii="宋体" w:hAnsi="宋体"/>
          <w:color w:val="auto"/>
          <w:szCs w:val="21"/>
          <w:highlight w:val="none"/>
        </w:rPr>
      </w:pPr>
      <w:r>
        <w:rPr>
          <w:rFonts w:hint="eastAsia" w:ascii="宋体" w:hAnsi="宋体"/>
          <w:color w:val="auto"/>
          <w:szCs w:val="21"/>
          <w:highlight w:val="none"/>
        </w:rPr>
        <w:t>（四）发包人提供的现场条件（以专用条款为准）</w:t>
      </w:r>
    </w:p>
    <w:p w14:paraId="38A2E1AB">
      <w:pPr>
        <w:spacing w:line="360" w:lineRule="auto"/>
        <w:ind w:firstLine="420"/>
        <w:rPr>
          <w:rFonts w:ascii="宋体" w:hAnsi="宋体"/>
          <w:color w:val="auto"/>
          <w:szCs w:val="21"/>
          <w:highlight w:val="none"/>
        </w:rPr>
      </w:pPr>
      <w:r>
        <w:rPr>
          <w:rFonts w:hint="eastAsia" w:ascii="宋体" w:hAnsi="宋体"/>
          <w:color w:val="auto"/>
          <w:szCs w:val="21"/>
          <w:highlight w:val="none"/>
        </w:rPr>
        <w:t>1. 施工用电。</w:t>
      </w:r>
    </w:p>
    <w:p w14:paraId="11F837EA">
      <w:pPr>
        <w:spacing w:line="360" w:lineRule="auto"/>
        <w:ind w:firstLine="420"/>
        <w:rPr>
          <w:rFonts w:ascii="宋体" w:hAnsi="宋体"/>
          <w:color w:val="auto"/>
          <w:szCs w:val="21"/>
          <w:highlight w:val="none"/>
        </w:rPr>
      </w:pPr>
      <w:r>
        <w:rPr>
          <w:rFonts w:hint="eastAsia" w:ascii="宋体" w:hAnsi="宋体"/>
          <w:color w:val="auto"/>
          <w:szCs w:val="21"/>
          <w:highlight w:val="none"/>
        </w:rPr>
        <w:t>2. 施工用水。</w:t>
      </w:r>
    </w:p>
    <w:p w14:paraId="1F35CCF0">
      <w:pPr>
        <w:spacing w:line="360" w:lineRule="auto"/>
        <w:ind w:firstLine="420"/>
        <w:rPr>
          <w:rFonts w:ascii="宋体" w:hAnsi="宋体"/>
          <w:color w:val="auto"/>
          <w:szCs w:val="21"/>
          <w:highlight w:val="none"/>
        </w:rPr>
      </w:pPr>
      <w:r>
        <w:rPr>
          <w:rFonts w:hint="eastAsia" w:ascii="宋体" w:hAnsi="宋体"/>
          <w:color w:val="auto"/>
          <w:szCs w:val="21"/>
          <w:highlight w:val="none"/>
        </w:rPr>
        <w:t>3. 施工排水。</w:t>
      </w:r>
    </w:p>
    <w:p w14:paraId="30F45FB1">
      <w:pPr>
        <w:spacing w:line="360" w:lineRule="auto"/>
        <w:ind w:firstLine="420"/>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 xml:space="preserve"> 施工道路。</w:t>
      </w:r>
    </w:p>
    <w:p w14:paraId="267955FE">
      <w:pPr>
        <w:spacing w:line="360" w:lineRule="auto"/>
        <w:ind w:firstLine="420"/>
        <w:rPr>
          <w:rFonts w:ascii="宋体" w:hAnsi="宋体"/>
          <w:color w:val="auto"/>
          <w:szCs w:val="21"/>
          <w:highlight w:val="none"/>
        </w:rPr>
      </w:pPr>
      <w:r>
        <w:rPr>
          <w:rFonts w:hint="eastAsia" w:ascii="宋体" w:hAnsi="宋体"/>
          <w:color w:val="auto"/>
          <w:szCs w:val="21"/>
          <w:highlight w:val="none"/>
        </w:rPr>
        <w:t>（五）发包人提供的技术文件</w:t>
      </w:r>
    </w:p>
    <w:p w14:paraId="40DAECDC">
      <w:pPr>
        <w:spacing w:line="360" w:lineRule="auto"/>
        <w:ind w:firstLine="420"/>
        <w:rPr>
          <w:rFonts w:ascii="宋体" w:hAnsi="宋体"/>
          <w:color w:val="auto"/>
          <w:szCs w:val="21"/>
          <w:highlight w:val="none"/>
        </w:rPr>
      </w:pPr>
      <w:r>
        <w:rPr>
          <w:rFonts w:hint="eastAsia" w:ascii="宋体" w:hAnsi="宋体"/>
          <w:color w:val="auto"/>
          <w:szCs w:val="21"/>
          <w:highlight w:val="none"/>
        </w:rPr>
        <w:t>除另有批准外，承包人的工作需要遵照发包人的下列技术文件:</w:t>
      </w:r>
    </w:p>
    <w:p w14:paraId="5364516C">
      <w:pPr>
        <w:spacing w:line="360" w:lineRule="auto"/>
        <w:ind w:firstLine="420"/>
        <w:rPr>
          <w:rFonts w:ascii="宋体" w:hAnsi="宋体"/>
          <w:color w:val="auto"/>
          <w:szCs w:val="21"/>
          <w:highlight w:val="none"/>
        </w:rPr>
      </w:pPr>
      <w:r>
        <w:rPr>
          <w:rFonts w:hint="eastAsia" w:ascii="宋体" w:hAnsi="宋体"/>
          <w:color w:val="auto"/>
          <w:szCs w:val="21"/>
          <w:highlight w:val="none"/>
        </w:rPr>
        <w:t>1. 发包人需求任务书。</w:t>
      </w:r>
    </w:p>
    <w:p w14:paraId="40BB3BF0">
      <w:pPr>
        <w:spacing w:line="360" w:lineRule="auto"/>
        <w:ind w:firstLine="420"/>
        <w:rPr>
          <w:rFonts w:ascii="宋体" w:hAnsi="宋体"/>
          <w:color w:val="auto"/>
          <w:szCs w:val="21"/>
          <w:highlight w:val="none"/>
        </w:rPr>
      </w:pPr>
      <w:r>
        <w:rPr>
          <w:rFonts w:hint="eastAsia" w:ascii="宋体" w:hAnsi="宋体"/>
          <w:color w:val="auto"/>
          <w:szCs w:val="21"/>
          <w:highlight w:val="none"/>
        </w:rPr>
        <w:t>2. 发包人已完成的设计文件。</w:t>
      </w:r>
    </w:p>
    <w:p w14:paraId="4AC1616B">
      <w:pPr>
        <w:spacing w:line="360" w:lineRule="auto"/>
        <w:ind w:firstLine="420"/>
        <w:rPr>
          <w:rFonts w:ascii="宋体" w:hAnsi="宋体"/>
          <w:color w:val="auto"/>
          <w:szCs w:val="21"/>
          <w:highlight w:val="none"/>
        </w:rPr>
      </w:pPr>
      <w:r>
        <w:rPr>
          <w:rFonts w:hint="eastAsia" w:ascii="宋体" w:hAnsi="宋体"/>
          <w:color w:val="auto"/>
          <w:szCs w:val="21"/>
          <w:highlight w:val="none"/>
        </w:rPr>
        <w:t>三、工艺安排或要求（如有）</w:t>
      </w:r>
    </w:p>
    <w:p w14:paraId="39518540">
      <w:pPr>
        <w:spacing w:line="360" w:lineRule="auto"/>
        <w:ind w:firstLine="420"/>
        <w:rPr>
          <w:rFonts w:ascii="宋体" w:hAnsi="宋体"/>
          <w:color w:val="auto"/>
          <w:szCs w:val="21"/>
          <w:highlight w:val="none"/>
        </w:rPr>
      </w:pPr>
      <w:r>
        <w:rPr>
          <w:rFonts w:hint="eastAsia" w:ascii="宋体" w:hAnsi="宋体"/>
          <w:color w:val="auto"/>
          <w:szCs w:val="21"/>
          <w:highlight w:val="none"/>
        </w:rPr>
        <w:t>四、时间要求</w:t>
      </w:r>
    </w:p>
    <w:p w14:paraId="0BDB72E5">
      <w:pPr>
        <w:spacing w:line="360" w:lineRule="auto"/>
        <w:ind w:firstLine="420"/>
        <w:rPr>
          <w:rFonts w:ascii="宋体" w:hAnsi="宋体"/>
          <w:color w:val="auto"/>
          <w:szCs w:val="21"/>
          <w:highlight w:val="none"/>
        </w:rPr>
      </w:pPr>
      <w:r>
        <w:rPr>
          <w:rFonts w:hint="eastAsia" w:ascii="宋体" w:hAnsi="宋体"/>
          <w:color w:val="auto"/>
          <w:szCs w:val="21"/>
          <w:highlight w:val="none"/>
        </w:rPr>
        <w:t>（一）开始工作时间：</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年  月   日开工。</w:t>
      </w:r>
    </w:p>
    <w:p w14:paraId="4FB8B678">
      <w:pPr>
        <w:spacing w:line="360" w:lineRule="auto"/>
        <w:ind w:firstLine="420"/>
        <w:rPr>
          <w:rFonts w:ascii="宋体" w:hAnsi="宋体"/>
          <w:color w:val="auto"/>
          <w:szCs w:val="21"/>
          <w:highlight w:val="none"/>
        </w:rPr>
      </w:pPr>
      <w:r>
        <w:rPr>
          <w:rFonts w:hint="eastAsia" w:ascii="宋体" w:hAnsi="宋体"/>
          <w:color w:val="auto"/>
          <w:szCs w:val="21"/>
          <w:highlight w:val="none"/>
        </w:rPr>
        <w:t>（二）设计完成时间：。</w:t>
      </w:r>
    </w:p>
    <w:p w14:paraId="35E2D2DF">
      <w:pPr>
        <w:spacing w:line="360" w:lineRule="auto"/>
        <w:ind w:firstLine="420"/>
        <w:rPr>
          <w:rFonts w:ascii="宋体" w:hAnsi="宋体"/>
          <w:color w:val="auto"/>
          <w:szCs w:val="21"/>
          <w:highlight w:val="none"/>
        </w:rPr>
      </w:pPr>
      <w:r>
        <w:rPr>
          <w:rFonts w:hint="eastAsia" w:ascii="宋体" w:hAnsi="宋体"/>
          <w:color w:val="auto"/>
          <w:szCs w:val="21"/>
          <w:highlight w:val="none"/>
        </w:rPr>
        <w:t>（三）进度计划。</w:t>
      </w:r>
    </w:p>
    <w:p w14:paraId="08EDD427">
      <w:pPr>
        <w:spacing w:line="360" w:lineRule="auto"/>
        <w:ind w:firstLine="420"/>
        <w:rPr>
          <w:rFonts w:ascii="宋体" w:hAnsi="宋体"/>
          <w:color w:val="auto"/>
          <w:szCs w:val="21"/>
          <w:highlight w:val="none"/>
        </w:rPr>
      </w:pPr>
      <w:r>
        <w:rPr>
          <w:rFonts w:hint="eastAsia" w:ascii="宋体" w:hAnsi="宋体"/>
          <w:color w:val="auto"/>
          <w:szCs w:val="21"/>
          <w:highlight w:val="none"/>
        </w:rPr>
        <w:t xml:space="preserve">（四）竣工时间：   年    月  </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日。</w:t>
      </w:r>
    </w:p>
    <w:p w14:paraId="78E628A3">
      <w:pPr>
        <w:spacing w:line="360" w:lineRule="auto"/>
        <w:ind w:firstLine="420"/>
        <w:rPr>
          <w:rFonts w:ascii="宋体" w:hAnsi="宋体"/>
          <w:color w:val="auto"/>
          <w:szCs w:val="21"/>
          <w:highlight w:val="none"/>
        </w:rPr>
      </w:pPr>
      <w:r>
        <w:rPr>
          <w:rFonts w:hint="eastAsia" w:ascii="宋体" w:hAnsi="宋体"/>
          <w:color w:val="auto"/>
          <w:szCs w:val="21"/>
          <w:highlight w:val="none"/>
        </w:rPr>
        <w:t>（五）缺陷责任期：24个月。</w:t>
      </w:r>
    </w:p>
    <w:p w14:paraId="5DB9C779">
      <w:pPr>
        <w:spacing w:line="360" w:lineRule="auto"/>
        <w:ind w:firstLine="420"/>
        <w:rPr>
          <w:rFonts w:ascii="宋体" w:hAnsi="宋体"/>
          <w:color w:val="auto"/>
          <w:szCs w:val="21"/>
          <w:highlight w:val="none"/>
        </w:rPr>
      </w:pPr>
      <w:r>
        <w:rPr>
          <w:rFonts w:hint="eastAsia" w:ascii="宋体" w:hAnsi="宋体"/>
          <w:color w:val="auto"/>
          <w:szCs w:val="21"/>
          <w:highlight w:val="none"/>
        </w:rPr>
        <w:t>（六）其他时间要求。</w:t>
      </w:r>
    </w:p>
    <w:p w14:paraId="3774A61C">
      <w:pPr>
        <w:spacing w:line="360" w:lineRule="auto"/>
        <w:ind w:firstLine="420"/>
        <w:rPr>
          <w:rFonts w:ascii="宋体" w:hAnsi="宋体"/>
          <w:color w:val="auto"/>
          <w:szCs w:val="21"/>
          <w:highlight w:val="none"/>
        </w:rPr>
      </w:pPr>
      <w:r>
        <w:rPr>
          <w:rFonts w:hint="eastAsia" w:ascii="宋体" w:hAnsi="宋体"/>
          <w:color w:val="auto"/>
          <w:szCs w:val="21"/>
          <w:highlight w:val="none"/>
        </w:rPr>
        <w:t>五、技术要求</w:t>
      </w:r>
    </w:p>
    <w:p w14:paraId="33796183">
      <w:pPr>
        <w:spacing w:line="360" w:lineRule="auto"/>
        <w:ind w:firstLine="420"/>
        <w:rPr>
          <w:rFonts w:ascii="宋体" w:hAnsi="宋体"/>
          <w:color w:val="auto"/>
          <w:szCs w:val="21"/>
          <w:highlight w:val="none"/>
        </w:rPr>
      </w:pPr>
      <w:r>
        <w:rPr>
          <w:rFonts w:hint="eastAsia" w:ascii="宋体" w:hAnsi="宋体"/>
          <w:color w:val="auto"/>
          <w:szCs w:val="21"/>
          <w:highlight w:val="none"/>
        </w:rPr>
        <w:t>（一）设计阶段和设计任务。</w:t>
      </w:r>
    </w:p>
    <w:p w14:paraId="23EABD36">
      <w:pPr>
        <w:spacing w:line="360" w:lineRule="auto"/>
        <w:ind w:firstLine="420"/>
        <w:rPr>
          <w:rFonts w:ascii="宋体" w:hAnsi="宋体"/>
          <w:color w:val="auto"/>
          <w:szCs w:val="21"/>
          <w:highlight w:val="none"/>
        </w:rPr>
      </w:pPr>
      <w:r>
        <w:rPr>
          <w:rFonts w:hint="eastAsia" w:ascii="宋体" w:hAnsi="宋体"/>
          <w:color w:val="auto"/>
          <w:szCs w:val="21"/>
          <w:highlight w:val="none"/>
        </w:rPr>
        <w:t>（二）设计标准和规范。</w:t>
      </w:r>
    </w:p>
    <w:p w14:paraId="11749087">
      <w:pPr>
        <w:spacing w:line="360" w:lineRule="auto"/>
        <w:ind w:firstLine="420"/>
        <w:rPr>
          <w:rFonts w:ascii="宋体" w:hAnsi="宋体"/>
          <w:color w:val="auto"/>
          <w:szCs w:val="21"/>
          <w:highlight w:val="none"/>
        </w:rPr>
      </w:pPr>
      <w:r>
        <w:rPr>
          <w:rFonts w:hint="eastAsia" w:ascii="宋体" w:hAnsi="宋体"/>
          <w:color w:val="auto"/>
          <w:szCs w:val="21"/>
          <w:highlight w:val="none"/>
        </w:rPr>
        <w:t>（三）技术标准和要求。</w:t>
      </w:r>
    </w:p>
    <w:p w14:paraId="44A62D8D">
      <w:pPr>
        <w:spacing w:line="440" w:lineRule="exact"/>
        <w:ind w:firstLine="420" w:firstLineChars="200"/>
        <w:rPr>
          <w:color w:val="auto"/>
          <w:szCs w:val="21"/>
          <w:highlight w:val="none"/>
        </w:rPr>
      </w:pPr>
      <w:r>
        <w:rPr>
          <w:rFonts w:hint="eastAsia" w:ascii="宋体" w:hAnsi="宋体"/>
          <w:color w:val="auto"/>
          <w:szCs w:val="21"/>
          <w:highlight w:val="none"/>
        </w:rPr>
        <w:t>（四）质量标准：</w:t>
      </w:r>
      <w:r>
        <w:rPr>
          <w:rFonts w:hint="eastAsia"/>
          <w:color w:val="auto"/>
          <w:szCs w:val="21"/>
          <w:highlight w:val="none"/>
        </w:rPr>
        <w:t>设计要求的质量标准：</w:t>
      </w:r>
      <w:r>
        <w:rPr>
          <w:rFonts w:hint="eastAsia" w:ascii="宋体" w:hAnsi="宋体"/>
          <w:color w:val="auto"/>
          <w:szCs w:val="21"/>
          <w:highlight w:val="none"/>
        </w:rPr>
        <w:t>符合国家现行标准，</w:t>
      </w:r>
      <w:r>
        <w:rPr>
          <w:rFonts w:hint="eastAsia" w:cs="Arial"/>
          <w:color w:val="auto"/>
          <w:szCs w:val="21"/>
          <w:highlight w:val="none"/>
        </w:rPr>
        <w:t>符合国家现行设计规范要求。</w:t>
      </w:r>
    </w:p>
    <w:p w14:paraId="5A70E473">
      <w:pPr>
        <w:spacing w:line="360" w:lineRule="auto"/>
        <w:ind w:firstLine="420"/>
        <w:rPr>
          <w:rFonts w:ascii="宋体" w:hAnsi="宋体"/>
          <w:color w:val="auto"/>
          <w:szCs w:val="21"/>
          <w:highlight w:val="none"/>
        </w:rPr>
      </w:pPr>
      <w:r>
        <w:rPr>
          <w:rFonts w:hint="eastAsia"/>
          <w:color w:val="auto"/>
          <w:szCs w:val="21"/>
          <w:highlight w:val="none"/>
        </w:rPr>
        <w:t>施工要求的质量标准：</w:t>
      </w:r>
      <w:r>
        <w:rPr>
          <w:rFonts w:hint="eastAsia" w:cs="Arial"/>
          <w:color w:val="auto"/>
          <w:szCs w:val="21"/>
          <w:highlight w:val="none"/>
        </w:rPr>
        <w:t>施工质量符合合格验收标准。</w:t>
      </w:r>
    </w:p>
    <w:p w14:paraId="27F9273C">
      <w:pPr>
        <w:spacing w:line="360" w:lineRule="auto"/>
        <w:ind w:firstLine="420"/>
        <w:rPr>
          <w:rFonts w:ascii="宋体" w:hAnsi="宋体"/>
          <w:color w:val="auto"/>
          <w:szCs w:val="21"/>
          <w:highlight w:val="none"/>
        </w:rPr>
      </w:pPr>
      <w:r>
        <w:rPr>
          <w:rFonts w:hint="eastAsia" w:ascii="宋体" w:hAnsi="宋体"/>
          <w:color w:val="auto"/>
          <w:szCs w:val="21"/>
          <w:highlight w:val="none"/>
        </w:rPr>
        <w:t>（五）设计、施工和设备监造、试验（如有）。</w:t>
      </w:r>
    </w:p>
    <w:p w14:paraId="71CBC55A">
      <w:pPr>
        <w:spacing w:line="360" w:lineRule="auto"/>
        <w:ind w:firstLine="420"/>
        <w:rPr>
          <w:rFonts w:ascii="宋体" w:hAnsi="宋体"/>
          <w:color w:val="auto"/>
          <w:szCs w:val="21"/>
          <w:highlight w:val="none"/>
        </w:rPr>
      </w:pPr>
      <w:r>
        <w:rPr>
          <w:rFonts w:hint="eastAsia" w:ascii="宋体" w:hAnsi="宋体"/>
          <w:color w:val="auto"/>
          <w:szCs w:val="21"/>
          <w:highlight w:val="none"/>
        </w:rPr>
        <w:t>（六）样品：无。</w:t>
      </w:r>
    </w:p>
    <w:p w14:paraId="640CF479">
      <w:pPr>
        <w:spacing w:line="360" w:lineRule="auto"/>
        <w:ind w:firstLine="420"/>
        <w:rPr>
          <w:rFonts w:ascii="宋体" w:hAnsi="宋体"/>
          <w:color w:val="auto"/>
          <w:szCs w:val="21"/>
          <w:highlight w:val="none"/>
        </w:rPr>
      </w:pPr>
      <w:r>
        <w:rPr>
          <w:rFonts w:hint="eastAsia" w:ascii="宋体" w:hAnsi="宋体"/>
          <w:color w:val="auto"/>
          <w:szCs w:val="21"/>
          <w:highlight w:val="none"/>
        </w:rPr>
        <w:t>（七）发包人提供的其他条件，如发包人或其委托的第三人提供的设计、工艺包、用于试验检验的工器具等，以及据此对承包人提出的予以配套的要求。</w:t>
      </w:r>
    </w:p>
    <w:p w14:paraId="03F4A1A7">
      <w:pPr>
        <w:spacing w:line="360" w:lineRule="auto"/>
        <w:ind w:firstLine="420"/>
        <w:rPr>
          <w:rFonts w:ascii="宋体" w:hAnsi="宋体"/>
          <w:color w:val="auto"/>
          <w:szCs w:val="21"/>
          <w:highlight w:val="none"/>
        </w:rPr>
      </w:pPr>
      <w:r>
        <w:rPr>
          <w:rFonts w:hint="eastAsia" w:ascii="宋体" w:hAnsi="宋体"/>
          <w:color w:val="auto"/>
          <w:szCs w:val="21"/>
          <w:highlight w:val="none"/>
        </w:rPr>
        <w:t>六、竣工试验</w:t>
      </w:r>
    </w:p>
    <w:p w14:paraId="506C8F6A">
      <w:pPr>
        <w:spacing w:line="360" w:lineRule="auto"/>
        <w:ind w:firstLine="420"/>
        <w:rPr>
          <w:rFonts w:ascii="宋体" w:hAnsi="宋体"/>
          <w:color w:val="auto"/>
          <w:szCs w:val="21"/>
          <w:highlight w:val="none"/>
        </w:rPr>
      </w:pPr>
      <w:r>
        <w:rPr>
          <w:rFonts w:hint="eastAsia" w:ascii="宋体" w:hAnsi="宋体"/>
          <w:color w:val="auto"/>
          <w:szCs w:val="21"/>
          <w:highlight w:val="none"/>
        </w:rPr>
        <w:t>（一）第一阶段，如对单车试验等的要求，包括试验前准备。</w:t>
      </w:r>
    </w:p>
    <w:p w14:paraId="4692BEC3">
      <w:pPr>
        <w:spacing w:line="360" w:lineRule="auto"/>
        <w:ind w:firstLine="420"/>
        <w:rPr>
          <w:rFonts w:ascii="宋体" w:hAnsi="宋体"/>
          <w:color w:val="auto"/>
          <w:szCs w:val="21"/>
          <w:highlight w:val="none"/>
        </w:rPr>
      </w:pPr>
      <w:r>
        <w:rPr>
          <w:rFonts w:hint="eastAsia" w:ascii="宋体" w:hAnsi="宋体"/>
          <w:color w:val="auto"/>
          <w:szCs w:val="21"/>
          <w:highlight w:val="none"/>
        </w:rPr>
        <w:t>（二）第二阶段，如对联动试车、投料试车等的要求，包括人员、设备、材料、燃料、电力、消耗品、工具等必要条件。</w:t>
      </w:r>
    </w:p>
    <w:p w14:paraId="79354ABF">
      <w:pPr>
        <w:spacing w:line="360" w:lineRule="auto"/>
        <w:ind w:firstLine="420"/>
        <w:rPr>
          <w:rFonts w:ascii="宋体" w:hAnsi="宋体"/>
          <w:color w:val="auto"/>
          <w:szCs w:val="21"/>
          <w:highlight w:val="none"/>
        </w:rPr>
      </w:pPr>
      <w:r>
        <w:rPr>
          <w:rFonts w:hint="eastAsia" w:ascii="宋体" w:hAnsi="宋体"/>
          <w:color w:val="auto"/>
          <w:szCs w:val="21"/>
          <w:highlight w:val="none"/>
        </w:rPr>
        <w:t>（三）第三阶段，如对性能测试及其他竣工试验的要求，包括产能指标、产品质量标准、运营指标、环保指标等。</w:t>
      </w:r>
    </w:p>
    <w:p w14:paraId="2CD5B53C">
      <w:pPr>
        <w:spacing w:line="360" w:lineRule="auto"/>
        <w:ind w:firstLine="420"/>
        <w:rPr>
          <w:rFonts w:ascii="宋体" w:hAnsi="宋体"/>
          <w:color w:val="auto"/>
          <w:szCs w:val="21"/>
          <w:highlight w:val="none"/>
        </w:rPr>
      </w:pPr>
      <w:r>
        <w:rPr>
          <w:rFonts w:hint="eastAsia" w:ascii="宋体" w:hAnsi="宋体"/>
          <w:color w:val="auto"/>
          <w:szCs w:val="21"/>
          <w:highlight w:val="none"/>
        </w:rPr>
        <w:t>七、竣工验收</w:t>
      </w:r>
    </w:p>
    <w:p w14:paraId="52B7763E">
      <w:pPr>
        <w:spacing w:line="360" w:lineRule="auto"/>
        <w:ind w:firstLine="420"/>
        <w:rPr>
          <w:rFonts w:ascii="宋体" w:hAnsi="宋体"/>
          <w:color w:val="auto"/>
          <w:szCs w:val="21"/>
          <w:highlight w:val="none"/>
        </w:rPr>
      </w:pPr>
      <w:r>
        <w:rPr>
          <w:rFonts w:hint="eastAsia" w:ascii="宋体" w:hAnsi="宋体"/>
          <w:color w:val="auto"/>
          <w:szCs w:val="21"/>
          <w:highlight w:val="none"/>
        </w:rPr>
        <w:t>八、竣工后试验（如有）</w:t>
      </w:r>
    </w:p>
    <w:p w14:paraId="12600CEA">
      <w:pPr>
        <w:spacing w:line="360" w:lineRule="auto"/>
        <w:ind w:firstLine="420"/>
        <w:rPr>
          <w:rFonts w:ascii="宋体" w:hAnsi="宋体"/>
          <w:color w:val="auto"/>
          <w:szCs w:val="21"/>
          <w:highlight w:val="none"/>
        </w:rPr>
      </w:pPr>
      <w:r>
        <w:rPr>
          <w:rFonts w:hint="eastAsia" w:ascii="宋体" w:hAnsi="宋体"/>
          <w:color w:val="auto"/>
          <w:szCs w:val="21"/>
          <w:highlight w:val="none"/>
        </w:rPr>
        <w:t>九、文件要求</w:t>
      </w:r>
    </w:p>
    <w:p w14:paraId="6D470643">
      <w:pPr>
        <w:spacing w:line="360" w:lineRule="auto"/>
        <w:ind w:firstLine="420"/>
        <w:rPr>
          <w:rFonts w:ascii="宋体" w:hAnsi="宋体"/>
          <w:color w:val="auto"/>
          <w:szCs w:val="21"/>
          <w:highlight w:val="none"/>
        </w:rPr>
      </w:pPr>
      <w:r>
        <w:rPr>
          <w:rFonts w:hint="eastAsia" w:ascii="宋体" w:hAnsi="宋体"/>
          <w:color w:val="auto"/>
          <w:szCs w:val="21"/>
          <w:highlight w:val="none"/>
        </w:rPr>
        <w:t>（一）设计文件，及其相关审批、核准、备案要求。</w:t>
      </w:r>
    </w:p>
    <w:p w14:paraId="4101523E">
      <w:pPr>
        <w:spacing w:line="360" w:lineRule="auto"/>
        <w:ind w:firstLine="420"/>
        <w:rPr>
          <w:rFonts w:ascii="宋体" w:hAnsi="宋体"/>
          <w:color w:val="auto"/>
          <w:szCs w:val="21"/>
          <w:highlight w:val="none"/>
        </w:rPr>
      </w:pPr>
      <w:r>
        <w:rPr>
          <w:rFonts w:hint="eastAsia" w:ascii="宋体" w:hAnsi="宋体"/>
          <w:color w:val="auto"/>
          <w:szCs w:val="21"/>
          <w:highlight w:val="none"/>
        </w:rPr>
        <w:t>（二）沟通计划。</w:t>
      </w:r>
    </w:p>
    <w:p w14:paraId="5F54220E">
      <w:pPr>
        <w:spacing w:line="360" w:lineRule="auto"/>
        <w:ind w:firstLine="420"/>
        <w:rPr>
          <w:rFonts w:ascii="宋体" w:hAnsi="宋体"/>
          <w:color w:val="auto"/>
          <w:szCs w:val="21"/>
          <w:highlight w:val="none"/>
        </w:rPr>
      </w:pPr>
      <w:r>
        <w:rPr>
          <w:rFonts w:hint="eastAsia" w:ascii="宋体" w:hAnsi="宋体"/>
          <w:color w:val="auto"/>
          <w:szCs w:val="21"/>
          <w:highlight w:val="none"/>
        </w:rPr>
        <w:t>（三）风险管理计划。</w:t>
      </w:r>
    </w:p>
    <w:p w14:paraId="07432B87">
      <w:pPr>
        <w:spacing w:line="360" w:lineRule="auto"/>
        <w:ind w:firstLine="420"/>
        <w:rPr>
          <w:rFonts w:ascii="宋体" w:hAnsi="宋体"/>
          <w:color w:val="auto"/>
          <w:szCs w:val="21"/>
          <w:highlight w:val="none"/>
        </w:rPr>
      </w:pPr>
      <w:r>
        <w:rPr>
          <w:rFonts w:hint="eastAsia" w:ascii="宋体" w:hAnsi="宋体"/>
          <w:color w:val="auto"/>
          <w:szCs w:val="21"/>
          <w:highlight w:val="none"/>
        </w:rPr>
        <w:t>（四）竣工文件和工程的其他记录。</w:t>
      </w:r>
    </w:p>
    <w:p w14:paraId="7DA9A6E5">
      <w:pPr>
        <w:spacing w:line="360" w:lineRule="auto"/>
        <w:ind w:firstLine="420"/>
        <w:rPr>
          <w:rFonts w:ascii="宋体" w:hAnsi="宋体"/>
          <w:color w:val="auto"/>
          <w:szCs w:val="21"/>
          <w:highlight w:val="none"/>
        </w:rPr>
      </w:pPr>
      <w:r>
        <w:rPr>
          <w:rFonts w:hint="eastAsia" w:ascii="宋体" w:hAnsi="宋体"/>
          <w:color w:val="auto"/>
          <w:szCs w:val="21"/>
          <w:highlight w:val="none"/>
        </w:rPr>
        <w:t>（五）操作和维修手册。</w:t>
      </w:r>
    </w:p>
    <w:p w14:paraId="799F97AB">
      <w:pPr>
        <w:spacing w:line="360" w:lineRule="auto"/>
        <w:ind w:firstLine="420"/>
        <w:rPr>
          <w:rFonts w:ascii="宋体" w:hAnsi="宋体"/>
          <w:color w:val="auto"/>
          <w:szCs w:val="21"/>
          <w:highlight w:val="none"/>
        </w:rPr>
      </w:pPr>
      <w:r>
        <w:rPr>
          <w:rFonts w:hint="eastAsia" w:ascii="宋体" w:hAnsi="宋体"/>
          <w:color w:val="auto"/>
          <w:szCs w:val="21"/>
          <w:highlight w:val="none"/>
        </w:rPr>
        <w:t>（六）其他承包人文件。</w:t>
      </w:r>
    </w:p>
    <w:p w14:paraId="58C13770">
      <w:pPr>
        <w:spacing w:line="360" w:lineRule="auto"/>
        <w:ind w:firstLine="420"/>
        <w:rPr>
          <w:rFonts w:ascii="宋体" w:hAnsi="宋体"/>
          <w:color w:val="auto"/>
          <w:szCs w:val="21"/>
          <w:highlight w:val="none"/>
        </w:rPr>
      </w:pPr>
      <w:r>
        <w:rPr>
          <w:rFonts w:hint="eastAsia" w:ascii="宋体" w:hAnsi="宋体"/>
          <w:color w:val="auto"/>
          <w:szCs w:val="21"/>
          <w:highlight w:val="none"/>
        </w:rPr>
        <w:t>十、工程项目管理规定</w:t>
      </w:r>
    </w:p>
    <w:p w14:paraId="57D1BF05">
      <w:pPr>
        <w:spacing w:line="360" w:lineRule="auto"/>
        <w:ind w:firstLine="420"/>
        <w:rPr>
          <w:rFonts w:ascii="宋体" w:hAnsi="宋体"/>
          <w:color w:val="auto"/>
          <w:szCs w:val="21"/>
          <w:highlight w:val="none"/>
        </w:rPr>
      </w:pPr>
      <w:r>
        <w:rPr>
          <w:rFonts w:hint="eastAsia" w:ascii="宋体" w:hAnsi="宋体"/>
          <w:color w:val="auto"/>
          <w:szCs w:val="21"/>
          <w:highlight w:val="none"/>
        </w:rPr>
        <w:t>（一）质量。</w:t>
      </w:r>
    </w:p>
    <w:p w14:paraId="2CB29589">
      <w:pPr>
        <w:spacing w:line="360" w:lineRule="auto"/>
        <w:ind w:firstLine="420"/>
        <w:rPr>
          <w:rFonts w:ascii="宋体" w:hAnsi="宋体"/>
          <w:color w:val="auto"/>
          <w:szCs w:val="21"/>
          <w:highlight w:val="none"/>
        </w:rPr>
      </w:pPr>
      <w:r>
        <w:rPr>
          <w:rFonts w:hint="eastAsia" w:ascii="宋体" w:hAnsi="宋体"/>
          <w:color w:val="auto"/>
          <w:szCs w:val="21"/>
          <w:highlight w:val="none"/>
        </w:rPr>
        <w:t>（二）进度，包括里程碑进度计划（如果有）。</w:t>
      </w:r>
    </w:p>
    <w:p w14:paraId="727AC780">
      <w:pPr>
        <w:spacing w:line="360" w:lineRule="auto"/>
        <w:ind w:firstLine="420"/>
        <w:rPr>
          <w:rFonts w:ascii="宋体" w:hAnsi="宋体"/>
          <w:color w:val="auto"/>
          <w:szCs w:val="21"/>
          <w:highlight w:val="none"/>
        </w:rPr>
      </w:pPr>
      <w:r>
        <w:rPr>
          <w:rFonts w:hint="eastAsia" w:ascii="宋体" w:hAnsi="宋体"/>
          <w:color w:val="auto"/>
          <w:szCs w:val="21"/>
          <w:highlight w:val="none"/>
        </w:rPr>
        <w:t>（三）支付。</w:t>
      </w:r>
    </w:p>
    <w:p w14:paraId="4B4EBB63">
      <w:pPr>
        <w:spacing w:line="360" w:lineRule="auto"/>
        <w:ind w:firstLine="420"/>
        <w:rPr>
          <w:rFonts w:ascii="宋体" w:hAnsi="宋体"/>
          <w:color w:val="auto"/>
          <w:szCs w:val="21"/>
          <w:highlight w:val="none"/>
        </w:rPr>
      </w:pPr>
      <w:r>
        <w:rPr>
          <w:rFonts w:hint="eastAsia" w:ascii="宋体" w:hAnsi="宋体"/>
          <w:color w:val="auto"/>
          <w:szCs w:val="21"/>
          <w:highlight w:val="none"/>
        </w:rPr>
        <w:t>（四）HSE（健康、安全与环境管理体系）。</w:t>
      </w:r>
    </w:p>
    <w:p w14:paraId="29A35B67">
      <w:pPr>
        <w:spacing w:line="360" w:lineRule="auto"/>
        <w:ind w:firstLine="420"/>
        <w:rPr>
          <w:rFonts w:ascii="宋体" w:hAnsi="宋体"/>
          <w:color w:val="auto"/>
          <w:szCs w:val="21"/>
          <w:highlight w:val="none"/>
        </w:rPr>
      </w:pPr>
      <w:r>
        <w:rPr>
          <w:rFonts w:hint="eastAsia" w:ascii="宋体" w:hAnsi="宋体"/>
          <w:color w:val="auto"/>
          <w:szCs w:val="21"/>
          <w:highlight w:val="none"/>
        </w:rPr>
        <w:t>（五）沟通。</w:t>
      </w:r>
    </w:p>
    <w:p w14:paraId="25B01141">
      <w:pPr>
        <w:spacing w:line="360" w:lineRule="auto"/>
        <w:ind w:firstLine="420"/>
        <w:rPr>
          <w:rFonts w:ascii="宋体" w:hAnsi="宋体"/>
          <w:color w:val="auto"/>
          <w:szCs w:val="21"/>
          <w:highlight w:val="none"/>
        </w:rPr>
      </w:pPr>
      <w:r>
        <w:rPr>
          <w:rFonts w:hint="eastAsia" w:ascii="宋体" w:hAnsi="宋体"/>
          <w:color w:val="auto"/>
          <w:szCs w:val="21"/>
          <w:highlight w:val="none"/>
        </w:rPr>
        <w:t>（六）变更。</w:t>
      </w:r>
    </w:p>
    <w:p w14:paraId="0C67C291">
      <w:pPr>
        <w:spacing w:line="360" w:lineRule="auto"/>
        <w:ind w:firstLine="420"/>
        <w:rPr>
          <w:rFonts w:ascii="宋体" w:hAnsi="宋体"/>
          <w:color w:val="auto"/>
          <w:szCs w:val="21"/>
          <w:highlight w:val="none"/>
        </w:rPr>
      </w:pPr>
      <w:r>
        <w:rPr>
          <w:rFonts w:hint="eastAsia" w:ascii="宋体" w:hAnsi="宋体"/>
          <w:color w:val="auto"/>
          <w:szCs w:val="21"/>
          <w:highlight w:val="none"/>
        </w:rPr>
        <w:t>十一、其他要求</w:t>
      </w:r>
    </w:p>
    <w:p w14:paraId="17EB8F11">
      <w:pPr>
        <w:spacing w:line="360" w:lineRule="auto"/>
        <w:ind w:firstLine="420"/>
        <w:rPr>
          <w:rFonts w:ascii="宋体" w:hAnsi="宋体"/>
          <w:color w:val="auto"/>
          <w:szCs w:val="21"/>
          <w:highlight w:val="none"/>
        </w:rPr>
      </w:pPr>
      <w:r>
        <w:rPr>
          <w:rFonts w:hint="eastAsia" w:ascii="宋体" w:hAnsi="宋体"/>
          <w:color w:val="auto"/>
          <w:szCs w:val="21"/>
          <w:highlight w:val="none"/>
        </w:rPr>
        <w:t>（一）对承包人的主要人员资格要求。</w:t>
      </w:r>
    </w:p>
    <w:p w14:paraId="318AE73A">
      <w:pPr>
        <w:spacing w:line="360" w:lineRule="auto"/>
        <w:ind w:firstLine="420"/>
        <w:rPr>
          <w:rFonts w:ascii="宋体" w:hAnsi="宋体"/>
          <w:color w:val="auto"/>
          <w:szCs w:val="21"/>
          <w:highlight w:val="none"/>
        </w:rPr>
      </w:pPr>
      <w:r>
        <w:rPr>
          <w:rFonts w:hint="eastAsia" w:ascii="宋体" w:hAnsi="宋体"/>
          <w:color w:val="auto"/>
          <w:szCs w:val="21"/>
          <w:highlight w:val="none"/>
        </w:rPr>
        <w:t>（二）相关审批、核准和备案手续的办理。</w:t>
      </w:r>
    </w:p>
    <w:p w14:paraId="408466F3">
      <w:pPr>
        <w:spacing w:line="360" w:lineRule="auto"/>
        <w:ind w:firstLine="420"/>
        <w:rPr>
          <w:rFonts w:ascii="宋体" w:hAnsi="宋体"/>
          <w:color w:val="auto"/>
          <w:szCs w:val="21"/>
          <w:highlight w:val="none"/>
        </w:rPr>
      </w:pPr>
      <w:r>
        <w:rPr>
          <w:rFonts w:hint="eastAsia" w:ascii="宋体" w:hAnsi="宋体"/>
          <w:color w:val="auto"/>
          <w:szCs w:val="21"/>
          <w:highlight w:val="none"/>
        </w:rPr>
        <w:t>（三）对项目业主人员的操作培训。</w:t>
      </w:r>
    </w:p>
    <w:p w14:paraId="793563BF">
      <w:pPr>
        <w:spacing w:line="360" w:lineRule="auto"/>
        <w:ind w:firstLine="420"/>
        <w:rPr>
          <w:rFonts w:ascii="宋体" w:hAnsi="宋体"/>
          <w:color w:val="auto"/>
          <w:szCs w:val="21"/>
          <w:highlight w:val="none"/>
        </w:rPr>
      </w:pPr>
      <w:r>
        <w:rPr>
          <w:rFonts w:hint="eastAsia" w:ascii="宋体" w:hAnsi="宋体"/>
          <w:color w:val="auto"/>
          <w:szCs w:val="21"/>
          <w:highlight w:val="none"/>
        </w:rPr>
        <w:t>（四）分包。</w:t>
      </w:r>
    </w:p>
    <w:p w14:paraId="6F52B6C0">
      <w:pPr>
        <w:spacing w:line="360" w:lineRule="auto"/>
        <w:ind w:firstLine="420"/>
        <w:rPr>
          <w:rFonts w:ascii="宋体" w:hAnsi="宋体"/>
          <w:color w:val="auto"/>
          <w:szCs w:val="21"/>
          <w:highlight w:val="none"/>
        </w:rPr>
      </w:pPr>
      <w:r>
        <w:rPr>
          <w:rFonts w:hint="eastAsia" w:ascii="宋体" w:hAnsi="宋体"/>
          <w:color w:val="auto"/>
          <w:szCs w:val="21"/>
          <w:highlight w:val="none"/>
        </w:rPr>
        <w:t>（五）设备供应商。</w:t>
      </w:r>
    </w:p>
    <w:p w14:paraId="0C4FC5C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（六）缺陷责任期的服务要求。</w:t>
      </w:r>
    </w:p>
    <w:p w14:paraId="6DA55BA2">
      <w:pPr>
        <w:spacing w:line="360" w:lineRule="auto"/>
        <w:jc w:val="left"/>
        <w:rPr>
          <w:rFonts w:ascii="宋体" w:hAnsi="宋体"/>
          <w:color w:val="auto"/>
          <w:szCs w:val="21"/>
          <w:highlight w:val="none"/>
        </w:rPr>
      </w:pPr>
    </w:p>
    <w:p w14:paraId="6B1FA9D0">
      <w:pPr>
        <w:spacing w:line="360" w:lineRule="auto"/>
        <w:jc w:val="left"/>
        <w:rPr>
          <w:rFonts w:ascii="宋体" w:hAnsi="宋体"/>
          <w:color w:val="auto"/>
          <w:szCs w:val="21"/>
          <w:highlight w:val="none"/>
        </w:rPr>
      </w:pPr>
    </w:p>
    <w:p w14:paraId="43393EB4">
      <w:pPr>
        <w:pStyle w:val="173"/>
        <w:numPr>
          <w:ilvl w:val="0"/>
          <w:numId w:val="0"/>
        </w:numPr>
        <w:wordWrap/>
        <w:spacing w:after="120"/>
        <w:rPr>
          <w:rFonts w:ascii="宋体" w:hAnsi="宋体" w:eastAsia="宋体"/>
          <w:color w:val="auto"/>
          <w:sz w:val="21"/>
          <w:szCs w:val="21"/>
          <w:highlight w:val="none"/>
        </w:rPr>
      </w:pPr>
      <w:bookmarkStart w:id="1687" w:name="_Toc20171894"/>
      <w:bookmarkStart w:id="1688" w:name="_Toc54862353"/>
      <w:r>
        <w:rPr>
          <w:rFonts w:hint="eastAsia" w:ascii="宋体" w:hAnsi="宋体" w:eastAsia="宋体"/>
          <w:color w:val="auto"/>
          <w:sz w:val="21"/>
          <w:szCs w:val="21"/>
          <w:highlight w:val="none"/>
        </w:rPr>
        <w:br w:type="page"/>
      </w:r>
      <w:bookmarkStart w:id="1689" w:name="_Toc14715"/>
      <w:bookmarkStart w:id="1690" w:name="_Toc13174"/>
      <w:bookmarkStart w:id="1691" w:name="_Toc17898"/>
      <w:bookmarkStart w:id="1692" w:name="_Toc20954"/>
      <w:r>
        <w:rPr>
          <w:rFonts w:hint="eastAsia" w:ascii="宋体" w:hAnsi="宋体" w:eastAsia="宋体"/>
          <w:color w:val="auto"/>
          <w:sz w:val="21"/>
          <w:szCs w:val="21"/>
          <w:highlight w:val="none"/>
        </w:rPr>
        <w:t>附件2</w:t>
      </w:r>
      <w:r>
        <w:rPr>
          <w:rFonts w:ascii="宋体" w:hAnsi="宋体" w:eastAsia="宋体"/>
          <w:color w:val="auto"/>
          <w:sz w:val="21"/>
          <w:szCs w:val="21"/>
          <w:highlight w:val="none"/>
        </w:rPr>
        <w:t xml:space="preserve"> 发包人供应材料设备一览表</w:t>
      </w:r>
      <w:bookmarkEnd w:id="1687"/>
      <w:bookmarkEnd w:id="1688"/>
      <w:bookmarkEnd w:id="1689"/>
      <w:bookmarkEnd w:id="1690"/>
      <w:bookmarkEnd w:id="1691"/>
      <w:bookmarkEnd w:id="1692"/>
    </w:p>
    <w:tbl>
      <w:tblPr>
        <w:tblStyle w:val="4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552"/>
        <w:gridCol w:w="1165"/>
        <w:gridCol w:w="1126"/>
        <w:gridCol w:w="567"/>
        <w:gridCol w:w="686"/>
        <w:gridCol w:w="992"/>
        <w:gridCol w:w="1134"/>
        <w:gridCol w:w="1134"/>
        <w:gridCol w:w="1134"/>
        <w:gridCol w:w="709"/>
      </w:tblGrid>
      <w:tr w14:paraId="4B8071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552" w:type="dxa"/>
            <w:tcBorders>
              <w:top w:val="single" w:color="auto" w:sz="12" w:space="0"/>
              <w:bottom w:val="double" w:color="auto" w:sz="6" w:space="0"/>
            </w:tcBorders>
            <w:noWrap/>
            <w:vAlign w:val="center"/>
          </w:tcPr>
          <w:p w14:paraId="5157F09D">
            <w:pPr>
              <w:pStyle w:val="17"/>
              <w:spacing w:after="0" w:line="360" w:lineRule="auto"/>
              <w:jc w:val="center"/>
              <w:rPr>
                <w:rFonts w:ascii="宋体" w:hAnsi="宋体"/>
                <w:color w:val="auto"/>
                <w:sz w:val="21"/>
                <w:szCs w:val="21"/>
                <w:highlight w:val="none"/>
              </w:rPr>
            </w:pPr>
            <w:r>
              <w:rPr>
                <w:rFonts w:hint="eastAsia" w:ascii="宋体" w:hAnsi="宋体"/>
                <w:color w:val="auto"/>
                <w:sz w:val="21"/>
                <w:szCs w:val="21"/>
                <w:highlight w:val="none"/>
              </w:rPr>
              <w:t>序号</w:t>
            </w:r>
          </w:p>
        </w:tc>
        <w:tc>
          <w:tcPr>
            <w:tcW w:w="1165" w:type="dxa"/>
            <w:tcBorders>
              <w:top w:val="single" w:color="auto" w:sz="12" w:space="0"/>
              <w:bottom w:val="double" w:color="auto" w:sz="6" w:space="0"/>
            </w:tcBorders>
            <w:noWrap/>
            <w:vAlign w:val="center"/>
          </w:tcPr>
          <w:p w14:paraId="2DD9F8B7">
            <w:pPr>
              <w:pStyle w:val="17"/>
              <w:spacing w:after="0" w:line="360" w:lineRule="auto"/>
              <w:jc w:val="center"/>
              <w:rPr>
                <w:rFonts w:ascii="宋体" w:hAnsi="宋体"/>
                <w:color w:val="auto"/>
                <w:sz w:val="21"/>
                <w:szCs w:val="21"/>
                <w:highlight w:val="none"/>
              </w:rPr>
            </w:pPr>
            <w:r>
              <w:rPr>
                <w:rFonts w:hint="eastAsia" w:ascii="宋体" w:hAnsi="宋体"/>
                <w:color w:val="auto"/>
                <w:sz w:val="21"/>
                <w:szCs w:val="21"/>
                <w:highlight w:val="none"/>
              </w:rPr>
              <w:t>材料、设备品种</w:t>
            </w:r>
          </w:p>
        </w:tc>
        <w:tc>
          <w:tcPr>
            <w:tcW w:w="1126" w:type="dxa"/>
            <w:tcBorders>
              <w:top w:val="single" w:color="auto" w:sz="12" w:space="0"/>
              <w:bottom w:val="double" w:color="auto" w:sz="6" w:space="0"/>
            </w:tcBorders>
            <w:noWrap/>
            <w:vAlign w:val="center"/>
          </w:tcPr>
          <w:p w14:paraId="2C7AC99C">
            <w:pPr>
              <w:pStyle w:val="17"/>
              <w:spacing w:after="0" w:line="360" w:lineRule="auto"/>
              <w:jc w:val="center"/>
              <w:rPr>
                <w:rFonts w:ascii="宋体" w:hAnsi="宋体"/>
                <w:color w:val="auto"/>
                <w:sz w:val="21"/>
                <w:szCs w:val="21"/>
                <w:highlight w:val="none"/>
              </w:rPr>
            </w:pPr>
            <w:r>
              <w:rPr>
                <w:rFonts w:hint="eastAsia" w:ascii="宋体" w:hAnsi="宋体"/>
                <w:color w:val="auto"/>
                <w:sz w:val="21"/>
                <w:szCs w:val="21"/>
                <w:highlight w:val="none"/>
              </w:rPr>
              <w:t>规格型号</w:t>
            </w:r>
          </w:p>
        </w:tc>
        <w:tc>
          <w:tcPr>
            <w:tcW w:w="567" w:type="dxa"/>
            <w:tcBorders>
              <w:top w:val="single" w:color="auto" w:sz="12" w:space="0"/>
              <w:bottom w:val="double" w:color="auto" w:sz="6" w:space="0"/>
            </w:tcBorders>
            <w:noWrap/>
            <w:vAlign w:val="center"/>
          </w:tcPr>
          <w:p w14:paraId="61346038">
            <w:pPr>
              <w:pStyle w:val="17"/>
              <w:spacing w:after="0" w:line="360" w:lineRule="auto"/>
              <w:jc w:val="center"/>
              <w:rPr>
                <w:rFonts w:ascii="宋体" w:hAnsi="宋体"/>
                <w:color w:val="auto"/>
                <w:sz w:val="21"/>
                <w:szCs w:val="21"/>
                <w:highlight w:val="none"/>
              </w:rPr>
            </w:pPr>
            <w:r>
              <w:rPr>
                <w:rFonts w:hint="eastAsia" w:ascii="宋体" w:hAnsi="宋体"/>
                <w:color w:val="auto"/>
                <w:sz w:val="21"/>
                <w:szCs w:val="21"/>
                <w:highlight w:val="none"/>
              </w:rPr>
              <w:t>单位</w:t>
            </w:r>
          </w:p>
        </w:tc>
        <w:tc>
          <w:tcPr>
            <w:tcW w:w="686" w:type="dxa"/>
            <w:tcBorders>
              <w:top w:val="single" w:color="auto" w:sz="12" w:space="0"/>
              <w:bottom w:val="double" w:color="auto" w:sz="6" w:space="0"/>
            </w:tcBorders>
            <w:noWrap/>
            <w:vAlign w:val="center"/>
          </w:tcPr>
          <w:p w14:paraId="49D9E459">
            <w:pPr>
              <w:pStyle w:val="17"/>
              <w:spacing w:after="0" w:line="360" w:lineRule="auto"/>
              <w:jc w:val="center"/>
              <w:rPr>
                <w:rFonts w:ascii="宋体" w:hAnsi="宋体"/>
                <w:color w:val="auto"/>
                <w:sz w:val="21"/>
                <w:szCs w:val="21"/>
                <w:highlight w:val="none"/>
              </w:rPr>
            </w:pPr>
            <w:r>
              <w:rPr>
                <w:rFonts w:hint="eastAsia" w:ascii="宋体" w:hAnsi="宋体"/>
                <w:color w:val="auto"/>
                <w:sz w:val="21"/>
                <w:szCs w:val="21"/>
                <w:highlight w:val="none"/>
              </w:rPr>
              <w:t>数量</w:t>
            </w:r>
          </w:p>
        </w:tc>
        <w:tc>
          <w:tcPr>
            <w:tcW w:w="992" w:type="dxa"/>
            <w:tcBorders>
              <w:top w:val="single" w:color="auto" w:sz="12" w:space="0"/>
              <w:bottom w:val="double" w:color="auto" w:sz="6" w:space="0"/>
            </w:tcBorders>
            <w:noWrap/>
            <w:vAlign w:val="center"/>
          </w:tcPr>
          <w:p w14:paraId="435BE679">
            <w:pPr>
              <w:pStyle w:val="17"/>
              <w:spacing w:after="0" w:line="360" w:lineRule="auto"/>
              <w:jc w:val="center"/>
              <w:rPr>
                <w:rFonts w:ascii="宋体" w:hAnsi="宋体"/>
                <w:color w:val="auto"/>
                <w:sz w:val="21"/>
                <w:szCs w:val="21"/>
                <w:highlight w:val="none"/>
              </w:rPr>
            </w:pPr>
            <w:r>
              <w:rPr>
                <w:rFonts w:hint="eastAsia" w:ascii="宋体" w:hAnsi="宋体"/>
                <w:color w:val="auto"/>
                <w:sz w:val="21"/>
                <w:szCs w:val="21"/>
                <w:highlight w:val="none"/>
              </w:rPr>
              <w:t>单价（元）</w:t>
            </w:r>
          </w:p>
        </w:tc>
        <w:tc>
          <w:tcPr>
            <w:tcW w:w="1134" w:type="dxa"/>
            <w:tcBorders>
              <w:top w:val="single" w:color="auto" w:sz="12" w:space="0"/>
              <w:bottom w:val="double" w:color="auto" w:sz="6" w:space="0"/>
            </w:tcBorders>
            <w:noWrap/>
            <w:vAlign w:val="center"/>
          </w:tcPr>
          <w:p w14:paraId="3ADCAA37">
            <w:pPr>
              <w:pStyle w:val="17"/>
              <w:spacing w:after="0" w:line="360" w:lineRule="auto"/>
              <w:jc w:val="center"/>
              <w:rPr>
                <w:rFonts w:ascii="宋体" w:hAnsi="宋体"/>
                <w:color w:val="auto"/>
                <w:sz w:val="21"/>
                <w:szCs w:val="21"/>
                <w:highlight w:val="none"/>
              </w:rPr>
            </w:pPr>
            <w:r>
              <w:rPr>
                <w:rFonts w:hint="eastAsia" w:ascii="宋体" w:hAnsi="宋体"/>
                <w:color w:val="auto"/>
                <w:sz w:val="21"/>
                <w:szCs w:val="21"/>
                <w:highlight w:val="none"/>
              </w:rPr>
              <w:t>质量等级</w:t>
            </w:r>
          </w:p>
        </w:tc>
        <w:tc>
          <w:tcPr>
            <w:tcW w:w="1134" w:type="dxa"/>
            <w:tcBorders>
              <w:top w:val="single" w:color="auto" w:sz="12" w:space="0"/>
              <w:bottom w:val="double" w:color="auto" w:sz="6" w:space="0"/>
            </w:tcBorders>
            <w:noWrap/>
            <w:vAlign w:val="center"/>
          </w:tcPr>
          <w:p w14:paraId="7DF3F4B9">
            <w:pPr>
              <w:pStyle w:val="17"/>
              <w:spacing w:after="0" w:line="360" w:lineRule="auto"/>
              <w:jc w:val="center"/>
              <w:rPr>
                <w:rFonts w:ascii="宋体" w:hAnsi="宋体"/>
                <w:color w:val="auto"/>
                <w:sz w:val="21"/>
                <w:szCs w:val="21"/>
                <w:highlight w:val="none"/>
              </w:rPr>
            </w:pPr>
            <w:r>
              <w:rPr>
                <w:rFonts w:hint="eastAsia" w:ascii="宋体" w:hAnsi="宋体"/>
                <w:color w:val="auto"/>
                <w:sz w:val="21"/>
                <w:szCs w:val="21"/>
                <w:highlight w:val="none"/>
              </w:rPr>
              <w:t>供应时间</w:t>
            </w:r>
          </w:p>
        </w:tc>
        <w:tc>
          <w:tcPr>
            <w:tcW w:w="1134" w:type="dxa"/>
            <w:tcBorders>
              <w:top w:val="single" w:color="auto" w:sz="12" w:space="0"/>
              <w:bottom w:val="double" w:color="auto" w:sz="6" w:space="0"/>
            </w:tcBorders>
            <w:noWrap/>
            <w:vAlign w:val="center"/>
          </w:tcPr>
          <w:p w14:paraId="291CF938">
            <w:pPr>
              <w:pStyle w:val="17"/>
              <w:spacing w:after="0" w:line="360" w:lineRule="auto"/>
              <w:jc w:val="center"/>
              <w:rPr>
                <w:rFonts w:ascii="宋体" w:hAnsi="宋体"/>
                <w:color w:val="auto"/>
                <w:sz w:val="21"/>
                <w:szCs w:val="21"/>
                <w:highlight w:val="none"/>
              </w:rPr>
            </w:pPr>
            <w:r>
              <w:rPr>
                <w:rFonts w:hint="eastAsia" w:ascii="宋体" w:hAnsi="宋体"/>
                <w:color w:val="auto"/>
                <w:sz w:val="21"/>
                <w:szCs w:val="21"/>
                <w:highlight w:val="none"/>
              </w:rPr>
              <w:t>送达地点</w:t>
            </w:r>
          </w:p>
        </w:tc>
        <w:tc>
          <w:tcPr>
            <w:tcW w:w="709" w:type="dxa"/>
            <w:tcBorders>
              <w:top w:val="single" w:color="auto" w:sz="12" w:space="0"/>
              <w:bottom w:val="double" w:color="auto" w:sz="6" w:space="0"/>
            </w:tcBorders>
            <w:noWrap/>
            <w:vAlign w:val="center"/>
          </w:tcPr>
          <w:p w14:paraId="15F41A6D">
            <w:pPr>
              <w:pStyle w:val="17"/>
              <w:spacing w:after="0" w:line="360" w:lineRule="auto"/>
              <w:jc w:val="center"/>
              <w:rPr>
                <w:rFonts w:ascii="宋体" w:hAnsi="宋体"/>
                <w:color w:val="auto"/>
                <w:sz w:val="21"/>
                <w:szCs w:val="21"/>
                <w:highlight w:val="none"/>
              </w:rPr>
            </w:pPr>
            <w:r>
              <w:rPr>
                <w:rFonts w:hint="eastAsia" w:ascii="宋体" w:hAnsi="宋体"/>
                <w:color w:val="auto"/>
                <w:sz w:val="21"/>
                <w:szCs w:val="21"/>
                <w:highlight w:val="none"/>
              </w:rPr>
              <w:t>备注</w:t>
            </w:r>
          </w:p>
        </w:tc>
      </w:tr>
      <w:tr w14:paraId="2AB21E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tcBorders>
              <w:top w:val="double" w:color="auto" w:sz="6" w:space="0"/>
              <w:bottom w:val="single" w:color="auto" w:sz="6" w:space="0"/>
            </w:tcBorders>
            <w:noWrap/>
            <w:vAlign w:val="center"/>
          </w:tcPr>
          <w:p w14:paraId="17BE0B6D">
            <w:pPr>
              <w:pStyle w:val="17"/>
              <w:spacing w:line="360" w:lineRule="auto"/>
              <w:ind w:firstLine="420"/>
              <w:rPr>
                <w:rFonts w:ascii="宋体" w:hAnsi="宋体"/>
                <w:color w:val="auto"/>
                <w:sz w:val="21"/>
                <w:szCs w:val="21"/>
                <w:highlight w:val="none"/>
              </w:rPr>
            </w:pPr>
          </w:p>
        </w:tc>
        <w:tc>
          <w:tcPr>
            <w:tcW w:w="1165" w:type="dxa"/>
            <w:tcBorders>
              <w:top w:val="double" w:color="auto" w:sz="6" w:space="0"/>
              <w:bottom w:val="single" w:color="auto" w:sz="6" w:space="0"/>
            </w:tcBorders>
            <w:noWrap/>
            <w:vAlign w:val="center"/>
          </w:tcPr>
          <w:p w14:paraId="731FD1D7">
            <w:pPr>
              <w:pStyle w:val="17"/>
              <w:spacing w:line="360" w:lineRule="auto"/>
              <w:ind w:firstLine="420"/>
              <w:rPr>
                <w:rFonts w:ascii="宋体" w:hAnsi="宋体"/>
                <w:color w:val="auto"/>
                <w:sz w:val="21"/>
                <w:szCs w:val="21"/>
                <w:highlight w:val="none"/>
              </w:rPr>
            </w:pPr>
          </w:p>
        </w:tc>
        <w:tc>
          <w:tcPr>
            <w:tcW w:w="1126" w:type="dxa"/>
            <w:tcBorders>
              <w:top w:val="double" w:color="auto" w:sz="6" w:space="0"/>
              <w:bottom w:val="single" w:color="auto" w:sz="6" w:space="0"/>
            </w:tcBorders>
            <w:noWrap/>
            <w:vAlign w:val="center"/>
          </w:tcPr>
          <w:p w14:paraId="388993A0">
            <w:pPr>
              <w:pStyle w:val="17"/>
              <w:spacing w:line="360" w:lineRule="auto"/>
              <w:ind w:firstLine="420"/>
              <w:rPr>
                <w:rFonts w:ascii="宋体" w:hAnsi="宋体"/>
                <w:color w:val="auto"/>
                <w:sz w:val="21"/>
                <w:szCs w:val="21"/>
                <w:highlight w:val="none"/>
              </w:rPr>
            </w:pPr>
          </w:p>
        </w:tc>
        <w:tc>
          <w:tcPr>
            <w:tcW w:w="567" w:type="dxa"/>
            <w:tcBorders>
              <w:top w:val="double" w:color="auto" w:sz="6" w:space="0"/>
              <w:bottom w:val="single" w:color="auto" w:sz="6" w:space="0"/>
            </w:tcBorders>
            <w:noWrap/>
            <w:vAlign w:val="center"/>
          </w:tcPr>
          <w:p w14:paraId="572B3180">
            <w:pPr>
              <w:pStyle w:val="17"/>
              <w:spacing w:line="360" w:lineRule="auto"/>
              <w:ind w:firstLine="420"/>
              <w:rPr>
                <w:rFonts w:ascii="宋体" w:hAnsi="宋体"/>
                <w:color w:val="auto"/>
                <w:sz w:val="21"/>
                <w:szCs w:val="21"/>
                <w:highlight w:val="none"/>
              </w:rPr>
            </w:pPr>
          </w:p>
        </w:tc>
        <w:tc>
          <w:tcPr>
            <w:tcW w:w="686" w:type="dxa"/>
            <w:tcBorders>
              <w:top w:val="double" w:color="auto" w:sz="6" w:space="0"/>
              <w:bottom w:val="single" w:color="auto" w:sz="6" w:space="0"/>
            </w:tcBorders>
            <w:noWrap/>
            <w:vAlign w:val="center"/>
          </w:tcPr>
          <w:p w14:paraId="01901554">
            <w:pPr>
              <w:pStyle w:val="17"/>
              <w:spacing w:line="360" w:lineRule="auto"/>
              <w:ind w:firstLine="420"/>
              <w:rPr>
                <w:rFonts w:ascii="宋体" w:hAnsi="宋体"/>
                <w:color w:val="auto"/>
                <w:sz w:val="21"/>
                <w:szCs w:val="21"/>
                <w:highlight w:val="none"/>
              </w:rPr>
            </w:pPr>
          </w:p>
        </w:tc>
        <w:tc>
          <w:tcPr>
            <w:tcW w:w="992" w:type="dxa"/>
            <w:tcBorders>
              <w:top w:val="double" w:color="auto" w:sz="6" w:space="0"/>
              <w:bottom w:val="single" w:color="auto" w:sz="6" w:space="0"/>
            </w:tcBorders>
            <w:noWrap/>
          </w:tcPr>
          <w:p w14:paraId="7FC115C5">
            <w:pPr>
              <w:pStyle w:val="17"/>
              <w:spacing w:line="360" w:lineRule="auto"/>
              <w:ind w:firstLine="420"/>
              <w:rPr>
                <w:rFonts w:ascii="宋体" w:hAnsi="宋体"/>
                <w:color w:val="auto"/>
                <w:sz w:val="21"/>
                <w:szCs w:val="21"/>
                <w:highlight w:val="none"/>
              </w:rPr>
            </w:pPr>
          </w:p>
        </w:tc>
        <w:tc>
          <w:tcPr>
            <w:tcW w:w="1134" w:type="dxa"/>
            <w:tcBorders>
              <w:top w:val="double" w:color="auto" w:sz="6" w:space="0"/>
              <w:bottom w:val="single" w:color="auto" w:sz="6" w:space="0"/>
            </w:tcBorders>
            <w:noWrap/>
            <w:vAlign w:val="center"/>
          </w:tcPr>
          <w:p w14:paraId="671FE24C">
            <w:pPr>
              <w:pStyle w:val="17"/>
              <w:spacing w:line="360" w:lineRule="auto"/>
              <w:ind w:firstLine="420"/>
              <w:rPr>
                <w:rFonts w:ascii="宋体" w:hAnsi="宋体"/>
                <w:color w:val="auto"/>
                <w:sz w:val="21"/>
                <w:szCs w:val="21"/>
                <w:highlight w:val="none"/>
              </w:rPr>
            </w:pPr>
          </w:p>
        </w:tc>
        <w:tc>
          <w:tcPr>
            <w:tcW w:w="1134" w:type="dxa"/>
            <w:tcBorders>
              <w:top w:val="double" w:color="auto" w:sz="6" w:space="0"/>
              <w:bottom w:val="single" w:color="auto" w:sz="6" w:space="0"/>
            </w:tcBorders>
            <w:noWrap/>
            <w:vAlign w:val="center"/>
          </w:tcPr>
          <w:p w14:paraId="0B5C636E">
            <w:pPr>
              <w:pStyle w:val="17"/>
              <w:spacing w:line="360" w:lineRule="auto"/>
              <w:ind w:firstLine="420"/>
              <w:rPr>
                <w:rFonts w:ascii="宋体" w:hAnsi="宋体"/>
                <w:color w:val="auto"/>
                <w:sz w:val="21"/>
                <w:szCs w:val="21"/>
                <w:highlight w:val="none"/>
              </w:rPr>
            </w:pPr>
          </w:p>
        </w:tc>
        <w:tc>
          <w:tcPr>
            <w:tcW w:w="1134" w:type="dxa"/>
            <w:tcBorders>
              <w:top w:val="double" w:color="auto" w:sz="6" w:space="0"/>
              <w:bottom w:val="single" w:color="auto" w:sz="6" w:space="0"/>
            </w:tcBorders>
            <w:noWrap/>
            <w:vAlign w:val="center"/>
          </w:tcPr>
          <w:p w14:paraId="3B738198">
            <w:pPr>
              <w:pStyle w:val="17"/>
              <w:spacing w:line="360" w:lineRule="auto"/>
              <w:ind w:firstLine="420"/>
              <w:rPr>
                <w:rFonts w:ascii="宋体" w:hAnsi="宋体"/>
                <w:color w:val="auto"/>
                <w:sz w:val="21"/>
                <w:szCs w:val="21"/>
                <w:highlight w:val="none"/>
              </w:rPr>
            </w:pPr>
          </w:p>
        </w:tc>
        <w:tc>
          <w:tcPr>
            <w:tcW w:w="709" w:type="dxa"/>
            <w:tcBorders>
              <w:top w:val="double" w:color="auto" w:sz="6" w:space="0"/>
              <w:bottom w:val="single" w:color="auto" w:sz="6" w:space="0"/>
            </w:tcBorders>
            <w:noWrap/>
            <w:vAlign w:val="center"/>
          </w:tcPr>
          <w:p w14:paraId="2B69415E">
            <w:pPr>
              <w:pStyle w:val="17"/>
              <w:spacing w:line="360" w:lineRule="auto"/>
              <w:ind w:firstLine="420"/>
              <w:rPr>
                <w:rFonts w:ascii="宋体" w:hAnsi="宋体"/>
                <w:color w:val="auto"/>
                <w:sz w:val="21"/>
                <w:szCs w:val="21"/>
                <w:highlight w:val="none"/>
              </w:rPr>
            </w:pPr>
          </w:p>
        </w:tc>
      </w:tr>
      <w:tr w14:paraId="280B63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tcBorders>
              <w:top w:val="nil"/>
            </w:tcBorders>
            <w:noWrap/>
            <w:vAlign w:val="center"/>
          </w:tcPr>
          <w:p w14:paraId="7BCE1387">
            <w:pPr>
              <w:pStyle w:val="17"/>
              <w:spacing w:line="360" w:lineRule="auto"/>
              <w:ind w:firstLine="420"/>
              <w:rPr>
                <w:rFonts w:ascii="宋体" w:hAnsi="宋体"/>
                <w:color w:val="auto"/>
                <w:sz w:val="21"/>
                <w:szCs w:val="21"/>
                <w:highlight w:val="none"/>
              </w:rPr>
            </w:pPr>
          </w:p>
        </w:tc>
        <w:tc>
          <w:tcPr>
            <w:tcW w:w="1165" w:type="dxa"/>
            <w:tcBorders>
              <w:top w:val="nil"/>
            </w:tcBorders>
            <w:noWrap/>
            <w:vAlign w:val="center"/>
          </w:tcPr>
          <w:p w14:paraId="02ABAAE8">
            <w:pPr>
              <w:pStyle w:val="17"/>
              <w:spacing w:line="360" w:lineRule="auto"/>
              <w:ind w:firstLine="420"/>
              <w:rPr>
                <w:rFonts w:ascii="宋体" w:hAnsi="宋体"/>
                <w:color w:val="auto"/>
                <w:sz w:val="21"/>
                <w:szCs w:val="21"/>
                <w:highlight w:val="none"/>
              </w:rPr>
            </w:pPr>
          </w:p>
        </w:tc>
        <w:tc>
          <w:tcPr>
            <w:tcW w:w="1126" w:type="dxa"/>
            <w:tcBorders>
              <w:top w:val="nil"/>
            </w:tcBorders>
            <w:noWrap/>
            <w:vAlign w:val="center"/>
          </w:tcPr>
          <w:p w14:paraId="2D4A66F5">
            <w:pPr>
              <w:pStyle w:val="17"/>
              <w:spacing w:line="360" w:lineRule="auto"/>
              <w:ind w:firstLine="420"/>
              <w:rPr>
                <w:rFonts w:ascii="宋体" w:hAnsi="宋体"/>
                <w:color w:val="auto"/>
                <w:sz w:val="21"/>
                <w:szCs w:val="21"/>
                <w:highlight w:val="none"/>
              </w:rPr>
            </w:pPr>
          </w:p>
        </w:tc>
        <w:tc>
          <w:tcPr>
            <w:tcW w:w="567" w:type="dxa"/>
            <w:tcBorders>
              <w:top w:val="nil"/>
            </w:tcBorders>
            <w:noWrap/>
            <w:vAlign w:val="center"/>
          </w:tcPr>
          <w:p w14:paraId="7F0D5E46">
            <w:pPr>
              <w:pStyle w:val="17"/>
              <w:spacing w:line="360" w:lineRule="auto"/>
              <w:ind w:firstLine="420"/>
              <w:rPr>
                <w:rFonts w:ascii="宋体" w:hAnsi="宋体"/>
                <w:color w:val="auto"/>
                <w:sz w:val="21"/>
                <w:szCs w:val="21"/>
                <w:highlight w:val="none"/>
              </w:rPr>
            </w:pPr>
          </w:p>
        </w:tc>
        <w:tc>
          <w:tcPr>
            <w:tcW w:w="686" w:type="dxa"/>
            <w:tcBorders>
              <w:top w:val="nil"/>
            </w:tcBorders>
            <w:noWrap/>
            <w:vAlign w:val="center"/>
          </w:tcPr>
          <w:p w14:paraId="7F32B023">
            <w:pPr>
              <w:pStyle w:val="17"/>
              <w:spacing w:line="360" w:lineRule="auto"/>
              <w:ind w:firstLine="420"/>
              <w:rPr>
                <w:rFonts w:ascii="宋体" w:hAnsi="宋体"/>
                <w:color w:val="auto"/>
                <w:sz w:val="21"/>
                <w:szCs w:val="21"/>
                <w:highlight w:val="none"/>
              </w:rPr>
            </w:pPr>
          </w:p>
        </w:tc>
        <w:tc>
          <w:tcPr>
            <w:tcW w:w="992" w:type="dxa"/>
            <w:tcBorders>
              <w:top w:val="nil"/>
            </w:tcBorders>
            <w:noWrap/>
          </w:tcPr>
          <w:p w14:paraId="0AE85CBB">
            <w:pPr>
              <w:pStyle w:val="17"/>
              <w:spacing w:line="360" w:lineRule="auto"/>
              <w:ind w:firstLine="420"/>
              <w:rPr>
                <w:rFonts w:ascii="宋体" w:hAnsi="宋体"/>
                <w:color w:val="auto"/>
                <w:sz w:val="21"/>
                <w:szCs w:val="21"/>
                <w:highlight w:val="none"/>
              </w:rPr>
            </w:pPr>
          </w:p>
        </w:tc>
        <w:tc>
          <w:tcPr>
            <w:tcW w:w="1134" w:type="dxa"/>
            <w:tcBorders>
              <w:top w:val="nil"/>
            </w:tcBorders>
            <w:noWrap/>
            <w:vAlign w:val="center"/>
          </w:tcPr>
          <w:p w14:paraId="39845D21">
            <w:pPr>
              <w:pStyle w:val="17"/>
              <w:spacing w:line="360" w:lineRule="auto"/>
              <w:ind w:firstLine="420"/>
              <w:rPr>
                <w:rFonts w:ascii="宋体" w:hAnsi="宋体"/>
                <w:color w:val="auto"/>
                <w:sz w:val="21"/>
                <w:szCs w:val="21"/>
                <w:highlight w:val="none"/>
              </w:rPr>
            </w:pPr>
          </w:p>
        </w:tc>
        <w:tc>
          <w:tcPr>
            <w:tcW w:w="1134" w:type="dxa"/>
            <w:tcBorders>
              <w:top w:val="nil"/>
            </w:tcBorders>
            <w:noWrap/>
            <w:vAlign w:val="center"/>
          </w:tcPr>
          <w:p w14:paraId="1D44FEEA">
            <w:pPr>
              <w:pStyle w:val="17"/>
              <w:spacing w:line="360" w:lineRule="auto"/>
              <w:ind w:firstLine="420"/>
              <w:rPr>
                <w:rFonts w:ascii="宋体" w:hAnsi="宋体"/>
                <w:color w:val="auto"/>
                <w:sz w:val="21"/>
                <w:szCs w:val="21"/>
                <w:highlight w:val="none"/>
              </w:rPr>
            </w:pPr>
          </w:p>
        </w:tc>
        <w:tc>
          <w:tcPr>
            <w:tcW w:w="1134" w:type="dxa"/>
            <w:tcBorders>
              <w:top w:val="nil"/>
            </w:tcBorders>
            <w:noWrap/>
            <w:vAlign w:val="center"/>
          </w:tcPr>
          <w:p w14:paraId="5D16A7E8">
            <w:pPr>
              <w:pStyle w:val="17"/>
              <w:spacing w:line="360" w:lineRule="auto"/>
              <w:ind w:firstLine="420"/>
              <w:rPr>
                <w:rFonts w:ascii="宋体" w:hAnsi="宋体"/>
                <w:color w:val="auto"/>
                <w:sz w:val="21"/>
                <w:szCs w:val="21"/>
                <w:highlight w:val="none"/>
              </w:rPr>
            </w:pPr>
          </w:p>
        </w:tc>
        <w:tc>
          <w:tcPr>
            <w:tcW w:w="709" w:type="dxa"/>
            <w:tcBorders>
              <w:top w:val="nil"/>
            </w:tcBorders>
            <w:noWrap/>
            <w:vAlign w:val="center"/>
          </w:tcPr>
          <w:p w14:paraId="4081EB49">
            <w:pPr>
              <w:pStyle w:val="17"/>
              <w:spacing w:line="360" w:lineRule="auto"/>
              <w:ind w:firstLine="420"/>
              <w:rPr>
                <w:rFonts w:ascii="宋体" w:hAnsi="宋体"/>
                <w:color w:val="auto"/>
                <w:sz w:val="21"/>
                <w:szCs w:val="21"/>
                <w:highlight w:val="none"/>
              </w:rPr>
            </w:pPr>
          </w:p>
        </w:tc>
      </w:tr>
      <w:tr w14:paraId="5150E7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ign w:val="center"/>
          </w:tcPr>
          <w:p w14:paraId="7C39C247">
            <w:pPr>
              <w:pStyle w:val="17"/>
              <w:spacing w:line="360" w:lineRule="auto"/>
              <w:ind w:firstLine="420"/>
              <w:rPr>
                <w:rFonts w:ascii="宋体" w:hAnsi="宋体"/>
                <w:color w:val="auto"/>
                <w:sz w:val="21"/>
                <w:szCs w:val="21"/>
                <w:highlight w:val="none"/>
              </w:rPr>
            </w:pPr>
          </w:p>
        </w:tc>
        <w:tc>
          <w:tcPr>
            <w:tcW w:w="1165" w:type="dxa"/>
            <w:noWrap/>
            <w:vAlign w:val="center"/>
          </w:tcPr>
          <w:p w14:paraId="13A1A86E">
            <w:pPr>
              <w:pStyle w:val="17"/>
              <w:spacing w:line="360" w:lineRule="auto"/>
              <w:ind w:firstLine="420"/>
              <w:rPr>
                <w:rFonts w:ascii="宋体" w:hAnsi="宋体"/>
                <w:color w:val="auto"/>
                <w:sz w:val="21"/>
                <w:szCs w:val="21"/>
                <w:highlight w:val="none"/>
              </w:rPr>
            </w:pPr>
          </w:p>
        </w:tc>
        <w:tc>
          <w:tcPr>
            <w:tcW w:w="1126" w:type="dxa"/>
            <w:noWrap/>
            <w:vAlign w:val="center"/>
          </w:tcPr>
          <w:p w14:paraId="71DAC3DC">
            <w:pPr>
              <w:pStyle w:val="17"/>
              <w:spacing w:line="360" w:lineRule="auto"/>
              <w:ind w:firstLine="420"/>
              <w:rPr>
                <w:rFonts w:ascii="宋体" w:hAnsi="宋体"/>
                <w:color w:val="auto"/>
                <w:sz w:val="21"/>
                <w:szCs w:val="21"/>
                <w:highlight w:val="none"/>
              </w:rPr>
            </w:pPr>
          </w:p>
        </w:tc>
        <w:tc>
          <w:tcPr>
            <w:tcW w:w="567" w:type="dxa"/>
            <w:noWrap/>
            <w:vAlign w:val="center"/>
          </w:tcPr>
          <w:p w14:paraId="67AE1727">
            <w:pPr>
              <w:pStyle w:val="17"/>
              <w:spacing w:line="360" w:lineRule="auto"/>
              <w:ind w:firstLine="420"/>
              <w:rPr>
                <w:rFonts w:ascii="宋体" w:hAnsi="宋体"/>
                <w:color w:val="auto"/>
                <w:sz w:val="21"/>
                <w:szCs w:val="21"/>
                <w:highlight w:val="none"/>
              </w:rPr>
            </w:pPr>
          </w:p>
        </w:tc>
        <w:tc>
          <w:tcPr>
            <w:tcW w:w="686" w:type="dxa"/>
            <w:noWrap/>
            <w:vAlign w:val="center"/>
          </w:tcPr>
          <w:p w14:paraId="6F51B2F9">
            <w:pPr>
              <w:pStyle w:val="17"/>
              <w:spacing w:line="360" w:lineRule="auto"/>
              <w:ind w:firstLine="420"/>
              <w:rPr>
                <w:rFonts w:ascii="宋体" w:hAnsi="宋体"/>
                <w:color w:val="auto"/>
                <w:sz w:val="21"/>
                <w:szCs w:val="21"/>
                <w:highlight w:val="none"/>
              </w:rPr>
            </w:pPr>
          </w:p>
        </w:tc>
        <w:tc>
          <w:tcPr>
            <w:tcW w:w="992" w:type="dxa"/>
            <w:noWrap/>
          </w:tcPr>
          <w:p w14:paraId="3C6F0328">
            <w:pPr>
              <w:pStyle w:val="17"/>
              <w:spacing w:line="360" w:lineRule="auto"/>
              <w:ind w:firstLine="420"/>
              <w:rPr>
                <w:rFonts w:ascii="宋体" w:hAnsi="宋体"/>
                <w:color w:val="auto"/>
                <w:sz w:val="21"/>
                <w:szCs w:val="21"/>
                <w:highlight w:val="none"/>
              </w:rPr>
            </w:pPr>
          </w:p>
        </w:tc>
        <w:tc>
          <w:tcPr>
            <w:tcW w:w="1134" w:type="dxa"/>
            <w:noWrap/>
            <w:vAlign w:val="center"/>
          </w:tcPr>
          <w:p w14:paraId="6F2F87DB">
            <w:pPr>
              <w:pStyle w:val="17"/>
              <w:spacing w:line="360" w:lineRule="auto"/>
              <w:ind w:firstLine="420"/>
              <w:rPr>
                <w:rFonts w:ascii="宋体" w:hAnsi="宋体"/>
                <w:color w:val="auto"/>
                <w:sz w:val="21"/>
                <w:szCs w:val="21"/>
                <w:highlight w:val="none"/>
              </w:rPr>
            </w:pPr>
          </w:p>
        </w:tc>
        <w:tc>
          <w:tcPr>
            <w:tcW w:w="1134" w:type="dxa"/>
            <w:noWrap/>
            <w:vAlign w:val="center"/>
          </w:tcPr>
          <w:p w14:paraId="0441CE5A">
            <w:pPr>
              <w:pStyle w:val="17"/>
              <w:spacing w:line="360" w:lineRule="auto"/>
              <w:ind w:firstLine="420"/>
              <w:rPr>
                <w:rFonts w:ascii="宋体" w:hAnsi="宋体"/>
                <w:color w:val="auto"/>
                <w:sz w:val="21"/>
                <w:szCs w:val="21"/>
                <w:highlight w:val="none"/>
              </w:rPr>
            </w:pPr>
          </w:p>
        </w:tc>
        <w:tc>
          <w:tcPr>
            <w:tcW w:w="1134" w:type="dxa"/>
            <w:noWrap/>
            <w:vAlign w:val="center"/>
          </w:tcPr>
          <w:p w14:paraId="0F3380F4">
            <w:pPr>
              <w:pStyle w:val="17"/>
              <w:spacing w:line="360" w:lineRule="auto"/>
              <w:ind w:firstLine="420"/>
              <w:rPr>
                <w:rFonts w:ascii="宋体" w:hAnsi="宋体"/>
                <w:color w:val="auto"/>
                <w:sz w:val="21"/>
                <w:szCs w:val="21"/>
                <w:highlight w:val="none"/>
              </w:rPr>
            </w:pPr>
          </w:p>
        </w:tc>
        <w:tc>
          <w:tcPr>
            <w:tcW w:w="709" w:type="dxa"/>
            <w:noWrap/>
            <w:vAlign w:val="center"/>
          </w:tcPr>
          <w:p w14:paraId="6DEC6211">
            <w:pPr>
              <w:pStyle w:val="17"/>
              <w:spacing w:line="360" w:lineRule="auto"/>
              <w:ind w:firstLine="420"/>
              <w:rPr>
                <w:rFonts w:ascii="宋体" w:hAnsi="宋体"/>
                <w:color w:val="auto"/>
                <w:sz w:val="21"/>
                <w:szCs w:val="21"/>
                <w:highlight w:val="none"/>
              </w:rPr>
            </w:pPr>
          </w:p>
        </w:tc>
      </w:tr>
      <w:tr w14:paraId="2D8317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ign w:val="center"/>
          </w:tcPr>
          <w:p w14:paraId="7559C9B8">
            <w:pPr>
              <w:pStyle w:val="17"/>
              <w:spacing w:line="360" w:lineRule="auto"/>
              <w:ind w:firstLine="420"/>
              <w:rPr>
                <w:rFonts w:ascii="宋体" w:hAnsi="宋体"/>
                <w:color w:val="auto"/>
                <w:sz w:val="21"/>
                <w:szCs w:val="21"/>
                <w:highlight w:val="none"/>
              </w:rPr>
            </w:pPr>
          </w:p>
        </w:tc>
        <w:tc>
          <w:tcPr>
            <w:tcW w:w="1165" w:type="dxa"/>
            <w:noWrap/>
            <w:vAlign w:val="center"/>
          </w:tcPr>
          <w:p w14:paraId="11B73723">
            <w:pPr>
              <w:pStyle w:val="17"/>
              <w:spacing w:line="360" w:lineRule="auto"/>
              <w:ind w:firstLine="420"/>
              <w:rPr>
                <w:rFonts w:ascii="宋体" w:hAnsi="宋体"/>
                <w:color w:val="auto"/>
                <w:sz w:val="21"/>
                <w:szCs w:val="21"/>
                <w:highlight w:val="none"/>
              </w:rPr>
            </w:pPr>
          </w:p>
        </w:tc>
        <w:tc>
          <w:tcPr>
            <w:tcW w:w="1126" w:type="dxa"/>
            <w:noWrap/>
            <w:vAlign w:val="center"/>
          </w:tcPr>
          <w:p w14:paraId="0B2566CE">
            <w:pPr>
              <w:pStyle w:val="17"/>
              <w:spacing w:line="360" w:lineRule="auto"/>
              <w:ind w:firstLine="420"/>
              <w:rPr>
                <w:rFonts w:ascii="宋体" w:hAnsi="宋体"/>
                <w:color w:val="auto"/>
                <w:sz w:val="21"/>
                <w:szCs w:val="21"/>
                <w:highlight w:val="none"/>
              </w:rPr>
            </w:pPr>
          </w:p>
        </w:tc>
        <w:tc>
          <w:tcPr>
            <w:tcW w:w="567" w:type="dxa"/>
            <w:noWrap/>
            <w:vAlign w:val="center"/>
          </w:tcPr>
          <w:p w14:paraId="7D2D80B9">
            <w:pPr>
              <w:pStyle w:val="17"/>
              <w:spacing w:line="360" w:lineRule="auto"/>
              <w:ind w:firstLine="420"/>
              <w:rPr>
                <w:rFonts w:ascii="宋体" w:hAnsi="宋体"/>
                <w:color w:val="auto"/>
                <w:sz w:val="21"/>
                <w:szCs w:val="21"/>
                <w:highlight w:val="none"/>
              </w:rPr>
            </w:pPr>
          </w:p>
        </w:tc>
        <w:tc>
          <w:tcPr>
            <w:tcW w:w="686" w:type="dxa"/>
            <w:noWrap/>
            <w:vAlign w:val="center"/>
          </w:tcPr>
          <w:p w14:paraId="375C365E">
            <w:pPr>
              <w:pStyle w:val="17"/>
              <w:spacing w:line="360" w:lineRule="auto"/>
              <w:ind w:firstLine="420"/>
              <w:rPr>
                <w:rFonts w:ascii="宋体" w:hAnsi="宋体"/>
                <w:color w:val="auto"/>
                <w:sz w:val="21"/>
                <w:szCs w:val="21"/>
                <w:highlight w:val="none"/>
              </w:rPr>
            </w:pPr>
          </w:p>
        </w:tc>
        <w:tc>
          <w:tcPr>
            <w:tcW w:w="992" w:type="dxa"/>
            <w:noWrap/>
          </w:tcPr>
          <w:p w14:paraId="085DA71E">
            <w:pPr>
              <w:pStyle w:val="17"/>
              <w:spacing w:line="360" w:lineRule="auto"/>
              <w:ind w:firstLine="420"/>
              <w:rPr>
                <w:rFonts w:ascii="宋体" w:hAnsi="宋体"/>
                <w:color w:val="auto"/>
                <w:sz w:val="21"/>
                <w:szCs w:val="21"/>
                <w:highlight w:val="none"/>
              </w:rPr>
            </w:pPr>
          </w:p>
        </w:tc>
        <w:tc>
          <w:tcPr>
            <w:tcW w:w="1134" w:type="dxa"/>
            <w:noWrap/>
            <w:vAlign w:val="center"/>
          </w:tcPr>
          <w:p w14:paraId="572F59B4">
            <w:pPr>
              <w:pStyle w:val="17"/>
              <w:spacing w:line="360" w:lineRule="auto"/>
              <w:ind w:firstLine="420"/>
              <w:rPr>
                <w:rFonts w:ascii="宋体" w:hAnsi="宋体"/>
                <w:color w:val="auto"/>
                <w:sz w:val="21"/>
                <w:szCs w:val="21"/>
                <w:highlight w:val="none"/>
              </w:rPr>
            </w:pPr>
          </w:p>
        </w:tc>
        <w:tc>
          <w:tcPr>
            <w:tcW w:w="1134" w:type="dxa"/>
            <w:noWrap/>
            <w:vAlign w:val="center"/>
          </w:tcPr>
          <w:p w14:paraId="173D414E">
            <w:pPr>
              <w:pStyle w:val="17"/>
              <w:spacing w:line="360" w:lineRule="auto"/>
              <w:ind w:firstLine="420"/>
              <w:rPr>
                <w:rFonts w:ascii="宋体" w:hAnsi="宋体"/>
                <w:color w:val="auto"/>
                <w:sz w:val="21"/>
                <w:szCs w:val="21"/>
                <w:highlight w:val="none"/>
              </w:rPr>
            </w:pPr>
          </w:p>
        </w:tc>
        <w:tc>
          <w:tcPr>
            <w:tcW w:w="1134" w:type="dxa"/>
            <w:noWrap/>
            <w:vAlign w:val="center"/>
          </w:tcPr>
          <w:p w14:paraId="3332A7F9">
            <w:pPr>
              <w:pStyle w:val="17"/>
              <w:spacing w:line="360" w:lineRule="auto"/>
              <w:ind w:firstLine="420"/>
              <w:rPr>
                <w:rFonts w:ascii="宋体" w:hAnsi="宋体"/>
                <w:color w:val="auto"/>
                <w:sz w:val="21"/>
                <w:szCs w:val="21"/>
                <w:highlight w:val="none"/>
              </w:rPr>
            </w:pPr>
          </w:p>
        </w:tc>
        <w:tc>
          <w:tcPr>
            <w:tcW w:w="709" w:type="dxa"/>
            <w:noWrap/>
            <w:vAlign w:val="center"/>
          </w:tcPr>
          <w:p w14:paraId="305833CC">
            <w:pPr>
              <w:pStyle w:val="17"/>
              <w:spacing w:line="360" w:lineRule="auto"/>
              <w:ind w:firstLine="420"/>
              <w:rPr>
                <w:rFonts w:ascii="宋体" w:hAnsi="宋体"/>
                <w:color w:val="auto"/>
                <w:sz w:val="21"/>
                <w:szCs w:val="21"/>
                <w:highlight w:val="none"/>
              </w:rPr>
            </w:pPr>
          </w:p>
        </w:tc>
      </w:tr>
      <w:tr w14:paraId="6CABED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ign w:val="center"/>
          </w:tcPr>
          <w:p w14:paraId="15BE6426">
            <w:pPr>
              <w:pStyle w:val="17"/>
              <w:spacing w:line="360" w:lineRule="auto"/>
              <w:ind w:firstLine="420"/>
              <w:rPr>
                <w:rFonts w:ascii="宋体" w:hAnsi="宋体"/>
                <w:color w:val="auto"/>
                <w:sz w:val="21"/>
                <w:szCs w:val="21"/>
                <w:highlight w:val="none"/>
              </w:rPr>
            </w:pPr>
          </w:p>
        </w:tc>
        <w:tc>
          <w:tcPr>
            <w:tcW w:w="1165" w:type="dxa"/>
            <w:noWrap/>
            <w:vAlign w:val="center"/>
          </w:tcPr>
          <w:p w14:paraId="07DE017E">
            <w:pPr>
              <w:pStyle w:val="17"/>
              <w:spacing w:line="360" w:lineRule="auto"/>
              <w:ind w:firstLine="420"/>
              <w:rPr>
                <w:rFonts w:ascii="宋体" w:hAnsi="宋体"/>
                <w:color w:val="auto"/>
                <w:sz w:val="21"/>
                <w:szCs w:val="21"/>
                <w:highlight w:val="none"/>
              </w:rPr>
            </w:pPr>
          </w:p>
        </w:tc>
        <w:tc>
          <w:tcPr>
            <w:tcW w:w="1126" w:type="dxa"/>
            <w:noWrap/>
            <w:vAlign w:val="center"/>
          </w:tcPr>
          <w:p w14:paraId="71624BCE">
            <w:pPr>
              <w:pStyle w:val="17"/>
              <w:spacing w:line="360" w:lineRule="auto"/>
              <w:ind w:firstLine="420"/>
              <w:rPr>
                <w:rFonts w:ascii="宋体" w:hAnsi="宋体"/>
                <w:color w:val="auto"/>
                <w:sz w:val="21"/>
                <w:szCs w:val="21"/>
                <w:highlight w:val="none"/>
              </w:rPr>
            </w:pPr>
          </w:p>
        </w:tc>
        <w:tc>
          <w:tcPr>
            <w:tcW w:w="567" w:type="dxa"/>
            <w:noWrap/>
            <w:vAlign w:val="center"/>
          </w:tcPr>
          <w:p w14:paraId="7CE82241">
            <w:pPr>
              <w:pStyle w:val="17"/>
              <w:spacing w:line="360" w:lineRule="auto"/>
              <w:ind w:firstLine="420"/>
              <w:rPr>
                <w:rFonts w:ascii="宋体" w:hAnsi="宋体"/>
                <w:color w:val="auto"/>
                <w:sz w:val="21"/>
                <w:szCs w:val="21"/>
                <w:highlight w:val="none"/>
              </w:rPr>
            </w:pPr>
          </w:p>
        </w:tc>
        <w:tc>
          <w:tcPr>
            <w:tcW w:w="686" w:type="dxa"/>
            <w:noWrap/>
            <w:vAlign w:val="center"/>
          </w:tcPr>
          <w:p w14:paraId="1BAB9577">
            <w:pPr>
              <w:pStyle w:val="17"/>
              <w:spacing w:line="360" w:lineRule="auto"/>
              <w:ind w:firstLine="420"/>
              <w:rPr>
                <w:rFonts w:ascii="宋体" w:hAnsi="宋体"/>
                <w:color w:val="auto"/>
                <w:sz w:val="21"/>
                <w:szCs w:val="21"/>
                <w:highlight w:val="none"/>
              </w:rPr>
            </w:pPr>
          </w:p>
        </w:tc>
        <w:tc>
          <w:tcPr>
            <w:tcW w:w="992" w:type="dxa"/>
            <w:noWrap/>
          </w:tcPr>
          <w:p w14:paraId="7AF01A42">
            <w:pPr>
              <w:pStyle w:val="17"/>
              <w:spacing w:line="360" w:lineRule="auto"/>
              <w:ind w:firstLine="420"/>
              <w:rPr>
                <w:rFonts w:ascii="宋体" w:hAnsi="宋体"/>
                <w:color w:val="auto"/>
                <w:sz w:val="21"/>
                <w:szCs w:val="21"/>
                <w:highlight w:val="none"/>
              </w:rPr>
            </w:pPr>
          </w:p>
        </w:tc>
        <w:tc>
          <w:tcPr>
            <w:tcW w:w="1134" w:type="dxa"/>
            <w:noWrap/>
            <w:vAlign w:val="center"/>
          </w:tcPr>
          <w:p w14:paraId="05A94C9C">
            <w:pPr>
              <w:pStyle w:val="17"/>
              <w:spacing w:line="360" w:lineRule="auto"/>
              <w:ind w:firstLine="420"/>
              <w:rPr>
                <w:rFonts w:ascii="宋体" w:hAnsi="宋体"/>
                <w:color w:val="auto"/>
                <w:sz w:val="21"/>
                <w:szCs w:val="21"/>
                <w:highlight w:val="none"/>
              </w:rPr>
            </w:pPr>
          </w:p>
        </w:tc>
        <w:tc>
          <w:tcPr>
            <w:tcW w:w="1134" w:type="dxa"/>
            <w:noWrap/>
            <w:vAlign w:val="center"/>
          </w:tcPr>
          <w:p w14:paraId="2FD235AF">
            <w:pPr>
              <w:pStyle w:val="17"/>
              <w:spacing w:line="360" w:lineRule="auto"/>
              <w:ind w:firstLine="420"/>
              <w:rPr>
                <w:rFonts w:ascii="宋体" w:hAnsi="宋体"/>
                <w:color w:val="auto"/>
                <w:sz w:val="21"/>
                <w:szCs w:val="21"/>
                <w:highlight w:val="none"/>
              </w:rPr>
            </w:pPr>
          </w:p>
        </w:tc>
        <w:tc>
          <w:tcPr>
            <w:tcW w:w="1134" w:type="dxa"/>
            <w:noWrap/>
            <w:vAlign w:val="center"/>
          </w:tcPr>
          <w:p w14:paraId="35046519">
            <w:pPr>
              <w:pStyle w:val="17"/>
              <w:spacing w:line="360" w:lineRule="auto"/>
              <w:ind w:firstLine="420"/>
              <w:rPr>
                <w:rFonts w:ascii="宋体" w:hAnsi="宋体"/>
                <w:color w:val="auto"/>
                <w:sz w:val="21"/>
                <w:szCs w:val="21"/>
                <w:highlight w:val="none"/>
              </w:rPr>
            </w:pPr>
          </w:p>
        </w:tc>
        <w:tc>
          <w:tcPr>
            <w:tcW w:w="709" w:type="dxa"/>
            <w:noWrap/>
            <w:vAlign w:val="center"/>
          </w:tcPr>
          <w:p w14:paraId="731DEE37">
            <w:pPr>
              <w:pStyle w:val="17"/>
              <w:spacing w:line="360" w:lineRule="auto"/>
              <w:ind w:firstLine="420"/>
              <w:rPr>
                <w:rFonts w:ascii="宋体" w:hAnsi="宋体"/>
                <w:color w:val="auto"/>
                <w:sz w:val="21"/>
                <w:szCs w:val="21"/>
                <w:highlight w:val="none"/>
              </w:rPr>
            </w:pPr>
          </w:p>
        </w:tc>
      </w:tr>
      <w:tr w14:paraId="6C488A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ign w:val="center"/>
          </w:tcPr>
          <w:p w14:paraId="584CEFBD">
            <w:pPr>
              <w:pStyle w:val="17"/>
              <w:spacing w:line="360" w:lineRule="auto"/>
              <w:ind w:firstLine="420"/>
              <w:rPr>
                <w:rFonts w:ascii="宋体" w:hAnsi="宋体"/>
                <w:color w:val="auto"/>
                <w:sz w:val="21"/>
                <w:szCs w:val="21"/>
                <w:highlight w:val="none"/>
              </w:rPr>
            </w:pPr>
          </w:p>
        </w:tc>
        <w:tc>
          <w:tcPr>
            <w:tcW w:w="1165" w:type="dxa"/>
            <w:noWrap/>
            <w:vAlign w:val="center"/>
          </w:tcPr>
          <w:p w14:paraId="40E2143F">
            <w:pPr>
              <w:pStyle w:val="17"/>
              <w:spacing w:line="360" w:lineRule="auto"/>
              <w:ind w:firstLine="420"/>
              <w:rPr>
                <w:rFonts w:ascii="宋体" w:hAnsi="宋体"/>
                <w:color w:val="auto"/>
                <w:sz w:val="21"/>
                <w:szCs w:val="21"/>
                <w:highlight w:val="none"/>
              </w:rPr>
            </w:pPr>
          </w:p>
        </w:tc>
        <w:tc>
          <w:tcPr>
            <w:tcW w:w="1126" w:type="dxa"/>
            <w:noWrap/>
            <w:vAlign w:val="center"/>
          </w:tcPr>
          <w:p w14:paraId="7AA7ECF4">
            <w:pPr>
              <w:pStyle w:val="17"/>
              <w:spacing w:line="360" w:lineRule="auto"/>
              <w:ind w:firstLine="420"/>
              <w:rPr>
                <w:rFonts w:ascii="宋体" w:hAnsi="宋体"/>
                <w:color w:val="auto"/>
                <w:sz w:val="21"/>
                <w:szCs w:val="21"/>
                <w:highlight w:val="none"/>
              </w:rPr>
            </w:pPr>
          </w:p>
        </w:tc>
        <w:tc>
          <w:tcPr>
            <w:tcW w:w="567" w:type="dxa"/>
            <w:noWrap/>
            <w:vAlign w:val="center"/>
          </w:tcPr>
          <w:p w14:paraId="691DF64D">
            <w:pPr>
              <w:pStyle w:val="17"/>
              <w:spacing w:line="360" w:lineRule="auto"/>
              <w:ind w:firstLine="420"/>
              <w:rPr>
                <w:rFonts w:ascii="宋体" w:hAnsi="宋体"/>
                <w:color w:val="auto"/>
                <w:sz w:val="21"/>
                <w:szCs w:val="21"/>
                <w:highlight w:val="none"/>
              </w:rPr>
            </w:pPr>
          </w:p>
        </w:tc>
        <w:tc>
          <w:tcPr>
            <w:tcW w:w="686" w:type="dxa"/>
            <w:noWrap/>
            <w:vAlign w:val="center"/>
          </w:tcPr>
          <w:p w14:paraId="38688C87">
            <w:pPr>
              <w:pStyle w:val="17"/>
              <w:spacing w:line="360" w:lineRule="auto"/>
              <w:ind w:firstLine="420"/>
              <w:rPr>
                <w:rFonts w:ascii="宋体" w:hAnsi="宋体"/>
                <w:color w:val="auto"/>
                <w:sz w:val="21"/>
                <w:szCs w:val="21"/>
                <w:highlight w:val="none"/>
              </w:rPr>
            </w:pPr>
          </w:p>
        </w:tc>
        <w:tc>
          <w:tcPr>
            <w:tcW w:w="992" w:type="dxa"/>
            <w:noWrap/>
          </w:tcPr>
          <w:p w14:paraId="6F05E9EF">
            <w:pPr>
              <w:pStyle w:val="17"/>
              <w:spacing w:line="360" w:lineRule="auto"/>
              <w:ind w:firstLine="420"/>
              <w:rPr>
                <w:rFonts w:ascii="宋体" w:hAnsi="宋体"/>
                <w:color w:val="auto"/>
                <w:sz w:val="21"/>
                <w:szCs w:val="21"/>
                <w:highlight w:val="none"/>
              </w:rPr>
            </w:pPr>
          </w:p>
        </w:tc>
        <w:tc>
          <w:tcPr>
            <w:tcW w:w="1134" w:type="dxa"/>
            <w:noWrap/>
            <w:vAlign w:val="center"/>
          </w:tcPr>
          <w:p w14:paraId="7560A2C5">
            <w:pPr>
              <w:pStyle w:val="17"/>
              <w:spacing w:line="360" w:lineRule="auto"/>
              <w:ind w:firstLine="420"/>
              <w:rPr>
                <w:rFonts w:ascii="宋体" w:hAnsi="宋体"/>
                <w:color w:val="auto"/>
                <w:sz w:val="21"/>
                <w:szCs w:val="21"/>
                <w:highlight w:val="none"/>
              </w:rPr>
            </w:pPr>
          </w:p>
        </w:tc>
        <w:tc>
          <w:tcPr>
            <w:tcW w:w="1134" w:type="dxa"/>
            <w:noWrap/>
            <w:vAlign w:val="center"/>
          </w:tcPr>
          <w:p w14:paraId="181D2569">
            <w:pPr>
              <w:pStyle w:val="17"/>
              <w:spacing w:line="360" w:lineRule="auto"/>
              <w:ind w:firstLine="420"/>
              <w:rPr>
                <w:rFonts w:ascii="宋体" w:hAnsi="宋体"/>
                <w:color w:val="auto"/>
                <w:sz w:val="21"/>
                <w:szCs w:val="21"/>
                <w:highlight w:val="none"/>
              </w:rPr>
            </w:pPr>
          </w:p>
        </w:tc>
        <w:tc>
          <w:tcPr>
            <w:tcW w:w="1134" w:type="dxa"/>
            <w:noWrap/>
            <w:vAlign w:val="center"/>
          </w:tcPr>
          <w:p w14:paraId="75CC259B">
            <w:pPr>
              <w:pStyle w:val="17"/>
              <w:spacing w:line="360" w:lineRule="auto"/>
              <w:ind w:firstLine="420"/>
              <w:rPr>
                <w:rFonts w:ascii="宋体" w:hAnsi="宋体"/>
                <w:color w:val="auto"/>
                <w:sz w:val="21"/>
                <w:szCs w:val="21"/>
                <w:highlight w:val="none"/>
              </w:rPr>
            </w:pPr>
          </w:p>
        </w:tc>
        <w:tc>
          <w:tcPr>
            <w:tcW w:w="709" w:type="dxa"/>
            <w:noWrap/>
            <w:vAlign w:val="center"/>
          </w:tcPr>
          <w:p w14:paraId="669CE09E">
            <w:pPr>
              <w:pStyle w:val="17"/>
              <w:spacing w:line="360" w:lineRule="auto"/>
              <w:ind w:firstLine="420"/>
              <w:rPr>
                <w:rFonts w:ascii="宋体" w:hAnsi="宋体"/>
                <w:color w:val="auto"/>
                <w:sz w:val="21"/>
                <w:szCs w:val="21"/>
                <w:highlight w:val="none"/>
              </w:rPr>
            </w:pPr>
          </w:p>
        </w:tc>
      </w:tr>
      <w:tr w14:paraId="525351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ign w:val="center"/>
          </w:tcPr>
          <w:p w14:paraId="3C7F1845">
            <w:pPr>
              <w:pStyle w:val="17"/>
              <w:spacing w:line="360" w:lineRule="auto"/>
              <w:ind w:firstLine="420"/>
              <w:rPr>
                <w:rFonts w:ascii="宋体" w:hAnsi="宋体"/>
                <w:color w:val="auto"/>
                <w:sz w:val="21"/>
                <w:szCs w:val="21"/>
                <w:highlight w:val="none"/>
              </w:rPr>
            </w:pPr>
          </w:p>
        </w:tc>
        <w:tc>
          <w:tcPr>
            <w:tcW w:w="1165" w:type="dxa"/>
            <w:noWrap/>
            <w:vAlign w:val="center"/>
          </w:tcPr>
          <w:p w14:paraId="794D2699">
            <w:pPr>
              <w:pStyle w:val="17"/>
              <w:spacing w:line="360" w:lineRule="auto"/>
              <w:ind w:firstLine="420"/>
              <w:rPr>
                <w:rFonts w:ascii="宋体" w:hAnsi="宋体"/>
                <w:color w:val="auto"/>
                <w:sz w:val="21"/>
                <w:szCs w:val="21"/>
                <w:highlight w:val="none"/>
              </w:rPr>
            </w:pPr>
          </w:p>
        </w:tc>
        <w:tc>
          <w:tcPr>
            <w:tcW w:w="1126" w:type="dxa"/>
            <w:noWrap/>
            <w:vAlign w:val="center"/>
          </w:tcPr>
          <w:p w14:paraId="7E5EC1FD">
            <w:pPr>
              <w:pStyle w:val="17"/>
              <w:spacing w:line="360" w:lineRule="auto"/>
              <w:ind w:firstLine="420"/>
              <w:rPr>
                <w:rFonts w:ascii="宋体" w:hAnsi="宋体"/>
                <w:color w:val="auto"/>
                <w:sz w:val="21"/>
                <w:szCs w:val="21"/>
                <w:highlight w:val="none"/>
              </w:rPr>
            </w:pPr>
          </w:p>
        </w:tc>
        <w:tc>
          <w:tcPr>
            <w:tcW w:w="567" w:type="dxa"/>
            <w:noWrap/>
            <w:vAlign w:val="center"/>
          </w:tcPr>
          <w:p w14:paraId="77C7E545">
            <w:pPr>
              <w:pStyle w:val="17"/>
              <w:spacing w:line="360" w:lineRule="auto"/>
              <w:ind w:firstLine="420"/>
              <w:rPr>
                <w:rFonts w:ascii="宋体" w:hAnsi="宋体"/>
                <w:color w:val="auto"/>
                <w:sz w:val="21"/>
                <w:szCs w:val="21"/>
                <w:highlight w:val="none"/>
              </w:rPr>
            </w:pPr>
          </w:p>
        </w:tc>
        <w:tc>
          <w:tcPr>
            <w:tcW w:w="686" w:type="dxa"/>
            <w:noWrap/>
            <w:vAlign w:val="center"/>
          </w:tcPr>
          <w:p w14:paraId="559F79E3">
            <w:pPr>
              <w:pStyle w:val="17"/>
              <w:spacing w:line="360" w:lineRule="auto"/>
              <w:ind w:firstLine="420"/>
              <w:rPr>
                <w:rFonts w:ascii="宋体" w:hAnsi="宋体"/>
                <w:color w:val="auto"/>
                <w:sz w:val="21"/>
                <w:szCs w:val="21"/>
                <w:highlight w:val="none"/>
              </w:rPr>
            </w:pPr>
          </w:p>
        </w:tc>
        <w:tc>
          <w:tcPr>
            <w:tcW w:w="992" w:type="dxa"/>
            <w:noWrap/>
          </w:tcPr>
          <w:p w14:paraId="24045A65">
            <w:pPr>
              <w:pStyle w:val="17"/>
              <w:spacing w:line="360" w:lineRule="auto"/>
              <w:ind w:firstLine="420"/>
              <w:rPr>
                <w:rFonts w:ascii="宋体" w:hAnsi="宋体"/>
                <w:color w:val="auto"/>
                <w:sz w:val="21"/>
                <w:szCs w:val="21"/>
                <w:highlight w:val="none"/>
              </w:rPr>
            </w:pPr>
          </w:p>
        </w:tc>
        <w:tc>
          <w:tcPr>
            <w:tcW w:w="1134" w:type="dxa"/>
            <w:noWrap/>
            <w:vAlign w:val="center"/>
          </w:tcPr>
          <w:p w14:paraId="1BC89701">
            <w:pPr>
              <w:pStyle w:val="17"/>
              <w:spacing w:line="360" w:lineRule="auto"/>
              <w:ind w:firstLine="420"/>
              <w:rPr>
                <w:rFonts w:ascii="宋体" w:hAnsi="宋体"/>
                <w:color w:val="auto"/>
                <w:sz w:val="21"/>
                <w:szCs w:val="21"/>
                <w:highlight w:val="none"/>
              </w:rPr>
            </w:pPr>
          </w:p>
        </w:tc>
        <w:tc>
          <w:tcPr>
            <w:tcW w:w="1134" w:type="dxa"/>
            <w:noWrap/>
            <w:vAlign w:val="center"/>
          </w:tcPr>
          <w:p w14:paraId="04D095A4">
            <w:pPr>
              <w:pStyle w:val="17"/>
              <w:spacing w:line="360" w:lineRule="auto"/>
              <w:ind w:firstLine="420"/>
              <w:rPr>
                <w:rFonts w:ascii="宋体" w:hAnsi="宋体"/>
                <w:color w:val="auto"/>
                <w:sz w:val="21"/>
                <w:szCs w:val="21"/>
                <w:highlight w:val="none"/>
              </w:rPr>
            </w:pPr>
          </w:p>
        </w:tc>
        <w:tc>
          <w:tcPr>
            <w:tcW w:w="1134" w:type="dxa"/>
            <w:noWrap/>
            <w:vAlign w:val="center"/>
          </w:tcPr>
          <w:p w14:paraId="7273274E">
            <w:pPr>
              <w:pStyle w:val="17"/>
              <w:spacing w:line="360" w:lineRule="auto"/>
              <w:ind w:firstLine="420"/>
              <w:rPr>
                <w:rFonts w:ascii="宋体" w:hAnsi="宋体"/>
                <w:color w:val="auto"/>
                <w:sz w:val="21"/>
                <w:szCs w:val="21"/>
                <w:highlight w:val="none"/>
              </w:rPr>
            </w:pPr>
          </w:p>
        </w:tc>
        <w:tc>
          <w:tcPr>
            <w:tcW w:w="709" w:type="dxa"/>
            <w:noWrap/>
            <w:vAlign w:val="center"/>
          </w:tcPr>
          <w:p w14:paraId="6F7F4A71">
            <w:pPr>
              <w:pStyle w:val="17"/>
              <w:spacing w:line="360" w:lineRule="auto"/>
              <w:ind w:firstLine="420"/>
              <w:rPr>
                <w:rFonts w:ascii="宋体" w:hAnsi="宋体"/>
                <w:color w:val="auto"/>
                <w:sz w:val="21"/>
                <w:szCs w:val="21"/>
                <w:highlight w:val="none"/>
              </w:rPr>
            </w:pPr>
          </w:p>
        </w:tc>
      </w:tr>
      <w:tr w14:paraId="798F7F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ign w:val="center"/>
          </w:tcPr>
          <w:p w14:paraId="121492A2">
            <w:pPr>
              <w:pStyle w:val="17"/>
              <w:spacing w:line="360" w:lineRule="auto"/>
              <w:ind w:firstLine="420"/>
              <w:rPr>
                <w:rFonts w:ascii="宋体" w:hAnsi="宋体"/>
                <w:color w:val="auto"/>
                <w:sz w:val="21"/>
                <w:szCs w:val="21"/>
                <w:highlight w:val="none"/>
              </w:rPr>
            </w:pPr>
          </w:p>
        </w:tc>
        <w:tc>
          <w:tcPr>
            <w:tcW w:w="1165" w:type="dxa"/>
            <w:noWrap/>
            <w:vAlign w:val="center"/>
          </w:tcPr>
          <w:p w14:paraId="45D53B63">
            <w:pPr>
              <w:pStyle w:val="17"/>
              <w:spacing w:line="360" w:lineRule="auto"/>
              <w:ind w:firstLine="420"/>
              <w:rPr>
                <w:rFonts w:ascii="宋体" w:hAnsi="宋体"/>
                <w:color w:val="auto"/>
                <w:sz w:val="21"/>
                <w:szCs w:val="21"/>
                <w:highlight w:val="none"/>
              </w:rPr>
            </w:pPr>
          </w:p>
        </w:tc>
        <w:tc>
          <w:tcPr>
            <w:tcW w:w="1126" w:type="dxa"/>
            <w:noWrap/>
            <w:vAlign w:val="center"/>
          </w:tcPr>
          <w:p w14:paraId="11905B3F">
            <w:pPr>
              <w:pStyle w:val="17"/>
              <w:spacing w:line="360" w:lineRule="auto"/>
              <w:ind w:firstLine="420"/>
              <w:rPr>
                <w:rFonts w:ascii="宋体" w:hAnsi="宋体"/>
                <w:color w:val="auto"/>
                <w:sz w:val="21"/>
                <w:szCs w:val="21"/>
                <w:highlight w:val="none"/>
              </w:rPr>
            </w:pPr>
          </w:p>
        </w:tc>
        <w:tc>
          <w:tcPr>
            <w:tcW w:w="567" w:type="dxa"/>
            <w:noWrap/>
            <w:vAlign w:val="center"/>
          </w:tcPr>
          <w:p w14:paraId="22895060">
            <w:pPr>
              <w:pStyle w:val="17"/>
              <w:spacing w:line="360" w:lineRule="auto"/>
              <w:ind w:firstLine="420"/>
              <w:rPr>
                <w:rFonts w:ascii="宋体" w:hAnsi="宋体"/>
                <w:color w:val="auto"/>
                <w:sz w:val="21"/>
                <w:szCs w:val="21"/>
                <w:highlight w:val="none"/>
              </w:rPr>
            </w:pPr>
          </w:p>
        </w:tc>
        <w:tc>
          <w:tcPr>
            <w:tcW w:w="686" w:type="dxa"/>
            <w:noWrap/>
            <w:vAlign w:val="center"/>
          </w:tcPr>
          <w:p w14:paraId="0243EBD0">
            <w:pPr>
              <w:pStyle w:val="17"/>
              <w:spacing w:line="360" w:lineRule="auto"/>
              <w:ind w:firstLine="420"/>
              <w:rPr>
                <w:rFonts w:ascii="宋体" w:hAnsi="宋体"/>
                <w:color w:val="auto"/>
                <w:sz w:val="21"/>
                <w:szCs w:val="21"/>
                <w:highlight w:val="none"/>
              </w:rPr>
            </w:pPr>
          </w:p>
        </w:tc>
        <w:tc>
          <w:tcPr>
            <w:tcW w:w="992" w:type="dxa"/>
            <w:noWrap/>
          </w:tcPr>
          <w:p w14:paraId="2DC9DF68">
            <w:pPr>
              <w:pStyle w:val="17"/>
              <w:spacing w:line="360" w:lineRule="auto"/>
              <w:ind w:firstLine="420"/>
              <w:rPr>
                <w:rFonts w:ascii="宋体" w:hAnsi="宋体"/>
                <w:color w:val="auto"/>
                <w:sz w:val="21"/>
                <w:szCs w:val="21"/>
                <w:highlight w:val="none"/>
              </w:rPr>
            </w:pPr>
          </w:p>
        </w:tc>
        <w:tc>
          <w:tcPr>
            <w:tcW w:w="1134" w:type="dxa"/>
            <w:noWrap/>
            <w:vAlign w:val="center"/>
          </w:tcPr>
          <w:p w14:paraId="328E782C">
            <w:pPr>
              <w:pStyle w:val="17"/>
              <w:spacing w:line="360" w:lineRule="auto"/>
              <w:ind w:firstLine="420"/>
              <w:rPr>
                <w:rFonts w:ascii="宋体" w:hAnsi="宋体"/>
                <w:color w:val="auto"/>
                <w:sz w:val="21"/>
                <w:szCs w:val="21"/>
                <w:highlight w:val="none"/>
              </w:rPr>
            </w:pPr>
          </w:p>
        </w:tc>
        <w:tc>
          <w:tcPr>
            <w:tcW w:w="1134" w:type="dxa"/>
            <w:noWrap/>
            <w:vAlign w:val="center"/>
          </w:tcPr>
          <w:p w14:paraId="3B6AB8F1">
            <w:pPr>
              <w:pStyle w:val="17"/>
              <w:spacing w:line="360" w:lineRule="auto"/>
              <w:ind w:firstLine="420"/>
              <w:rPr>
                <w:rFonts w:ascii="宋体" w:hAnsi="宋体"/>
                <w:color w:val="auto"/>
                <w:sz w:val="21"/>
                <w:szCs w:val="21"/>
                <w:highlight w:val="none"/>
              </w:rPr>
            </w:pPr>
          </w:p>
        </w:tc>
        <w:tc>
          <w:tcPr>
            <w:tcW w:w="1134" w:type="dxa"/>
            <w:noWrap/>
            <w:vAlign w:val="center"/>
          </w:tcPr>
          <w:p w14:paraId="7306C5C2">
            <w:pPr>
              <w:pStyle w:val="17"/>
              <w:spacing w:line="360" w:lineRule="auto"/>
              <w:ind w:firstLine="420"/>
              <w:rPr>
                <w:rFonts w:ascii="宋体" w:hAnsi="宋体"/>
                <w:color w:val="auto"/>
                <w:sz w:val="21"/>
                <w:szCs w:val="21"/>
                <w:highlight w:val="none"/>
              </w:rPr>
            </w:pPr>
          </w:p>
        </w:tc>
        <w:tc>
          <w:tcPr>
            <w:tcW w:w="709" w:type="dxa"/>
            <w:noWrap/>
            <w:vAlign w:val="center"/>
          </w:tcPr>
          <w:p w14:paraId="7AB1B842">
            <w:pPr>
              <w:pStyle w:val="17"/>
              <w:spacing w:line="360" w:lineRule="auto"/>
              <w:ind w:firstLine="420"/>
              <w:rPr>
                <w:rFonts w:ascii="宋体" w:hAnsi="宋体"/>
                <w:color w:val="auto"/>
                <w:sz w:val="21"/>
                <w:szCs w:val="21"/>
                <w:highlight w:val="none"/>
              </w:rPr>
            </w:pPr>
          </w:p>
        </w:tc>
      </w:tr>
      <w:tr w14:paraId="6C25B3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ign w:val="center"/>
          </w:tcPr>
          <w:p w14:paraId="03B7736B">
            <w:pPr>
              <w:spacing w:line="360" w:lineRule="auto"/>
              <w:ind w:firstLine="420"/>
              <w:rPr>
                <w:rFonts w:ascii="宋体" w:hAnsi="宋体"/>
                <w:color w:val="auto"/>
                <w:szCs w:val="21"/>
                <w:highlight w:val="none"/>
              </w:rPr>
            </w:pPr>
          </w:p>
        </w:tc>
        <w:tc>
          <w:tcPr>
            <w:tcW w:w="1165" w:type="dxa"/>
            <w:noWrap/>
            <w:vAlign w:val="center"/>
          </w:tcPr>
          <w:p w14:paraId="170B1E2B">
            <w:pPr>
              <w:spacing w:line="360" w:lineRule="auto"/>
              <w:ind w:firstLine="420"/>
              <w:rPr>
                <w:rFonts w:ascii="宋体" w:hAnsi="宋体"/>
                <w:color w:val="auto"/>
                <w:szCs w:val="21"/>
                <w:highlight w:val="none"/>
              </w:rPr>
            </w:pPr>
          </w:p>
        </w:tc>
        <w:tc>
          <w:tcPr>
            <w:tcW w:w="1126" w:type="dxa"/>
            <w:noWrap/>
            <w:vAlign w:val="center"/>
          </w:tcPr>
          <w:p w14:paraId="396F4AF7">
            <w:pPr>
              <w:spacing w:line="360" w:lineRule="auto"/>
              <w:ind w:firstLine="420"/>
              <w:rPr>
                <w:rFonts w:ascii="宋体" w:hAnsi="宋体"/>
                <w:color w:val="auto"/>
                <w:szCs w:val="21"/>
                <w:highlight w:val="none"/>
              </w:rPr>
            </w:pPr>
          </w:p>
        </w:tc>
        <w:tc>
          <w:tcPr>
            <w:tcW w:w="567" w:type="dxa"/>
            <w:noWrap/>
            <w:vAlign w:val="center"/>
          </w:tcPr>
          <w:p w14:paraId="1DF98840">
            <w:pPr>
              <w:spacing w:line="360" w:lineRule="auto"/>
              <w:ind w:firstLine="420"/>
              <w:rPr>
                <w:rFonts w:ascii="宋体" w:hAnsi="宋体"/>
                <w:color w:val="auto"/>
                <w:szCs w:val="21"/>
                <w:highlight w:val="none"/>
              </w:rPr>
            </w:pPr>
          </w:p>
        </w:tc>
        <w:tc>
          <w:tcPr>
            <w:tcW w:w="686" w:type="dxa"/>
            <w:noWrap/>
            <w:vAlign w:val="center"/>
          </w:tcPr>
          <w:p w14:paraId="0B130B24">
            <w:pPr>
              <w:spacing w:line="360" w:lineRule="auto"/>
              <w:ind w:firstLine="420"/>
              <w:rPr>
                <w:rFonts w:ascii="宋体" w:hAnsi="宋体"/>
                <w:color w:val="auto"/>
                <w:szCs w:val="21"/>
                <w:highlight w:val="none"/>
              </w:rPr>
            </w:pPr>
          </w:p>
        </w:tc>
        <w:tc>
          <w:tcPr>
            <w:tcW w:w="992" w:type="dxa"/>
            <w:noWrap/>
          </w:tcPr>
          <w:p w14:paraId="3D5CFE85">
            <w:pPr>
              <w:spacing w:line="360" w:lineRule="auto"/>
              <w:ind w:firstLine="420"/>
              <w:rPr>
                <w:rFonts w:ascii="宋体" w:hAnsi="宋体"/>
                <w:color w:val="auto"/>
                <w:szCs w:val="21"/>
                <w:highlight w:val="none"/>
              </w:rPr>
            </w:pPr>
          </w:p>
        </w:tc>
        <w:tc>
          <w:tcPr>
            <w:tcW w:w="1134" w:type="dxa"/>
            <w:noWrap/>
            <w:vAlign w:val="center"/>
          </w:tcPr>
          <w:p w14:paraId="6E95168E">
            <w:pPr>
              <w:spacing w:line="360" w:lineRule="auto"/>
              <w:ind w:firstLine="420"/>
              <w:rPr>
                <w:rFonts w:ascii="宋体" w:hAnsi="宋体"/>
                <w:color w:val="auto"/>
                <w:szCs w:val="21"/>
                <w:highlight w:val="none"/>
              </w:rPr>
            </w:pPr>
          </w:p>
        </w:tc>
        <w:tc>
          <w:tcPr>
            <w:tcW w:w="1134" w:type="dxa"/>
            <w:noWrap/>
            <w:vAlign w:val="center"/>
          </w:tcPr>
          <w:p w14:paraId="52540C09">
            <w:pPr>
              <w:spacing w:line="360" w:lineRule="auto"/>
              <w:ind w:firstLine="420"/>
              <w:rPr>
                <w:rFonts w:ascii="宋体" w:hAnsi="宋体"/>
                <w:color w:val="auto"/>
                <w:szCs w:val="21"/>
                <w:highlight w:val="none"/>
              </w:rPr>
            </w:pPr>
          </w:p>
        </w:tc>
        <w:tc>
          <w:tcPr>
            <w:tcW w:w="1134" w:type="dxa"/>
            <w:noWrap/>
            <w:vAlign w:val="center"/>
          </w:tcPr>
          <w:p w14:paraId="108976C4">
            <w:pPr>
              <w:spacing w:line="360" w:lineRule="auto"/>
              <w:ind w:firstLine="420"/>
              <w:rPr>
                <w:rFonts w:ascii="宋体" w:hAnsi="宋体"/>
                <w:color w:val="auto"/>
                <w:szCs w:val="21"/>
                <w:highlight w:val="none"/>
              </w:rPr>
            </w:pPr>
          </w:p>
        </w:tc>
        <w:tc>
          <w:tcPr>
            <w:tcW w:w="709" w:type="dxa"/>
            <w:noWrap/>
            <w:vAlign w:val="center"/>
          </w:tcPr>
          <w:p w14:paraId="608C4B21">
            <w:pPr>
              <w:spacing w:line="360" w:lineRule="auto"/>
              <w:ind w:firstLine="420"/>
              <w:rPr>
                <w:rFonts w:ascii="宋体" w:hAnsi="宋体"/>
                <w:color w:val="auto"/>
                <w:szCs w:val="21"/>
                <w:highlight w:val="none"/>
              </w:rPr>
            </w:pPr>
          </w:p>
        </w:tc>
      </w:tr>
      <w:tr w14:paraId="54F6BF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ign w:val="center"/>
          </w:tcPr>
          <w:p w14:paraId="631325F1">
            <w:pPr>
              <w:pStyle w:val="17"/>
              <w:spacing w:line="360" w:lineRule="auto"/>
              <w:ind w:firstLine="420"/>
              <w:rPr>
                <w:rFonts w:ascii="宋体" w:hAnsi="宋体"/>
                <w:color w:val="auto"/>
                <w:sz w:val="21"/>
                <w:szCs w:val="21"/>
                <w:highlight w:val="none"/>
              </w:rPr>
            </w:pPr>
          </w:p>
        </w:tc>
        <w:tc>
          <w:tcPr>
            <w:tcW w:w="1165" w:type="dxa"/>
            <w:noWrap/>
            <w:vAlign w:val="center"/>
          </w:tcPr>
          <w:p w14:paraId="1B54C539">
            <w:pPr>
              <w:pStyle w:val="17"/>
              <w:spacing w:line="360" w:lineRule="auto"/>
              <w:ind w:firstLine="420"/>
              <w:rPr>
                <w:rFonts w:ascii="宋体" w:hAnsi="宋体"/>
                <w:color w:val="auto"/>
                <w:sz w:val="21"/>
                <w:szCs w:val="21"/>
                <w:highlight w:val="none"/>
              </w:rPr>
            </w:pPr>
          </w:p>
        </w:tc>
        <w:tc>
          <w:tcPr>
            <w:tcW w:w="1126" w:type="dxa"/>
            <w:noWrap/>
            <w:vAlign w:val="center"/>
          </w:tcPr>
          <w:p w14:paraId="1DF5D66F">
            <w:pPr>
              <w:pStyle w:val="17"/>
              <w:spacing w:line="360" w:lineRule="auto"/>
              <w:ind w:firstLine="420"/>
              <w:rPr>
                <w:rFonts w:ascii="宋体" w:hAnsi="宋体"/>
                <w:color w:val="auto"/>
                <w:sz w:val="21"/>
                <w:szCs w:val="21"/>
                <w:highlight w:val="none"/>
              </w:rPr>
            </w:pPr>
          </w:p>
        </w:tc>
        <w:tc>
          <w:tcPr>
            <w:tcW w:w="567" w:type="dxa"/>
            <w:noWrap/>
            <w:vAlign w:val="center"/>
          </w:tcPr>
          <w:p w14:paraId="68F4854B">
            <w:pPr>
              <w:pStyle w:val="17"/>
              <w:spacing w:line="360" w:lineRule="auto"/>
              <w:ind w:firstLine="420"/>
              <w:rPr>
                <w:rFonts w:ascii="宋体" w:hAnsi="宋体"/>
                <w:color w:val="auto"/>
                <w:sz w:val="21"/>
                <w:szCs w:val="21"/>
                <w:highlight w:val="none"/>
              </w:rPr>
            </w:pPr>
          </w:p>
        </w:tc>
        <w:tc>
          <w:tcPr>
            <w:tcW w:w="686" w:type="dxa"/>
            <w:noWrap/>
            <w:vAlign w:val="center"/>
          </w:tcPr>
          <w:p w14:paraId="2399D07D">
            <w:pPr>
              <w:pStyle w:val="17"/>
              <w:spacing w:line="360" w:lineRule="auto"/>
              <w:ind w:firstLine="420"/>
              <w:rPr>
                <w:rFonts w:ascii="宋体" w:hAnsi="宋体"/>
                <w:color w:val="auto"/>
                <w:sz w:val="21"/>
                <w:szCs w:val="21"/>
                <w:highlight w:val="none"/>
              </w:rPr>
            </w:pPr>
          </w:p>
        </w:tc>
        <w:tc>
          <w:tcPr>
            <w:tcW w:w="992" w:type="dxa"/>
            <w:noWrap/>
          </w:tcPr>
          <w:p w14:paraId="24D2741F">
            <w:pPr>
              <w:pStyle w:val="17"/>
              <w:spacing w:line="360" w:lineRule="auto"/>
              <w:ind w:firstLine="420"/>
              <w:rPr>
                <w:rFonts w:ascii="宋体" w:hAnsi="宋体"/>
                <w:color w:val="auto"/>
                <w:sz w:val="21"/>
                <w:szCs w:val="21"/>
                <w:highlight w:val="none"/>
              </w:rPr>
            </w:pPr>
          </w:p>
        </w:tc>
        <w:tc>
          <w:tcPr>
            <w:tcW w:w="1134" w:type="dxa"/>
            <w:noWrap/>
            <w:vAlign w:val="center"/>
          </w:tcPr>
          <w:p w14:paraId="3D9E982C">
            <w:pPr>
              <w:pStyle w:val="17"/>
              <w:spacing w:line="360" w:lineRule="auto"/>
              <w:ind w:firstLine="420"/>
              <w:rPr>
                <w:rFonts w:ascii="宋体" w:hAnsi="宋体"/>
                <w:color w:val="auto"/>
                <w:sz w:val="21"/>
                <w:szCs w:val="21"/>
                <w:highlight w:val="none"/>
              </w:rPr>
            </w:pPr>
          </w:p>
        </w:tc>
        <w:tc>
          <w:tcPr>
            <w:tcW w:w="1134" w:type="dxa"/>
            <w:noWrap/>
            <w:vAlign w:val="center"/>
          </w:tcPr>
          <w:p w14:paraId="02B6B026">
            <w:pPr>
              <w:pStyle w:val="17"/>
              <w:spacing w:line="360" w:lineRule="auto"/>
              <w:ind w:firstLine="420"/>
              <w:rPr>
                <w:rFonts w:ascii="宋体" w:hAnsi="宋体"/>
                <w:color w:val="auto"/>
                <w:sz w:val="21"/>
                <w:szCs w:val="21"/>
                <w:highlight w:val="none"/>
              </w:rPr>
            </w:pPr>
          </w:p>
        </w:tc>
        <w:tc>
          <w:tcPr>
            <w:tcW w:w="1134" w:type="dxa"/>
            <w:noWrap/>
            <w:vAlign w:val="center"/>
          </w:tcPr>
          <w:p w14:paraId="40005D16">
            <w:pPr>
              <w:pStyle w:val="17"/>
              <w:spacing w:line="360" w:lineRule="auto"/>
              <w:ind w:firstLine="420"/>
              <w:rPr>
                <w:rFonts w:ascii="宋体" w:hAnsi="宋体"/>
                <w:color w:val="auto"/>
                <w:sz w:val="21"/>
                <w:szCs w:val="21"/>
                <w:highlight w:val="none"/>
              </w:rPr>
            </w:pPr>
          </w:p>
        </w:tc>
        <w:tc>
          <w:tcPr>
            <w:tcW w:w="709" w:type="dxa"/>
            <w:noWrap/>
            <w:vAlign w:val="center"/>
          </w:tcPr>
          <w:p w14:paraId="4F0CA087">
            <w:pPr>
              <w:pStyle w:val="17"/>
              <w:spacing w:line="360" w:lineRule="auto"/>
              <w:ind w:firstLine="420"/>
              <w:rPr>
                <w:rFonts w:ascii="宋体" w:hAnsi="宋体"/>
                <w:color w:val="auto"/>
                <w:sz w:val="21"/>
                <w:szCs w:val="21"/>
                <w:highlight w:val="none"/>
              </w:rPr>
            </w:pPr>
          </w:p>
        </w:tc>
      </w:tr>
      <w:tr w14:paraId="38C7CA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ign w:val="center"/>
          </w:tcPr>
          <w:p w14:paraId="10B2D38E">
            <w:pPr>
              <w:spacing w:line="360" w:lineRule="auto"/>
              <w:ind w:firstLine="420"/>
              <w:rPr>
                <w:rFonts w:ascii="宋体" w:hAnsi="宋体"/>
                <w:color w:val="auto"/>
                <w:szCs w:val="21"/>
                <w:highlight w:val="none"/>
              </w:rPr>
            </w:pPr>
          </w:p>
        </w:tc>
        <w:tc>
          <w:tcPr>
            <w:tcW w:w="1165" w:type="dxa"/>
            <w:noWrap/>
            <w:vAlign w:val="center"/>
          </w:tcPr>
          <w:p w14:paraId="6CAF8A96">
            <w:pPr>
              <w:spacing w:line="360" w:lineRule="auto"/>
              <w:ind w:firstLine="420"/>
              <w:rPr>
                <w:rFonts w:ascii="宋体" w:hAnsi="宋体"/>
                <w:color w:val="auto"/>
                <w:szCs w:val="21"/>
                <w:highlight w:val="none"/>
              </w:rPr>
            </w:pPr>
          </w:p>
        </w:tc>
        <w:tc>
          <w:tcPr>
            <w:tcW w:w="1126" w:type="dxa"/>
            <w:noWrap/>
            <w:vAlign w:val="center"/>
          </w:tcPr>
          <w:p w14:paraId="7CAB1E23">
            <w:pPr>
              <w:spacing w:line="360" w:lineRule="auto"/>
              <w:ind w:firstLine="420"/>
              <w:rPr>
                <w:rFonts w:ascii="宋体" w:hAnsi="宋体"/>
                <w:color w:val="auto"/>
                <w:szCs w:val="21"/>
                <w:highlight w:val="none"/>
              </w:rPr>
            </w:pPr>
          </w:p>
        </w:tc>
        <w:tc>
          <w:tcPr>
            <w:tcW w:w="567" w:type="dxa"/>
            <w:noWrap/>
            <w:vAlign w:val="center"/>
          </w:tcPr>
          <w:p w14:paraId="54461D83">
            <w:pPr>
              <w:spacing w:line="360" w:lineRule="auto"/>
              <w:ind w:firstLine="420"/>
              <w:rPr>
                <w:rFonts w:ascii="宋体" w:hAnsi="宋体"/>
                <w:color w:val="auto"/>
                <w:szCs w:val="21"/>
                <w:highlight w:val="none"/>
              </w:rPr>
            </w:pPr>
          </w:p>
        </w:tc>
        <w:tc>
          <w:tcPr>
            <w:tcW w:w="686" w:type="dxa"/>
            <w:noWrap/>
            <w:vAlign w:val="center"/>
          </w:tcPr>
          <w:p w14:paraId="22CF4D20">
            <w:pPr>
              <w:spacing w:line="360" w:lineRule="auto"/>
              <w:ind w:firstLine="420"/>
              <w:rPr>
                <w:rFonts w:ascii="宋体" w:hAnsi="宋体"/>
                <w:color w:val="auto"/>
                <w:szCs w:val="21"/>
                <w:highlight w:val="none"/>
              </w:rPr>
            </w:pPr>
          </w:p>
        </w:tc>
        <w:tc>
          <w:tcPr>
            <w:tcW w:w="992" w:type="dxa"/>
            <w:noWrap/>
          </w:tcPr>
          <w:p w14:paraId="59A9334E">
            <w:pPr>
              <w:spacing w:line="360" w:lineRule="auto"/>
              <w:ind w:firstLine="420"/>
              <w:rPr>
                <w:rFonts w:ascii="宋体" w:hAnsi="宋体"/>
                <w:color w:val="auto"/>
                <w:szCs w:val="21"/>
                <w:highlight w:val="none"/>
              </w:rPr>
            </w:pPr>
          </w:p>
        </w:tc>
        <w:tc>
          <w:tcPr>
            <w:tcW w:w="1134" w:type="dxa"/>
            <w:noWrap/>
            <w:vAlign w:val="center"/>
          </w:tcPr>
          <w:p w14:paraId="4C682817">
            <w:pPr>
              <w:spacing w:line="360" w:lineRule="auto"/>
              <w:ind w:firstLine="420"/>
              <w:rPr>
                <w:rFonts w:ascii="宋体" w:hAnsi="宋体"/>
                <w:color w:val="auto"/>
                <w:szCs w:val="21"/>
                <w:highlight w:val="none"/>
              </w:rPr>
            </w:pPr>
          </w:p>
        </w:tc>
        <w:tc>
          <w:tcPr>
            <w:tcW w:w="1134" w:type="dxa"/>
            <w:noWrap/>
            <w:vAlign w:val="center"/>
          </w:tcPr>
          <w:p w14:paraId="4370B2B7">
            <w:pPr>
              <w:spacing w:line="360" w:lineRule="auto"/>
              <w:ind w:firstLine="420"/>
              <w:rPr>
                <w:rFonts w:ascii="宋体" w:hAnsi="宋体"/>
                <w:color w:val="auto"/>
                <w:szCs w:val="21"/>
                <w:highlight w:val="none"/>
              </w:rPr>
            </w:pPr>
          </w:p>
        </w:tc>
        <w:tc>
          <w:tcPr>
            <w:tcW w:w="1134" w:type="dxa"/>
            <w:noWrap/>
            <w:vAlign w:val="center"/>
          </w:tcPr>
          <w:p w14:paraId="3C5B0761">
            <w:pPr>
              <w:spacing w:line="360" w:lineRule="auto"/>
              <w:ind w:firstLine="420"/>
              <w:rPr>
                <w:rFonts w:ascii="宋体" w:hAnsi="宋体"/>
                <w:color w:val="auto"/>
                <w:szCs w:val="21"/>
                <w:highlight w:val="none"/>
              </w:rPr>
            </w:pPr>
          </w:p>
        </w:tc>
        <w:tc>
          <w:tcPr>
            <w:tcW w:w="709" w:type="dxa"/>
            <w:noWrap/>
            <w:vAlign w:val="center"/>
          </w:tcPr>
          <w:p w14:paraId="19B89B1F">
            <w:pPr>
              <w:spacing w:line="360" w:lineRule="auto"/>
              <w:ind w:firstLine="420"/>
              <w:rPr>
                <w:rFonts w:ascii="宋体" w:hAnsi="宋体"/>
                <w:color w:val="auto"/>
                <w:szCs w:val="21"/>
                <w:highlight w:val="none"/>
              </w:rPr>
            </w:pPr>
          </w:p>
        </w:tc>
      </w:tr>
      <w:tr w14:paraId="704118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ign w:val="center"/>
          </w:tcPr>
          <w:p w14:paraId="56E06D34">
            <w:pPr>
              <w:spacing w:line="360" w:lineRule="auto"/>
              <w:ind w:firstLine="420"/>
              <w:rPr>
                <w:rFonts w:ascii="宋体" w:hAnsi="宋体"/>
                <w:color w:val="auto"/>
                <w:szCs w:val="21"/>
                <w:highlight w:val="none"/>
              </w:rPr>
            </w:pPr>
          </w:p>
        </w:tc>
        <w:tc>
          <w:tcPr>
            <w:tcW w:w="1165" w:type="dxa"/>
            <w:noWrap/>
            <w:vAlign w:val="center"/>
          </w:tcPr>
          <w:p w14:paraId="1BBF862C">
            <w:pPr>
              <w:spacing w:line="360" w:lineRule="auto"/>
              <w:ind w:firstLine="420"/>
              <w:rPr>
                <w:rFonts w:ascii="宋体" w:hAnsi="宋体"/>
                <w:color w:val="auto"/>
                <w:szCs w:val="21"/>
                <w:highlight w:val="none"/>
              </w:rPr>
            </w:pPr>
          </w:p>
        </w:tc>
        <w:tc>
          <w:tcPr>
            <w:tcW w:w="1126" w:type="dxa"/>
            <w:noWrap/>
            <w:vAlign w:val="center"/>
          </w:tcPr>
          <w:p w14:paraId="6A15B309">
            <w:pPr>
              <w:spacing w:line="360" w:lineRule="auto"/>
              <w:ind w:firstLine="420"/>
              <w:rPr>
                <w:rFonts w:ascii="宋体" w:hAnsi="宋体"/>
                <w:color w:val="auto"/>
                <w:szCs w:val="21"/>
                <w:highlight w:val="none"/>
              </w:rPr>
            </w:pPr>
          </w:p>
        </w:tc>
        <w:tc>
          <w:tcPr>
            <w:tcW w:w="567" w:type="dxa"/>
            <w:noWrap/>
            <w:vAlign w:val="center"/>
          </w:tcPr>
          <w:p w14:paraId="04AE00AF">
            <w:pPr>
              <w:spacing w:line="360" w:lineRule="auto"/>
              <w:ind w:firstLine="420"/>
              <w:rPr>
                <w:rFonts w:ascii="宋体" w:hAnsi="宋体"/>
                <w:color w:val="auto"/>
                <w:szCs w:val="21"/>
                <w:highlight w:val="none"/>
              </w:rPr>
            </w:pPr>
          </w:p>
        </w:tc>
        <w:tc>
          <w:tcPr>
            <w:tcW w:w="686" w:type="dxa"/>
            <w:noWrap/>
            <w:vAlign w:val="center"/>
          </w:tcPr>
          <w:p w14:paraId="54E57827">
            <w:pPr>
              <w:spacing w:line="360" w:lineRule="auto"/>
              <w:ind w:firstLine="420"/>
              <w:rPr>
                <w:rFonts w:ascii="宋体" w:hAnsi="宋体"/>
                <w:color w:val="auto"/>
                <w:szCs w:val="21"/>
                <w:highlight w:val="none"/>
              </w:rPr>
            </w:pPr>
          </w:p>
        </w:tc>
        <w:tc>
          <w:tcPr>
            <w:tcW w:w="992" w:type="dxa"/>
            <w:noWrap/>
          </w:tcPr>
          <w:p w14:paraId="277377C7">
            <w:pPr>
              <w:spacing w:line="360" w:lineRule="auto"/>
              <w:ind w:firstLine="420"/>
              <w:rPr>
                <w:rFonts w:ascii="宋体" w:hAnsi="宋体"/>
                <w:color w:val="auto"/>
                <w:szCs w:val="21"/>
                <w:highlight w:val="none"/>
              </w:rPr>
            </w:pPr>
          </w:p>
        </w:tc>
        <w:tc>
          <w:tcPr>
            <w:tcW w:w="1134" w:type="dxa"/>
            <w:noWrap/>
            <w:vAlign w:val="center"/>
          </w:tcPr>
          <w:p w14:paraId="4DE9CAF4">
            <w:pPr>
              <w:spacing w:line="360" w:lineRule="auto"/>
              <w:ind w:firstLine="420"/>
              <w:rPr>
                <w:rFonts w:ascii="宋体" w:hAnsi="宋体"/>
                <w:color w:val="auto"/>
                <w:szCs w:val="21"/>
                <w:highlight w:val="none"/>
              </w:rPr>
            </w:pPr>
          </w:p>
        </w:tc>
        <w:tc>
          <w:tcPr>
            <w:tcW w:w="1134" w:type="dxa"/>
            <w:noWrap/>
            <w:vAlign w:val="center"/>
          </w:tcPr>
          <w:p w14:paraId="4ED7FE12">
            <w:pPr>
              <w:spacing w:line="360" w:lineRule="auto"/>
              <w:ind w:firstLine="420"/>
              <w:rPr>
                <w:rFonts w:ascii="宋体" w:hAnsi="宋体"/>
                <w:color w:val="auto"/>
                <w:szCs w:val="21"/>
                <w:highlight w:val="none"/>
              </w:rPr>
            </w:pPr>
          </w:p>
        </w:tc>
        <w:tc>
          <w:tcPr>
            <w:tcW w:w="1134" w:type="dxa"/>
            <w:noWrap/>
            <w:vAlign w:val="center"/>
          </w:tcPr>
          <w:p w14:paraId="47E2204E">
            <w:pPr>
              <w:spacing w:line="360" w:lineRule="auto"/>
              <w:ind w:firstLine="420"/>
              <w:rPr>
                <w:rFonts w:ascii="宋体" w:hAnsi="宋体"/>
                <w:color w:val="auto"/>
                <w:szCs w:val="21"/>
                <w:highlight w:val="none"/>
              </w:rPr>
            </w:pPr>
          </w:p>
        </w:tc>
        <w:tc>
          <w:tcPr>
            <w:tcW w:w="709" w:type="dxa"/>
            <w:noWrap/>
            <w:vAlign w:val="center"/>
          </w:tcPr>
          <w:p w14:paraId="563C1439">
            <w:pPr>
              <w:spacing w:line="360" w:lineRule="auto"/>
              <w:ind w:firstLine="420"/>
              <w:rPr>
                <w:rFonts w:ascii="宋体" w:hAnsi="宋体"/>
                <w:color w:val="auto"/>
                <w:szCs w:val="21"/>
                <w:highlight w:val="none"/>
              </w:rPr>
            </w:pPr>
          </w:p>
        </w:tc>
      </w:tr>
      <w:tr w14:paraId="5FEC79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ign w:val="center"/>
          </w:tcPr>
          <w:p w14:paraId="0E3F4C30">
            <w:pPr>
              <w:spacing w:line="360" w:lineRule="auto"/>
              <w:ind w:firstLine="420"/>
              <w:rPr>
                <w:rFonts w:ascii="宋体" w:hAnsi="宋体"/>
                <w:color w:val="auto"/>
                <w:szCs w:val="21"/>
                <w:highlight w:val="none"/>
              </w:rPr>
            </w:pPr>
          </w:p>
        </w:tc>
        <w:tc>
          <w:tcPr>
            <w:tcW w:w="1165" w:type="dxa"/>
            <w:noWrap/>
            <w:vAlign w:val="center"/>
          </w:tcPr>
          <w:p w14:paraId="76D3B452">
            <w:pPr>
              <w:spacing w:line="360" w:lineRule="auto"/>
              <w:ind w:firstLine="420"/>
              <w:rPr>
                <w:rFonts w:ascii="宋体" w:hAnsi="宋体"/>
                <w:color w:val="auto"/>
                <w:szCs w:val="21"/>
                <w:highlight w:val="none"/>
              </w:rPr>
            </w:pPr>
          </w:p>
        </w:tc>
        <w:tc>
          <w:tcPr>
            <w:tcW w:w="1126" w:type="dxa"/>
            <w:noWrap/>
            <w:vAlign w:val="center"/>
          </w:tcPr>
          <w:p w14:paraId="4E6F10FB">
            <w:pPr>
              <w:spacing w:line="360" w:lineRule="auto"/>
              <w:ind w:firstLine="420"/>
              <w:rPr>
                <w:rFonts w:ascii="宋体" w:hAnsi="宋体"/>
                <w:color w:val="auto"/>
                <w:szCs w:val="21"/>
                <w:highlight w:val="none"/>
              </w:rPr>
            </w:pPr>
          </w:p>
        </w:tc>
        <w:tc>
          <w:tcPr>
            <w:tcW w:w="567" w:type="dxa"/>
            <w:noWrap/>
            <w:vAlign w:val="center"/>
          </w:tcPr>
          <w:p w14:paraId="70B8F425">
            <w:pPr>
              <w:spacing w:line="360" w:lineRule="auto"/>
              <w:ind w:firstLine="420"/>
              <w:rPr>
                <w:rFonts w:ascii="宋体" w:hAnsi="宋体"/>
                <w:color w:val="auto"/>
                <w:szCs w:val="21"/>
                <w:highlight w:val="none"/>
              </w:rPr>
            </w:pPr>
          </w:p>
        </w:tc>
        <w:tc>
          <w:tcPr>
            <w:tcW w:w="686" w:type="dxa"/>
            <w:noWrap/>
            <w:vAlign w:val="center"/>
          </w:tcPr>
          <w:p w14:paraId="1F59B476">
            <w:pPr>
              <w:spacing w:line="360" w:lineRule="auto"/>
              <w:ind w:firstLine="420"/>
              <w:rPr>
                <w:rFonts w:ascii="宋体" w:hAnsi="宋体"/>
                <w:color w:val="auto"/>
                <w:szCs w:val="21"/>
                <w:highlight w:val="none"/>
              </w:rPr>
            </w:pPr>
          </w:p>
        </w:tc>
        <w:tc>
          <w:tcPr>
            <w:tcW w:w="992" w:type="dxa"/>
            <w:noWrap/>
          </w:tcPr>
          <w:p w14:paraId="0CFD0708">
            <w:pPr>
              <w:spacing w:line="360" w:lineRule="auto"/>
              <w:ind w:firstLine="420"/>
              <w:rPr>
                <w:rFonts w:ascii="宋体" w:hAnsi="宋体"/>
                <w:color w:val="auto"/>
                <w:szCs w:val="21"/>
                <w:highlight w:val="none"/>
              </w:rPr>
            </w:pPr>
          </w:p>
        </w:tc>
        <w:tc>
          <w:tcPr>
            <w:tcW w:w="1134" w:type="dxa"/>
            <w:noWrap/>
            <w:vAlign w:val="center"/>
          </w:tcPr>
          <w:p w14:paraId="7647A05B">
            <w:pPr>
              <w:spacing w:line="360" w:lineRule="auto"/>
              <w:ind w:firstLine="420"/>
              <w:rPr>
                <w:rFonts w:ascii="宋体" w:hAnsi="宋体"/>
                <w:color w:val="auto"/>
                <w:szCs w:val="21"/>
                <w:highlight w:val="none"/>
              </w:rPr>
            </w:pPr>
          </w:p>
        </w:tc>
        <w:tc>
          <w:tcPr>
            <w:tcW w:w="1134" w:type="dxa"/>
            <w:noWrap/>
            <w:vAlign w:val="center"/>
          </w:tcPr>
          <w:p w14:paraId="64BB8E5E">
            <w:pPr>
              <w:spacing w:line="360" w:lineRule="auto"/>
              <w:ind w:firstLine="420"/>
              <w:rPr>
                <w:rFonts w:ascii="宋体" w:hAnsi="宋体"/>
                <w:color w:val="auto"/>
                <w:szCs w:val="21"/>
                <w:highlight w:val="none"/>
              </w:rPr>
            </w:pPr>
          </w:p>
        </w:tc>
        <w:tc>
          <w:tcPr>
            <w:tcW w:w="1134" w:type="dxa"/>
            <w:noWrap/>
            <w:vAlign w:val="center"/>
          </w:tcPr>
          <w:p w14:paraId="7F031702">
            <w:pPr>
              <w:spacing w:line="360" w:lineRule="auto"/>
              <w:ind w:firstLine="420"/>
              <w:rPr>
                <w:rFonts w:ascii="宋体" w:hAnsi="宋体"/>
                <w:color w:val="auto"/>
                <w:szCs w:val="21"/>
                <w:highlight w:val="none"/>
              </w:rPr>
            </w:pPr>
          </w:p>
        </w:tc>
        <w:tc>
          <w:tcPr>
            <w:tcW w:w="709" w:type="dxa"/>
            <w:noWrap/>
            <w:vAlign w:val="center"/>
          </w:tcPr>
          <w:p w14:paraId="7671F2EF">
            <w:pPr>
              <w:spacing w:line="360" w:lineRule="auto"/>
              <w:ind w:firstLine="420"/>
              <w:rPr>
                <w:rFonts w:ascii="宋体" w:hAnsi="宋体"/>
                <w:color w:val="auto"/>
                <w:szCs w:val="21"/>
                <w:highlight w:val="none"/>
              </w:rPr>
            </w:pPr>
          </w:p>
        </w:tc>
      </w:tr>
      <w:tr w14:paraId="6D11DC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ign w:val="center"/>
          </w:tcPr>
          <w:p w14:paraId="3661DC1D">
            <w:pPr>
              <w:spacing w:line="360" w:lineRule="auto"/>
              <w:ind w:firstLine="420"/>
              <w:rPr>
                <w:rFonts w:ascii="宋体" w:hAnsi="宋体"/>
                <w:color w:val="auto"/>
                <w:szCs w:val="21"/>
                <w:highlight w:val="none"/>
              </w:rPr>
            </w:pPr>
          </w:p>
        </w:tc>
        <w:tc>
          <w:tcPr>
            <w:tcW w:w="1165" w:type="dxa"/>
            <w:noWrap/>
            <w:vAlign w:val="center"/>
          </w:tcPr>
          <w:p w14:paraId="0D0B14B8">
            <w:pPr>
              <w:spacing w:line="360" w:lineRule="auto"/>
              <w:ind w:firstLine="420"/>
              <w:rPr>
                <w:rFonts w:ascii="宋体" w:hAnsi="宋体"/>
                <w:color w:val="auto"/>
                <w:szCs w:val="21"/>
                <w:highlight w:val="none"/>
              </w:rPr>
            </w:pPr>
          </w:p>
        </w:tc>
        <w:tc>
          <w:tcPr>
            <w:tcW w:w="1126" w:type="dxa"/>
            <w:noWrap/>
            <w:vAlign w:val="center"/>
          </w:tcPr>
          <w:p w14:paraId="4C5C2FBC">
            <w:pPr>
              <w:spacing w:line="360" w:lineRule="auto"/>
              <w:ind w:firstLine="420"/>
              <w:rPr>
                <w:rFonts w:ascii="宋体" w:hAnsi="宋体"/>
                <w:color w:val="auto"/>
                <w:szCs w:val="21"/>
                <w:highlight w:val="none"/>
              </w:rPr>
            </w:pPr>
          </w:p>
        </w:tc>
        <w:tc>
          <w:tcPr>
            <w:tcW w:w="567" w:type="dxa"/>
            <w:noWrap/>
            <w:vAlign w:val="center"/>
          </w:tcPr>
          <w:p w14:paraId="0843E1E1">
            <w:pPr>
              <w:spacing w:line="360" w:lineRule="auto"/>
              <w:ind w:firstLine="420"/>
              <w:rPr>
                <w:rFonts w:ascii="宋体" w:hAnsi="宋体"/>
                <w:color w:val="auto"/>
                <w:szCs w:val="21"/>
                <w:highlight w:val="none"/>
              </w:rPr>
            </w:pPr>
          </w:p>
        </w:tc>
        <w:tc>
          <w:tcPr>
            <w:tcW w:w="686" w:type="dxa"/>
            <w:noWrap/>
            <w:vAlign w:val="center"/>
          </w:tcPr>
          <w:p w14:paraId="29D454ED">
            <w:pPr>
              <w:spacing w:line="360" w:lineRule="auto"/>
              <w:ind w:firstLine="420"/>
              <w:rPr>
                <w:rFonts w:ascii="宋体" w:hAnsi="宋体"/>
                <w:color w:val="auto"/>
                <w:szCs w:val="21"/>
                <w:highlight w:val="none"/>
              </w:rPr>
            </w:pPr>
          </w:p>
        </w:tc>
        <w:tc>
          <w:tcPr>
            <w:tcW w:w="992" w:type="dxa"/>
            <w:noWrap/>
          </w:tcPr>
          <w:p w14:paraId="7540C78B">
            <w:pPr>
              <w:spacing w:line="360" w:lineRule="auto"/>
              <w:ind w:firstLine="420"/>
              <w:rPr>
                <w:rFonts w:ascii="宋体" w:hAnsi="宋体"/>
                <w:color w:val="auto"/>
                <w:szCs w:val="21"/>
                <w:highlight w:val="none"/>
              </w:rPr>
            </w:pPr>
          </w:p>
        </w:tc>
        <w:tc>
          <w:tcPr>
            <w:tcW w:w="1134" w:type="dxa"/>
            <w:noWrap/>
            <w:vAlign w:val="center"/>
          </w:tcPr>
          <w:p w14:paraId="75F4AE41">
            <w:pPr>
              <w:spacing w:line="360" w:lineRule="auto"/>
              <w:ind w:firstLine="420"/>
              <w:rPr>
                <w:rFonts w:ascii="宋体" w:hAnsi="宋体"/>
                <w:color w:val="auto"/>
                <w:szCs w:val="21"/>
                <w:highlight w:val="none"/>
              </w:rPr>
            </w:pPr>
          </w:p>
        </w:tc>
        <w:tc>
          <w:tcPr>
            <w:tcW w:w="1134" w:type="dxa"/>
            <w:noWrap/>
            <w:vAlign w:val="center"/>
          </w:tcPr>
          <w:p w14:paraId="35CE328E">
            <w:pPr>
              <w:spacing w:line="360" w:lineRule="auto"/>
              <w:ind w:firstLine="420"/>
              <w:rPr>
                <w:rFonts w:ascii="宋体" w:hAnsi="宋体"/>
                <w:color w:val="auto"/>
                <w:szCs w:val="21"/>
                <w:highlight w:val="none"/>
              </w:rPr>
            </w:pPr>
          </w:p>
        </w:tc>
        <w:tc>
          <w:tcPr>
            <w:tcW w:w="1134" w:type="dxa"/>
            <w:noWrap/>
            <w:vAlign w:val="center"/>
          </w:tcPr>
          <w:p w14:paraId="767A8BE1">
            <w:pPr>
              <w:spacing w:line="360" w:lineRule="auto"/>
              <w:ind w:firstLine="420"/>
              <w:rPr>
                <w:rFonts w:ascii="宋体" w:hAnsi="宋体"/>
                <w:color w:val="auto"/>
                <w:szCs w:val="21"/>
                <w:highlight w:val="none"/>
              </w:rPr>
            </w:pPr>
          </w:p>
        </w:tc>
        <w:tc>
          <w:tcPr>
            <w:tcW w:w="709" w:type="dxa"/>
            <w:noWrap/>
            <w:vAlign w:val="center"/>
          </w:tcPr>
          <w:p w14:paraId="4BD7926F">
            <w:pPr>
              <w:spacing w:line="360" w:lineRule="auto"/>
              <w:ind w:firstLine="420"/>
              <w:rPr>
                <w:rFonts w:ascii="宋体" w:hAnsi="宋体"/>
                <w:color w:val="auto"/>
                <w:szCs w:val="21"/>
                <w:highlight w:val="none"/>
              </w:rPr>
            </w:pPr>
          </w:p>
        </w:tc>
      </w:tr>
      <w:tr w14:paraId="0328B1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ign w:val="center"/>
          </w:tcPr>
          <w:p w14:paraId="6964A6DB">
            <w:pPr>
              <w:spacing w:line="360" w:lineRule="auto"/>
              <w:ind w:firstLine="420"/>
              <w:rPr>
                <w:rFonts w:ascii="宋体" w:hAnsi="宋体"/>
                <w:color w:val="auto"/>
                <w:szCs w:val="21"/>
                <w:highlight w:val="none"/>
              </w:rPr>
            </w:pPr>
          </w:p>
        </w:tc>
        <w:tc>
          <w:tcPr>
            <w:tcW w:w="1165" w:type="dxa"/>
            <w:noWrap/>
            <w:vAlign w:val="center"/>
          </w:tcPr>
          <w:p w14:paraId="23188A91">
            <w:pPr>
              <w:spacing w:line="360" w:lineRule="auto"/>
              <w:ind w:firstLine="420"/>
              <w:rPr>
                <w:rFonts w:ascii="宋体" w:hAnsi="宋体"/>
                <w:color w:val="auto"/>
                <w:szCs w:val="21"/>
                <w:highlight w:val="none"/>
              </w:rPr>
            </w:pPr>
          </w:p>
        </w:tc>
        <w:tc>
          <w:tcPr>
            <w:tcW w:w="1126" w:type="dxa"/>
            <w:noWrap/>
            <w:vAlign w:val="center"/>
          </w:tcPr>
          <w:p w14:paraId="792349E1">
            <w:pPr>
              <w:spacing w:line="360" w:lineRule="auto"/>
              <w:ind w:firstLine="420"/>
              <w:rPr>
                <w:rFonts w:ascii="宋体" w:hAnsi="宋体"/>
                <w:color w:val="auto"/>
                <w:szCs w:val="21"/>
                <w:highlight w:val="none"/>
              </w:rPr>
            </w:pPr>
          </w:p>
        </w:tc>
        <w:tc>
          <w:tcPr>
            <w:tcW w:w="567" w:type="dxa"/>
            <w:noWrap/>
            <w:vAlign w:val="center"/>
          </w:tcPr>
          <w:p w14:paraId="1F6950F0">
            <w:pPr>
              <w:spacing w:line="360" w:lineRule="auto"/>
              <w:ind w:firstLine="420"/>
              <w:rPr>
                <w:rFonts w:ascii="宋体" w:hAnsi="宋体"/>
                <w:color w:val="auto"/>
                <w:szCs w:val="21"/>
                <w:highlight w:val="none"/>
              </w:rPr>
            </w:pPr>
          </w:p>
        </w:tc>
        <w:tc>
          <w:tcPr>
            <w:tcW w:w="686" w:type="dxa"/>
            <w:noWrap/>
            <w:vAlign w:val="center"/>
          </w:tcPr>
          <w:p w14:paraId="6AB8A0C6">
            <w:pPr>
              <w:spacing w:line="360" w:lineRule="auto"/>
              <w:ind w:firstLine="420"/>
              <w:rPr>
                <w:rFonts w:ascii="宋体" w:hAnsi="宋体"/>
                <w:color w:val="auto"/>
                <w:szCs w:val="21"/>
                <w:highlight w:val="none"/>
              </w:rPr>
            </w:pPr>
          </w:p>
        </w:tc>
        <w:tc>
          <w:tcPr>
            <w:tcW w:w="992" w:type="dxa"/>
            <w:noWrap/>
          </w:tcPr>
          <w:p w14:paraId="5F3010F4">
            <w:pPr>
              <w:spacing w:line="360" w:lineRule="auto"/>
              <w:ind w:firstLine="420"/>
              <w:rPr>
                <w:rFonts w:ascii="宋体" w:hAnsi="宋体"/>
                <w:color w:val="auto"/>
                <w:szCs w:val="21"/>
                <w:highlight w:val="none"/>
              </w:rPr>
            </w:pPr>
          </w:p>
        </w:tc>
        <w:tc>
          <w:tcPr>
            <w:tcW w:w="1134" w:type="dxa"/>
            <w:noWrap/>
            <w:vAlign w:val="center"/>
          </w:tcPr>
          <w:p w14:paraId="0BB384C4">
            <w:pPr>
              <w:spacing w:line="360" w:lineRule="auto"/>
              <w:ind w:firstLine="420"/>
              <w:rPr>
                <w:rFonts w:ascii="宋体" w:hAnsi="宋体"/>
                <w:color w:val="auto"/>
                <w:szCs w:val="21"/>
                <w:highlight w:val="none"/>
              </w:rPr>
            </w:pPr>
          </w:p>
        </w:tc>
        <w:tc>
          <w:tcPr>
            <w:tcW w:w="1134" w:type="dxa"/>
            <w:noWrap/>
            <w:vAlign w:val="center"/>
          </w:tcPr>
          <w:p w14:paraId="2C680B9D">
            <w:pPr>
              <w:spacing w:line="360" w:lineRule="auto"/>
              <w:ind w:firstLine="420"/>
              <w:rPr>
                <w:rFonts w:ascii="宋体" w:hAnsi="宋体"/>
                <w:color w:val="auto"/>
                <w:szCs w:val="21"/>
                <w:highlight w:val="none"/>
              </w:rPr>
            </w:pPr>
          </w:p>
        </w:tc>
        <w:tc>
          <w:tcPr>
            <w:tcW w:w="1134" w:type="dxa"/>
            <w:noWrap/>
            <w:vAlign w:val="center"/>
          </w:tcPr>
          <w:p w14:paraId="76BC036C">
            <w:pPr>
              <w:spacing w:line="360" w:lineRule="auto"/>
              <w:ind w:firstLine="420"/>
              <w:rPr>
                <w:rFonts w:ascii="宋体" w:hAnsi="宋体"/>
                <w:color w:val="auto"/>
                <w:szCs w:val="21"/>
                <w:highlight w:val="none"/>
              </w:rPr>
            </w:pPr>
          </w:p>
        </w:tc>
        <w:tc>
          <w:tcPr>
            <w:tcW w:w="709" w:type="dxa"/>
            <w:noWrap/>
            <w:vAlign w:val="center"/>
          </w:tcPr>
          <w:p w14:paraId="39F4653C">
            <w:pPr>
              <w:spacing w:line="360" w:lineRule="auto"/>
              <w:ind w:firstLine="420"/>
              <w:rPr>
                <w:rFonts w:ascii="宋体" w:hAnsi="宋体"/>
                <w:color w:val="auto"/>
                <w:szCs w:val="21"/>
                <w:highlight w:val="none"/>
              </w:rPr>
            </w:pPr>
          </w:p>
        </w:tc>
      </w:tr>
      <w:tr w14:paraId="09EAC8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ign w:val="center"/>
          </w:tcPr>
          <w:p w14:paraId="070B5ACE">
            <w:pPr>
              <w:spacing w:line="360" w:lineRule="auto"/>
              <w:ind w:firstLine="420"/>
              <w:rPr>
                <w:rFonts w:ascii="宋体" w:hAnsi="宋体"/>
                <w:color w:val="auto"/>
                <w:szCs w:val="21"/>
                <w:highlight w:val="none"/>
              </w:rPr>
            </w:pPr>
          </w:p>
        </w:tc>
        <w:tc>
          <w:tcPr>
            <w:tcW w:w="1165" w:type="dxa"/>
            <w:noWrap/>
            <w:vAlign w:val="center"/>
          </w:tcPr>
          <w:p w14:paraId="5FDD8159">
            <w:pPr>
              <w:spacing w:line="360" w:lineRule="auto"/>
              <w:ind w:firstLine="420"/>
              <w:rPr>
                <w:rFonts w:ascii="宋体" w:hAnsi="宋体"/>
                <w:color w:val="auto"/>
                <w:szCs w:val="21"/>
                <w:highlight w:val="none"/>
              </w:rPr>
            </w:pPr>
          </w:p>
        </w:tc>
        <w:tc>
          <w:tcPr>
            <w:tcW w:w="1126" w:type="dxa"/>
            <w:noWrap/>
            <w:vAlign w:val="center"/>
          </w:tcPr>
          <w:p w14:paraId="6F641E66">
            <w:pPr>
              <w:spacing w:line="360" w:lineRule="auto"/>
              <w:ind w:firstLine="420"/>
              <w:rPr>
                <w:rFonts w:ascii="宋体" w:hAnsi="宋体"/>
                <w:color w:val="auto"/>
                <w:szCs w:val="21"/>
                <w:highlight w:val="none"/>
              </w:rPr>
            </w:pPr>
          </w:p>
        </w:tc>
        <w:tc>
          <w:tcPr>
            <w:tcW w:w="567" w:type="dxa"/>
            <w:noWrap/>
            <w:vAlign w:val="center"/>
          </w:tcPr>
          <w:p w14:paraId="707447BA">
            <w:pPr>
              <w:spacing w:line="360" w:lineRule="auto"/>
              <w:ind w:firstLine="420"/>
              <w:rPr>
                <w:rFonts w:ascii="宋体" w:hAnsi="宋体"/>
                <w:color w:val="auto"/>
                <w:szCs w:val="21"/>
                <w:highlight w:val="none"/>
              </w:rPr>
            </w:pPr>
          </w:p>
        </w:tc>
        <w:tc>
          <w:tcPr>
            <w:tcW w:w="686" w:type="dxa"/>
            <w:noWrap/>
            <w:vAlign w:val="center"/>
          </w:tcPr>
          <w:p w14:paraId="194A395D">
            <w:pPr>
              <w:spacing w:line="360" w:lineRule="auto"/>
              <w:ind w:firstLine="420"/>
              <w:rPr>
                <w:rFonts w:ascii="宋体" w:hAnsi="宋体"/>
                <w:color w:val="auto"/>
                <w:szCs w:val="21"/>
                <w:highlight w:val="none"/>
              </w:rPr>
            </w:pPr>
          </w:p>
        </w:tc>
        <w:tc>
          <w:tcPr>
            <w:tcW w:w="992" w:type="dxa"/>
            <w:noWrap/>
          </w:tcPr>
          <w:p w14:paraId="0731CA0F">
            <w:pPr>
              <w:spacing w:line="360" w:lineRule="auto"/>
              <w:ind w:firstLine="420"/>
              <w:rPr>
                <w:rFonts w:ascii="宋体" w:hAnsi="宋体"/>
                <w:color w:val="auto"/>
                <w:szCs w:val="21"/>
                <w:highlight w:val="none"/>
              </w:rPr>
            </w:pPr>
          </w:p>
        </w:tc>
        <w:tc>
          <w:tcPr>
            <w:tcW w:w="1134" w:type="dxa"/>
            <w:noWrap/>
            <w:vAlign w:val="center"/>
          </w:tcPr>
          <w:p w14:paraId="10A8B92D">
            <w:pPr>
              <w:spacing w:line="360" w:lineRule="auto"/>
              <w:ind w:firstLine="420"/>
              <w:rPr>
                <w:rFonts w:ascii="宋体" w:hAnsi="宋体"/>
                <w:color w:val="auto"/>
                <w:szCs w:val="21"/>
                <w:highlight w:val="none"/>
              </w:rPr>
            </w:pPr>
          </w:p>
        </w:tc>
        <w:tc>
          <w:tcPr>
            <w:tcW w:w="1134" w:type="dxa"/>
            <w:noWrap/>
            <w:vAlign w:val="center"/>
          </w:tcPr>
          <w:p w14:paraId="5B26F4CE">
            <w:pPr>
              <w:spacing w:line="360" w:lineRule="auto"/>
              <w:ind w:firstLine="420"/>
              <w:rPr>
                <w:rFonts w:ascii="宋体" w:hAnsi="宋体"/>
                <w:color w:val="auto"/>
                <w:szCs w:val="21"/>
                <w:highlight w:val="none"/>
              </w:rPr>
            </w:pPr>
          </w:p>
        </w:tc>
        <w:tc>
          <w:tcPr>
            <w:tcW w:w="1134" w:type="dxa"/>
            <w:noWrap/>
            <w:vAlign w:val="center"/>
          </w:tcPr>
          <w:p w14:paraId="2D97B329">
            <w:pPr>
              <w:spacing w:line="360" w:lineRule="auto"/>
              <w:ind w:firstLine="420"/>
              <w:rPr>
                <w:rFonts w:ascii="宋体" w:hAnsi="宋体"/>
                <w:color w:val="auto"/>
                <w:szCs w:val="21"/>
                <w:highlight w:val="none"/>
              </w:rPr>
            </w:pPr>
          </w:p>
        </w:tc>
        <w:tc>
          <w:tcPr>
            <w:tcW w:w="709" w:type="dxa"/>
            <w:noWrap/>
            <w:vAlign w:val="center"/>
          </w:tcPr>
          <w:p w14:paraId="2AD46823">
            <w:pPr>
              <w:spacing w:line="360" w:lineRule="auto"/>
              <w:ind w:firstLine="420"/>
              <w:rPr>
                <w:rFonts w:ascii="宋体" w:hAnsi="宋体"/>
                <w:color w:val="auto"/>
                <w:szCs w:val="21"/>
                <w:highlight w:val="none"/>
              </w:rPr>
            </w:pPr>
          </w:p>
        </w:tc>
      </w:tr>
      <w:tr w14:paraId="1F3556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ign w:val="center"/>
          </w:tcPr>
          <w:p w14:paraId="728E82ED">
            <w:pPr>
              <w:spacing w:line="360" w:lineRule="auto"/>
              <w:ind w:firstLine="420"/>
              <w:rPr>
                <w:rFonts w:ascii="宋体" w:hAnsi="宋体"/>
                <w:color w:val="auto"/>
                <w:szCs w:val="21"/>
                <w:highlight w:val="none"/>
              </w:rPr>
            </w:pPr>
          </w:p>
        </w:tc>
        <w:tc>
          <w:tcPr>
            <w:tcW w:w="1165" w:type="dxa"/>
            <w:noWrap/>
            <w:vAlign w:val="center"/>
          </w:tcPr>
          <w:p w14:paraId="07864446">
            <w:pPr>
              <w:spacing w:line="360" w:lineRule="auto"/>
              <w:ind w:firstLine="420"/>
              <w:rPr>
                <w:rFonts w:ascii="宋体" w:hAnsi="宋体"/>
                <w:color w:val="auto"/>
                <w:szCs w:val="21"/>
                <w:highlight w:val="none"/>
              </w:rPr>
            </w:pPr>
          </w:p>
        </w:tc>
        <w:tc>
          <w:tcPr>
            <w:tcW w:w="1126" w:type="dxa"/>
            <w:noWrap/>
            <w:vAlign w:val="center"/>
          </w:tcPr>
          <w:p w14:paraId="28B2F23B">
            <w:pPr>
              <w:spacing w:line="360" w:lineRule="auto"/>
              <w:ind w:firstLine="420"/>
              <w:rPr>
                <w:rFonts w:ascii="宋体" w:hAnsi="宋体"/>
                <w:color w:val="auto"/>
                <w:szCs w:val="21"/>
                <w:highlight w:val="none"/>
              </w:rPr>
            </w:pPr>
          </w:p>
        </w:tc>
        <w:tc>
          <w:tcPr>
            <w:tcW w:w="567" w:type="dxa"/>
            <w:noWrap/>
            <w:vAlign w:val="center"/>
          </w:tcPr>
          <w:p w14:paraId="1EE33605">
            <w:pPr>
              <w:spacing w:line="360" w:lineRule="auto"/>
              <w:ind w:firstLine="420"/>
              <w:rPr>
                <w:rFonts w:ascii="宋体" w:hAnsi="宋体"/>
                <w:color w:val="auto"/>
                <w:szCs w:val="21"/>
                <w:highlight w:val="none"/>
              </w:rPr>
            </w:pPr>
          </w:p>
        </w:tc>
        <w:tc>
          <w:tcPr>
            <w:tcW w:w="686" w:type="dxa"/>
            <w:noWrap/>
            <w:vAlign w:val="center"/>
          </w:tcPr>
          <w:p w14:paraId="02BC9FCE">
            <w:pPr>
              <w:spacing w:line="360" w:lineRule="auto"/>
              <w:ind w:firstLine="420"/>
              <w:rPr>
                <w:rFonts w:ascii="宋体" w:hAnsi="宋体"/>
                <w:color w:val="auto"/>
                <w:szCs w:val="21"/>
                <w:highlight w:val="none"/>
              </w:rPr>
            </w:pPr>
          </w:p>
        </w:tc>
        <w:tc>
          <w:tcPr>
            <w:tcW w:w="992" w:type="dxa"/>
            <w:noWrap/>
          </w:tcPr>
          <w:p w14:paraId="7CDAE4D0">
            <w:pPr>
              <w:spacing w:line="360" w:lineRule="auto"/>
              <w:ind w:firstLine="420"/>
              <w:rPr>
                <w:rFonts w:ascii="宋体" w:hAnsi="宋体"/>
                <w:color w:val="auto"/>
                <w:szCs w:val="21"/>
                <w:highlight w:val="none"/>
              </w:rPr>
            </w:pPr>
          </w:p>
        </w:tc>
        <w:tc>
          <w:tcPr>
            <w:tcW w:w="1134" w:type="dxa"/>
            <w:noWrap/>
            <w:vAlign w:val="center"/>
          </w:tcPr>
          <w:p w14:paraId="5F0D8C6F">
            <w:pPr>
              <w:spacing w:line="360" w:lineRule="auto"/>
              <w:ind w:firstLine="420"/>
              <w:rPr>
                <w:rFonts w:ascii="宋体" w:hAnsi="宋体"/>
                <w:color w:val="auto"/>
                <w:szCs w:val="21"/>
                <w:highlight w:val="none"/>
              </w:rPr>
            </w:pPr>
          </w:p>
        </w:tc>
        <w:tc>
          <w:tcPr>
            <w:tcW w:w="1134" w:type="dxa"/>
            <w:noWrap/>
            <w:vAlign w:val="center"/>
          </w:tcPr>
          <w:p w14:paraId="013653FC">
            <w:pPr>
              <w:spacing w:line="360" w:lineRule="auto"/>
              <w:ind w:firstLine="420"/>
              <w:rPr>
                <w:rFonts w:ascii="宋体" w:hAnsi="宋体"/>
                <w:color w:val="auto"/>
                <w:szCs w:val="21"/>
                <w:highlight w:val="none"/>
              </w:rPr>
            </w:pPr>
          </w:p>
        </w:tc>
        <w:tc>
          <w:tcPr>
            <w:tcW w:w="1134" w:type="dxa"/>
            <w:noWrap/>
            <w:vAlign w:val="center"/>
          </w:tcPr>
          <w:p w14:paraId="0ADD552B">
            <w:pPr>
              <w:spacing w:line="360" w:lineRule="auto"/>
              <w:ind w:firstLine="420"/>
              <w:rPr>
                <w:rFonts w:ascii="宋体" w:hAnsi="宋体"/>
                <w:color w:val="auto"/>
                <w:szCs w:val="21"/>
                <w:highlight w:val="none"/>
              </w:rPr>
            </w:pPr>
          </w:p>
        </w:tc>
        <w:tc>
          <w:tcPr>
            <w:tcW w:w="709" w:type="dxa"/>
            <w:noWrap/>
            <w:vAlign w:val="center"/>
          </w:tcPr>
          <w:p w14:paraId="78F4BD9C">
            <w:pPr>
              <w:spacing w:line="360" w:lineRule="auto"/>
              <w:ind w:firstLine="420"/>
              <w:rPr>
                <w:rFonts w:ascii="宋体" w:hAnsi="宋体"/>
                <w:color w:val="auto"/>
                <w:szCs w:val="21"/>
                <w:highlight w:val="none"/>
              </w:rPr>
            </w:pPr>
          </w:p>
        </w:tc>
      </w:tr>
      <w:tr w14:paraId="1854B0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ign w:val="center"/>
          </w:tcPr>
          <w:p w14:paraId="18937D9E">
            <w:pPr>
              <w:spacing w:line="360" w:lineRule="auto"/>
              <w:ind w:firstLine="420"/>
              <w:rPr>
                <w:rFonts w:ascii="宋体" w:hAnsi="宋体"/>
                <w:color w:val="auto"/>
                <w:szCs w:val="21"/>
                <w:highlight w:val="none"/>
              </w:rPr>
            </w:pPr>
          </w:p>
        </w:tc>
        <w:tc>
          <w:tcPr>
            <w:tcW w:w="1165" w:type="dxa"/>
            <w:noWrap/>
            <w:vAlign w:val="center"/>
          </w:tcPr>
          <w:p w14:paraId="7B19F1B5">
            <w:pPr>
              <w:spacing w:line="360" w:lineRule="auto"/>
              <w:ind w:firstLine="420"/>
              <w:rPr>
                <w:rFonts w:ascii="宋体" w:hAnsi="宋体"/>
                <w:color w:val="auto"/>
                <w:szCs w:val="21"/>
                <w:highlight w:val="none"/>
              </w:rPr>
            </w:pPr>
          </w:p>
        </w:tc>
        <w:tc>
          <w:tcPr>
            <w:tcW w:w="1126" w:type="dxa"/>
            <w:noWrap/>
            <w:vAlign w:val="center"/>
          </w:tcPr>
          <w:p w14:paraId="17E6BE80">
            <w:pPr>
              <w:spacing w:line="360" w:lineRule="auto"/>
              <w:ind w:firstLine="420"/>
              <w:rPr>
                <w:rFonts w:ascii="宋体" w:hAnsi="宋体"/>
                <w:color w:val="auto"/>
                <w:szCs w:val="21"/>
                <w:highlight w:val="none"/>
              </w:rPr>
            </w:pPr>
          </w:p>
        </w:tc>
        <w:tc>
          <w:tcPr>
            <w:tcW w:w="567" w:type="dxa"/>
            <w:noWrap/>
            <w:vAlign w:val="center"/>
          </w:tcPr>
          <w:p w14:paraId="0C8209EB">
            <w:pPr>
              <w:spacing w:line="360" w:lineRule="auto"/>
              <w:ind w:firstLine="420"/>
              <w:rPr>
                <w:rFonts w:ascii="宋体" w:hAnsi="宋体"/>
                <w:color w:val="auto"/>
                <w:szCs w:val="21"/>
                <w:highlight w:val="none"/>
              </w:rPr>
            </w:pPr>
          </w:p>
        </w:tc>
        <w:tc>
          <w:tcPr>
            <w:tcW w:w="686" w:type="dxa"/>
            <w:noWrap/>
            <w:vAlign w:val="center"/>
          </w:tcPr>
          <w:p w14:paraId="56389089">
            <w:pPr>
              <w:spacing w:line="360" w:lineRule="auto"/>
              <w:ind w:firstLine="420"/>
              <w:rPr>
                <w:rFonts w:ascii="宋体" w:hAnsi="宋体"/>
                <w:color w:val="auto"/>
                <w:szCs w:val="21"/>
                <w:highlight w:val="none"/>
              </w:rPr>
            </w:pPr>
          </w:p>
        </w:tc>
        <w:tc>
          <w:tcPr>
            <w:tcW w:w="992" w:type="dxa"/>
            <w:noWrap/>
          </w:tcPr>
          <w:p w14:paraId="1CFBC851">
            <w:pPr>
              <w:spacing w:line="360" w:lineRule="auto"/>
              <w:ind w:firstLine="420"/>
              <w:rPr>
                <w:rFonts w:ascii="宋体" w:hAnsi="宋体"/>
                <w:color w:val="auto"/>
                <w:szCs w:val="21"/>
                <w:highlight w:val="none"/>
              </w:rPr>
            </w:pPr>
          </w:p>
        </w:tc>
        <w:tc>
          <w:tcPr>
            <w:tcW w:w="1134" w:type="dxa"/>
            <w:noWrap/>
            <w:vAlign w:val="center"/>
          </w:tcPr>
          <w:p w14:paraId="5529AEDE">
            <w:pPr>
              <w:spacing w:line="360" w:lineRule="auto"/>
              <w:ind w:firstLine="420"/>
              <w:rPr>
                <w:rFonts w:ascii="宋体" w:hAnsi="宋体"/>
                <w:color w:val="auto"/>
                <w:szCs w:val="21"/>
                <w:highlight w:val="none"/>
              </w:rPr>
            </w:pPr>
          </w:p>
        </w:tc>
        <w:tc>
          <w:tcPr>
            <w:tcW w:w="1134" w:type="dxa"/>
            <w:noWrap/>
            <w:vAlign w:val="center"/>
          </w:tcPr>
          <w:p w14:paraId="33F05F08">
            <w:pPr>
              <w:spacing w:line="360" w:lineRule="auto"/>
              <w:ind w:firstLine="420"/>
              <w:rPr>
                <w:rFonts w:ascii="宋体" w:hAnsi="宋体"/>
                <w:color w:val="auto"/>
                <w:szCs w:val="21"/>
                <w:highlight w:val="none"/>
              </w:rPr>
            </w:pPr>
          </w:p>
        </w:tc>
        <w:tc>
          <w:tcPr>
            <w:tcW w:w="1134" w:type="dxa"/>
            <w:noWrap/>
            <w:vAlign w:val="center"/>
          </w:tcPr>
          <w:p w14:paraId="41630EF7">
            <w:pPr>
              <w:spacing w:line="360" w:lineRule="auto"/>
              <w:ind w:firstLine="420"/>
              <w:rPr>
                <w:rFonts w:ascii="宋体" w:hAnsi="宋体"/>
                <w:color w:val="auto"/>
                <w:szCs w:val="21"/>
                <w:highlight w:val="none"/>
              </w:rPr>
            </w:pPr>
          </w:p>
        </w:tc>
        <w:tc>
          <w:tcPr>
            <w:tcW w:w="709" w:type="dxa"/>
            <w:noWrap/>
            <w:vAlign w:val="center"/>
          </w:tcPr>
          <w:p w14:paraId="2E8C14D4">
            <w:pPr>
              <w:spacing w:line="360" w:lineRule="auto"/>
              <w:ind w:firstLine="420"/>
              <w:rPr>
                <w:rFonts w:ascii="宋体" w:hAnsi="宋体"/>
                <w:color w:val="auto"/>
                <w:szCs w:val="21"/>
                <w:highlight w:val="none"/>
              </w:rPr>
            </w:pPr>
          </w:p>
        </w:tc>
      </w:tr>
    </w:tbl>
    <w:p w14:paraId="4CDD238D">
      <w:pPr>
        <w:spacing w:line="360" w:lineRule="auto"/>
        <w:ind w:firstLine="420"/>
        <w:rPr>
          <w:rFonts w:ascii="宋体" w:hAnsi="宋体"/>
          <w:color w:val="auto"/>
          <w:szCs w:val="21"/>
          <w:highlight w:val="none"/>
        </w:rPr>
      </w:pPr>
    </w:p>
    <w:p w14:paraId="2D9BDCD0">
      <w:pPr>
        <w:spacing w:line="360" w:lineRule="auto"/>
        <w:ind w:firstLine="420"/>
        <w:rPr>
          <w:rFonts w:ascii="宋体" w:hAnsi="宋体"/>
          <w:color w:val="auto"/>
          <w:szCs w:val="21"/>
          <w:highlight w:val="none"/>
        </w:rPr>
      </w:pPr>
      <w:r>
        <w:rPr>
          <w:rFonts w:ascii="宋体" w:hAnsi="宋体"/>
          <w:color w:val="auto"/>
          <w:szCs w:val="21"/>
          <w:highlight w:val="none"/>
        </w:rPr>
        <w:br w:type="page"/>
      </w:r>
    </w:p>
    <w:p w14:paraId="28720CF4">
      <w:pPr>
        <w:pStyle w:val="173"/>
        <w:numPr>
          <w:ilvl w:val="0"/>
          <w:numId w:val="0"/>
        </w:numPr>
        <w:wordWrap/>
        <w:spacing w:after="120"/>
        <w:rPr>
          <w:rFonts w:ascii="宋体" w:hAnsi="宋体" w:eastAsia="宋体"/>
          <w:color w:val="auto"/>
          <w:sz w:val="21"/>
          <w:szCs w:val="21"/>
          <w:highlight w:val="none"/>
        </w:rPr>
      </w:pPr>
      <w:bookmarkStart w:id="1693" w:name="_Toc20171895"/>
      <w:bookmarkStart w:id="1694" w:name="_Toc27388"/>
      <w:bookmarkStart w:id="1695" w:name="_Toc10232"/>
      <w:bookmarkStart w:id="1696" w:name="_Toc54862354"/>
      <w:bookmarkStart w:id="1697" w:name="_Toc25797"/>
      <w:bookmarkStart w:id="1698" w:name="_Toc21209"/>
      <w:r>
        <w:rPr>
          <w:rFonts w:hint="eastAsia" w:ascii="宋体" w:hAnsi="宋体" w:eastAsia="宋体"/>
          <w:color w:val="auto"/>
          <w:sz w:val="21"/>
          <w:szCs w:val="21"/>
          <w:highlight w:val="none"/>
        </w:rPr>
        <w:t>附件</w:t>
      </w:r>
      <w:r>
        <w:rPr>
          <w:rFonts w:ascii="宋体" w:hAnsi="宋体" w:eastAsia="宋体"/>
          <w:color w:val="auto"/>
          <w:sz w:val="21"/>
          <w:szCs w:val="21"/>
          <w:highlight w:val="none"/>
        </w:rPr>
        <w:t>3 工程质量保修书</w:t>
      </w:r>
      <w:bookmarkEnd w:id="1693"/>
      <w:bookmarkEnd w:id="1694"/>
      <w:bookmarkEnd w:id="1695"/>
      <w:bookmarkEnd w:id="1696"/>
      <w:bookmarkEnd w:id="1697"/>
      <w:bookmarkEnd w:id="1698"/>
    </w:p>
    <w:p w14:paraId="676695DC">
      <w:pPr>
        <w:spacing w:line="360" w:lineRule="auto"/>
        <w:rPr>
          <w:rFonts w:ascii="宋体" w:hAnsi="宋体"/>
          <w:color w:val="auto"/>
          <w:szCs w:val="21"/>
          <w:highlight w:val="none"/>
        </w:rPr>
      </w:pPr>
      <w:r>
        <w:rPr>
          <w:rFonts w:hint="eastAsia" w:ascii="宋体" w:hAnsi="宋体"/>
          <w:color w:val="auto"/>
          <w:szCs w:val="21"/>
          <w:highlight w:val="none"/>
        </w:rPr>
        <w:t>发包人（全称）：</w:t>
      </w:r>
    </w:p>
    <w:p w14:paraId="29CEE148">
      <w:pPr>
        <w:spacing w:line="360" w:lineRule="auto"/>
        <w:rPr>
          <w:rFonts w:ascii="宋体" w:hAnsi="宋体"/>
          <w:color w:val="auto"/>
          <w:szCs w:val="21"/>
          <w:highlight w:val="none"/>
        </w:rPr>
      </w:pPr>
      <w:r>
        <w:rPr>
          <w:rFonts w:hint="eastAsia" w:ascii="宋体" w:hAnsi="宋体"/>
          <w:color w:val="auto"/>
          <w:szCs w:val="21"/>
          <w:highlight w:val="none"/>
        </w:rPr>
        <w:t>承包人（全称）：</w:t>
      </w:r>
    </w:p>
    <w:p w14:paraId="718BA80D">
      <w:pPr>
        <w:spacing w:line="360" w:lineRule="auto"/>
        <w:ind w:firstLine="420"/>
        <w:rPr>
          <w:rFonts w:ascii="宋体" w:hAnsi="宋体"/>
          <w:color w:val="auto"/>
          <w:szCs w:val="21"/>
          <w:highlight w:val="none"/>
        </w:rPr>
      </w:pPr>
      <w:r>
        <w:rPr>
          <w:rFonts w:hint="eastAsia" w:ascii="宋体" w:hAnsi="宋体"/>
          <w:color w:val="auto"/>
          <w:szCs w:val="21"/>
          <w:highlight w:val="none"/>
        </w:rPr>
        <w:t>发包人和承包人根据《中华人民共和国建筑法》和《建设工程质量管理条例》，经协商一致就</w:t>
      </w:r>
      <w:r>
        <w:rPr>
          <w:rFonts w:hint="eastAsia" w:ascii="宋体" w:hAnsi="宋体"/>
          <w:color w:val="auto"/>
          <w:szCs w:val="21"/>
          <w:highlight w:val="none"/>
          <w:u w:val="single"/>
          <w:lang w:eastAsia="zh-CN"/>
        </w:rPr>
        <w:t>2025年营口市鲅鱼圈区集中供热二三网维修改造工程</w:t>
      </w:r>
      <w:r>
        <w:rPr>
          <w:rFonts w:hint="eastAsia" w:ascii="宋体" w:hAnsi="宋体"/>
          <w:color w:val="auto"/>
          <w:szCs w:val="21"/>
          <w:highlight w:val="none"/>
          <w:u w:val="single"/>
          <w:lang w:val="en-US" w:eastAsia="zh-CN"/>
        </w:rPr>
        <w:t>EPC工程总承包</w:t>
      </w:r>
      <w:r>
        <w:rPr>
          <w:rFonts w:hint="eastAsia" w:ascii="宋体" w:hAnsi="宋体"/>
          <w:color w:val="auto"/>
          <w:szCs w:val="21"/>
          <w:highlight w:val="none"/>
        </w:rPr>
        <w:t>（工程全称）订立工程质量保修书。</w:t>
      </w:r>
    </w:p>
    <w:p w14:paraId="67AF64E2">
      <w:pPr>
        <w:spacing w:line="360" w:lineRule="auto"/>
        <w:ind w:firstLine="420"/>
        <w:rPr>
          <w:rFonts w:ascii="宋体" w:hAnsi="宋体"/>
          <w:b/>
          <w:bCs/>
          <w:color w:val="auto"/>
          <w:szCs w:val="21"/>
          <w:highlight w:val="none"/>
        </w:rPr>
      </w:pPr>
      <w:r>
        <w:rPr>
          <w:rFonts w:hint="eastAsia" w:ascii="宋体" w:hAnsi="宋体"/>
          <w:b/>
          <w:bCs/>
          <w:color w:val="auto"/>
          <w:szCs w:val="21"/>
          <w:highlight w:val="none"/>
        </w:rPr>
        <w:t>一、工程质量保修范围和内容</w:t>
      </w:r>
    </w:p>
    <w:p w14:paraId="235AB706">
      <w:pPr>
        <w:spacing w:line="360" w:lineRule="auto"/>
        <w:ind w:firstLine="420"/>
        <w:rPr>
          <w:rFonts w:ascii="宋体" w:hAnsi="宋体"/>
          <w:color w:val="auto"/>
          <w:szCs w:val="21"/>
          <w:highlight w:val="none"/>
        </w:rPr>
      </w:pPr>
      <w:r>
        <w:rPr>
          <w:rFonts w:hint="eastAsia" w:ascii="宋体" w:hAnsi="宋体"/>
          <w:color w:val="auto"/>
          <w:szCs w:val="21"/>
          <w:highlight w:val="none"/>
        </w:rPr>
        <w:t>承包人在质量保修期内，按照有关法律规定和合同约定，承担工程质量保修责任。</w:t>
      </w:r>
    </w:p>
    <w:p w14:paraId="16294651">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质量保修范围包括地基基础工程、主体结构工程，屋面防水工程、有防水要求的卫生 </w:t>
      </w:r>
    </w:p>
    <w:p w14:paraId="3FF08D5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间、房间和外墙面的防渗漏，供热与供冷系统，电气管线、给排水管道、设备安装和装修 </w:t>
      </w:r>
    </w:p>
    <w:p w14:paraId="212656B1">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宋体" w:hAnsi="宋体"/>
          <w:color w:val="auto"/>
          <w:szCs w:val="21"/>
          <w:highlight w:val="none"/>
        </w:rPr>
      </w:pPr>
      <w:r>
        <w:rPr>
          <w:rFonts w:hint="eastAsia" w:ascii="宋体" w:hAnsi="宋体" w:eastAsia="宋体" w:cs="宋体"/>
          <w:color w:val="auto"/>
          <w:kern w:val="0"/>
          <w:sz w:val="21"/>
          <w:szCs w:val="21"/>
          <w:highlight w:val="none"/>
          <w:lang w:val="en-US" w:eastAsia="zh-CN" w:bidi="ar"/>
        </w:rPr>
        <w:t>工程，以及双方约定的其他项目.</w:t>
      </w:r>
      <w:r>
        <w:rPr>
          <w:rFonts w:hint="eastAsia" w:ascii="宋体" w:hAnsi="宋体"/>
          <w:color w:val="auto"/>
          <w:szCs w:val="21"/>
          <w:highlight w:val="none"/>
        </w:rPr>
        <w:t>具体保修的内容，双方约定如下：</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rPr>
        <w:t>。</w:t>
      </w:r>
    </w:p>
    <w:p w14:paraId="107E7B00">
      <w:pPr>
        <w:spacing w:line="360" w:lineRule="auto"/>
        <w:ind w:firstLine="420"/>
        <w:rPr>
          <w:rFonts w:ascii="宋体" w:hAnsi="宋体"/>
          <w:b/>
          <w:bCs/>
          <w:color w:val="auto"/>
          <w:szCs w:val="21"/>
          <w:highlight w:val="none"/>
        </w:rPr>
      </w:pPr>
      <w:r>
        <w:rPr>
          <w:rFonts w:hint="eastAsia" w:ascii="宋体" w:hAnsi="宋体"/>
          <w:b/>
          <w:bCs/>
          <w:color w:val="auto"/>
          <w:szCs w:val="21"/>
          <w:highlight w:val="none"/>
        </w:rPr>
        <w:t>二、质量保修期</w:t>
      </w:r>
    </w:p>
    <w:p w14:paraId="4F418D2E">
      <w:pPr>
        <w:spacing w:line="360" w:lineRule="auto"/>
        <w:ind w:firstLine="420"/>
        <w:rPr>
          <w:rFonts w:ascii="宋体" w:hAnsi="宋体"/>
          <w:color w:val="auto"/>
          <w:szCs w:val="21"/>
          <w:highlight w:val="none"/>
        </w:rPr>
      </w:pPr>
      <w:r>
        <w:rPr>
          <w:rFonts w:hint="eastAsia" w:ascii="宋体" w:hAnsi="宋体"/>
          <w:color w:val="auto"/>
          <w:szCs w:val="21"/>
          <w:highlight w:val="none"/>
        </w:rPr>
        <w:t>根据《建设工程质量管理条例》及有关规定，工程的质量保修期如下：</w:t>
      </w:r>
    </w:p>
    <w:p w14:paraId="0A18D16B">
      <w:pPr>
        <w:spacing w:line="360" w:lineRule="auto"/>
        <w:ind w:firstLine="420"/>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地基基础工程和主体结构工程为设计文件规定的工程合理使用年限；</w:t>
      </w:r>
      <w:r>
        <w:rPr>
          <w:rFonts w:hint="eastAsia" w:ascii="宋体" w:hAnsi="宋体"/>
          <w:color w:val="auto"/>
          <w:szCs w:val="21"/>
          <w:highlight w:val="none"/>
        </w:rPr>
        <w:t>。</w:t>
      </w:r>
    </w:p>
    <w:p w14:paraId="6581282E">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2．屋面防水工程、有防水要求的卫生间、房间和外墙面的防渗为</w:t>
      </w:r>
      <w:r>
        <w:rPr>
          <w:rFonts w:hint="eastAsia" w:ascii="宋体" w:hAnsi="宋体"/>
          <w:color w:val="auto"/>
          <w:szCs w:val="21"/>
          <w:highlight w:val="none"/>
          <w:u w:val="single"/>
          <w:lang w:val="en-US" w:eastAsia="zh-CN"/>
        </w:rPr>
        <w:t xml:space="preserve">   5    </w:t>
      </w:r>
      <w:r>
        <w:rPr>
          <w:rFonts w:hint="eastAsia" w:ascii="宋体" w:hAnsi="宋体" w:eastAsia="宋体" w:cs="宋体"/>
          <w:color w:val="auto"/>
          <w:kern w:val="0"/>
          <w:sz w:val="21"/>
          <w:szCs w:val="21"/>
          <w:highlight w:val="none"/>
          <w:lang w:val="en-US" w:eastAsia="zh-CN" w:bidi="ar"/>
        </w:rPr>
        <w:t xml:space="preserve">年； </w:t>
      </w:r>
    </w:p>
    <w:p w14:paraId="6110E8FC">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3．装修工程为</w:t>
      </w:r>
      <w:r>
        <w:rPr>
          <w:rFonts w:hint="eastAsia" w:ascii="宋体" w:hAnsi="宋体"/>
          <w:color w:val="auto"/>
          <w:szCs w:val="21"/>
          <w:highlight w:val="none"/>
          <w:u w:val="single"/>
          <w:lang w:val="en-US" w:eastAsia="zh-CN"/>
        </w:rPr>
        <w:t xml:space="preserve">    2   </w:t>
      </w:r>
      <w:r>
        <w:rPr>
          <w:rFonts w:hint="eastAsia" w:ascii="宋体" w:hAnsi="宋体" w:eastAsia="宋体" w:cs="宋体"/>
          <w:color w:val="auto"/>
          <w:kern w:val="0"/>
          <w:sz w:val="21"/>
          <w:szCs w:val="21"/>
          <w:highlight w:val="none"/>
          <w:lang w:val="en-US" w:eastAsia="zh-CN" w:bidi="ar"/>
        </w:rPr>
        <w:t xml:space="preserve">年； </w:t>
      </w:r>
    </w:p>
    <w:p w14:paraId="642724BC">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4．电气管线、给排水管道、设备安装工程为</w:t>
      </w:r>
      <w:r>
        <w:rPr>
          <w:rFonts w:hint="eastAsia" w:ascii="宋体" w:hAnsi="宋体"/>
          <w:color w:val="auto"/>
          <w:szCs w:val="21"/>
          <w:highlight w:val="none"/>
          <w:u w:val="single"/>
          <w:lang w:val="en-US" w:eastAsia="zh-CN"/>
        </w:rPr>
        <w:t xml:space="preserve">    2   </w:t>
      </w:r>
      <w:r>
        <w:rPr>
          <w:rFonts w:hint="eastAsia" w:ascii="宋体" w:hAnsi="宋体" w:eastAsia="宋体" w:cs="宋体"/>
          <w:color w:val="auto"/>
          <w:kern w:val="0"/>
          <w:sz w:val="21"/>
          <w:szCs w:val="21"/>
          <w:highlight w:val="none"/>
          <w:lang w:val="en-US" w:eastAsia="zh-CN" w:bidi="ar"/>
        </w:rPr>
        <w:t xml:space="preserve">年； </w:t>
      </w:r>
    </w:p>
    <w:p w14:paraId="5F6BA54B">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5．供热与供冷系统为</w:t>
      </w:r>
      <w:r>
        <w:rPr>
          <w:rFonts w:hint="eastAsia" w:ascii="宋体" w:hAnsi="宋体"/>
          <w:color w:val="auto"/>
          <w:szCs w:val="21"/>
          <w:highlight w:val="none"/>
          <w:u w:val="single"/>
          <w:lang w:val="en-US" w:eastAsia="zh-CN"/>
        </w:rPr>
        <w:t xml:space="preserve">    2    </w:t>
      </w:r>
      <w:r>
        <w:rPr>
          <w:rFonts w:hint="eastAsia" w:ascii="宋体" w:hAnsi="宋体" w:eastAsia="宋体" w:cs="宋体"/>
          <w:color w:val="auto"/>
          <w:kern w:val="0"/>
          <w:sz w:val="21"/>
          <w:szCs w:val="21"/>
          <w:highlight w:val="none"/>
          <w:lang w:val="en-US" w:eastAsia="zh-CN" w:bidi="ar"/>
        </w:rPr>
        <w:t xml:space="preserve">个采暖期、供冷期； </w:t>
      </w:r>
    </w:p>
    <w:p w14:paraId="6F1661C2">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6．住宅小区内的给排水设施、道路等配套工程为</w:t>
      </w:r>
      <w:r>
        <w:rPr>
          <w:rFonts w:hint="eastAsia" w:ascii="宋体" w:hAnsi="宋体"/>
          <w:color w:val="auto"/>
          <w:szCs w:val="21"/>
          <w:highlight w:val="none"/>
          <w:u w:val="single"/>
          <w:lang w:val="en-US" w:eastAsia="zh-CN"/>
        </w:rPr>
        <w:t xml:space="preserve">   2     </w:t>
      </w:r>
      <w:r>
        <w:rPr>
          <w:rFonts w:hint="eastAsia" w:ascii="宋体" w:hAnsi="宋体" w:eastAsia="宋体" w:cs="宋体"/>
          <w:color w:val="auto"/>
          <w:kern w:val="0"/>
          <w:sz w:val="21"/>
          <w:szCs w:val="21"/>
          <w:highlight w:val="none"/>
          <w:lang w:val="en-US" w:eastAsia="zh-CN" w:bidi="ar"/>
        </w:rPr>
        <w:t xml:space="preserve">年； </w:t>
      </w:r>
    </w:p>
    <w:p w14:paraId="5CF8CA96">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olor w:val="auto"/>
          <w:szCs w:val="21"/>
          <w:highlight w:val="none"/>
        </w:rPr>
      </w:pPr>
      <w:r>
        <w:rPr>
          <w:rFonts w:hint="eastAsia" w:ascii="宋体" w:hAnsi="宋体" w:eastAsia="宋体" w:cs="宋体"/>
          <w:color w:val="auto"/>
          <w:kern w:val="0"/>
          <w:sz w:val="21"/>
          <w:szCs w:val="21"/>
          <w:highlight w:val="none"/>
          <w:lang w:val="en-US" w:eastAsia="zh-CN" w:bidi="ar"/>
        </w:rPr>
        <w:t>7．其他项目保修期限约定如下：</w:t>
      </w:r>
      <w:r>
        <w:rPr>
          <w:rFonts w:hint="eastAsia" w:ascii="宋体" w:hAnsi="宋体"/>
          <w:color w:val="auto"/>
          <w:szCs w:val="21"/>
          <w:highlight w:val="none"/>
          <w:u w:val="single"/>
          <w:lang w:val="en-US" w:eastAsia="zh-CN"/>
        </w:rPr>
        <w:t xml:space="preserve"> 本项目保修期二年（两个采暖季) </w:t>
      </w:r>
    </w:p>
    <w:p w14:paraId="32810A3F">
      <w:pPr>
        <w:spacing w:line="360" w:lineRule="auto"/>
        <w:ind w:firstLine="420"/>
        <w:rPr>
          <w:rFonts w:ascii="宋体" w:hAnsi="宋体"/>
          <w:color w:val="auto"/>
          <w:szCs w:val="21"/>
          <w:highlight w:val="none"/>
        </w:rPr>
      </w:pPr>
      <w:r>
        <w:rPr>
          <w:rFonts w:hint="eastAsia" w:ascii="宋体" w:hAnsi="宋体"/>
          <w:color w:val="auto"/>
          <w:szCs w:val="21"/>
          <w:highlight w:val="none"/>
        </w:rPr>
        <w:t>质量保修期自工程竣工验收合格之日起计算。</w:t>
      </w:r>
    </w:p>
    <w:p w14:paraId="32DE288D">
      <w:pPr>
        <w:spacing w:line="360" w:lineRule="auto"/>
        <w:ind w:firstLine="420"/>
        <w:rPr>
          <w:rFonts w:ascii="宋体" w:hAnsi="宋体"/>
          <w:b/>
          <w:bCs/>
          <w:color w:val="auto"/>
          <w:szCs w:val="21"/>
          <w:highlight w:val="none"/>
        </w:rPr>
      </w:pPr>
      <w:r>
        <w:rPr>
          <w:rFonts w:hint="eastAsia" w:ascii="宋体" w:hAnsi="宋体"/>
          <w:b/>
          <w:bCs/>
          <w:color w:val="auto"/>
          <w:szCs w:val="21"/>
          <w:highlight w:val="none"/>
        </w:rPr>
        <w:t>三、缺陷责任期</w:t>
      </w:r>
    </w:p>
    <w:p w14:paraId="6A491DE3">
      <w:pPr>
        <w:spacing w:line="360" w:lineRule="auto"/>
        <w:ind w:firstLine="420"/>
        <w:rPr>
          <w:rFonts w:ascii="宋体" w:hAnsi="宋体"/>
          <w:color w:val="auto"/>
          <w:szCs w:val="21"/>
          <w:highlight w:val="none"/>
        </w:rPr>
      </w:pPr>
      <w:r>
        <w:rPr>
          <w:rFonts w:hint="eastAsia" w:ascii="宋体" w:hAnsi="宋体"/>
          <w:color w:val="auto"/>
          <w:szCs w:val="21"/>
          <w:highlight w:val="none"/>
        </w:rPr>
        <w:t>工程缺陷责任期为</w:t>
      </w:r>
      <w:r>
        <w:rPr>
          <w:rFonts w:hint="eastAsia" w:ascii="宋体" w:hAnsi="宋体"/>
          <w:color w:val="auto"/>
          <w:szCs w:val="21"/>
          <w:highlight w:val="none"/>
          <w:u w:val="single"/>
        </w:rPr>
        <w:t>24</w:t>
      </w:r>
      <w:r>
        <w:rPr>
          <w:rFonts w:hint="eastAsia" w:ascii="宋体" w:hAnsi="宋体"/>
          <w:color w:val="auto"/>
          <w:szCs w:val="21"/>
          <w:highlight w:val="none"/>
        </w:rPr>
        <w:t>个月，缺陷责任期自工程通过竣工验收之日起计算。单位/区段工程先于全部工程进行验收，单位/区段工程缺陷责任期自单位/区段工程验收合格之日起算。</w:t>
      </w:r>
    </w:p>
    <w:p w14:paraId="68177956">
      <w:pPr>
        <w:spacing w:line="360" w:lineRule="auto"/>
        <w:ind w:firstLine="420"/>
        <w:rPr>
          <w:rFonts w:ascii="宋体" w:hAnsi="宋体"/>
          <w:color w:val="auto"/>
          <w:szCs w:val="21"/>
          <w:highlight w:val="none"/>
        </w:rPr>
      </w:pPr>
      <w:r>
        <w:rPr>
          <w:rFonts w:hint="eastAsia" w:ascii="宋体" w:hAnsi="宋体"/>
          <w:color w:val="auto"/>
          <w:szCs w:val="21"/>
          <w:highlight w:val="none"/>
        </w:rPr>
        <w:t>缺陷责任期终止后，发包人应返还剩余的质量保证金。</w:t>
      </w:r>
    </w:p>
    <w:p w14:paraId="027B2795">
      <w:pPr>
        <w:spacing w:line="360" w:lineRule="auto"/>
        <w:ind w:firstLine="420"/>
        <w:rPr>
          <w:rFonts w:ascii="宋体" w:hAnsi="宋体"/>
          <w:color w:val="auto"/>
          <w:szCs w:val="21"/>
          <w:highlight w:val="none"/>
        </w:rPr>
      </w:pPr>
      <w:r>
        <w:rPr>
          <w:rFonts w:hint="eastAsia" w:ascii="宋体" w:hAnsi="宋体"/>
          <w:color w:val="auto"/>
          <w:szCs w:val="21"/>
          <w:highlight w:val="none"/>
        </w:rPr>
        <w:t>四、质量保修责任</w:t>
      </w:r>
    </w:p>
    <w:p w14:paraId="6C5B93BC">
      <w:pPr>
        <w:spacing w:line="360" w:lineRule="auto"/>
        <w:ind w:firstLine="420"/>
        <w:rPr>
          <w:rFonts w:ascii="宋体" w:hAnsi="宋体"/>
          <w:color w:val="auto"/>
          <w:szCs w:val="21"/>
          <w:highlight w:val="none"/>
        </w:rPr>
      </w:pPr>
      <w:r>
        <w:rPr>
          <w:rFonts w:hint="eastAsia" w:ascii="宋体" w:hAnsi="宋体"/>
          <w:color w:val="auto"/>
          <w:szCs w:val="21"/>
          <w:highlight w:val="none"/>
        </w:rPr>
        <w:t>1．属于保修范围、内容的项目，承包人应当在接到保修通知之日起7天内派人保修。承包人不在约定期限内派人保修的，发包人可以委托他人修理。</w:t>
      </w:r>
    </w:p>
    <w:p w14:paraId="07621004">
      <w:pPr>
        <w:spacing w:line="360" w:lineRule="auto"/>
        <w:ind w:firstLine="420"/>
        <w:rPr>
          <w:rFonts w:ascii="宋体" w:hAnsi="宋体"/>
          <w:color w:val="auto"/>
          <w:szCs w:val="21"/>
          <w:highlight w:val="none"/>
        </w:rPr>
      </w:pPr>
      <w:r>
        <w:rPr>
          <w:rFonts w:hint="eastAsia" w:ascii="宋体" w:hAnsi="宋体"/>
          <w:color w:val="auto"/>
          <w:szCs w:val="21"/>
          <w:highlight w:val="none"/>
        </w:rPr>
        <w:t>2．发生紧急事故需抢修的，承包人在接到事故通知后，应当立即到达事故现场抢修。</w:t>
      </w:r>
    </w:p>
    <w:p w14:paraId="398E72F5">
      <w:pPr>
        <w:spacing w:line="360" w:lineRule="auto"/>
        <w:ind w:firstLine="420"/>
        <w:rPr>
          <w:rFonts w:ascii="宋体" w:hAnsi="宋体"/>
          <w:color w:val="auto"/>
          <w:szCs w:val="21"/>
          <w:highlight w:val="none"/>
        </w:rPr>
      </w:pPr>
      <w:r>
        <w:rPr>
          <w:rFonts w:hint="eastAsia" w:ascii="宋体" w:hAnsi="宋体"/>
          <w:color w:val="auto"/>
          <w:szCs w:val="21"/>
          <w:highlight w:val="none"/>
        </w:rPr>
        <w:t>3．对于涉及结构安全的质量问题，应当按照《建设工程质量管理条例》的规定，立即向当地建设行政主管部门和有关部门报告，采取安全防范措施，并由承包人提出保修方案，承包人将设计业务分包的，应由原设计分包人或具有相应资质等级的设计人提出保修方案，承包人实施保修。</w:t>
      </w:r>
    </w:p>
    <w:p w14:paraId="34AC8B3F">
      <w:pPr>
        <w:spacing w:line="360" w:lineRule="auto"/>
        <w:ind w:firstLine="420"/>
        <w:rPr>
          <w:rFonts w:ascii="宋体" w:hAnsi="宋体"/>
          <w:b/>
          <w:bCs/>
          <w:color w:val="auto"/>
          <w:szCs w:val="21"/>
          <w:highlight w:val="none"/>
        </w:rPr>
      </w:pPr>
      <w:r>
        <w:rPr>
          <w:rFonts w:hint="eastAsia" w:ascii="宋体" w:hAnsi="宋体"/>
          <w:b/>
          <w:bCs/>
          <w:color w:val="auto"/>
          <w:szCs w:val="21"/>
          <w:highlight w:val="none"/>
        </w:rPr>
        <w:t>4．质量保修完成后，由发包人组织验收。</w:t>
      </w:r>
    </w:p>
    <w:p w14:paraId="278F516E">
      <w:pPr>
        <w:spacing w:line="360" w:lineRule="auto"/>
        <w:ind w:firstLine="420"/>
        <w:rPr>
          <w:rFonts w:ascii="宋体" w:hAnsi="宋体"/>
          <w:b/>
          <w:bCs/>
          <w:color w:val="auto"/>
          <w:szCs w:val="21"/>
          <w:highlight w:val="none"/>
        </w:rPr>
      </w:pPr>
      <w:r>
        <w:rPr>
          <w:rFonts w:hint="eastAsia" w:ascii="宋体" w:hAnsi="宋体"/>
          <w:b/>
          <w:bCs/>
          <w:color w:val="auto"/>
          <w:szCs w:val="21"/>
          <w:highlight w:val="none"/>
        </w:rPr>
        <w:t>五、保修费用</w:t>
      </w:r>
    </w:p>
    <w:p w14:paraId="54B4BB11">
      <w:pPr>
        <w:spacing w:line="360" w:lineRule="auto"/>
        <w:ind w:firstLine="420"/>
        <w:rPr>
          <w:rFonts w:ascii="宋体" w:hAnsi="宋体"/>
          <w:color w:val="auto"/>
          <w:szCs w:val="21"/>
          <w:highlight w:val="none"/>
        </w:rPr>
      </w:pPr>
      <w:r>
        <w:rPr>
          <w:rFonts w:hint="eastAsia" w:ascii="宋体" w:hAnsi="宋体"/>
          <w:color w:val="auto"/>
          <w:szCs w:val="21"/>
          <w:highlight w:val="none"/>
        </w:rPr>
        <w:t>保修费用由造成质量缺陷的责任方承担。</w:t>
      </w:r>
    </w:p>
    <w:p w14:paraId="1361E2E5">
      <w:pPr>
        <w:spacing w:line="360" w:lineRule="auto"/>
        <w:ind w:firstLine="420"/>
        <w:rPr>
          <w:rFonts w:ascii="宋体" w:hAnsi="宋体"/>
          <w:color w:val="auto"/>
          <w:szCs w:val="21"/>
          <w:highlight w:val="none"/>
          <w:u w:val="single"/>
        </w:rPr>
      </w:pPr>
      <w:r>
        <w:rPr>
          <w:rFonts w:hint="eastAsia" w:ascii="宋体" w:hAnsi="宋体"/>
          <w:color w:val="auto"/>
          <w:szCs w:val="21"/>
          <w:highlight w:val="none"/>
        </w:rPr>
        <w:t>六、双方约定的其他工程质量保修事项：</w:t>
      </w:r>
      <w:r>
        <w:rPr>
          <w:rFonts w:hint="eastAsia" w:ascii="宋体" w:hAnsi="宋体"/>
          <w:color w:val="auto"/>
          <w:szCs w:val="21"/>
          <w:highlight w:val="none"/>
          <w:u w:val="single"/>
          <w:lang w:val="en-US" w:eastAsia="zh-CN"/>
        </w:rPr>
        <w:t xml:space="preserve">   /    </w:t>
      </w:r>
    </w:p>
    <w:p w14:paraId="27AA5B7E">
      <w:pPr>
        <w:spacing w:line="360" w:lineRule="auto"/>
        <w:ind w:firstLine="420"/>
        <w:rPr>
          <w:rFonts w:ascii="宋体" w:hAnsi="宋体"/>
          <w:color w:val="auto"/>
          <w:szCs w:val="21"/>
          <w:highlight w:val="none"/>
        </w:rPr>
      </w:pPr>
      <w:r>
        <w:rPr>
          <w:rFonts w:hint="eastAsia" w:ascii="宋体" w:hAnsi="宋体"/>
          <w:color w:val="auto"/>
          <w:szCs w:val="21"/>
          <w:highlight w:val="none"/>
        </w:rPr>
        <w:t>工程质量保修书由发包人、承包人在工程竣工验收前共同签署，作为工程总承包合同附件，其有效期限至保修期满。</w:t>
      </w:r>
    </w:p>
    <w:p w14:paraId="5A75836E">
      <w:pPr>
        <w:spacing w:line="360" w:lineRule="auto"/>
        <w:ind w:firstLine="420"/>
        <w:rPr>
          <w:rFonts w:ascii="宋体" w:hAnsi="宋体"/>
          <w:color w:val="auto"/>
          <w:szCs w:val="21"/>
          <w:highlight w:val="none"/>
        </w:rPr>
      </w:pPr>
    </w:p>
    <w:p w14:paraId="292E0080">
      <w:pPr>
        <w:spacing w:line="360" w:lineRule="auto"/>
        <w:ind w:firstLine="420"/>
        <w:rPr>
          <w:rFonts w:ascii="宋体" w:hAnsi="宋体"/>
          <w:color w:val="auto"/>
          <w:szCs w:val="21"/>
          <w:highlight w:val="none"/>
        </w:rPr>
      </w:pPr>
      <w:r>
        <w:rPr>
          <w:rFonts w:hint="eastAsia" w:ascii="宋体" w:hAnsi="宋体"/>
          <w:color w:val="auto"/>
          <w:szCs w:val="21"/>
          <w:highlight w:val="none"/>
        </w:rPr>
        <w:t xml:space="preserve">发包人(公章)：               承包人(公章)：          </w:t>
      </w:r>
    </w:p>
    <w:p w14:paraId="126DB2AC">
      <w:pPr>
        <w:spacing w:line="360" w:lineRule="auto"/>
        <w:ind w:firstLine="420"/>
        <w:rPr>
          <w:rFonts w:ascii="宋体" w:hAnsi="宋体"/>
          <w:color w:val="auto"/>
          <w:szCs w:val="21"/>
          <w:highlight w:val="none"/>
        </w:rPr>
      </w:pPr>
      <w:r>
        <w:rPr>
          <w:rFonts w:hint="eastAsia" w:ascii="宋体" w:hAnsi="宋体"/>
          <w:color w:val="auto"/>
          <w:szCs w:val="21"/>
          <w:highlight w:val="none"/>
        </w:rPr>
        <w:t xml:space="preserve">地  址：                     地  址：       </w:t>
      </w:r>
    </w:p>
    <w:p w14:paraId="280E59B6">
      <w:pPr>
        <w:spacing w:line="360" w:lineRule="auto"/>
        <w:ind w:firstLine="420"/>
        <w:rPr>
          <w:rFonts w:ascii="宋体" w:hAnsi="宋体"/>
          <w:color w:val="auto"/>
          <w:szCs w:val="21"/>
          <w:highlight w:val="none"/>
        </w:rPr>
      </w:pPr>
      <w:r>
        <w:rPr>
          <w:rFonts w:hint="eastAsia" w:ascii="宋体" w:hAnsi="宋体"/>
          <w:color w:val="auto"/>
          <w:szCs w:val="21"/>
          <w:highlight w:val="none"/>
        </w:rPr>
        <w:t xml:space="preserve">法定代表人(签字)：           法定代表人(签字)：       </w:t>
      </w:r>
    </w:p>
    <w:p w14:paraId="499E1A05">
      <w:pPr>
        <w:spacing w:line="360" w:lineRule="auto"/>
        <w:ind w:firstLine="420"/>
        <w:rPr>
          <w:rFonts w:ascii="宋体" w:hAnsi="宋体"/>
          <w:color w:val="auto"/>
          <w:szCs w:val="21"/>
          <w:highlight w:val="none"/>
        </w:rPr>
      </w:pPr>
      <w:r>
        <w:rPr>
          <w:rFonts w:hint="eastAsia" w:ascii="宋体" w:hAnsi="宋体"/>
          <w:color w:val="auto"/>
          <w:szCs w:val="21"/>
          <w:highlight w:val="none"/>
        </w:rPr>
        <w:t xml:space="preserve">委托代理人(签字)：           委托代理人(签字)：       </w:t>
      </w:r>
    </w:p>
    <w:p w14:paraId="0CE4ABA3">
      <w:pPr>
        <w:spacing w:line="360" w:lineRule="auto"/>
        <w:ind w:firstLine="420"/>
        <w:rPr>
          <w:rFonts w:ascii="宋体" w:hAnsi="宋体"/>
          <w:color w:val="auto"/>
          <w:szCs w:val="21"/>
          <w:highlight w:val="none"/>
        </w:rPr>
      </w:pPr>
      <w:r>
        <w:rPr>
          <w:rFonts w:hint="eastAsia" w:ascii="宋体" w:hAnsi="宋体"/>
          <w:color w:val="auto"/>
          <w:szCs w:val="21"/>
          <w:highlight w:val="none"/>
        </w:rPr>
        <w:t>电  话：                     电  话：</w:t>
      </w:r>
    </w:p>
    <w:p w14:paraId="4FD56391">
      <w:pPr>
        <w:spacing w:line="360" w:lineRule="auto"/>
        <w:ind w:firstLine="420"/>
        <w:rPr>
          <w:rFonts w:ascii="宋体" w:hAnsi="宋体"/>
          <w:color w:val="auto"/>
          <w:szCs w:val="21"/>
          <w:highlight w:val="none"/>
        </w:rPr>
      </w:pPr>
      <w:r>
        <w:rPr>
          <w:rFonts w:hint="eastAsia" w:ascii="宋体" w:hAnsi="宋体"/>
          <w:color w:val="auto"/>
          <w:szCs w:val="21"/>
          <w:highlight w:val="none"/>
        </w:rPr>
        <w:t xml:space="preserve">传  真：                     传  真：  </w:t>
      </w:r>
    </w:p>
    <w:p w14:paraId="66A28646">
      <w:pPr>
        <w:spacing w:line="360" w:lineRule="auto"/>
        <w:ind w:firstLine="420"/>
        <w:rPr>
          <w:rFonts w:ascii="宋体" w:hAnsi="宋体"/>
          <w:color w:val="auto"/>
          <w:szCs w:val="21"/>
          <w:highlight w:val="none"/>
        </w:rPr>
      </w:pPr>
      <w:r>
        <w:rPr>
          <w:rFonts w:hint="eastAsia" w:ascii="宋体" w:hAnsi="宋体"/>
          <w:color w:val="auto"/>
          <w:szCs w:val="21"/>
          <w:highlight w:val="none"/>
        </w:rPr>
        <w:t>开户银行：                   开户银行：</w:t>
      </w:r>
    </w:p>
    <w:p w14:paraId="62F1FF5E">
      <w:pPr>
        <w:spacing w:line="360" w:lineRule="auto"/>
        <w:ind w:firstLine="420"/>
        <w:rPr>
          <w:rFonts w:ascii="宋体" w:hAnsi="宋体"/>
          <w:color w:val="auto"/>
          <w:szCs w:val="21"/>
          <w:highlight w:val="none"/>
        </w:rPr>
      </w:pPr>
      <w:r>
        <w:rPr>
          <w:rFonts w:hint="eastAsia" w:ascii="宋体" w:hAnsi="宋体"/>
          <w:color w:val="auto"/>
          <w:szCs w:val="21"/>
          <w:highlight w:val="none"/>
        </w:rPr>
        <w:t xml:space="preserve">账  号：                     账  号： </w:t>
      </w:r>
    </w:p>
    <w:p w14:paraId="48DEC916">
      <w:pPr>
        <w:spacing w:line="360" w:lineRule="auto"/>
        <w:ind w:firstLine="420"/>
        <w:rPr>
          <w:rFonts w:ascii="宋体" w:hAnsi="宋体"/>
          <w:color w:val="auto"/>
          <w:szCs w:val="21"/>
          <w:highlight w:val="none"/>
        </w:rPr>
      </w:pPr>
      <w:r>
        <w:rPr>
          <w:rFonts w:hint="eastAsia" w:ascii="宋体" w:hAnsi="宋体"/>
          <w:color w:val="auto"/>
          <w:szCs w:val="21"/>
          <w:highlight w:val="none"/>
        </w:rPr>
        <w:t xml:space="preserve">邮政编码：                   邮政编码：   </w:t>
      </w:r>
    </w:p>
    <w:p w14:paraId="3DE7CEE2">
      <w:pPr>
        <w:spacing w:line="360" w:lineRule="auto"/>
        <w:jc w:val="left"/>
        <w:rPr>
          <w:rFonts w:ascii="宋体" w:hAnsi="宋体"/>
          <w:color w:val="auto"/>
          <w:szCs w:val="21"/>
          <w:highlight w:val="none"/>
        </w:rPr>
      </w:pPr>
      <w:r>
        <w:rPr>
          <w:rFonts w:ascii="宋体" w:hAnsi="宋体"/>
          <w:color w:val="auto"/>
          <w:szCs w:val="21"/>
          <w:highlight w:val="none"/>
        </w:rPr>
        <w:br w:type="page"/>
      </w:r>
    </w:p>
    <w:p w14:paraId="63FE6BBA">
      <w:pPr>
        <w:pStyle w:val="173"/>
        <w:numPr>
          <w:ilvl w:val="0"/>
          <w:numId w:val="0"/>
        </w:numPr>
        <w:wordWrap/>
        <w:spacing w:after="120"/>
        <w:rPr>
          <w:rFonts w:ascii="宋体" w:hAnsi="宋体" w:eastAsia="宋体"/>
          <w:color w:val="auto"/>
          <w:sz w:val="21"/>
          <w:szCs w:val="21"/>
          <w:highlight w:val="none"/>
        </w:rPr>
      </w:pPr>
      <w:bookmarkStart w:id="1699" w:name="_Toc20171896"/>
      <w:bookmarkStart w:id="1700" w:name="_Toc15453"/>
      <w:bookmarkStart w:id="1701" w:name="_Toc3694"/>
      <w:bookmarkStart w:id="1702" w:name="_Toc54862355"/>
      <w:bookmarkStart w:id="1703" w:name="_Toc25230"/>
      <w:bookmarkStart w:id="1704" w:name="_Toc25847"/>
      <w:r>
        <w:rPr>
          <w:rFonts w:hint="eastAsia" w:ascii="宋体" w:hAnsi="宋体" w:eastAsia="宋体"/>
          <w:color w:val="auto"/>
          <w:sz w:val="21"/>
          <w:szCs w:val="21"/>
          <w:highlight w:val="none"/>
        </w:rPr>
        <w:t>附件4</w:t>
      </w:r>
      <w:r>
        <w:rPr>
          <w:rFonts w:ascii="宋体" w:hAnsi="宋体" w:eastAsia="宋体"/>
          <w:color w:val="auto"/>
          <w:sz w:val="21"/>
          <w:szCs w:val="21"/>
          <w:highlight w:val="none"/>
        </w:rPr>
        <w:t xml:space="preserve"> 主要建设工程文件目录</w:t>
      </w:r>
      <w:bookmarkEnd w:id="1699"/>
      <w:bookmarkEnd w:id="1700"/>
      <w:bookmarkEnd w:id="1701"/>
      <w:bookmarkEnd w:id="1702"/>
      <w:bookmarkEnd w:id="1703"/>
      <w:bookmarkEnd w:id="1704"/>
    </w:p>
    <w:tbl>
      <w:tblPr>
        <w:tblStyle w:val="4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2125"/>
        <w:gridCol w:w="1276"/>
        <w:gridCol w:w="1450"/>
        <w:gridCol w:w="1243"/>
        <w:gridCol w:w="1450"/>
        <w:gridCol w:w="1670"/>
      </w:tblGrid>
      <w:tr w14:paraId="79DEDF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2125" w:type="dxa"/>
            <w:tcBorders>
              <w:top w:val="single" w:color="auto" w:sz="12" w:space="0"/>
              <w:bottom w:val="double" w:color="auto" w:sz="6" w:space="0"/>
            </w:tcBorders>
            <w:noWrap/>
            <w:vAlign w:val="center"/>
          </w:tcPr>
          <w:p w14:paraId="5269D611">
            <w:pPr>
              <w:pStyle w:val="17"/>
              <w:spacing w:after="0" w:line="360" w:lineRule="auto"/>
              <w:jc w:val="center"/>
              <w:rPr>
                <w:rFonts w:ascii="宋体" w:hAnsi="宋体"/>
                <w:color w:val="auto"/>
                <w:sz w:val="21"/>
                <w:szCs w:val="21"/>
                <w:highlight w:val="none"/>
              </w:rPr>
            </w:pPr>
            <w:r>
              <w:rPr>
                <w:rFonts w:hint="eastAsia" w:ascii="宋体" w:hAnsi="宋体"/>
                <w:color w:val="auto"/>
                <w:sz w:val="21"/>
                <w:szCs w:val="21"/>
                <w:highlight w:val="none"/>
              </w:rPr>
              <w:t>文件名称</w:t>
            </w:r>
          </w:p>
        </w:tc>
        <w:tc>
          <w:tcPr>
            <w:tcW w:w="1276" w:type="dxa"/>
            <w:tcBorders>
              <w:top w:val="single" w:color="auto" w:sz="12" w:space="0"/>
              <w:bottom w:val="double" w:color="auto" w:sz="6" w:space="0"/>
            </w:tcBorders>
            <w:noWrap/>
            <w:vAlign w:val="center"/>
          </w:tcPr>
          <w:p w14:paraId="76E13140">
            <w:pPr>
              <w:pStyle w:val="17"/>
              <w:spacing w:after="0" w:line="360" w:lineRule="auto"/>
              <w:jc w:val="center"/>
              <w:rPr>
                <w:rFonts w:ascii="宋体" w:hAnsi="宋体"/>
                <w:color w:val="auto"/>
                <w:sz w:val="21"/>
                <w:szCs w:val="21"/>
                <w:highlight w:val="none"/>
              </w:rPr>
            </w:pPr>
            <w:r>
              <w:rPr>
                <w:rFonts w:hint="eastAsia" w:ascii="宋体" w:hAnsi="宋体"/>
                <w:color w:val="auto"/>
                <w:sz w:val="21"/>
                <w:szCs w:val="21"/>
                <w:highlight w:val="none"/>
              </w:rPr>
              <w:t>套数</w:t>
            </w:r>
          </w:p>
        </w:tc>
        <w:tc>
          <w:tcPr>
            <w:tcW w:w="1450" w:type="dxa"/>
            <w:tcBorders>
              <w:top w:val="single" w:color="auto" w:sz="12" w:space="0"/>
              <w:bottom w:val="double" w:color="auto" w:sz="6" w:space="0"/>
            </w:tcBorders>
            <w:noWrap/>
            <w:vAlign w:val="center"/>
          </w:tcPr>
          <w:p w14:paraId="298DC184">
            <w:pPr>
              <w:pStyle w:val="17"/>
              <w:spacing w:after="0" w:line="360" w:lineRule="auto"/>
              <w:jc w:val="center"/>
              <w:rPr>
                <w:rFonts w:ascii="宋体" w:hAnsi="宋体"/>
                <w:color w:val="auto"/>
                <w:sz w:val="21"/>
                <w:szCs w:val="21"/>
                <w:highlight w:val="none"/>
              </w:rPr>
            </w:pPr>
            <w:r>
              <w:rPr>
                <w:rFonts w:hint="eastAsia" w:ascii="宋体" w:hAnsi="宋体"/>
                <w:color w:val="auto"/>
                <w:sz w:val="21"/>
                <w:szCs w:val="21"/>
                <w:highlight w:val="none"/>
              </w:rPr>
              <w:t>费用（元）</w:t>
            </w:r>
          </w:p>
        </w:tc>
        <w:tc>
          <w:tcPr>
            <w:tcW w:w="1243" w:type="dxa"/>
            <w:tcBorders>
              <w:top w:val="single" w:color="auto" w:sz="12" w:space="0"/>
              <w:bottom w:val="double" w:color="auto" w:sz="6" w:space="0"/>
            </w:tcBorders>
            <w:noWrap/>
            <w:vAlign w:val="center"/>
          </w:tcPr>
          <w:p w14:paraId="208252AB">
            <w:pPr>
              <w:pStyle w:val="17"/>
              <w:spacing w:after="0" w:line="360" w:lineRule="auto"/>
              <w:jc w:val="center"/>
              <w:rPr>
                <w:rFonts w:ascii="宋体" w:hAnsi="宋体"/>
                <w:color w:val="auto"/>
                <w:sz w:val="21"/>
                <w:szCs w:val="21"/>
                <w:highlight w:val="none"/>
              </w:rPr>
            </w:pPr>
            <w:r>
              <w:rPr>
                <w:rFonts w:hint="eastAsia" w:ascii="宋体" w:hAnsi="宋体"/>
                <w:color w:val="auto"/>
                <w:sz w:val="21"/>
                <w:szCs w:val="21"/>
                <w:highlight w:val="none"/>
              </w:rPr>
              <w:t>质量</w:t>
            </w:r>
          </w:p>
        </w:tc>
        <w:tc>
          <w:tcPr>
            <w:tcW w:w="1450" w:type="dxa"/>
            <w:tcBorders>
              <w:top w:val="single" w:color="auto" w:sz="12" w:space="0"/>
              <w:bottom w:val="double" w:color="auto" w:sz="6" w:space="0"/>
            </w:tcBorders>
            <w:noWrap/>
          </w:tcPr>
          <w:p w14:paraId="2DBBE138">
            <w:pPr>
              <w:spacing w:line="360" w:lineRule="auto"/>
              <w:jc w:val="center"/>
              <w:rPr>
                <w:rFonts w:ascii="宋体" w:hAnsi="宋体"/>
                <w:color w:val="auto"/>
                <w:szCs w:val="21"/>
                <w:highlight w:val="none"/>
              </w:rPr>
            </w:pPr>
            <w:r>
              <w:rPr>
                <w:rFonts w:hint="eastAsia" w:ascii="宋体" w:hAnsi="宋体"/>
                <w:color w:val="auto"/>
                <w:szCs w:val="21"/>
                <w:highlight w:val="none"/>
              </w:rPr>
              <w:t>移交时间</w:t>
            </w:r>
          </w:p>
        </w:tc>
        <w:tc>
          <w:tcPr>
            <w:tcW w:w="1670" w:type="dxa"/>
            <w:tcBorders>
              <w:top w:val="single" w:color="auto" w:sz="12" w:space="0"/>
              <w:bottom w:val="double" w:color="auto" w:sz="6" w:space="0"/>
            </w:tcBorders>
            <w:noWrap/>
          </w:tcPr>
          <w:p w14:paraId="5B69FB38">
            <w:pPr>
              <w:spacing w:line="360" w:lineRule="auto"/>
              <w:jc w:val="center"/>
              <w:rPr>
                <w:rFonts w:ascii="宋体" w:hAnsi="宋体"/>
                <w:color w:val="auto"/>
                <w:szCs w:val="21"/>
                <w:highlight w:val="none"/>
              </w:rPr>
            </w:pPr>
            <w:r>
              <w:rPr>
                <w:rFonts w:hint="eastAsia" w:ascii="宋体" w:hAnsi="宋体"/>
                <w:color w:val="auto"/>
                <w:szCs w:val="21"/>
                <w:highlight w:val="none"/>
              </w:rPr>
              <w:t>责任人</w:t>
            </w:r>
          </w:p>
        </w:tc>
      </w:tr>
      <w:tr w14:paraId="0EFFD7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tcBorders>
              <w:top w:val="double" w:color="auto" w:sz="6" w:space="0"/>
              <w:bottom w:val="single" w:color="auto" w:sz="6" w:space="0"/>
            </w:tcBorders>
            <w:noWrap/>
            <w:vAlign w:val="center"/>
          </w:tcPr>
          <w:p w14:paraId="6FD01519">
            <w:pPr>
              <w:pStyle w:val="17"/>
              <w:spacing w:line="360" w:lineRule="auto"/>
              <w:ind w:firstLine="420"/>
              <w:rPr>
                <w:rFonts w:ascii="宋体" w:hAnsi="宋体"/>
                <w:color w:val="auto"/>
                <w:sz w:val="21"/>
                <w:szCs w:val="21"/>
                <w:highlight w:val="none"/>
              </w:rPr>
            </w:pPr>
          </w:p>
        </w:tc>
        <w:tc>
          <w:tcPr>
            <w:tcW w:w="1276" w:type="dxa"/>
            <w:tcBorders>
              <w:top w:val="double" w:color="auto" w:sz="6" w:space="0"/>
              <w:bottom w:val="single" w:color="auto" w:sz="6" w:space="0"/>
            </w:tcBorders>
            <w:noWrap/>
            <w:vAlign w:val="center"/>
          </w:tcPr>
          <w:p w14:paraId="6CE849F7">
            <w:pPr>
              <w:pStyle w:val="17"/>
              <w:spacing w:line="360" w:lineRule="auto"/>
              <w:ind w:firstLine="420"/>
              <w:rPr>
                <w:rFonts w:ascii="宋体" w:hAnsi="宋体"/>
                <w:color w:val="auto"/>
                <w:sz w:val="21"/>
                <w:szCs w:val="21"/>
                <w:highlight w:val="none"/>
              </w:rPr>
            </w:pPr>
          </w:p>
        </w:tc>
        <w:tc>
          <w:tcPr>
            <w:tcW w:w="1450" w:type="dxa"/>
            <w:tcBorders>
              <w:top w:val="double" w:color="auto" w:sz="6" w:space="0"/>
              <w:bottom w:val="single" w:color="auto" w:sz="6" w:space="0"/>
            </w:tcBorders>
            <w:noWrap/>
            <w:vAlign w:val="center"/>
          </w:tcPr>
          <w:p w14:paraId="6CBD99D5">
            <w:pPr>
              <w:pStyle w:val="17"/>
              <w:spacing w:line="360" w:lineRule="auto"/>
              <w:ind w:firstLine="420"/>
              <w:rPr>
                <w:rFonts w:ascii="宋体" w:hAnsi="宋体"/>
                <w:color w:val="auto"/>
                <w:sz w:val="21"/>
                <w:szCs w:val="21"/>
                <w:highlight w:val="none"/>
              </w:rPr>
            </w:pPr>
          </w:p>
        </w:tc>
        <w:tc>
          <w:tcPr>
            <w:tcW w:w="1243" w:type="dxa"/>
            <w:tcBorders>
              <w:top w:val="double" w:color="auto" w:sz="6" w:space="0"/>
              <w:bottom w:val="single" w:color="auto" w:sz="6" w:space="0"/>
            </w:tcBorders>
            <w:noWrap/>
            <w:vAlign w:val="center"/>
          </w:tcPr>
          <w:p w14:paraId="212D7D82">
            <w:pPr>
              <w:pStyle w:val="17"/>
              <w:spacing w:line="360" w:lineRule="auto"/>
              <w:ind w:firstLine="420"/>
              <w:rPr>
                <w:rFonts w:ascii="宋体" w:hAnsi="宋体"/>
                <w:color w:val="auto"/>
                <w:sz w:val="21"/>
                <w:szCs w:val="21"/>
                <w:highlight w:val="none"/>
              </w:rPr>
            </w:pPr>
          </w:p>
        </w:tc>
        <w:tc>
          <w:tcPr>
            <w:tcW w:w="1450" w:type="dxa"/>
            <w:tcBorders>
              <w:top w:val="double" w:color="auto" w:sz="6" w:space="0"/>
              <w:bottom w:val="single" w:color="auto" w:sz="6" w:space="0"/>
            </w:tcBorders>
            <w:noWrap/>
            <w:vAlign w:val="center"/>
          </w:tcPr>
          <w:p w14:paraId="56946102">
            <w:pPr>
              <w:pStyle w:val="17"/>
              <w:spacing w:line="360" w:lineRule="auto"/>
              <w:ind w:firstLine="420"/>
              <w:rPr>
                <w:rFonts w:ascii="宋体" w:hAnsi="宋体"/>
                <w:color w:val="auto"/>
                <w:sz w:val="21"/>
                <w:szCs w:val="21"/>
                <w:highlight w:val="none"/>
              </w:rPr>
            </w:pPr>
          </w:p>
        </w:tc>
        <w:tc>
          <w:tcPr>
            <w:tcW w:w="1670" w:type="dxa"/>
            <w:tcBorders>
              <w:top w:val="double" w:color="auto" w:sz="6" w:space="0"/>
              <w:bottom w:val="single" w:color="auto" w:sz="6" w:space="0"/>
            </w:tcBorders>
            <w:noWrap/>
            <w:vAlign w:val="center"/>
          </w:tcPr>
          <w:p w14:paraId="41744D02">
            <w:pPr>
              <w:pStyle w:val="17"/>
              <w:spacing w:line="360" w:lineRule="auto"/>
              <w:ind w:firstLine="420"/>
              <w:rPr>
                <w:rFonts w:ascii="宋体" w:hAnsi="宋体"/>
                <w:color w:val="auto"/>
                <w:sz w:val="21"/>
                <w:szCs w:val="21"/>
                <w:highlight w:val="none"/>
              </w:rPr>
            </w:pPr>
          </w:p>
        </w:tc>
      </w:tr>
      <w:tr w14:paraId="586EB5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tcBorders>
              <w:top w:val="nil"/>
            </w:tcBorders>
            <w:noWrap/>
            <w:vAlign w:val="center"/>
          </w:tcPr>
          <w:p w14:paraId="3FD3C86E">
            <w:pPr>
              <w:pStyle w:val="17"/>
              <w:spacing w:line="360" w:lineRule="auto"/>
              <w:ind w:firstLine="420"/>
              <w:rPr>
                <w:rFonts w:ascii="宋体" w:hAnsi="宋体"/>
                <w:color w:val="auto"/>
                <w:sz w:val="21"/>
                <w:szCs w:val="21"/>
                <w:highlight w:val="none"/>
              </w:rPr>
            </w:pPr>
          </w:p>
        </w:tc>
        <w:tc>
          <w:tcPr>
            <w:tcW w:w="1276" w:type="dxa"/>
            <w:tcBorders>
              <w:top w:val="nil"/>
            </w:tcBorders>
            <w:noWrap/>
            <w:vAlign w:val="center"/>
          </w:tcPr>
          <w:p w14:paraId="26D2763E">
            <w:pPr>
              <w:pStyle w:val="17"/>
              <w:spacing w:line="360" w:lineRule="auto"/>
              <w:ind w:firstLine="420"/>
              <w:rPr>
                <w:rFonts w:ascii="宋体" w:hAnsi="宋体"/>
                <w:color w:val="auto"/>
                <w:sz w:val="21"/>
                <w:szCs w:val="21"/>
                <w:highlight w:val="none"/>
              </w:rPr>
            </w:pPr>
          </w:p>
        </w:tc>
        <w:tc>
          <w:tcPr>
            <w:tcW w:w="1450" w:type="dxa"/>
            <w:tcBorders>
              <w:top w:val="nil"/>
            </w:tcBorders>
            <w:noWrap/>
            <w:vAlign w:val="center"/>
          </w:tcPr>
          <w:p w14:paraId="67D16515">
            <w:pPr>
              <w:pStyle w:val="17"/>
              <w:spacing w:line="360" w:lineRule="auto"/>
              <w:ind w:firstLine="420"/>
              <w:rPr>
                <w:rFonts w:ascii="宋体" w:hAnsi="宋体"/>
                <w:color w:val="auto"/>
                <w:sz w:val="21"/>
                <w:szCs w:val="21"/>
                <w:highlight w:val="none"/>
              </w:rPr>
            </w:pPr>
          </w:p>
        </w:tc>
        <w:tc>
          <w:tcPr>
            <w:tcW w:w="1243" w:type="dxa"/>
            <w:tcBorders>
              <w:top w:val="nil"/>
            </w:tcBorders>
            <w:noWrap/>
            <w:vAlign w:val="center"/>
          </w:tcPr>
          <w:p w14:paraId="3EEE7AEA">
            <w:pPr>
              <w:pStyle w:val="17"/>
              <w:spacing w:line="360" w:lineRule="auto"/>
              <w:ind w:firstLine="420"/>
              <w:rPr>
                <w:rFonts w:ascii="宋体" w:hAnsi="宋体"/>
                <w:color w:val="auto"/>
                <w:sz w:val="21"/>
                <w:szCs w:val="21"/>
                <w:highlight w:val="none"/>
              </w:rPr>
            </w:pPr>
          </w:p>
        </w:tc>
        <w:tc>
          <w:tcPr>
            <w:tcW w:w="1450" w:type="dxa"/>
            <w:tcBorders>
              <w:top w:val="nil"/>
            </w:tcBorders>
            <w:noWrap/>
            <w:vAlign w:val="center"/>
          </w:tcPr>
          <w:p w14:paraId="63D5A012">
            <w:pPr>
              <w:pStyle w:val="17"/>
              <w:spacing w:line="360" w:lineRule="auto"/>
              <w:ind w:firstLine="420"/>
              <w:rPr>
                <w:rFonts w:ascii="宋体" w:hAnsi="宋体"/>
                <w:color w:val="auto"/>
                <w:sz w:val="21"/>
                <w:szCs w:val="21"/>
                <w:highlight w:val="none"/>
              </w:rPr>
            </w:pPr>
          </w:p>
        </w:tc>
        <w:tc>
          <w:tcPr>
            <w:tcW w:w="1670" w:type="dxa"/>
            <w:tcBorders>
              <w:top w:val="nil"/>
            </w:tcBorders>
            <w:noWrap/>
            <w:vAlign w:val="center"/>
          </w:tcPr>
          <w:p w14:paraId="07C126D1">
            <w:pPr>
              <w:pStyle w:val="17"/>
              <w:spacing w:line="360" w:lineRule="auto"/>
              <w:ind w:firstLine="420"/>
              <w:rPr>
                <w:rFonts w:ascii="宋体" w:hAnsi="宋体"/>
                <w:color w:val="auto"/>
                <w:sz w:val="21"/>
                <w:szCs w:val="21"/>
                <w:highlight w:val="none"/>
              </w:rPr>
            </w:pPr>
          </w:p>
        </w:tc>
      </w:tr>
      <w:tr w14:paraId="7CA4AD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ign w:val="center"/>
          </w:tcPr>
          <w:p w14:paraId="57590827">
            <w:pPr>
              <w:pStyle w:val="17"/>
              <w:spacing w:line="360" w:lineRule="auto"/>
              <w:ind w:firstLine="420"/>
              <w:rPr>
                <w:rFonts w:ascii="宋体" w:hAnsi="宋体"/>
                <w:color w:val="auto"/>
                <w:sz w:val="21"/>
                <w:szCs w:val="21"/>
                <w:highlight w:val="none"/>
              </w:rPr>
            </w:pPr>
          </w:p>
        </w:tc>
        <w:tc>
          <w:tcPr>
            <w:tcW w:w="1276" w:type="dxa"/>
            <w:noWrap/>
            <w:vAlign w:val="center"/>
          </w:tcPr>
          <w:p w14:paraId="77D936E8">
            <w:pPr>
              <w:pStyle w:val="17"/>
              <w:spacing w:line="360" w:lineRule="auto"/>
              <w:ind w:firstLine="420"/>
              <w:rPr>
                <w:rFonts w:ascii="宋体" w:hAnsi="宋体"/>
                <w:color w:val="auto"/>
                <w:sz w:val="21"/>
                <w:szCs w:val="21"/>
                <w:highlight w:val="none"/>
              </w:rPr>
            </w:pPr>
          </w:p>
        </w:tc>
        <w:tc>
          <w:tcPr>
            <w:tcW w:w="1450" w:type="dxa"/>
            <w:noWrap/>
            <w:vAlign w:val="center"/>
          </w:tcPr>
          <w:p w14:paraId="249FFFF2">
            <w:pPr>
              <w:pStyle w:val="17"/>
              <w:spacing w:line="360" w:lineRule="auto"/>
              <w:ind w:firstLine="420"/>
              <w:rPr>
                <w:rFonts w:ascii="宋体" w:hAnsi="宋体"/>
                <w:color w:val="auto"/>
                <w:sz w:val="21"/>
                <w:szCs w:val="21"/>
                <w:highlight w:val="none"/>
              </w:rPr>
            </w:pPr>
          </w:p>
        </w:tc>
        <w:tc>
          <w:tcPr>
            <w:tcW w:w="1243" w:type="dxa"/>
            <w:noWrap/>
            <w:vAlign w:val="center"/>
          </w:tcPr>
          <w:p w14:paraId="44AF61A8">
            <w:pPr>
              <w:pStyle w:val="17"/>
              <w:spacing w:line="360" w:lineRule="auto"/>
              <w:ind w:firstLine="420"/>
              <w:rPr>
                <w:rFonts w:ascii="宋体" w:hAnsi="宋体"/>
                <w:color w:val="auto"/>
                <w:sz w:val="21"/>
                <w:szCs w:val="21"/>
                <w:highlight w:val="none"/>
              </w:rPr>
            </w:pPr>
          </w:p>
        </w:tc>
        <w:tc>
          <w:tcPr>
            <w:tcW w:w="1450" w:type="dxa"/>
            <w:noWrap/>
            <w:vAlign w:val="center"/>
          </w:tcPr>
          <w:p w14:paraId="5A99E036">
            <w:pPr>
              <w:pStyle w:val="17"/>
              <w:spacing w:line="360" w:lineRule="auto"/>
              <w:ind w:firstLine="420"/>
              <w:rPr>
                <w:rFonts w:ascii="宋体" w:hAnsi="宋体"/>
                <w:color w:val="auto"/>
                <w:sz w:val="21"/>
                <w:szCs w:val="21"/>
                <w:highlight w:val="none"/>
              </w:rPr>
            </w:pPr>
          </w:p>
        </w:tc>
        <w:tc>
          <w:tcPr>
            <w:tcW w:w="1670" w:type="dxa"/>
            <w:noWrap/>
            <w:vAlign w:val="center"/>
          </w:tcPr>
          <w:p w14:paraId="566914DE">
            <w:pPr>
              <w:pStyle w:val="17"/>
              <w:spacing w:line="360" w:lineRule="auto"/>
              <w:ind w:firstLine="420"/>
              <w:rPr>
                <w:rFonts w:ascii="宋体" w:hAnsi="宋体"/>
                <w:color w:val="auto"/>
                <w:sz w:val="21"/>
                <w:szCs w:val="21"/>
                <w:highlight w:val="none"/>
              </w:rPr>
            </w:pPr>
          </w:p>
        </w:tc>
      </w:tr>
      <w:tr w14:paraId="18FC12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ign w:val="center"/>
          </w:tcPr>
          <w:p w14:paraId="7414DC01">
            <w:pPr>
              <w:pStyle w:val="17"/>
              <w:spacing w:line="360" w:lineRule="auto"/>
              <w:ind w:firstLine="420"/>
              <w:rPr>
                <w:rFonts w:ascii="宋体" w:hAnsi="宋体"/>
                <w:color w:val="auto"/>
                <w:sz w:val="21"/>
                <w:szCs w:val="21"/>
                <w:highlight w:val="none"/>
              </w:rPr>
            </w:pPr>
          </w:p>
        </w:tc>
        <w:tc>
          <w:tcPr>
            <w:tcW w:w="1276" w:type="dxa"/>
            <w:noWrap/>
            <w:vAlign w:val="center"/>
          </w:tcPr>
          <w:p w14:paraId="0C6E4A86">
            <w:pPr>
              <w:pStyle w:val="17"/>
              <w:spacing w:line="360" w:lineRule="auto"/>
              <w:ind w:firstLine="420"/>
              <w:rPr>
                <w:rFonts w:ascii="宋体" w:hAnsi="宋体"/>
                <w:color w:val="auto"/>
                <w:sz w:val="21"/>
                <w:szCs w:val="21"/>
                <w:highlight w:val="none"/>
              </w:rPr>
            </w:pPr>
          </w:p>
        </w:tc>
        <w:tc>
          <w:tcPr>
            <w:tcW w:w="1450" w:type="dxa"/>
            <w:noWrap/>
            <w:vAlign w:val="center"/>
          </w:tcPr>
          <w:p w14:paraId="425695DA">
            <w:pPr>
              <w:pStyle w:val="17"/>
              <w:spacing w:line="360" w:lineRule="auto"/>
              <w:ind w:firstLine="420"/>
              <w:rPr>
                <w:rFonts w:ascii="宋体" w:hAnsi="宋体"/>
                <w:color w:val="auto"/>
                <w:sz w:val="21"/>
                <w:szCs w:val="21"/>
                <w:highlight w:val="none"/>
              </w:rPr>
            </w:pPr>
          </w:p>
        </w:tc>
        <w:tc>
          <w:tcPr>
            <w:tcW w:w="1243" w:type="dxa"/>
            <w:noWrap/>
            <w:vAlign w:val="center"/>
          </w:tcPr>
          <w:p w14:paraId="05BB143B">
            <w:pPr>
              <w:pStyle w:val="17"/>
              <w:spacing w:line="360" w:lineRule="auto"/>
              <w:ind w:firstLine="420"/>
              <w:rPr>
                <w:rFonts w:ascii="宋体" w:hAnsi="宋体"/>
                <w:color w:val="auto"/>
                <w:sz w:val="21"/>
                <w:szCs w:val="21"/>
                <w:highlight w:val="none"/>
              </w:rPr>
            </w:pPr>
          </w:p>
        </w:tc>
        <w:tc>
          <w:tcPr>
            <w:tcW w:w="1450" w:type="dxa"/>
            <w:noWrap/>
            <w:vAlign w:val="center"/>
          </w:tcPr>
          <w:p w14:paraId="22999532">
            <w:pPr>
              <w:pStyle w:val="17"/>
              <w:spacing w:line="360" w:lineRule="auto"/>
              <w:ind w:firstLine="420"/>
              <w:rPr>
                <w:rFonts w:ascii="宋体" w:hAnsi="宋体"/>
                <w:color w:val="auto"/>
                <w:sz w:val="21"/>
                <w:szCs w:val="21"/>
                <w:highlight w:val="none"/>
              </w:rPr>
            </w:pPr>
          </w:p>
        </w:tc>
        <w:tc>
          <w:tcPr>
            <w:tcW w:w="1670" w:type="dxa"/>
            <w:noWrap/>
            <w:vAlign w:val="center"/>
          </w:tcPr>
          <w:p w14:paraId="1BE84936">
            <w:pPr>
              <w:pStyle w:val="17"/>
              <w:spacing w:line="360" w:lineRule="auto"/>
              <w:ind w:firstLine="420"/>
              <w:rPr>
                <w:rFonts w:ascii="宋体" w:hAnsi="宋体"/>
                <w:color w:val="auto"/>
                <w:sz w:val="21"/>
                <w:szCs w:val="21"/>
                <w:highlight w:val="none"/>
              </w:rPr>
            </w:pPr>
          </w:p>
        </w:tc>
      </w:tr>
      <w:tr w14:paraId="37BDB4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ign w:val="center"/>
          </w:tcPr>
          <w:p w14:paraId="201A37DA">
            <w:pPr>
              <w:pStyle w:val="17"/>
              <w:spacing w:line="360" w:lineRule="auto"/>
              <w:ind w:firstLine="420"/>
              <w:rPr>
                <w:rFonts w:ascii="宋体" w:hAnsi="宋体"/>
                <w:color w:val="auto"/>
                <w:sz w:val="21"/>
                <w:szCs w:val="21"/>
                <w:highlight w:val="none"/>
              </w:rPr>
            </w:pPr>
          </w:p>
        </w:tc>
        <w:tc>
          <w:tcPr>
            <w:tcW w:w="1276" w:type="dxa"/>
            <w:noWrap/>
            <w:vAlign w:val="center"/>
          </w:tcPr>
          <w:p w14:paraId="42F62520">
            <w:pPr>
              <w:pStyle w:val="17"/>
              <w:spacing w:line="360" w:lineRule="auto"/>
              <w:ind w:firstLine="420"/>
              <w:rPr>
                <w:rFonts w:ascii="宋体" w:hAnsi="宋体"/>
                <w:color w:val="auto"/>
                <w:sz w:val="21"/>
                <w:szCs w:val="21"/>
                <w:highlight w:val="none"/>
              </w:rPr>
            </w:pPr>
          </w:p>
        </w:tc>
        <w:tc>
          <w:tcPr>
            <w:tcW w:w="1450" w:type="dxa"/>
            <w:noWrap/>
            <w:vAlign w:val="center"/>
          </w:tcPr>
          <w:p w14:paraId="62E3F116">
            <w:pPr>
              <w:pStyle w:val="17"/>
              <w:spacing w:line="360" w:lineRule="auto"/>
              <w:ind w:firstLine="420"/>
              <w:rPr>
                <w:rFonts w:ascii="宋体" w:hAnsi="宋体"/>
                <w:color w:val="auto"/>
                <w:sz w:val="21"/>
                <w:szCs w:val="21"/>
                <w:highlight w:val="none"/>
              </w:rPr>
            </w:pPr>
          </w:p>
        </w:tc>
        <w:tc>
          <w:tcPr>
            <w:tcW w:w="1243" w:type="dxa"/>
            <w:noWrap/>
            <w:vAlign w:val="center"/>
          </w:tcPr>
          <w:p w14:paraId="2FE1DDE0">
            <w:pPr>
              <w:pStyle w:val="17"/>
              <w:spacing w:line="360" w:lineRule="auto"/>
              <w:ind w:firstLine="420"/>
              <w:rPr>
                <w:rFonts w:ascii="宋体" w:hAnsi="宋体"/>
                <w:color w:val="auto"/>
                <w:sz w:val="21"/>
                <w:szCs w:val="21"/>
                <w:highlight w:val="none"/>
              </w:rPr>
            </w:pPr>
          </w:p>
        </w:tc>
        <w:tc>
          <w:tcPr>
            <w:tcW w:w="1450" w:type="dxa"/>
            <w:noWrap/>
            <w:vAlign w:val="center"/>
          </w:tcPr>
          <w:p w14:paraId="0D0E2572">
            <w:pPr>
              <w:pStyle w:val="17"/>
              <w:spacing w:line="360" w:lineRule="auto"/>
              <w:ind w:firstLine="420"/>
              <w:rPr>
                <w:rFonts w:ascii="宋体" w:hAnsi="宋体"/>
                <w:color w:val="auto"/>
                <w:sz w:val="21"/>
                <w:szCs w:val="21"/>
                <w:highlight w:val="none"/>
              </w:rPr>
            </w:pPr>
          </w:p>
        </w:tc>
        <w:tc>
          <w:tcPr>
            <w:tcW w:w="1670" w:type="dxa"/>
            <w:noWrap/>
            <w:vAlign w:val="center"/>
          </w:tcPr>
          <w:p w14:paraId="58354A77">
            <w:pPr>
              <w:pStyle w:val="17"/>
              <w:spacing w:line="360" w:lineRule="auto"/>
              <w:ind w:firstLine="420"/>
              <w:rPr>
                <w:rFonts w:ascii="宋体" w:hAnsi="宋体"/>
                <w:color w:val="auto"/>
                <w:sz w:val="21"/>
                <w:szCs w:val="21"/>
                <w:highlight w:val="none"/>
              </w:rPr>
            </w:pPr>
          </w:p>
        </w:tc>
      </w:tr>
      <w:tr w14:paraId="3DC2E2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ign w:val="center"/>
          </w:tcPr>
          <w:p w14:paraId="72E322A8">
            <w:pPr>
              <w:pStyle w:val="17"/>
              <w:spacing w:line="360" w:lineRule="auto"/>
              <w:ind w:firstLine="420"/>
              <w:rPr>
                <w:rFonts w:ascii="宋体" w:hAnsi="宋体"/>
                <w:color w:val="auto"/>
                <w:sz w:val="21"/>
                <w:szCs w:val="21"/>
                <w:highlight w:val="none"/>
              </w:rPr>
            </w:pPr>
          </w:p>
        </w:tc>
        <w:tc>
          <w:tcPr>
            <w:tcW w:w="1276" w:type="dxa"/>
            <w:noWrap/>
            <w:vAlign w:val="center"/>
          </w:tcPr>
          <w:p w14:paraId="4025C11A">
            <w:pPr>
              <w:pStyle w:val="17"/>
              <w:spacing w:line="360" w:lineRule="auto"/>
              <w:ind w:firstLine="420"/>
              <w:rPr>
                <w:rFonts w:ascii="宋体" w:hAnsi="宋体"/>
                <w:color w:val="auto"/>
                <w:sz w:val="21"/>
                <w:szCs w:val="21"/>
                <w:highlight w:val="none"/>
              </w:rPr>
            </w:pPr>
          </w:p>
        </w:tc>
        <w:tc>
          <w:tcPr>
            <w:tcW w:w="1450" w:type="dxa"/>
            <w:noWrap/>
            <w:vAlign w:val="center"/>
          </w:tcPr>
          <w:p w14:paraId="003D9A0B">
            <w:pPr>
              <w:pStyle w:val="17"/>
              <w:spacing w:line="360" w:lineRule="auto"/>
              <w:ind w:firstLine="420"/>
              <w:rPr>
                <w:rFonts w:ascii="宋体" w:hAnsi="宋体"/>
                <w:color w:val="auto"/>
                <w:sz w:val="21"/>
                <w:szCs w:val="21"/>
                <w:highlight w:val="none"/>
              </w:rPr>
            </w:pPr>
          </w:p>
        </w:tc>
        <w:tc>
          <w:tcPr>
            <w:tcW w:w="1243" w:type="dxa"/>
            <w:noWrap/>
            <w:vAlign w:val="center"/>
          </w:tcPr>
          <w:p w14:paraId="00486270">
            <w:pPr>
              <w:pStyle w:val="17"/>
              <w:spacing w:line="360" w:lineRule="auto"/>
              <w:ind w:firstLine="420"/>
              <w:rPr>
                <w:rFonts w:ascii="宋体" w:hAnsi="宋体"/>
                <w:color w:val="auto"/>
                <w:sz w:val="21"/>
                <w:szCs w:val="21"/>
                <w:highlight w:val="none"/>
              </w:rPr>
            </w:pPr>
          </w:p>
        </w:tc>
        <w:tc>
          <w:tcPr>
            <w:tcW w:w="1450" w:type="dxa"/>
            <w:noWrap/>
            <w:vAlign w:val="center"/>
          </w:tcPr>
          <w:p w14:paraId="412AF5CA">
            <w:pPr>
              <w:pStyle w:val="17"/>
              <w:spacing w:line="360" w:lineRule="auto"/>
              <w:ind w:firstLine="420"/>
              <w:rPr>
                <w:rFonts w:ascii="宋体" w:hAnsi="宋体"/>
                <w:color w:val="auto"/>
                <w:sz w:val="21"/>
                <w:szCs w:val="21"/>
                <w:highlight w:val="none"/>
              </w:rPr>
            </w:pPr>
          </w:p>
        </w:tc>
        <w:tc>
          <w:tcPr>
            <w:tcW w:w="1670" w:type="dxa"/>
            <w:noWrap/>
            <w:vAlign w:val="center"/>
          </w:tcPr>
          <w:p w14:paraId="2460747C">
            <w:pPr>
              <w:pStyle w:val="17"/>
              <w:spacing w:line="360" w:lineRule="auto"/>
              <w:ind w:firstLine="420"/>
              <w:rPr>
                <w:rFonts w:ascii="宋体" w:hAnsi="宋体"/>
                <w:color w:val="auto"/>
                <w:sz w:val="21"/>
                <w:szCs w:val="21"/>
                <w:highlight w:val="none"/>
              </w:rPr>
            </w:pPr>
          </w:p>
        </w:tc>
      </w:tr>
      <w:tr w14:paraId="12FF47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ign w:val="center"/>
          </w:tcPr>
          <w:p w14:paraId="5C385577">
            <w:pPr>
              <w:pStyle w:val="17"/>
              <w:spacing w:line="360" w:lineRule="auto"/>
              <w:ind w:firstLine="420"/>
              <w:rPr>
                <w:rFonts w:ascii="宋体" w:hAnsi="宋体"/>
                <w:color w:val="auto"/>
                <w:sz w:val="21"/>
                <w:szCs w:val="21"/>
                <w:highlight w:val="none"/>
              </w:rPr>
            </w:pPr>
          </w:p>
        </w:tc>
        <w:tc>
          <w:tcPr>
            <w:tcW w:w="1276" w:type="dxa"/>
            <w:noWrap/>
            <w:vAlign w:val="center"/>
          </w:tcPr>
          <w:p w14:paraId="757DC820">
            <w:pPr>
              <w:pStyle w:val="17"/>
              <w:spacing w:line="360" w:lineRule="auto"/>
              <w:ind w:firstLine="420"/>
              <w:rPr>
                <w:rFonts w:ascii="宋体" w:hAnsi="宋体"/>
                <w:color w:val="auto"/>
                <w:sz w:val="21"/>
                <w:szCs w:val="21"/>
                <w:highlight w:val="none"/>
              </w:rPr>
            </w:pPr>
          </w:p>
        </w:tc>
        <w:tc>
          <w:tcPr>
            <w:tcW w:w="1450" w:type="dxa"/>
            <w:noWrap/>
            <w:vAlign w:val="center"/>
          </w:tcPr>
          <w:p w14:paraId="0D55B59B">
            <w:pPr>
              <w:pStyle w:val="17"/>
              <w:spacing w:line="360" w:lineRule="auto"/>
              <w:ind w:firstLine="420"/>
              <w:rPr>
                <w:rFonts w:ascii="宋体" w:hAnsi="宋体"/>
                <w:color w:val="auto"/>
                <w:sz w:val="21"/>
                <w:szCs w:val="21"/>
                <w:highlight w:val="none"/>
              </w:rPr>
            </w:pPr>
          </w:p>
        </w:tc>
        <w:tc>
          <w:tcPr>
            <w:tcW w:w="1243" w:type="dxa"/>
            <w:noWrap/>
            <w:vAlign w:val="center"/>
          </w:tcPr>
          <w:p w14:paraId="0C5531E5">
            <w:pPr>
              <w:pStyle w:val="17"/>
              <w:spacing w:line="360" w:lineRule="auto"/>
              <w:ind w:firstLine="420"/>
              <w:rPr>
                <w:rFonts w:ascii="宋体" w:hAnsi="宋体"/>
                <w:color w:val="auto"/>
                <w:sz w:val="21"/>
                <w:szCs w:val="21"/>
                <w:highlight w:val="none"/>
              </w:rPr>
            </w:pPr>
          </w:p>
        </w:tc>
        <w:tc>
          <w:tcPr>
            <w:tcW w:w="1450" w:type="dxa"/>
            <w:noWrap/>
            <w:vAlign w:val="center"/>
          </w:tcPr>
          <w:p w14:paraId="7D2FF079">
            <w:pPr>
              <w:pStyle w:val="17"/>
              <w:spacing w:line="360" w:lineRule="auto"/>
              <w:ind w:firstLine="420"/>
              <w:rPr>
                <w:rFonts w:ascii="宋体" w:hAnsi="宋体"/>
                <w:color w:val="auto"/>
                <w:sz w:val="21"/>
                <w:szCs w:val="21"/>
                <w:highlight w:val="none"/>
              </w:rPr>
            </w:pPr>
          </w:p>
        </w:tc>
        <w:tc>
          <w:tcPr>
            <w:tcW w:w="1670" w:type="dxa"/>
            <w:noWrap/>
            <w:vAlign w:val="center"/>
          </w:tcPr>
          <w:p w14:paraId="64FDF99B">
            <w:pPr>
              <w:pStyle w:val="17"/>
              <w:spacing w:line="360" w:lineRule="auto"/>
              <w:ind w:firstLine="420"/>
              <w:rPr>
                <w:rFonts w:ascii="宋体" w:hAnsi="宋体"/>
                <w:color w:val="auto"/>
                <w:sz w:val="21"/>
                <w:szCs w:val="21"/>
                <w:highlight w:val="none"/>
              </w:rPr>
            </w:pPr>
          </w:p>
        </w:tc>
      </w:tr>
      <w:tr w14:paraId="7E6144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ign w:val="center"/>
          </w:tcPr>
          <w:p w14:paraId="7D84076D">
            <w:pPr>
              <w:pStyle w:val="17"/>
              <w:spacing w:line="360" w:lineRule="auto"/>
              <w:ind w:firstLine="420"/>
              <w:rPr>
                <w:rFonts w:ascii="宋体" w:hAnsi="宋体"/>
                <w:color w:val="auto"/>
                <w:sz w:val="21"/>
                <w:szCs w:val="21"/>
                <w:highlight w:val="none"/>
              </w:rPr>
            </w:pPr>
          </w:p>
        </w:tc>
        <w:tc>
          <w:tcPr>
            <w:tcW w:w="1276" w:type="dxa"/>
            <w:noWrap/>
            <w:vAlign w:val="center"/>
          </w:tcPr>
          <w:p w14:paraId="09F59DE4">
            <w:pPr>
              <w:pStyle w:val="17"/>
              <w:spacing w:line="360" w:lineRule="auto"/>
              <w:ind w:firstLine="420"/>
              <w:rPr>
                <w:rFonts w:ascii="宋体" w:hAnsi="宋体"/>
                <w:color w:val="auto"/>
                <w:sz w:val="21"/>
                <w:szCs w:val="21"/>
                <w:highlight w:val="none"/>
              </w:rPr>
            </w:pPr>
          </w:p>
        </w:tc>
        <w:tc>
          <w:tcPr>
            <w:tcW w:w="1450" w:type="dxa"/>
            <w:noWrap/>
            <w:vAlign w:val="center"/>
          </w:tcPr>
          <w:p w14:paraId="0926EDB9">
            <w:pPr>
              <w:pStyle w:val="17"/>
              <w:spacing w:line="360" w:lineRule="auto"/>
              <w:ind w:firstLine="420"/>
              <w:rPr>
                <w:rFonts w:ascii="宋体" w:hAnsi="宋体"/>
                <w:color w:val="auto"/>
                <w:sz w:val="21"/>
                <w:szCs w:val="21"/>
                <w:highlight w:val="none"/>
              </w:rPr>
            </w:pPr>
          </w:p>
        </w:tc>
        <w:tc>
          <w:tcPr>
            <w:tcW w:w="1243" w:type="dxa"/>
            <w:noWrap/>
            <w:vAlign w:val="center"/>
          </w:tcPr>
          <w:p w14:paraId="5FCDCB93">
            <w:pPr>
              <w:pStyle w:val="17"/>
              <w:spacing w:line="360" w:lineRule="auto"/>
              <w:ind w:firstLine="420"/>
              <w:rPr>
                <w:rFonts w:ascii="宋体" w:hAnsi="宋体"/>
                <w:color w:val="auto"/>
                <w:sz w:val="21"/>
                <w:szCs w:val="21"/>
                <w:highlight w:val="none"/>
              </w:rPr>
            </w:pPr>
          </w:p>
        </w:tc>
        <w:tc>
          <w:tcPr>
            <w:tcW w:w="1450" w:type="dxa"/>
            <w:noWrap/>
            <w:vAlign w:val="center"/>
          </w:tcPr>
          <w:p w14:paraId="2B225145">
            <w:pPr>
              <w:pStyle w:val="17"/>
              <w:spacing w:line="360" w:lineRule="auto"/>
              <w:ind w:firstLine="420"/>
              <w:rPr>
                <w:rFonts w:ascii="宋体" w:hAnsi="宋体"/>
                <w:color w:val="auto"/>
                <w:sz w:val="21"/>
                <w:szCs w:val="21"/>
                <w:highlight w:val="none"/>
              </w:rPr>
            </w:pPr>
          </w:p>
        </w:tc>
        <w:tc>
          <w:tcPr>
            <w:tcW w:w="1670" w:type="dxa"/>
            <w:noWrap/>
            <w:vAlign w:val="center"/>
          </w:tcPr>
          <w:p w14:paraId="17DF8775">
            <w:pPr>
              <w:pStyle w:val="17"/>
              <w:spacing w:line="360" w:lineRule="auto"/>
              <w:ind w:firstLine="420"/>
              <w:rPr>
                <w:rFonts w:ascii="宋体" w:hAnsi="宋体"/>
                <w:color w:val="auto"/>
                <w:sz w:val="21"/>
                <w:szCs w:val="21"/>
                <w:highlight w:val="none"/>
              </w:rPr>
            </w:pPr>
          </w:p>
        </w:tc>
      </w:tr>
      <w:tr w14:paraId="592E84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tcPr>
          <w:p w14:paraId="72A7CACD">
            <w:pPr>
              <w:spacing w:line="360" w:lineRule="auto"/>
              <w:ind w:firstLine="420"/>
              <w:rPr>
                <w:rFonts w:ascii="宋体" w:hAnsi="宋体"/>
                <w:color w:val="auto"/>
                <w:szCs w:val="21"/>
                <w:highlight w:val="none"/>
              </w:rPr>
            </w:pPr>
          </w:p>
        </w:tc>
        <w:tc>
          <w:tcPr>
            <w:tcW w:w="1276" w:type="dxa"/>
            <w:noWrap/>
          </w:tcPr>
          <w:p w14:paraId="74FD7C03">
            <w:pPr>
              <w:spacing w:line="360" w:lineRule="auto"/>
              <w:ind w:firstLine="420"/>
              <w:rPr>
                <w:rFonts w:ascii="宋体" w:hAnsi="宋体"/>
                <w:color w:val="auto"/>
                <w:szCs w:val="21"/>
                <w:highlight w:val="none"/>
              </w:rPr>
            </w:pPr>
          </w:p>
        </w:tc>
        <w:tc>
          <w:tcPr>
            <w:tcW w:w="1450" w:type="dxa"/>
            <w:noWrap/>
          </w:tcPr>
          <w:p w14:paraId="182470D8">
            <w:pPr>
              <w:spacing w:line="360" w:lineRule="auto"/>
              <w:ind w:firstLine="420"/>
              <w:rPr>
                <w:rFonts w:ascii="宋体" w:hAnsi="宋体"/>
                <w:color w:val="auto"/>
                <w:szCs w:val="21"/>
                <w:highlight w:val="none"/>
              </w:rPr>
            </w:pPr>
          </w:p>
        </w:tc>
        <w:tc>
          <w:tcPr>
            <w:tcW w:w="1243" w:type="dxa"/>
            <w:noWrap/>
          </w:tcPr>
          <w:p w14:paraId="3FE5ACF6">
            <w:pPr>
              <w:spacing w:line="360" w:lineRule="auto"/>
              <w:ind w:firstLine="420"/>
              <w:rPr>
                <w:rFonts w:ascii="宋体" w:hAnsi="宋体"/>
                <w:color w:val="auto"/>
                <w:szCs w:val="21"/>
                <w:highlight w:val="none"/>
              </w:rPr>
            </w:pPr>
          </w:p>
        </w:tc>
        <w:tc>
          <w:tcPr>
            <w:tcW w:w="1450" w:type="dxa"/>
            <w:noWrap/>
          </w:tcPr>
          <w:p w14:paraId="5713219A">
            <w:pPr>
              <w:spacing w:line="360" w:lineRule="auto"/>
              <w:ind w:firstLine="420"/>
              <w:rPr>
                <w:rFonts w:ascii="宋体" w:hAnsi="宋体"/>
                <w:color w:val="auto"/>
                <w:szCs w:val="21"/>
                <w:highlight w:val="none"/>
              </w:rPr>
            </w:pPr>
          </w:p>
        </w:tc>
        <w:tc>
          <w:tcPr>
            <w:tcW w:w="1670" w:type="dxa"/>
            <w:noWrap/>
          </w:tcPr>
          <w:p w14:paraId="6F2A86BE">
            <w:pPr>
              <w:spacing w:line="360" w:lineRule="auto"/>
              <w:ind w:firstLine="420"/>
              <w:rPr>
                <w:rFonts w:ascii="宋体" w:hAnsi="宋体"/>
                <w:color w:val="auto"/>
                <w:szCs w:val="21"/>
                <w:highlight w:val="none"/>
              </w:rPr>
            </w:pPr>
          </w:p>
        </w:tc>
      </w:tr>
      <w:tr w14:paraId="032E19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ign w:val="center"/>
          </w:tcPr>
          <w:p w14:paraId="3D689B02">
            <w:pPr>
              <w:pStyle w:val="17"/>
              <w:spacing w:line="360" w:lineRule="auto"/>
              <w:ind w:firstLine="420"/>
              <w:rPr>
                <w:rFonts w:ascii="宋体" w:hAnsi="宋体"/>
                <w:color w:val="auto"/>
                <w:sz w:val="21"/>
                <w:szCs w:val="21"/>
                <w:highlight w:val="none"/>
              </w:rPr>
            </w:pPr>
          </w:p>
        </w:tc>
        <w:tc>
          <w:tcPr>
            <w:tcW w:w="1276" w:type="dxa"/>
            <w:noWrap/>
            <w:vAlign w:val="center"/>
          </w:tcPr>
          <w:p w14:paraId="1DFFABC9">
            <w:pPr>
              <w:pStyle w:val="17"/>
              <w:spacing w:line="360" w:lineRule="auto"/>
              <w:ind w:firstLine="420"/>
              <w:rPr>
                <w:rFonts w:ascii="宋体" w:hAnsi="宋体"/>
                <w:color w:val="auto"/>
                <w:sz w:val="21"/>
                <w:szCs w:val="21"/>
                <w:highlight w:val="none"/>
              </w:rPr>
            </w:pPr>
          </w:p>
        </w:tc>
        <w:tc>
          <w:tcPr>
            <w:tcW w:w="1450" w:type="dxa"/>
            <w:noWrap/>
            <w:vAlign w:val="center"/>
          </w:tcPr>
          <w:p w14:paraId="3B761FBF">
            <w:pPr>
              <w:pStyle w:val="17"/>
              <w:spacing w:line="360" w:lineRule="auto"/>
              <w:ind w:firstLine="420"/>
              <w:rPr>
                <w:rFonts w:ascii="宋体" w:hAnsi="宋体"/>
                <w:color w:val="auto"/>
                <w:sz w:val="21"/>
                <w:szCs w:val="21"/>
                <w:highlight w:val="none"/>
              </w:rPr>
            </w:pPr>
          </w:p>
        </w:tc>
        <w:tc>
          <w:tcPr>
            <w:tcW w:w="1243" w:type="dxa"/>
            <w:noWrap/>
            <w:vAlign w:val="center"/>
          </w:tcPr>
          <w:p w14:paraId="5C3B43FF">
            <w:pPr>
              <w:pStyle w:val="17"/>
              <w:spacing w:line="360" w:lineRule="auto"/>
              <w:ind w:firstLine="420"/>
              <w:rPr>
                <w:rFonts w:ascii="宋体" w:hAnsi="宋体"/>
                <w:color w:val="auto"/>
                <w:sz w:val="21"/>
                <w:szCs w:val="21"/>
                <w:highlight w:val="none"/>
              </w:rPr>
            </w:pPr>
          </w:p>
        </w:tc>
        <w:tc>
          <w:tcPr>
            <w:tcW w:w="1450" w:type="dxa"/>
            <w:noWrap/>
            <w:vAlign w:val="center"/>
          </w:tcPr>
          <w:p w14:paraId="7B29B9F2">
            <w:pPr>
              <w:pStyle w:val="17"/>
              <w:spacing w:line="360" w:lineRule="auto"/>
              <w:ind w:firstLine="420"/>
              <w:rPr>
                <w:rFonts w:ascii="宋体" w:hAnsi="宋体"/>
                <w:color w:val="auto"/>
                <w:sz w:val="21"/>
                <w:szCs w:val="21"/>
                <w:highlight w:val="none"/>
              </w:rPr>
            </w:pPr>
          </w:p>
        </w:tc>
        <w:tc>
          <w:tcPr>
            <w:tcW w:w="1670" w:type="dxa"/>
            <w:noWrap/>
            <w:vAlign w:val="center"/>
          </w:tcPr>
          <w:p w14:paraId="50F95866">
            <w:pPr>
              <w:pStyle w:val="17"/>
              <w:spacing w:line="360" w:lineRule="auto"/>
              <w:ind w:firstLine="420"/>
              <w:rPr>
                <w:rFonts w:ascii="宋体" w:hAnsi="宋体"/>
                <w:color w:val="auto"/>
                <w:sz w:val="21"/>
                <w:szCs w:val="21"/>
                <w:highlight w:val="none"/>
              </w:rPr>
            </w:pPr>
          </w:p>
        </w:tc>
      </w:tr>
      <w:tr w14:paraId="0321C8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tcPr>
          <w:p w14:paraId="504AA81A">
            <w:pPr>
              <w:spacing w:line="360" w:lineRule="auto"/>
              <w:ind w:firstLine="420"/>
              <w:rPr>
                <w:rFonts w:ascii="宋体" w:hAnsi="宋体"/>
                <w:color w:val="auto"/>
                <w:szCs w:val="21"/>
                <w:highlight w:val="none"/>
              </w:rPr>
            </w:pPr>
          </w:p>
        </w:tc>
        <w:tc>
          <w:tcPr>
            <w:tcW w:w="1276" w:type="dxa"/>
            <w:noWrap/>
          </w:tcPr>
          <w:p w14:paraId="153DB712">
            <w:pPr>
              <w:spacing w:line="360" w:lineRule="auto"/>
              <w:ind w:firstLine="420"/>
              <w:rPr>
                <w:rFonts w:ascii="宋体" w:hAnsi="宋体"/>
                <w:color w:val="auto"/>
                <w:szCs w:val="21"/>
                <w:highlight w:val="none"/>
              </w:rPr>
            </w:pPr>
          </w:p>
        </w:tc>
        <w:tc>
          <w:tcPr>
            <w:tcW w:w="1450" w:type="dxa"/>
            <w:noWrap/>
          </w:tcPr>
          <w:p w14:paraId="3610DDB6">
            <w:pPr>
              <w:spacing w:line="360" w:lineRule="auto"/>
              <w:ind w:firstLine="420"/>
              <w:rPr>
                <w:rFonts w:ascii="宋体" w:hAnsi="宋体"/>
                <w:color w:val="auto"/>
                <w:szCs w:val="21"/>
                <w:highlight w:val="none"/>
              </w:rPr>
            </w:pPr>
          </w:p>
        </w:tc>
        <w:tc>
          <w:tcPr>
            <w:tcW w:w="1243" w:type="dxa"/>
            <w:noWrap/>
          </w:tcPr>
          <w:p w14:paraId="5AE83D41">
            <w:pPr>
              <w:spacing w:line="360" w:lineRule="auto"/>
              <w:ind w:firstLine="420"/>
              <w:rPr>
                <w:rFonts w:ascii="宋体" w:hAnsi="宋体"/>
                <w:color w:val="auto"/>
                <w:szCs w:val="21"/>
                <w:highlight w:val="none"/>
              </w:rPr>
            </w:pPr>
          </w:p>
        </w:tc>
        <w:tc>
          <w:tcPr>
            <w:tcW w:w="1450" w:type="dxa"/>
            <w:noWrap/>
          </w:tcPr>
          <w:p w14:paraId="2054609D">
            <w:pPr>
              <w:spacing w:line="360" w:lineRule="auto"/>
              <w:ind w:firstLine="420"/>
              <w:rPr>
                <w:rFonts w:ascii="宋体" w:hAnsi="宋体"/>
                <w:color w:val="auto"/>
                <w:szCs w:val="21"/>
                <w:highlight w:val="none"/>
              </w:rPr>
            </w:pPr>
          </w:p>
        </w:tc>
        <w:tc>
          <w:tcPr>
            <w:tcW w:w="1670" w:type="dxa"/>
            <w:noWrap/>
          </w:tcPr>
          <w:p w14:paraId="16382962">
            <w:pPr>
              <w:spacing w:line="360" w:lineRule="auto"/>
              <w:ind w:firstLine="420"/>
              <w:rPr>
                <w:rFonts w:ascii="宋体" w:hAnsi="宋体"/>
                <w:color w:val="auto"/>
                <w:szCs w:val="21"/>
                <w:highlight w:val="none"/>
              </w:rPr>
            </w:pPr>
          </w:p>
        </w:tc>
      </w:tr>
      <w:tr w14:paraId="0A2225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tcPr>
          <w:p w14:paraId="28FA53B0">
            <w:pPr>
              <w:spacing w:line="360" w:lineRule="auto"/>
              <w:ind w:firstLine="420"/>
              <w:rPr>
                <w:rFonts w:ascii="宋体" w:hAnsi="宋体"/>
                <w:color w:val="auto"/>
                <w:szCs w:val="21"/>
                <w:highlight w:val="none"/>
              </w:rPr>
            </w:pPr>
          </w:p>
        </w:tc>
        <w:tc>
          <w:tcPr>
            <w:tcW w:w="1276" w:type="dxa"/>
            <w:noWrap/>
          </w:tcPr>
          <w:p w14:paraId="18B2AA1D">
            <w:pPr>
              <w:spacing w:line="360" w:lineRule="auto"/>
              <w:ind w:firstLine="420"/>
              <w:rPr>
                <w:rFonts w:ascii="宋体" w:hAnsi="宋体"/>
                <w:color w:val="auto"/>
                <w:szCs w:val="21"/>
                <w:highlight w:val="none"/>
              </w:rPr>
            </w:pPr>
          </w:p>
        </w:tc>
        <w:tc>
          <w:tcPr>
            <w:tcW w:w="1450" w:type="dxa"/>
            <w:noWrap/>
          </w:tcPr>
          <w:p w14:paraId="485AEA22">
            <w:pPr>
              <w:spacing w:line="360" w:lineRule="auto"/>
              <w:ind w:firstLine="420"/>
              <w:rPr>
                <w:rFonts w:ascii="宋体" w:hAnsi="宋体"/>
                <w:color w:val="auto"/>
                <w:szCs w:val="21"/>
                <w:highlight w:val="none"/>
              </w:rPr>
            </w:pPr>
          </w:p>
        </w:tc>
        <w:tc>
          <w:tcPr>
            <w:tcW w:w="1243" w:type="dxa"/>
            <w:noWrap/>
          </w:tcPr>
          <w:p w14:paraId="4B01E646">
            <w:pPr>
              <w:spacing w:line="360" w:lineRule="auto"/>
              <w:ind w:firstLine="420"/>
              <w:rPr>
                <w:rFonts w:ascii="宋体" w:hAnsi="宋体"/>
                <w:color w:val="auto"/>
                <w:szCs w:val="21"/>
                <w:highlight w:val="none"/>
              </w:rPr>
            </w:pPr>
          </w:p>
        </w:tc>
        <w:tc>
          <w:tcPr>
            <w:tcW w:w="1450" w:type="dxa"/>
            <w:noWrap/>
          </w:tcPr>
          <w:p w14:paraId="500FF2EE">
            <w:pPr>
              <w:spacing w:line="360" w:lineRule="auto"/>
              <w:ind w:firstLine="420"/>
              <w:rPr>
                <w:rFonts w:ascii="宋体" w:hAnsi="宋体"/>
                <w:color w:val="auto"/>
                <w:szCs w:val="21"/>
                <w:highlight w:val="none"/>
              </w:rPr>
            </w:pPr>
          </w:p>
        </w:tc>
        <w:tc>
          <w:tcPr>
            <w:tcW w:w="1670" w:type="dxa"/>
            <w:noWrap/>
          </w:tcPr>
          <w:p w14:paraId="3E6B5918">
            <w:pPr>
              <w:spacing w:line="360" w:lineRule="auto"/>
              <w:ind w:firstLine="420"/>
              <w:rPr>
                <w:rFonts w:ascii="宋体" w:hAnsi="宋体"/>
                <w:color w:val="auto"/>
                <w:szCs w:val="21"/>
                <w:highlight w:val="none"/>
              </w:rPr>
            </w:pPr>
          </w:p>
        </w:tc>
      </w:tr>
      <w:tr w14:paraId="3F3E51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tcPr>
          <w:p w14:paraId="586A9087">
            <w:pPr>
              <w:spacing w:line="360" w:lineRule="auto"/>
              <w:ind w:firstLine="420"/>
              <w:rPr>
                <w:rFonts w:ascii="宋体" w:hAnsi="宋体"/>
                <w:color w:val="auto"/>
                <w:szCs w:val="21"/>
                <w:highlight w:val="none"/>
              </w:rPr>
            </w:pPr>
          </w:p>
        </w:tc>
        <w:tc>
          <w:tcPr>
            <w:tcW w:w="1276" w:type="dxa"/>
            <w:noWrap/>
          </w:tcPr>
          <w:p w14:paraId="69B15F41">
            <w:pPr>
              <w:spacing w:line="360" w:lineRule="auto"/>
              <w:ind w:firstLine="420"/>
              <w:rPr>
                <w:rFonts w:ascii="宋体" w:hAnsi="宋体"/>
                <w:color w:val="auto"/>
                <w:szCs w:val="21"/>
                <w:highlight w:val="none"/>
              </w:rPr>
            </w:pPr>
          </w:p>
        </w:tc>
        <w:tc>
          <w:tcPr>
            <w:tcW w:w="1450" w:type="dxa"/>
            <w:noWrap/>
          </w:tcPr>
          <w:p w14:paraId="7836E4E3">
            <w:pPr>
              <w:spacing w:line="360" w:lineRule="auto"/>
              <w:ind w:firstLine="420"/>
              <w:rPr>
                <w:rFonts w:ascii="宋体" w:hAnsi="宋体"/>
                <w:color w:val="auto"/>
                <w:szCs w:val="21"/>
                <w:highlight w:val="none"/>
              </w:rPr>
            </w:pPr>
          </w:p>
        </w:tc>
        <w:tc>
          <w:tcPr>
            <w:tcW w:w="1243" w:type="dxa"/>
            <w:noWrap/>
          </w:tcPr>
          <w:p w14:paraId="34CB24E3">
            <w:pPr>
              <w:spacing w:line="360" w:lineRule="auto"/>
              <w:ind w:firstLine="420"/>
              <w:rPr>
                <w:rFonts w:ascii="宋体" w:hAnsi="宋体"/>
                <w:color w:val="auto"/>
                <w:szCs w:val="21"/>
                <w:highlight w:val="none"/>
              </w:rPr>
            </w:pPr>
          </w:p>
        </w:tc>
        <w:tc>
          <w:tcPr>
            <w:tcW w:w="1450" w:type="dxa"/>
            <w:noWrap/>
          </w:tcPr>
          <w:p w14:paraId="583A924C">
            <w:pPr>
              <w:spacing w:line="360" w:lineRule="auto"/>
              <w:ind w:firstLine="420"/>
              <w:rPr>
                <w:rFonts w:ascii="宋体" w:hAnsi="宋体"/>
                <w:color w:val="auto"/>
                <w:szCs w:val="21"/>
                <w:highlight w:val="none"/>
              </w:rPr>
            </w:pPr>
          </w:p>
        </w:tc>
        <w:tc>
          <w:tcPr>
            <w:tcW w:w="1670" w:type="dxa"/>
            <w:noWrap/>
          </w:tcPr>
          <w:p w14:paraId="57B21BBC">
            <w:pPr>
              <w:spacing w:line="360" w:lineRule="auto"/>
              <w:ind w:firstLine="420"/>
              <w:rPr>
                <w:rFonts w:ascii="宋体" w:hAnsi="宋体"/>
                <w:color w:val="auto"/>
                <w:szCs w:val="21"/>
                <w:highlight w:val="none"/>
              </w:rPr>
            </w:pPr>
          </w:p>
        </w:tc>
      </w:tr>
      <w:tr w14:paraId="03E7FA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tcPr>
          <w:p w14:paraId="63023E6C">
            <w:pPr>
              <w:spacing w:line="360" w:lineRule="auto"/>
              <w:ind w:firstLine="420"/>
              <w:rPr>
                <w:rFonts w:ascii="宋体" w:hAnsi="宋体"/>
                <w:color w:val="auto"/>
                <w:szCs w:val="21"/>
                <w:highlight w:val="none"/>
              </w:rPr>
            </w:pPr>
          </w:p>
        </w:tc>
        <w:tc>
          <w:tcPr>
            <w:tcW w:w="1276" w:type="dxa"/>
            <w:noWrap/>
          </w:tcPr>
          <w:p w14:paraId="2FE7FFE5">
            <w:pPr>
              <w:spacing w:line="360" w:lineRule="auto"/>
              <w:ind w:firstLine="420"/>
              <w:rPr>
                <w:rFonts w:ascii="宋体" w:hAnsi="宋体"/>
                <w:color w:val="auto"/>
                <w:szCs w:val="21"/>
                <w:highlight w:val="none"/>
              </w:rPr>
            </w:pPr>
          </w:p>
        </w:tc>
        <w:tc>
          <w:tcPr>
            <w:tcW w:w="1450" w:type="dxa"/>
            <w:noWrap/>
          </w:tcPr>
          <w:p w14:paraId="1C0ED2A2">
            <w:pPr>
              <w:spacing w:line="360" w:lineRule="auto"/>
              <w:ind w:firstLine="420"/>
              <w:rPr>
                <w:rFonts w:ascii="宋体" w:hAnsi="宋体"/>
                <w:color w:val="auto"/>
                <w:szCs w:val="21"/>
                <w:highlight w:val="none"/>
              </w:rPr>
            </w:pPr>
          </w:p>
        </w:tc>
        <w:tc>
          <w:tcPr>
            <w:tcW w:w="1243" w:type="dxa"/>
            <w:noWrap/>
          </w:tcPr>
          <w:p w14:paraId="2213E200">
            <w:pPr>
              <w:spacing w:line="360" w:lineRule="auto"/>
              <w:ind w:firstLine="420"/>
              <w:rPr>
                <w:rFonts w:ascii="宋体" w:hAnsi="宋体"/>
                <w:color w:val="auto"/>
                <w:szCs w:val="21"/>
                <w:highlight w:val="none"/>
              </w:rPr>
            </w:pPr>
          </w:p>
        </w:tc>
        <w:tc>
          <w:tcPr>
            <w:tcW w:w="1450" w:type="dxa"/>
            <w:noWrap/>
          </w:tcPr>
          <w:p w14:paraId="0EEAB605">
            <w:pPr>
              <w:spacing w:line="360" w:lineRule="auto"/>
              <w:ind w:firstLine="420"/>
              <w:rPr>
                <w:rFonts w:ascii="宋体" w:hAnsi="宋体"/>
                <w:color w:val="auto"/>
                <w:szCs w:val="21"/>
                <w:highlight w:val="none"/>
              </w:rPr>
            </w:pPr>
          </w:p>
        </w:tc>
        <w:tc>
          <w:tcPr>
            <w:tcW w:w="1670" w:type="dxa"/>
            <w:noWrap/>
          </w:tcPr>
          <w:p w14:paraId="73338A8A">
            <w:pPr>
              <w:spacing w:line="360" w:lineRule="auto"/>
              <w:ind w:firstLine="420"/>
              <w:rPr>
                <w:rFonts w:ascii="宋体" w:hAnsi="宋体"/>
                <w:color w:val="auto"/>
                <w:szCs w:val="21"/>
                <w:highlight w:val="none"/>
              </w:rPr>
            </w:pPr>
          </w:p>
        </w:tc>
      </w:tr>
      <w:tr w14:paraId="72B81E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tcPr>
          <w:p w14:paraId="463D8520">
            <w:pPr>
              <w:spacing w:line="360" w:lineRule="auto"/>
              <w:ind w:firstLine="420"/>
              <w:rPr>
                <w:rFonts w:ascii="宋体" w:hAnsi="宋体"/>
                <w:color w:val="auto"/>
                <w:szCs w:val="21"/>
                <w:highlight w:val="none"/>
              </w:rPr>
            </w:pPr>
          </w:p>
        </w:tc>
        <w:tc>
          <w:tcPr>
            <w:tcW w:w="1276" w:type="dxa"/>
            <w:noWrap/>
          </w:tcPr>
          <w:p w14:paraId="68D55BE0">
            <w:pPr>
              <w:spacing w:line="360" w:lineRule="auto"/>
              <w:ind w:firstLine="420"/>
              <w:rPr>
                <w:rFonts w:ascii="宋体" w:hAnsi="宋体"/>
                <w:color w:val="auto"/>
                <w:szCs w:val="21"/>
                <w:highlight w:val="none"/>
              </w:rPr>
            </w:pPr>
          </w:p>
        </w:tc>
        <w:tc>
          <w:tcPr>
            <w:tcW w:w="1450" w:type="dxa"/>
            <w:noWrap/>
          </w:tcPr>
          <w:p w14:paraId="31BD6B20">
            <w:pPr>
              <w:spacing w:line="360" w:lineRule="auto"/>
              <w:ind w:firstLine="420"/>
              <w:rPr>
                <w:rFonts w:ascii="宋体" w:hAnsi="宋体"/>
                <w:color w:val="auto"/>
                <w:szCs w:val="21"/>
                <w:highlight w:val="none"/>
              </w:rPr>
            </w:pPr>
          </w:p>
        </w:tc>
        <w:tc>
          <w:tcPr>
            <w:tcW w:w="1243" w:type="dxa"/>
            <w:noWrap/>
          </w:tcPr>
          <w:p w14:paraId="01A18C36">
            <w:pPr>
              <w:spacing w:line="360" w:lineRule="auto"/>
              <w:ind w:firstLine="420"/>
              <w:rPr>
                <w:rFonts w:ascii="宋体" w:hAnsi="宋体"/>
                <w:color w:val="auto"/>
                <w:szCs w:val="21"/>
                <w:highlight w:val="none"/>
              </w:rPr>
            </w:pPr>
          </w:p>
        </w:tc>
        <w:tc>
          <w:tcPr>
            <w:tcW w:w="1450" w:type="dxa"/>
            <w:noWrap/>
          </w:tcPr>
          <w:p w14:paraId="4B52852D">
            <w:pPr>
              <w:spacing w:line="360" w:lineRule="auto"/>
              <w:ind w:firstLine="420"/>
              <w:rPr>
                <w:rFonts w:ascii="宋体" w:hAnsi="宋体"/>
                <w:color w:val="auto"/>
                <w:szCs w:val="21"/>
                <w:highlight w:val="none"/>
              </w:rPr>
            </w:pPr>
          </w:p>
        </w:tc>
        <w:tc>
          <w:tcPr>
            <w:tcW w:w="1670" w:type="dxa"/>
            <w:noWrap/>
          </w:tcPr>
          <w:p w14:paraId="71184C7F">
            <w:pPr>
              <w:spacing w:line="360" w:lineRule="auto"/>
              <w:ind w:firstLine="420"/>
              <w:rPr>
                <w:rFonts w:ascii="宋体" w:hAnsi="宋体"/>
                <w:color w:val="auto"/>
                <w:szCs w:val="21"/>
                <w:highlight w:val="none"/>
              </w:rPr>
            </w:pPr>
          </w:p>
        </w:tc>
      </w:tr>
      <w:tr w14:paraId="1D85D0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tcPr>
          <w:p w14:paraId="34081A89">
            <w:pPr>
              <w:spacing w:line="360" w:lineRule="auto"/>
              <w:ind w:firstLine="420"/>
              <w:rPr>
                <w:rFonts w:ascii="宋体" w:hAnsi="宋体"/>
                <w:color w:val="auto"/>
                <w:szCs w:val="21"/>
                <w:highlight w:val="none"/>
              </w:rPr>
            </w:pPr>
          </w:p>
        </w:tc>
        <w:tc>
          <w:tcPr>
            <w:tcW w:w="1276" w:type="dxa"/>
            <w:noWrap/>
          </w:tcPr>
          <w:p w14:paraId="5DB48DAD">
            <w:pPr>
              <w:spacing w:line="360" w:lineRule="auto"/>
              <w:ind w:firstLine="420"/>
              <w:rPr>
                <w:rFonts w:ascii="宋体" w:hAnsi="宋体"/>
                <w:color w:val="auto"/>
                <w:szCs w:val="21"/>
                <w:highlight w:val="none"/>
              </w:rPr>
            </w:pPr>
          </w:p>
        </w:tc>
        <w:tc>
          <w:tcPr>
            <w:tcW w:w="1450" w:type="dxa"/>
            <w:noWrap/>
          </w:tcPr>
          <w:p w14:paraId="1B552DDD">
            <w:pPr>
              <w:spacing w:line="360" w:lineRule="auto"/>
              <w:ind w:firstLine="420"/>
              <w:rPr>
                <w:rFonts w:ascii="宋体" w:hAnsi="宋体"/>
                <w:color w:val="auto"/>
                <w:szCs w:val="21"/>
                <w:highlight w:val="none"/>
              </w:rPr>
            </w:pPr>
          </w:p>
        </w:tc>
        <w:tc>
          <w:tcPr>
            <w:tcW w:w="1243" w:type="dxa"/>
            <w:noWrap/>
          </w:tcPr>
          <w:p w14:paraId="4FC43AAD">
            <w:pPr>
              <w:spacing w:line="360" w:lineRule="auto"/>
              <w:ind w:firstLine="420"/>
              <w:rPr>
                <w:rFonts w:ascii="宋体" w:hAnsi="宋体"/>
                <w:color w:val="auto"/>
                <w:szCs w:val="21"/>
                <w:highlight w:val="none"/>
              </w:rPr>
            </w:pPr>
          </w:p>
        </w:tc>
        <w:tc>
          <w:tcPr>
            <w:tcW w:w="1450" w:type="dxa"/>
            <w:noWrap/>
          </w:tcPr>
          <w:p w14:paraId="40C15328">
            <w:pPr>
              <w:spacing w:line="360" w:lineRule="auto"/>
              <w:ind w:firstLine="420"/>
              <w:rPr>
                <w:rFonts w:ascii="宋体" w:hAnsi="宋体"/>
                <w:color w:val="auto"/>
                <w:szCs w:val="21"/>
                <w:highlight w:val="none"/>
              </w:rPr>
            </w:pPr>
          </w:p>
        </w:tc>
        <w:tc>
          <w:tcPr>
            <w:tcW w:w="1670" w:type="dxa"/>
            <w:noWrap/>
          </w:tcPr>
          <w:p w14:paraId="5C9F3417">
            <w:pPr>
              <w:spacing w:line="360" w:lineRule="auto"/>
              <w:ind w:firstLine="420"/>
              <w:rPr>
                <w:rFonts w:ascii="宋体" w:hAnsi="宋体"/>
                <w:color w:val="auto"/>
                <w:szCs w:val="21"/>
                <w:highlight w:val="none"/>
              </w:rPr>
            </w:pPr>
          </w:p>
        </w:tc>
      </w:tr>
      <w:tr w14:paraId="34E5D7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tcPr>
          <w:p w14:paraId="1B1BDEAB">
            <w:pPr>
              <w:spacing w:line="360" w:lineRule="auto"/>
              <w:ind w:firstLine="420"/>
              <w:rPr>
                <w:rFonts w:ascii="宋体" w:hAnsi="宋体"/>
                <w:color w:val="auto"/>
                <w:szCs w:val="21"/>
                <w:highlight w:val="none"/>
              </w:rPr>
            </w:pPr>
          </w:p>
        </w:tc>
        <w:tc>
          <w:tcPr>
            <w:tcW w:w="1276" w:type="dxa"/>
            <w:noWrap/>
          </w:tcPr>
          <w:p w14:paraId="619B7F09">
            <w:pPr>
              <w:spacing w:line="360" w:lineRule="auto"/>
              <w:ind w:firstLine="420"/>
              <w:rPr>
                <w:rFonts w:ascii="宋体" w:hAnsi="宋体"/>
                <w:color w:val="auto"/>
                <w:szCs w:val="21"/>
                <w:highlight w:val="none"/>
              </w:rPr>
            </w:pPr>
          </w:p>
        </w:tc>
        <w:tc>
          <w:tcPr>
            <w:tcW w:w="1450" w:type="dxa"/>
            <w:noWrap/>
          </w:tcPr>
          <w:p w14:paraId="163DD562">
            <w:pPr>
              <w:spacing w:line="360" w:lineRule="auto"/>
              <w:ind w:firstLine="420"/>
              <w:rPr>
                <w:rFonts w:ascii="宋体" w:hAnsi="宋体"/>
                <w:color w:val="auto"/>
                <w:szCs w:val="21"/>
                <w:highlight w:val="none"/>
              </w:rPr>
            </w:pPr>
          </w:p>
        </w:tc>
        <w:tc>
          <w:tcPr>
            <w:tcW w:w="1243" w:type="dxa"/>
            <w:noWrap/>
          </w:tcPr>
          <w:p w14:paraId="6B563802">
            <w:pPr>
              <w:spacing w:line="360" w:lineRule="auto"/>
              <w:ind w:firstLine="420"/>
              <w:rPr>
                <w:rFonts w:ascii="宋体" w:hAnsi="宋体"/>
                <w:color w:val="auto"/>
                <w:szCs w:val="21"/>
                <w:highlight w:val="none"/>
              </w:rPr>
            </w:pPr>
          </w:p>
        </w:tc>
        <w:tc>
          <w:tcPr>
            <w:tcW w:w="1450" w:type="dxa"/>
            <w:noWrap/>
          </w:tcPr>
          <w:p w14:paraId="49956483">
            <w:pPr>
              <w:spacing w:line="360" w:lineRule="auto"/>
              <w:ind w:firstLine="420"/>
              <w:rPr>
                <w:rFonts w:ascii="宋体" w:hAnsi="宋体"/>
                <w:color w:val="auto"/>
                <w:szCs w:val="21"/>
                <w:highlight w:val="none"/>
              </w:rPr>
            </w:pPr>
          </w:p>
        </w:tc>
        <w:tc>
          <w:tcPr>
            <w:tcW w:w="1670" w:type="dxa"/>
            <w:noWrap/>
          </w:tcPr>
          <w:p w14:paraId="5A59E315">
            <w:pPr>
              <w:spacing w:line="360" w:lineRule="auto"/>
              <w:ind w:firstLine="420"/>
              <w:rPr>
                <w:rFonts w:ascii="宋体" w:hAnsi="宋体"/>
                <w:color w:val="auto"/>
                <w:szCs w:val="21"/>
                <w:highlight w:val="none"/>
              </w:rPr>
            </w:pPr>
          </w:p>
        </w:tc>
      </w:tr>
      <w:tr w14:paraId="748650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tcPr>
          <w:p w14:paraId="3142C0DB">
            <w:pPr>
              <w:spacing w:line="360" w:lineRule="auto"/>
              <w:ind w:firstLine="420"/>
              <w:rPr>
                <w:rFonts w:ascii="宋体" w:hAnsi="宋体"/>
                <w:color w:val="auto"/>
                <w:szCs w:val="21"/>
                <w:highlight w:val="none"/>
              </w:rPr>
            </w:pPr>
          </w:p>
        </w:tc>
        <w:tc>
          <w:tcPr>
            <w:tcW w:w="1276" w:type="dxa"/>
            <w:noWrap/>
          </w:tcPr>
          <w:p w14:paraId="1CC88BA8">
            <w:pPr>
              <w:spacing w:line="360" w:lineRule="auto"/>
              <w:ind w:firstLine="420"/>
              <w:rPr>
                <w:rFonts w:ascii="宋体" w:hAnsi="宋体"/>
                <w:color w:val="auto"/>
                <w:szCs w:val="21"/>
                <w:highlight w:val="none"/>
              </w:rPr>
            </w:pPr>
          </w:p>
        </w:tc>
        <w:tc>
          <w:tcPr>
            <w:tcW w:w="1450" w:type="dxa"/>
            <w:noWrap/>
          </w:tcPr>
          <w:p w14:paraId="6650DB40">
            <w:pPr>
              <w:spacing w:line="360" w:lineRule="auto"/>
              <w:ind w:firstLine="420"/>
              <w:rPr>
                <w:rFonts w:ascii="宋体" w:hAnsi="宋体"/>
                <w:color w:val="auto"/>
                <w:szCs w:val="21"/>
                <w:highlight w:val="none"/>
              </w:rPr>
            </w:pPr>
          </w:p>
        </w:tc>
        <w:tc>
          <w:tcPr>
            <w:tcW w:w="1243" w:type="dxa"/>
            <w:noWrap/>
          </w:tcPr>
          <w:p w14:paraId="11944A77">
            <w:pPr>
              <w:spacing w:line="360" w:lineRule="auto"/>
              <w:ind w:firstLine="420"/>
              <w:rPr>
                <w:rFonts w:ascii="宋体" w:hAnsi="宋体"/>
                <w:color w:val="auto"/>
                <w:szCs w:val="21"/>
                <w:highlight w:val="none"/>
              </w:rPr>
            </w:pPr>
          </w:p>
        </w:tc>
        <w:tc>
          <w:tcPr>
            <w:tcW w:w="1450" w:type="dxa"/>
            <w:noWrap/>
          </w:tcPr>
          <w:p w14:paraId="05C08E04">
            <w:pPr>
              <w:spacing w:line="360" w:lineRule="auto"/>
              <w:ind w:firstLine="420"/>
              <w:rPr>
                <w:rFonts w:ascii="宋体" w:hAnsi="宋体"/>
                <w:color w:val="auto"/>
                <w:szCs w:val="21"/>
                <w:highlight w:val="none"/>
              </w:rPr>
            </w:pPr>
          </w:p>
        </w:tc>
        <w:tc>
          <w:tcPr>
            <w:tcW w:w="1670" w:type="dxa"/>
            <w:noWrap/>
          </w:tcPr>
          <w:p w14:paraId="511B8E5C">
            <w:pPr>
              <w:spacing w:line="360" w:lineRule="auto"/>
              <w:ind w:firstLine="420"/>
              <w:rPr>
                <w:rFonts w:ascii="宋体" w:hAnsi="宋体"/>
                <w:color w:val="auto"/>
                <w:szCs w:val="21"/>
                <w:highlight w:val="none"/>
              </w:rPr>
            </w:pPr>
          </w:p>
        </w:tc>
      </w:tr>
      <w:tr w14:paraId="03B307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tcPr>
          <w:p w14:paraId="5388EF10">
            <w:pPr>
              <w:spacing w:line="360" w:lineRule="auto"/>
              <w:ind w:firstLine="420"/>
              <w:rPr>
                <w:rFonts w:ascii="宋体" w:hAnsi="宋体"/>
                <w:color w:val="auto"/>
                <w:szCs w:val="21"/>
                <w:highlight w:val="none"/>
              </w:rPr>
            </w:pPr>
          </w:p>
        </w:tc>
        <w:tc>
          <w:tcPr>
            <w:tcW w:w="1276" w:type="dxa"/>
            <w:noWrap/>
          </w:tcPr>
          <w:p w14:paraId="13775FEE">
            <w:pPr>
              <w:spacing w:line="360" w:lineRule="auto"/>
              <w:ind w:firstLine="420"/>
              <w:rPr>
                <w:rFonts w:ascii="宋体" w:hAnsi="宋体"/>
                <w:color w:val="auto"/>
                <w:szCs w:val="21"/>
                <w:highlight w:val="none"/>
              </w:rPr>
            </w:pPr>
          </w:p>
        </w:tc>
        <w:tc>
          <w:tcPr>
            <w:tcW w:w="1450" w:type="dxa"/>
            <w:noWrap/>
          </w:tcPr>
          <w:p w14:paraId="5757D71D">
            <w:pPr>
              <w:spacing w:line="360" w:lineRule="auto"/>
              <w:ind w:firstLine="420"/>
              <w:rPr>
                <w:rFonts w:ascii="宋体" w:hAnsi="宋体"/>
                <w:color w:val="auto"/>
                <w:szCs w:val="21"/>
                <w:highlight w:val="none"/>
              </w:rPr>
            </w:pPr>
          </w:p>
        </w:tc>
        <w:tc>
          <w:tcPr>
            <w:tcW w:w="1243" w:type="dxa"/>
            <w:noWrap/>
          </w:tcPr>
          <w:p w14:paraId="049EF390">
            <w:pPr>
              <w:spacing w:line="360" w:lineRule="auto"/>
              <w:ind w:firstLine="420"/>
              <w:rPr>
                <w:rFonts w:ascii="宋体" w:hAnsi="宋体"/>
                <w:color w:val="auto"/>
                <w:szCs w:val="21"/>
                <w:highlight w:val="none"/>
              </w:rPr>
            </w:pPr>
          </w:p>
        </w:tc>
        <w:tc>
          <w:tcPr>
            <w:tcW w:w="1450" w:type="dxa"/>
            <w:noWrap/>
          </w:tcPr>
          <w:p w14:paraId="452B417F">
            <w:pPr>
              <w:spacing w:line="360" w:lineRule="auto"/>
              <w:ind w:firstLine="420"/>
              <w:rPr>
                <w:rFonts w:ascii="宋体" w:hAnsi="宋体"/>
                <w:color w:val="auto"/>
                <w:szCs w:val="21"/>
                <w:highlight w:val="none"/>
              </w:rPr>
            </w:pPr>
          </w:p>
        </w:tc>
        <w:tc>
          <w:tcPr>
            <w:tcW w:w="1670" w:type="dxa"/>
            <w:noWrap/>
          </w:tcPr>
          <w:p w14:paraId="7005710B">
            <w:pPr>
              <w:spacing w:line="360" w:lineRule="auto"/>
              <w:ind w:firstLine="420"/>
              <w:rPr>
                <w:rFonts w:ascii="宋体" w:hAnsi="宋体"/>
                <w:color w:val="auto"/>
                <w:szCs w:val="21"/>
                <w:highlight w:val="none"/>
              </w:rPr>
            </w:pPr>
          </w:p>
        </w:tc>
      </w:tr>
    </w:tbl>
    <w:p w14:paraId="2D6B9DB2">
      <w:pPr>
        <w:spacing w:line="360" w:lineRule="auto"/>
        <w:ind w:firstLine="420"/>
        <w:rPr>
          <w:rFonts w:ascii="宋体" w:hAnsi="宋体"/>
          <w:color w:val="auto"/>
          <w:szCs w:val="21"/>
          <w:highlight w:val="none"/>
        </w:rPr>
      </w:pPr>
    </w:p>
    <w:p w14:paraId="049DCA77">
      <w:pPr>
        <w:spacing w:line="360" w:lineRule="auto"/>
        <w:ind w:firstLine="420"/>
        <w:rPr>
          <w:rFonts w:ascii="宋体" w:hAnsi="宋体"/>
          <w:color w:val="auto"/>
          <w:szCs w:val="21"/>
          <w:highlight w:val="none"/>
        </w:rPr>
      </w:pPr>
    </w:p>
    <w:p w14:paraId="63436354">
      <w:pPr>
        <w:spacing w:line="360" w:lineRule="auto"/>
        <w:ind w:firstLine="420"/>
        <w:rPr>
          <w:rFonts w:ascii="宋体" w:hAnsi="宋体"/>
          <w:color w:val="auto"/>
          <w:szCs w:val="21"/>
          <w:highlight w:val="none"/>
        </w:rPr>
        <w:sectPr>
          <w:pgSz w:w="11906" w:h="16838"/>
          <w:pgMar w:top="1440" w:right="1800" w:bottom="1440" w:left="1800" w:header="720" w:footer="998" w:gutter="0"/>
          <w:pgNumType w:fmt="decimal"/>
          <w:cols w:space="720" w:num="1"/>
          <w:docGrid w:linePitch="326" w:charSpace="0"/>
        </w:sectPr>
      </w:pPr>
    </w:p>
    <w:p w14:paraId="7416241C">
      <w:pPr>
        <w:pStyle w:val="173"/>
        <w:numPr>
          <w:ilvl w:val="0"/>
          <w:numId w:val="0"/>
        </w:numPr>
        <w:wordWrap/>
        <w:spacing w:after="156"/>
        <w:rPr>
          <w:rFonts w:ascii="宋体" w:hAnsi="宋体" w:eastAsia="宋体"/>
          <w:color w:val="auto"/>
          <w:sz w:val="21"/>
          <w:szCs w:val="21"/>
          <w:highlight w:val="none"/>
        </w:rPr>
      </w:pPr>
      <w:bookmarkStart w:id="1705" w:name="_Toc20171897"/>
      <w:bookmarkStart w:id="1706" w:name="_Toc25596"/>
      <w:bookmarkStart w:id="1707" w:name="_Toc25204"/>
      <w:bookmarkStart w:id="1708" w:name="_Toc11742"/>
      <w:bookmarkStart w:id="1709" w:name="_Toc9101"/>
      <w:bookmarkStart w:id="1710" w:name="_Toc54862356"/>
      <w:r>
        <w:rPr>
          <w:rFonts w:hint="eastAsia" w:ascii="宋体" w:hAnsi="宋体" w:eastAsia="宋体"/>
          <w:color w:val="auto"/>
          <w:sz w:val="21"/>
          <w:szCs w:val="21"/>
          <w:highlight w:val="none"/>
        </w:rPr>
        <w:t>附件</w:t>
      </w:r>
      <w:r>
        <w:rPr>
          <w:rFonts w:ascii="宋体" w:hAnsi="宋体" w:eastAsia="宋体"/>
          <w:color w:val="auto"/>
          <w:sz w:val="21"/>
          <w:szCs w:val="21"/>
          <w:highlight w:val="none"/>
        </w:rPr>
        <w:t>5 承包人主要管理人员表</w:t>
      </w:r>
      <w:bookmarkEnd w:id="1705"/>
      <w:bookmarkEnd w:id="1706"/>
      <w:bookmarkEnd w:id="1707"/>
      <w:bookmarkEnd w:id="1708"/>
      <w:bookmarkEnd w:id="1709"/>
      <w:bookmarkEnd w:id="1710"/>
    </w:p>
    <w:tbl>
      <w:tblPr>
        <w:tblStyle w:val="4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505"/>
        <w:gridCol w:w="1418"/>
        <w:gridCol w:w="1134"/>
        <w:gridCol w:w="1134"/>
        <w:gridCol w:w="3896"/>
      </w:tblGrid>
      <w:tr w14:paraId="005683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12" w:space="0"/>
              <w:bottom w:val="double" w:color="auto" w:sz="6" w:space="0"/>
            </w:tcBorders>
            <w:noWrap/>
            <w:vAlign w:val="center"/>
          </w:tcPr>
          <w:p w14:paraId="2405EDA4">
            <w:pPr>
              <w:pStyle w:val="17"/>
              <w:spacing w:after="0" w:line="360" w:lineRule="auto"/>
              <w:ind w:firstLine="420"/>
              <w:rPr>
                <w:rFonts w:ascii="宋体" w:hAnsi="宋体"/>
                <w:color w:val="auto"/>
                <w:sz w:val="21"/>
                <w:szCs w:val="21"/>
                <w:highlight w:val="none"/>
              </w:rPr>
            </w:pPr>
            <w:r>
              <w:rPr>
                <w:rFonts w:hint="eastAsia" w:ascii="宋体" w:hAnsi="宋体"/>
                <w:color w:val="auto"/>
                <w:sz w:val="21"/>
                <w:szCs w:val="21"/>
                <w:highlight w:val="none"/>
              </w:rPr>
              <w:t>名    称</w:t>
            </w:r>
          </w:p>
        </w:tc>
        <w:tc>
          <w:tcPr>
            <w:tcW w:w="1418" w:type="dxa"/>
            <w:tcBorders>
              <w:top w:val="single" w:color="auto" w:sz="12" w:space="0"/>
              <w:bottom w:val="double" w:color="auto" w:sz="6" w:space="0"/>
            </w:tcBorders>
            <w:noWrap/>
            <w:vAlign w:val="center"/>
          </w:tcPr>
          <w:p w14:paraId="6FA1D54D">
            <w:pPr>
              <w:pStyle w:val="17"/>
              <w:spacing w:after="0" w:line="360" w:lineRule="auto"/>
              <w:ind w:firstLine="420"/>
              <w:rPr>
                <w:rFonts w:ascii="宋体" w:hAnsi="宋体"/>
                <w:color w:val="auto"/>
                <w:sz w:val="21"/>
                <w:szCs w:val="21"/>
                <w:highlight w:val="none"/>
              </w:rPr>
            </w:pPr>
            <w:r>
              <w:rPr>
                <w:rFonts w:hint="eastAsia" w:ascii="宋体" w:hAnsi="宋体"/>
                <w:color w:val="auto"/>
                <w:sz w:val="21"/>
                <w:szCs w:val="21"/>
                <w:highlight w:val="none"/>
              </w:rPr>
              <w:t>姓名</w:t>
            </w:r>
          </w:p>
        </w:tc>
        <w:tc>
          <w:tcPr>
            <w:tcW w:w="1134" w:type="dxa"/>
            <w:tcBorders>
              <w:top w:val="single" w:color="auto" w:sz="12" w:space="0"/>
              <w:bottom w:val="double" w:color="auto" w:sz="6" w:space="0"/>
            </w:tcBorders>
            <w:noWrap/>
            <w:vAlign w:val="center"/>
          </w:tcPr>
          <w:p w14:paraId="59602E61">
            <w:pPr>
              <w:pStyle w:val="17"/>
              <w:spacing w:after="0" w:line="360" w:lineRule="auto"/>
              <w:ind w:firstLine="420"/>
              <w:rPr>
                <w:rFonts w:ascii="宋体" w:hAnsi="宋体"/>
                <w:color w:val="auto"/>
                <w:sz w:val="21"/>
                <w:szCs w:val="21"/>
                <w:highlight w:val="none"/>
              </w:rPr>
            </w:pPr>
            <w:r>
              <w:rPr>
                <w:rFonts w:hint="eastAsia" w:ascii="宋体" w:hAnsi="宋体"/>
                <w:color w:val="auto"/>
                <w:sz w:val="21"/>
                <w:szCs w:val="21"/>
                <w:highlight w:val="none"/>
              </w:rPr>
              <w:t>职务</w:t>
            </w:r>
          </w:p>
        </w:tc>
        <w:tc>
          <w:tcPr>
            <w:tcW w:w="1134" w:type="dxa"/>
            <w:tcBorders>
              <w:top w:val="single" w:color="auto" w:sz="12" w:space="0"/>
              <w:bottom w:val="double" w:color="auto" w:sz="6" w:space="0"/>
            </w:tcBorders>
            <w:noWrap/>
            <w:vAlign w:val="center"/>
          </w:tcPr>
          <w:p w14:paraId="6CDB6A55">
            <w:pPr>
              <w:pStyle w:val="17"/>
              <w:spacing w:after="0" w:line="360" w:lineRule="auto"/>
              <w:ind w:firstLine="420"/>
              <w:rPr>
                <w:rFonts w:ascii="宋体" w:hAnsi="宋体"/>
                <w:color w:val="auto"/>
                <w:sz w:val="21"/>
                <w:szCs w:val="21"/>
                <w:highlight w:val="none"/>
              </w:rPr>
            </w:pPr>
            <w:r>
              <w:rPr>
                <w:rFonts w:hint="eastAsia" w:ascii="宋体" w:hAnsi="宋体"/>
                <w:color w:val="auto"/>
                <w:sz w:val="21"/>
                <w:szCs w:val="21"/>
                <w:highlight w:val="none"/>
              </w:rPr>
              <w:t>职称</w:t>
            </w:r>
          </w:p>
        </w:tc>
        <w:tc>
          <w:tcPr>
            <w:tcW w:w="3896" w:type="dxa"/>
            <w:tcBorders>
              <w:top w:val="single" w:color="auto" w:sz="12" w:space="0"/>
              <w:bottom w:val="double" w:color="auto" w:sz="6" w:space="0"/>
            </w:tcBorders>
            <w:noWrap/>
            <w:vAlign w:val="center"/>
          </w:tcPr>
          <w:p w14:paraId="4B3EE7F3">
            <w:pPr>
              <w:pStyle w:val="17"/>
              <w:spacing w:after="0" w:line="360" w:lineRule="auto"/>
              <w:ind w:firstLine="420"/>
              <w:rPr>
                <w:rFonts w:ascii="宋体" w:hAnsi="宋体"/>
                <w:color w:val="auto"/>
                <w:sz w:val="21"/>
                <w:szCs w:val="21"/>
                <w:highlight w:val="none"/>
              </w:rPr>
            </w:pPr>
            <w:r>
              <w:rPr>
                <w:rFonts w:hint="eastAsia" w:ascii="宋体" w:hAnsi="宋体"/>
                <w:color w:val="auto"/>
                <w:sz w:val="21"/>
                <w:szCs w:val="21"/>
                <w:highlight w:val="none"/>
              </w:rPr>
              <w:t>主要资历、经验及承担过的项目</w:t>
            </w:r>
          </w:p>
        </w:tc>
      </w:tr>
      <w:tr w14:paraId="19B5A1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087" w:type="dxa"/>
            <w:gridSpan w:val="5"/>
            <w:tcBorders>
              <w:top w:val="double" w:color="auto" w:sz="6" w:space="0"/>
              <w:bottom w:val="single" w:color="auto" w:sz="6" w:space="0"/>
            </w:tcBorders>
            <w:noWrap/>
            <w:vAlign w:val="center"/>
          </w:tcPr>
          <w:p w14:paraId="49D001AC">
            <w:pPr>
              <w:pStyle w:val="17"/>
              <w:spacing w:after="0" w:line="360" w:lineRule="auto"/>
              <w:ind w:firstLine="420"/>
              <w:rPr>
                <w:rFonts w:ascii="宋体" w:hAnsi="宋体"/>
                <w:color w:val="auto"/>
                <w:sz w:val="21"/>
                <w:szCs w:val="21"/>
                <w:highlight w:val="none"/>
              </w:rPr>
            </w:pPr>
            <w:r>
              <w:rPr>
                <w:rFonts w:hint="eastAsia" w:ascii="宋体" w:hAnsi="宋体"/>
                <w:color w:val="auto"/>
                <w:sz w:val="21"/>
                <w:szCs w:val="21"/>
                <w:highlight w:val="none"/>
              </w:rPr>
              <w:t>一、总部人员</w:t>
            </w:r>
          </w:p>
        </w:tc>
      </w:tr>
      <w:tr w14:paraId="459465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nil"/>
              <w:bottom w:val="nil"/>
            </w:tcBorders>
            <w:noWrap/>
            <w:vAlign w:val="center"/>
          </w:tcPr>
          <w:p w14:paraId="63169197">
            <w:pPr>
              <w:pStyle w:val="17"/>
              <w:spacing w:after="0" w:line="360" w:lineRule="auto"/>
              <w:jc w:val="center"/>
              <w:rPr>
                <w:rFonts w:ascii="宋体" w:hAnsi="宋体"/>
                <w:color w:val="auto"/>
                <w:sz w:val="21"/>
                <w:szCs w:val="21"/>
                <w:highlight w:val="none"/>
              </w:rPr>
            </w:pPr>
            <w:r>
              <w:rPr>
                <w:rFonts w:hint="eastAsia" w:ascii="宋体" w:hAnsi="宋体"/>
                <w:color w:val="auto"/>
                <w:sz w:val="21"/>
                <w:szCs w:val="21"/>
                <w:highlight w:val="none"/>
              </w:rPr>
              <w:t>项目主管</w:t>
            </w:r>
          </w:p>
        </w:tc>
        <w:tc>
          <w:tcPr>
            <w:tcW w:w="1418" w:type="dxa"/>
            <w:tcBorders>
              <w:top w:val="nil"/>
            </w:tcBorders>
            <w:noWrap/>
            <w:vAlign w:val="center"/>
          </w:tcPr>
          <w:p w14:paraId="3B18DABA">
            <w:pPr>
              <w:pStyle w:val="17"/>
              <w:spacing w:after="0" w:line="360" w:lineRule="auto"/>
              <w:ind w:firstLine="420"/>
              <w:rPr>
                <w:rFonts w:ascii="宋体" w:hAnsi="宋体"/>
                <w:color w:val="auto"/>
                <w:sz w:val="21"/>
                <w:szCs w:val="21"/>
                <w:highlight w:val="none"/>
              </w:rPr>
            </w:pPr>
          </w:p>
        </w:tc>
        <w:tc>
          <w:tcPr>
            <w:tcW w:w="1134" w:type="dxa"/>
            <w:tcBorders>
              <w:top w:val="nil"/>
            </w:tcBorders>
            <w:noWrap/>
            <w:vAlign w:val="center"/>
          </w:tcPr>
          <w:p w14:paraId="00351174">
            <w:pPr>
              <w:pStyle w:val="17"/>
              <w:spacing w:after="0" w:line="360" w:lineRule="auto"/>
              <w:ind w:firstLine="420"/>
              <w:rPr>
                <w:rFonts w:ascii="宋体" w:hAnsi="宋体"/>
                <w:color w:val="auto"/>
                <w:sz w:val="21"/>
                <w:szCs w:val="21"/>
                <w:highlight w:val="none"/>
              </w:rPr>
            </w:pPr>
          </w:p>
        </w:tc>
        <w:tc>
          <w:tcPr>
            <w:tcW w:w="1134" w:type="dxa"/>
            <w:tcBorders>
              <w:top w:val="nil"/>
            </w:tcBorders>
            <w:noWrap/>
            <w:vAlign w:val="center"/>
          </w:tcPr>
          <w:p w14:paraId="285826BF">
            <w:pPr>
              <w:pStyle w:val="17"/>
              <w:spacing w:after="0" w:line="360" w:lineRule="auto"/>
              <w:ind w:firstLine="420"/>
              <w:rPr>
                <w:rFonts w:ascii="宋体" w:hAnsi="宋体"/>
                <w:color w:val="auto"/>
                <w:sz w:val="21"/>
                <w:szCs w:val="21"/>
                <w:highlight w:val="none"/>
              </w:rPr>
            </w:pPr>
          </w:p>
        </w:tc>
        <w:tc>
          <w:tcPr>
            <w:tcW w:w="3896" w:type="dxa"/>
            <w:tcBorders>
              <w:top w:val="nil"/>
            </w:tcBorders>
            <w:noWrap/>
            <w:vAlign w:val="center"/>
          </w:tcPr>
          <w:p w14:paraId="0C7D0DAC">
            <w:pPr>
              <w:pStyle w:val="17"/>
              <w:spacing w:after="0" w:line="360" w:lineRule="auto"/>
              <w:ind w:firstLine="420"/>
              <w:rPr>
                <w:rFonts w:ascii="宋体" w:hAnsi="宋体"/>
                <w:color w:val="auto"/>
                <w:sz w:val="21"/>
                <w:szCs w:val="21"/>
                <w:highlight w:val="none"/>
              </w:rPr>
            </w:pPr>
          </w:p>
        </w:tc>
      </w:tr>
      <w:tr w14:paraId="393CA8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nil"/>
            </w:tcBorders>
            <w:noWrap/>
            <w:vAlign w:val="center"/>
          </w:tcPr>
          <w:p w14:paraId="54D92C67">
            <w:pPr>
              <w:pStyle w:val="17"/>
              <w:spacing w:after="0" w:line="360" w:lineRule="auto"/>
              <w:ind w:firstLine="420"/>
              <w:rPr>
                <w:rFonts w:ascii="宋体" w:hAnsi="宋体"/>
                <w:color w:val="auto"/>
                <w:sz w:val="21"/>
                <w:szCs w:val="21"/>
                <w:highlight w:val="none"/>
              </w:rPr>
            </w:pPr>
          </w:p>
        </w:tc>
        <w:tc>
          <w:tcPr>
            <w:tcW w:w="1418" w:type="dxa"/>
            <w:noWrap/>
            <w:vAlign w:val="center"/>
          </w:tcPr>
          <w:p w14:paraId="01ECEE5B">
            <w:pPr>
              <w:pStyle w:val="17"/>
              <w:spacing w:after="0" w:line="360" w:lineRule="auto"/>
              <w:ind w:firstLine="420"/>
              <w:rPr>
                <w:rFonts w:ascii="宋体" w:hAnsi="宋体"/>
                <w:color w:val="auto"/>
                <w:sz w:val="21"/>
                <w:szCs w:val="21"/>
                <w:highlight w:val="none"/>
              </w:rPr>
            </w:pPr>
          </w:p>
        </w:tc>
        <w:tc>
          <w:tcPr>
            <w:tcW w:w="1134" w:type="dxa"/>
            <w:noWrap/>
            <w:vAlign w:val="center"/>
          </w:tcPr>
          <w:p w14:paraId="7B32AE2E">
            <w:pPr>
              <w:pStyle w:val="17"/>
              <w:spacing w:after="0" w:line="360" w:lineRule="auto"/>
              <w:ind w:firstLine="420"/>
              <w:rPr>
                <w:rFonts w:ascii="宋体" w:hAnsi="宋体"/>
                <w:color w:val="auto"/>
                <w:sz w:val="21"/>
                <w:szCs w:val="21"/>
                <w:highlight w:val="none"/>
              </w:rPr>
            </w:pPr>
          </w:p>
        </w:tc>
        <w:tc>
          <w:tcPr>
            <w:tcW w:w="1134" w:type="dxa"/>
            <w:noWrap/>
            <w:vAlign w:val="center"/>
          </w:tcPr>
          <w:p w14:paraId="6ED88C42">
            <w:pPr>
              <w:pStyle w:val="17"/>
              <w:spacing w:after="0" w:line="360" w:lineRule="auto"/>
              <w:ind w:firstLine="420"/>
              <w:rPr>
                <w:rFonts w:ascii="宋体" w:hAnsi="宋体"/>
                <w:color w:val="auto"/>
                <w:sz w:val="21"/>
                <w:szCs w:val="21"/>
                <w:highlight w:val="none"/>
              </w:rPr>
            </w:pPr>
          </w:p>
        </w:tc>
        <w:tc>
          <w:tcPr>
            <w:tcW w:w="3896" w:type="dxa"/>
            <w:noWrap/>
            <w:vAlign w:val="center"/>
          </w:tcPr>
          <w:p w14:paraId="5A9BD512">
            <w:pPr>
              <w:pStyle w:val="17"/>
              <w:spacing w:after="0" w:line="360" w:lineRule="auto"/>
              <w:ind w:firstLine="420"/>
              <w:rPr>
                <w:rFonts w:ascii="宋体" w:hAnsi="宋体"/>
                <w:color w:val="auto"/>
                <w:sz w:val="21"/>
                <w:szCs w:val="21"/>
                <w:highlight w:val="none"/>
              </w:rPr>
            </w:pPr>
          </w:p>
        </w:tc>
      </w:tr>
      <w:tr w14:paraId="67D25D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nil"/>
              <w:bottom w:val="nil"/>
            </w:tcBorders>
            <w:noWrap/>
            <w:vAlign w:val="center"/>
          </w:tcPr>
          <w:p w14:paraId="4FB11043">
            <w:pPr>
              <w:pStyle w:val="17"/>
              <w:spacing w:after="0" w:line="360" w:lineRule="auto"/>
              <w:jc w:val="center"/>
              <w:rPr>
                <w:rFonts w:ascii="宋体" w:hAnsi="宋体"/>
                <w:color w:val="auto"/>
                <w:sz w:val="21"/>
                <w:szCs w:val="21"/>
                <w:highlight w:val="none"/>
              </w:rPr>
            </w:pPr>
            <w:r>
              <w:rPr>
                <w:rFonts w:hint="eastAsia" w:ascii="宋体" w:hAnsi="宋体"/>
                <w:color w:val="auto"/>
                <w:sz w:val="21"/>
                <w:szCs w:val="21"/>
                <w:highlight w:val="none"/>
              </w:rPr>
              <w:t>其他人员</w:t>
            </w:r>
          </w:p>
        </w:tc>
        <w:tc>
          <w:tcPr>
            <w:tcW w:w="1418" w:type="dxa"/>
            <w:noWrap/>
            <w:vAlign w:val="center"/>
          </w:tcPr>
          <w:p w14:paraId="2C2D5A23">
            <w:pPr>
              <w:pStyle w:val="17"/>
              <w:spacing w:after="0" w:line="360" w:lineRule="auto"/>
              <w:ind w:firstLine="420"/>
              <w:rPr>
                <w:rFonts w:ascii="宋体" w:hAnsi="宋体"/>
                <w:color w:val="auto"/>
                <w:sz w:val="21"/>
                <w:szCs w:val="21"/>
                <w:highlight w:val="none"/>
              </w:rPr>
            </w:pPr>
          </w:p>
        </w:tc>
        <w:tc>
          <w:tcPr>
            <w:tcW w:w="1134" w:type="dxa"/>
            <w:noWrap/>
            <w:vAlign w:val="center"/>
          </w:tcPr>
          <w:p w14:paraId="62CD5DB9">
            <w:pPr>
              <w:pStyle w:val="17"/>
              <w:spacing w:after="0" w:line="360" w:lineRule="auto"/>
              <w:ind w:firstLine="420"/>
              <w:rPr>
                <w:rFonts w:ascii="宋体" w:hAnsi="宋体"/>
                <w:color w:val="auto"/>
                <w:sz w:val="21"/>
                <w:szCs w:val="21"/>
                <w:highlight w:val="none"/>
              </w:rPr>
            </w:pPr>
          </w:p>
        </w:tc>
        <w:tc>
          <w:tcPr>
            <w:tcW w:w="1134" w:type="dxa"/>
            <w:noWrap/>
            <w:vAlign w:val="center"/>
          </w:tcPr>
          <w:p w14:paraId="6D2E72E8">
            <w:pPr>
              <w:pStyle w:val="17"/>
              <w:spacing w:after="0" w:line="360" w:lineRule="auto"/>
              <w:ind w:firstLine="420"/>
              <w:rPr>
                <w:rFonts w:ascii="宋体" w:hAnsi="宋体"/>
                <w:color w:val="auto"/>
                <w:sz w:val="21"/>
                <w:szCs w:val="21"/>
                <w:highlight w:val="none"/>
              </w:rPr>
            </w:pPr>
          </w:p>
        </w:tc>
        <w:tc>
          <w:tcPr>
            <w:tcW w:w="3896" w:type="dxa"/>
            <w:noWrap/>
            <w:vAlign w:val="center"/>
          </w:tcPr>
          <w:p w14:paraId="4D6EF082">
            <w:pPr>
              <w:pStyle w:val="17"/>
              <w:spacing w:after="0" w:line="360" w:lineRule="auto"/>
              <w:ind w:firstLine="420"/>
              <w:rPr>
                <w:rFonts w:ascii="宋体" w:hAnsi="宋体"/>
                <w:color w:val="auto"/>
                <w:sz w:val="21"/>
                <w:szCs w:val="21"/>
                <w:highlight w:val="none"/>
              </w:rPr>
            </w:pPr>
          </w:p>
        </w:tc>
      </w:tr>
      <w:tr w14:paraId="6718B1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nil"/>
              <w:bottom w:val="nil"/>
            </w:tcBorders>
            <w:noWrap/>
            <w:vAlign w:val="center"/>
          </w:tcPr>
          <w:p w14:paraId="08B00183">
            <w:pPr>
              <w:pStyle w:val="17"/>
              <w:spacing w:after="0" w:line="360" w:lineRule="auto"/>
              <w:ind w:firstLine="420"/>
              <w:rPr>
                <w:rFonts w:ascii="宋体" w:hAnsi="宋体"/>
                <w:color w:val="auto"/>
                <w:sz w:val="21"/>
                <w:szCs w:val="21"/>
                <w:highlight w:val="none"/>
              </w:rPr>
            </w:pPr>
          </w:p>
        </w:tc>
        <w:tc>
          <w:tcPr>
            <w:tcW w:w="1418" w:type="dxa"/>
            <w:noWrap/>
            <w:vAlign w:val="center"/>
          </w:tcPr>
          <w:p w14:paraId="08163D4E">
            <w:pPr>
              <w:pStyle w:val="17"/>
              <w:spacing w:after="0" w:line="360" w:lineRule="auto"/>
              <w:ind w:firstLine="420"/>
              <w:rPr>
                <w:rFonts w:ascii="宋体" w:hAnsi="宋体"/>
                <w:color w:val="auto"/>
                <w:sz w:val="21"/>
                <w:szCs w:val="21"/>
                <w:highlight w:val="none"/>
              </w:rPr>
            </w:pPr>
          </w:p>
        </w:tc>
        <w:tc>
          <w:tcPr>
            <w:tcW w:w="1134" w:type="dxa"/>
            <w:noWrap/>
            <w:vAlign w:val="center"/>
          </w:tcPr>
          <w:p w14:paraId="530A313D">
            <w:pPr>
              <w:pStyle w:val="17"/>
              <w:spacing w:after="0" w:line="360" w:lineRule="auto"/>
              <w:ind w:firstLine="420"/>
              <w:rPr>
                <w:rFonts w:ascii="宋体" w:hAnsi="宋体"/>
                <w:color w:val="auto"/>
                <w:sz w:val="21"/>
                <w:szCs w:val="21"/>
                <w:highlight w:val="none"/>
              </w:rPr>
            </w:pPr>
          </w:p>
        </w:tc>
        <w:tc>
          <w:tcPr>
            <w:tcW w:w="1134" w:type="dxa"/>
            <w:noWrap/>
            <w:vAlign w:val="center"/>
          </w:tcPr>
          <w:p w14:paraId="2D0B4DF4">
            <w:pPr>
              <w:pStyle w:val="17"/>
              <w:spacing w:after="0" w:line="360" w:lineRule="auto"/>
              <w:ind w:firstLine="420"/>
              <w:rPr>
                <w:rFonts w:ascii="宋体" w:hAnsi="宋体"/>
                <w:color w:val="auto"/>
                <w:sz w:val="21"/>
                <w:szCs w:val="21"/>
                <w:highlight w:val="none"/>
              </w:rPr>
            </w:pPr>
          </w:p>
        </w:tc>
        <w:tc>
          <w:tcPr>
            <w:tcW w:w="3896" w:type="dxa"/>
            <w:noWrap/>
            <w:vAlign w:val="center"/>
          </w:tcPr>
          <w:p w14:paraId="5A512787">
            <w:pPr>
              <w:pStyle w:val="17"/>
              <w:spacing w:after="0" w:line="360" w:lineRule="auto"/>
              <w:ind w:firstLine="420"/>
              <w:rPr>
                <w:rFonts w:ascii="宋体" w:hAnsi="宋体"/>
                <w:color w:val="auto"/>
                <w:sz w:val="21"/>
                <w:szCs w:val="21"/>
                <w:highlight w:val="none"/>
              </w:rPr>
            </w:pPr>
          </w:p>
        </w:tc>
      </w:tr>
      <w:tr w14:paraId="318F03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087" w:type="dxa"/>
            <w:gridSpan w:val="5"/>
            <w:tcBorders>
              <w:top w:val="single" w:color="auto" w:sz="6" w:space="0"/>
              <w:bottom w:val="single" w:color="auto" w:sz="6" w:space="0"/>
            </w:tcBorders>
            <w:noWrap/>
            <w:vAlign w:val="center"/>
          </w:tcPr>
          <w:p w14:paraId="1D33E347">
            <w:pPr>
              <w:pStyle w:val="17"/>
              <w:spacing w:after="0" w:line="360" w:lineRule="auto"/>
              <w:ind w:firstLine="420"/>
              <w:rPr>
                <w:rFonts w:ascii="宋体" w:hAnsi="宋体"/>
                <w:color w:val="auto"/>
                <w:sz w:val="21"/>
                <w:szCs w:val="21"/>
                <w:highlight w:val="none"/>
              </w:rPr>
            </w:pPr>
            <w:r>
              <w:rPr>
                <w:rFonts w:hint="eastAsia" w:ascii="宋体" w:hAnsi="宋体"/>
                <w:color w:val="auto"/>
                <w:sz w:val="21"/>
                <w:szCs w:val="21"/>
                <w:highlight w:val="none"/>
              </w:rPr>
              <w:t>二、现场人员</w:t>
            </w:r>
          </w:p>
        </w:tc>
      </w:tr>
      <w:tr w14:paraId="3FEF47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ign w:val="center"/>
          </w:tcPr>
          <w:p w14:paraId="3C309B9F">
            <w:pPr>
              <w:pStyle w:val="17"/>
              <w:spacing w:after="0" w:line="360" w:lineRule="auto"/>
              <w:jc w:val="center"/>
              <w:rPr>
                <w:rFonts w:ascii="宋体" w:hAnsi="宋体"/>
                <w:color w:val="auto"/>
                <w:sz w:val="21"/>
                <w:szCs w:val="21"/>
                <w:highlight w:val="none"/>
              </w:rPr>
            </w:pPr>
            <w:r>
              <w:rPr>
                <w:rFonts w:hint="eastAsia" w:ascii="宋体" w:hAnsi="宋体"/>
                <w:color w:val="auto"/>
                <w:sz w:val="21"/>
                <w:szCs w:val="21"/>
                <w:highlight w:val="none"/>
              </w:rPr>
              <w:t>工程总承包</w:t>
            </w:r>
          </w:p>
          <w:p w14:paraId="72BA77A5">
            <w:pPr>
              <w:pStyle w:val="17"/>
              <w:spacing w:after="0" w:line="360" w:lineRule="auto"/>
              <w:jc w:val="center"/>
              <w:rPr>
                <w:rFonts w:ascii="宋体" w:hAnsi="宋体"/>
                <w:color w:val="auto"/>
                <w:sz w:val="21"/>
                <w:szCs w:val="21"/>
                <w:highlight w:val="none"/>
              </w:rPr>
            </w:pPr>
            <w:r>
              <w:rPr>
                <w:rFonts w:hint="eastAsia" w:ascii="宋体" w:hAnsi="宋体"/>
                <w:color w:val="auto"/>
                <w:sz w:val="21"/>
                <w:szCs w:val="21"/>
                <w:highlight w:val="none"/>
              </w:rPr>
              <w:t>项目经理</w:t>
            </w:r>
          </w:p>
        </w:tc>
        <w:tc>
          <w:tcPr>
            <w:tcW w:w="1418" w:type="dxa"/>
            <w:noWrap/>
            <w:vAlign w:val="center"/>
          </w:tcPr>
          <w:p w14:paraId="4E478696">
            <w:pPr>
              <w:pStyle w:val="17"/>
              <w:spacing w:after="0" w:line="360" w:lineRule="auto"/>
              <w:ind w:firstLine="420"/>
              <w:rPr>
                <w:rFonts w:ascii="宋体" w:hAnsi="宋体"/>
                <w:color w:val="auto"/>
                <w:sz w:val="21"/>
                <w:szCs w:val="21"/>
                <w:highlight w:val="none"/>
              </w:rPr>
            </w:pPr>
          </w:p>
        </w:tc>
        <w:tc>
          <w:tcPr>
            <w:tcW w:w="1134" w:type="dxa"/>
            <w:noWrap/>
            <w:vAlign w:val="center"/>
          </w:tcPr>
          <w:p w14:paraId="7FB76646">
            <w:pPr>
              <w:pStyle w:val="17"/>
              <w:spacing w:after="0" w:line="360" w:lineRule="auto"/>
              <w:ind w:firstLine="420"/>
              <w:rPr>
                <w:rFonts w:ascii="宋体" w:hAnsi="宋体"/>
                <w:color w:val="auto"/>
                <w:sz w:val="21"/>
                <w:szCs w:val="21"/>
                <w:highlight w:val="none"/>
              </w:rPr>
            </w:pPr>
          </w:p>
        </w:tc>
        <w:tc>
          <w:tcPr>
            <w:tcW w:w="1134" w:type="dxa"/>
            <w:noWrap/>
            <w:vAlign w:val="center"/>
          </w:tcPr>
          <w:p w14:paraId="63E6413C">
            <w:pPr>
              <w:pStyle w:val="17"/>
              <w:spacing w:after="0" w:line="360" w:lineRule="auto"/>
              <w:ind w:firstLine="420"/>
              <w:rPr>
                <w:rFonts w:ascii="宋体" w:hAnsi="宋体"/>
                <w:color w:val="auto"/>
                <w:sz w:val="21"/>
                <w:szCs w:val="21"/>
                <w:highlight w:val="none"/>
              </w:rPr>
            </w:pPr>
          </w:p>
        </w:tc>
        <w:tc>
          <w:tcPr>
            <w:tcW w:w="3896" w:type="dxa"/>
            <w:noWrap/>
            <w:vAlign w:val="center"/>
          </w:tcPr>
          <w:p w14:paraId="7E1C7352">
            <w:pPr>
              <w:pStyle w:val="17"/>
              <w:spacing w:after="0" w:line="360" w:lineRule="auto"/>
              <w:ind w:firstLine="420"/>
              <w:rPr>
                <w:rFonts w:ascii="宋体" w:hAnsi="宋体"/>
                <w:color w:val="auto"/>
                <w:sz w:val="21"/>
                <w:szCs w:val="21"/>
                <w:highlight w:val="none"/>
              </w:rPr>
            </w:pPr>
          </w:p>
          <w:p w14:paraId="685ABD55">
            <w:pPr>
              <w:pStyle w:val="17"/>
              <w:spacing w:after="0" w:line="360" w:lineRule="auto"/>
              <w:ind w:firstLine="420"/>
              <w:rPr>
                <w:rFonts w:ascii="宋体" w:hAnsi="宋体"/>
                <w:color w:val="auto"/>
                <w:sz w:val="21"/>
                <w:szCs w:val="21"/>
                <w:highlight w:val="none"/>
              </w:rPr>
            </w:pPr>
          </w:p>
        </w:tc>
      </w:tr>
      <w:tr w14:paraId="45321F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ign w:val="center"/>
          </w:tcPr>
          <w:p w14:paraId="3F258BDD">
            <w:pPr>
              <w:pStyle w:val="17"/>
              <w:spacing w:after="0" w:line="360" w:lineRule="auto"/>
              <w:jc w:val="center"/>
              <w:rPr>
                <w:rFonts w:ascii="宋体" w:hAnsi="宋体"/>
                <w:color w:val="auto"/>
                <w:sz w:val="21"/>
                <w:szCs w:val="21"/>
                <w:highlight w:val="none"/>
              </w:rPr>
            </w:pPr>
            <w:r>
              <w:rPr>
                <w:rFonts w:hint="eastAsia" w:ascii="宋体" w:hAnsi="宋体"/>
                <w:color w:val="auto"/>
                <w:sz w:val="21"/>
                <w:szCs w:val="21"/>
                <w:highlight w:val="none"/>
              </w:rPr>
              <w:t>项目副经理</w:t>
            </w:r>
          </w:p>
        </w:tc>
        <w:tc>
          <w:tcPr>
            <w:tcW w:w="1418" w:type="dxa"/>
            <w:noWrap/>
            <w:vAlign w:val="center"/>
          </w:tcPr>
          <w:p w14:paraId="7070C319">
            <w:pPr>
              <w:pStyle w:val="17"/>
              <w:spacing w:after="0" w:line="360" w:lineRule="auto"/>
              <w:ind w:firstLine="420"/>
              <w:rPr>
                <w:rFonts w:ascii="宋体" w:hAnsi="宋体"/>
                <w:color w:val="auto"/>
                <w:sz w:val="21"/>
                <w:szCs w:val="21"/>
                <w:highlight w:val="none"/>
              </w:rPr>
            </w:pPr>
          </w:p>
        </w:tc>
        <w:tc>
          <w:tcPr>
            <w:tcW w:w="1134" w:type="dxa"/>
            <w:noWrap/>
            <w:vAlign w:val="center"/>
          </w:tcPr>
          <w:p w14:paraId="7CFE97E8">
            <w:pPr>
              <w:pStyle w:val="17"/>
              <w:spacing w:after="0" w:line="360" w:lineRule="auto"/>
              <w:ind w:firstLine="420"/>
              <w:rPr>
                <w:rFonts w:ascii="宋体" w:hAnsi="宋体"/>
                <w:color w:val="auto"/>
                <w:sz w:val="21"/>
                <w:szCs w:val="21"/>
                <w:highlight w:val="none"/>
              </w:rPr>
            </w:pPr>
          </w:p>
        </w:tc>
        <w:tc>
          <w:tcPr>
            <w:tcW w:w="1134" w:type="dxa"/>
            <w:noWrap/>
            <w:vAlign w:val="center"/>
          </w:tcPr>
          <w:p w14:paraId="1BF6D952">
            <w:pPr>
              <w:pStyle w:val="17"/>
              <w:spacing w:after="0" w:line="360" w:lineRule="auto"/>
              <w:ind w:firstLine="420"/>
              <w:rPr>
                <w:rFonts w:ascii="宋体" w:hAnsi="宋体"/>
                <w:color w:val="auto"/>
                <w:sz w:val="21"/>
                <w:szCs w:val="21"/>
                <w:highlight w:val="none"/>
              </w:rPr>
            </w:pPr>
          </w:p>
        </w:tc>
        <w:tc>
          <w:tcPr>
            <w:tcW w:w="3896" w:type="dxa"/>
            <w:noWrap/>
            <w:vAlign w:val="center"/>
          </w:tcPr>
          <w:p w14:paraId="16EFC554">
            <w:pPr>
              <w:pStyle w:val="17"/>
              <w:spacing w:after="0" w:line="360" w:lineRule="auto"/>
              <w:ind w:firstLine="420"/>
              <w:rPr>
                <w:rFonts w:ascii="宋体" w:hAnsi="宋体"/>
                <w:color w:val="auto"/>
                <w:sz w:val="21"/>
                <w:szCs w:val="21"/>
                <w:highlight w:val="none"/>
              </w:rPr>
            </w:pPr>
          </w:p>
        </w:tc>
      </w:tr>
      <w:tr w14:paraId="07D0D2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ign w:val="center"/>
          </w:tcPr>
          <w:p w14:paraId="504AC544">
            <w:pPr>
              <w:pStyle w:val="17"/>
              <w:spacing w:after="0" w:line="360" w:lineRule="auto"/>
              <w:jc w:val="center"/>
              <w:rPr>
                <w:rFonts w:ascii="宋体" w:hAnsi="宋体"/>
                <w:color w:val="auto"/>
                <w:sz w:val="21"/>
                <w:szCs w:val="21"/>
                <w:highlight w:val="none"/>
              </w:rPr>
            </w:pPr>
            <w:r>
              <w:rPr>
                <w:rFonts w:hint="eastAsia" w:ascii="宋体" w:hAnsi="宋体"/>
                <w:color w:val="auto"/>
                <w:sz w:val="21"/>
                <w:szCs w:val="21"/>
                <w:highlight w:val="none"/>
              </w:rPr>
              <w:t>设计负责人</w:t>
            </w:r>
          </w:p>
        </w:tc>
        <w:tc>
          <w:tcPr>
            <w:tcW w:w="1418" w:type="dxa"/>
            <w:noWrap/>
            <w:vAlign w:val="center"/>
          </w:tcPr>
          <w:p w14:paraId="1BF38AF6">
            <w:pPr>
              <w:pStyle w:val="17"/>
              <w:spacing w:after="0" w:line="360" w:lineRule="auto"/>
              <w:ind w:firstLine="420"/>
              <w:rPr>
                <w:rFonts w:ascii="宋体" w:hAnsi="宋体"/>
                <w:color w:val="auto"/>
                <w:sz w:val="21"/>
                <w:szCs w:val="21"/>
                <w:highlight w:val="none"/>
              </w:rPr>
            </w:pPr>
          </w:p>
        </w:tc>
        <w:tc>
          <w:tcPr>
            <w:tcW w:w="1134" w:type="dxa"/>
            <w:noWrap/>
            <w:vAlign w:val="center"/>
          </w:tcPr>
          <w:p w14:paraId="3FB5F67D">
            <w:pPr>
              <w:pStyle w:val="17"/>
              <w:spacing w:after="0" w:line="360" w:lineRule="auto"/>
              <w:ind w:firstLine="420"/>
              <w:rPr>
                <w:rFonts w:ascii="宋体" w:hAnsi="宋体"/>
                <w:color w:val="auto"/>
                <w:sz w:val="21"/>
                <w:szCs w:val="21"/>
                <w:highlight w:val="none"/>
              </w:rPr>
            </w:pPr>
          </w:p>
        </w:tc>
        <w:tc>
          <w:tcPr>
            <w:tcW w:w="1134" w:type="dxa"/>
            <w:noWrap/>
            <w:vAlign w:val="center"/>
          </w:tcPr>
          <w:p w14:paraId="4FAC7D0C">
            <w:pPr>
              <w:pStyle w:val="17"/>
              <w:spacing w:after="0" w:line="360" w:lineRule="auto"/>
              <w:ind w:firstLine="420"/>
              <w:rPr>
                <w:rFonts w:ascii="宋体" w:hAnsi="宋体"/>
                <w:color w:val="auto"/>
                <w:sz w:val="21"/>
                <w:szCs w:val="21"/>
                <w:highlight w:val="none"/>
              </w:rPr>
            </w:pPr>
          </w:p>
        </w:tc>
        <w:tc>
          <w:tcPr>
            <w:tcW w:w="3896" w:type="dxa"/>
            <w:noWrap/>
            <w:vAlign w:val="center"/>
          </w:tcPr>
          <w:p w14:paraId="23AAB6B5">
            <w:pPr>
              <w:pStyle w:val="17"/>
              <w:spacing w:after="0" w:line="360" w:lineRule="auto"/>
              <w:ind w:firstLine="420"/>
              <w:rPr>
                <w:rFonts w:ascii="宋体" w:hAnsi="宋体"/>
                <w:color w:val="auto"/>
                <w:sz w:val="21"/>
                <w:szCs w:val="21"/>
                <w:highlight w:val="none"/>
              </w:rPr>
            </w:pPr>
          </w:p>
        </w:tc>
      </w:tr>
      <w:tr w14:paraId="5A0737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ign w:val="center"/>
          </w:tcPr>
          <w:p w14:paraId="1FA3AD22">
            <w:pPr>
              <w:pStyle w:val="17"/>
              <w:spacing w:after="0" w:line="360" w:lineRule="auto"/>
              <w:jc w:val="center"/>
              <w:rPr>
                <w:rFonts w:ascii="宋体" w:hAnsi="宋体"/>
                <w:color w:val="auto"/>
                <w:sz w:val="21"/>
                <w:szCs w:val="21"/>
                <w:highlight w:val="none"/>
              </w:rPr>
            </w:pPr>
            <w:r>
              <w:rPr>
                <w:rFonts w:hint="eastAsia" w:ascii="宋体" w:hAnsi="宋体"/>
                <w:color w:val="auto"/>
                <w:sz w:val="21"/>
                <w:szCs w:val="21"/>
                <w:highlight w:val="none"/>
              </w:rPr>
              <w:t>采购负责人</w:t>
            </w:r>
          </w:p>
        </w:tc>
        <w:tc>
          <w:tcPr>
            <w:tcW w:w="1418" w:type="dxa"/>
            <w:noWrap/>
            <w:vAlign w:val="center"/>
          </w:tcPr>
          <w:p w14:paraId="70F314CB">
            <w:pPr>
              <w:pStyle w:val="17"/>
              <w:spacing w:after="0" w:line="360" w:lineRule="auto"/>
              <w:ind w:firstLine="420"/>
              <w:rPr>
                <w:rFonts w:ascii="宋体" w:hAnsi="宋体"/>
                <w:color w:val="auto"/>
                <w:sz w:val="21"/>
                <w:szCs w:val="21"/>
                <w:highlight w:val="none"/>
              </w:rPr>
            </w:pPr>
          </w:p>
        </w:tc>
        <w:tc>
          <w:tcPr>
            <w:tcW w:w="1134" w:type="dxa"/>
            <w:noWrap/>
            <w:vAlign w:val="center"/>
          </w:tcPr>
          <w:p w14:paraId="21710821">
            <w:pPr>
              <w:pStyle w:val="17"/>
              <w:spacing w:after="0" w:line="360" w:lineRule="auto"/>
              <w:ind w:firstLine="420"/>
              <w:rPr>
                <w:rFonts w:ascii="宋体" w:hAnsi="宋体"/>
                <w:color w:val="auto"/>
                <w:sz w:val="21"/>
                <w:szCs w:val="21"/>
                <w:highlight w:val="none"/>
              </w:rPr>
            </w:pPr>
          </w:p>
        </w:tc>
        <w:tc>
          <w:tcPr>
            <w:tcW w:w="1134" w:type="dxa"/>
            <w:noWrap/>
            <w:vAlign w:val="center"/>
          </w:tcPr>
          <w:p w14:paraId="2913EE32">
            <w:pPr>
              <w:pStyle w:val="17"/>
              <w:spacing w:after="0" w:line="360" w:lineRule="auto"/>
              <w:ind w:firstLine="420"/>
              <w:rPr>
                <w:rFonts w:ascii="宋体" w:hAnsi="宋体"/>
                <w:color w:val="auto"/>
                <w:sz w:val="21"/>
                <w:szCs w:val="21"/>
                <w:highlight w:val="none"/>
              </w:rPr>
            </w:pPr>
          </w:p>
        </w:tc>
        <w:tc>
          <w:tcPr>
            <w:tcW w:w="3896" w:type="dxa"/>
            <w:noWrap/>
            <w:vAlign w:val="center"/>
          </w:tcPr>
          <w:p w14:paraId="3F1AA891">
            <w:pPr>
              <w:pStyle w:val="17"/>
              <w:spacing w:after="0" w:line="360" w:lineRule="auto"/>
              <w:ind w:firstLine="420"/>
              <w:rPr>
                <w:rFonts w:ascii="宋体" w:hAnsi="宋体"/>
                <w:color w:val="auto"/>
                <w:sz w:val="21"/>
                <w:szCs w:val="21"/>
                <w:highlight w:val="none"/>
              </w:rPr>
            </w:pPr>
          </w:p>
        </w:tc>
      </w:tr>
      <w:tr w14:paraId="490F4A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ign w:val="center"/>
          </w:tcPr>
          <w:p w14:paraId="3DB18925">
            <w:pPr>
              <w:pStyle w:val="17"/>
              <w:spacing w:after="0" w:line="360" w:lineRule="auto"/>
              <w:jc w:val="center"/>
              <w:rPr>
                <w:rFonts w:ascii="宋体" w:hAnsi="宋体"/>
                <w:color w:val="auto"/>
                <w:sz w:val="21"/>
                <w:szCs w:val="21"/>
                <w:highlight w:val="none"/>
              </w:rPr>
            </w:pPr>
            <w:r>
              <w:rPr>
                <w:rFonts w:hint="eastAsia" w:ascii="宋体" w:hAnsi="宋体"/>
                <w:color w:val="auto"/>
                <w:sz w:val="21"/>
                <w:szCs w:val="21"/>
                <w:highlight w:val="none"/>
              </w:rPr>
              <w:t>施工负责人</w:t>
            </w:r>
          </w:p>
        </w:tc>
        <w:tc>
          <w:tcPr>
            <w:tcW w:w="1418" w:type="dxa"/>
            <w:noWrap/>
            <w:vAlign w:val="center"/>
          </w:tcPr>
          <w:p w14:paraId="217DD665">
            <w:pPr>
              <w:pStyle w:val="17"/>
              <w:spacing w:after="0" w:line="360" w:lineRule="auto"/>
              <w:ind w:firstLine="420"/>
              <w:rPr>
                <w:rFonts w:ascii="宋体" w:hAnsi="宋体"/>
                <w:color w:val="auto"/>
                <w:sz w:val="21"/>
                <w:szCs w:val="21"/>
                <w:highlight w:val="none"/>
              </w:rPr>
            </w:pPr>
          </w:p>
        </w:tc>
        <w:tc>
          <w:tcPr>
            <w:tcW w:w="1134" w:type="dxa"/>
            <w:noWrap/>
            <w:vAlign w:val="center"/>
          </w:tcPr>
          <w:p w14:paraId="1DA3DA8D">
            <w:pPr>
              <w:pStyle w:val="17"/>
              <w:spacing w:after="0" w:line="360" w:lineRule="auto"/>
              <w:ind w:firstLine="420"/>
              <w:rPr>
                <w:rFonts w:ascii="宋体" w:hAnsi="宋体"/>
                <w:color w:val="auto"/>
                <w:sz w:val="21"/>
                <w:szCs w:val="21"/>
                <w:highlight w:val="none"/>
              </w:rPr>
            </w:pPr>
          </w:p>
        </w:tc>
        <w:tc>
          <w:tcPr>
            <w:tcW w:w="1134" w:type="dxa"/>
            <w:noWrap/>
            <w:vAlign w:val="center"/>
          </w:tcPr>
          <w:p w14:paraId="2B8077DC">
            <w:pPr>
              <w:pStyle w:val="17"/>
              <w:spacing w:after="0" w:line="360" w:lineRule="auto"/>
              <w:ind w:firstLine="420"/>
              <w:rPr>
                <w:rFonts w:ascii="宋体" w:hAnsi="宋体"/>
                <w:color w:val="auto"/>
                <w:sz w:val="21"/>
                <w:szCs w:val="21"/>
                <w:highlight w:val="none"/>
              </w:rPr>
            </w:pPr>
          </w:p>
        </w:tc>
        <w:tc>
          <w:tcPr>
            <w:tcW w:w="3896" w:type="dxa"/>
            <w:noWrap/>
            <w:vAlign w:val="center"/>
          </w:tcPr>
          <w:p w14:paraId="2F928532">
            <w:pPr>
              <w:pStyle w:val="17"/>
              <w:spacing w:after="0" w:line="360" w:lineRule="auto"/>
              <w:ind w:firstLine="420"/>
              <w:rPr>
                <w:rFonts w:ascii="宋体" w:hAnsi="宋体"/>
                <w:color w:val="auto"/>
                <w:sz w:val="21"/>
                <w:szCs w:val="21"/>
                <w:highlight w:val="none"/>
              </w:rPr>
            </w:pPr>
          </w:p>
        </w:tc>
      </w:tr>
      <w:tr w14:paraId="0B2D33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ign w:val="center"/>
          </w:tcPr>
          <w:p w14:paraId="735C3D41">
            <w:pPr>
              <w:pStyle w:val="17"/>
              <w:spacing w:after="0" w:line="360" w:lineRule="auto"/>
              <w:jc w:val="center"/>
              <w:rPr>
                <w:rFonts w:ascii="宋体" w:hAnsi="宋体"/>
                <w:color w:val="auto"/>
                <w:sz w:val="21"/>
                <w:szCs w:val="21"/>
                <w:highlight w:val="none"/>
              </w:rPr>
            </w:pPr>
            <w:r>
              <w:rPr>
                <w:rFonts w:hint="eastAsia" w:ascii="宋体" w:hAnsi="宋体"/>
                <w:color w:val="auto"/>
                <w:sz w:val="21"/>
                <w:szCs w:val="21"/>
                <w:highlight w:val="none"/>
              </w:rPr>
              <w:t>技术负责人</w:t>
            </w:r>
          </w:p>
        </w:tc>
        <w:tc>
          <w:tcPr>
            <w:tcW w:w="1418" w:type="dxa"/>
            <w:noWrap/>
            <w:vAlign w:val="center"/>
          </w:tcPr>
          <w:p w14:paraId="122E6749">
            <w:pPr>
              <w:pStyle w:val="17"/>
              <w:spacing w:after="0" w:line="360" w:lineRule="auto"/>
              <w:ind w:firstLine="420"/>
              <w:rPr>
                <w:rFonts w:ascii="宋体" w:hAnsi="宋体"/>
                <w:color w:val="auto"/>
                <w:sz w:val="21"/>
                <w:szCs w:val="21"/>
                <w:highlight w:val="none"/>
              </w:rPr>
            </w:pPr>
          </w:p>
        </w:tc>
        <w:tc>
          <w:tcPr>
            <w:tcW w:w="1134" w:type="dxa"/>
            <w:noWrap/>
            <w:vAlign w:val="center"/>
          </w:tcPr>
          <w:p w14:paraId="79911296">
            <w:pPr>
              <w:pStyle w:val="17"/>
              <w:spacing w:after="0" w:line="360" w:lineRule="auto"/>
              <w:ind w:firstLine="420"/>
              <w:rPr>
                <w:rFonts w:ascii="宋体" w:hAnsi="宋体"/>
                <w:color w:val="auto"/>
                <w:sz w:val="21"/>
                <w:szCs w:val="21"/>
                <w:highlight w:val="none"/>
              </w:rPr>
            </w:pPr>
          </w:p>
        </w:tc>
        <w:tc>
          <w:tcPr>
            <w:tcW w:w="1134" w:type="dxa"/>
            <w:noWrap/>
            <w:vAlign w:val="center"/>
          </w:tcPr>
          <w:p w14:paraId="005E1954">
            <w:pPr>
              <w:pStyle w:val="17"/>
              <w:spacing w:after="0" w:line="360" w:lineRule="auto"/>
              <w:ind w:firstLine="420"/>
              <w:rPr>
                <w:rFonts w:ascii="宋体" w:hAnsi="宋体"/>
                <w:color w:val="auto"/>
                <w:sz w:val="21"/>
                <w:szCs w:val="21"/>
                <w:highlight w:val="none"/>
              </w:rPr>
            </w:pPr>
          </w:p>
        </w:tc>
        <w:tc>
          <w:tcPr>
            <w:tcW w:w="3896" w:type="dxa"/>
            <w:noWrap/>
            <w:vAlign w:val="center"/>
          </w:tcPr>
          <w:p w14:paraId="6D8B3F74">
            <w:pPr>
              <w:pStyle w:val="17"/>
              <w:spacing w:after="0" w:line="360" w:lineRule="auto"/>
              <w:ind w:firstLine="420"/>
              <w:rPr>
                <w:rFonts w:ascii="宋体" w:hAnsi="宋体"/>
                <w:color w:val="auto"/>
                <w:sz w:val="21"/>
                <w:szCs w:val="21"/>
                <w:highlight w:val="none"/>
              </w:rPr>
            </w:pPr>
          </w:p>
        </w:tc>
      </w:tr>
      <w:tr w14:paraId="04895D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ign w:val="center"/>
          </w:tcPr>
          <w:p w14:paraId="56B34E51">
            <w:pPr>
              <w:pStyle w:val="17"/>
              <w:spacing w:after="0" w:line="360" w:lineRule="auto"/>
              <w:jc w:val="center"/>
              <w:rPr>
                <w:rFonts w:ascii="宋体" w:hAnsi="宋体"/>
                <w:color w:val="auto"/>
                <w:sz w:val="21"/>
                <w:szCs w:val="21"/>
                <w:highlight w:val="none"/>
              </w:rPr>
            </w:pPr>
            <w:r>
              <w:rPr>
                <w:rFonts w:hint="eastAsia" w:ascii="宋体" w:hAnsi="宋体"/>
                <w:color w:val="auto"/>
                <w:sz w:val="21"/>
                <w:szCs w:val="21"/>
                <w:highlight w:val="none"/>
              </w:rPr>
              <w:t>造价管理</w:t>
            </w:r>
          </w:p>
        </w:tc>
        <w:tc>
          <w:tcPr>
            <w:tcW w:w="1418" w:type="dxa"/>
            <w:noWrap/>
            <w:vAlign w:val="center"/>
          </w:tcPr>
          <w:p w14:paraId="13FA28A5">
            <w:pPr>
              <w:pStyle w:val="17"/>
              <w:spacing w:after="0" w:line="360" w:lineRule="auto"/>
              <w:ind w:firstLine="420"/>
              <w:rPr>
                <w:rFonts w:ascii="宋体" w:hAnsi="宋体"/>
                <w:color w:val="auto"/>
                <w:sz w:val="21"/>
                <w:szCs w:val="21"/>
                <w:highlight w:val="none"/>
              </w:rPr>
            </w:pPr>
          </w:p>
        </w:tc>
        <w:tc>
          <w:tcPr>
            <w:tcW w:w="1134" w:type="dxa"/>
            <w:noWrap/>
            <w:vAlign w:val="center"/>
          </w:tcPr>
          <w:p w14:paraId="11A108EB">
            <w:pPr>
              <w:pStyle w:val="17"/>
              <w:spacing w:after="0" w:line="360" w:lineRule="auto"/>
              <w:ind w:firstLine="420"/>
              <w:rPr>
                <w:rFonts w:ascii="宋体" w:hAnsi="宋体"/>
                <w:color w:val="auto"/>
                <w:sz w:val="21"/>
                <w:szCs w:val="21"/>
                <w:highlight w:val="none"/>
              </w:rPr>
            </w:pPr>
          </w:p>
        </w:tc>
        <w:tc>
          <w:tcPr>
            <w:tcW w:w="1134" w:type="dxa"/>
            <w:noWrap/>
            <w:vAlign w:val="center"/>
          </w:tcPr>
          <w:p w14:paraId="7CFAB596">
            <w:pPr>
              <w:pStyle w:val="17"/>
              <w:spacing w:after="0" w:line="360" w:lineRule="auto"/>
              <w:ind w:firstLine="420"/>
              <w:rPr>
                <w:rFonts w:ascii="宋体" w:hAnsi="宋体"/>
                <w:color w:val="auto"/>
                <w:sz w:val="21"/>
                <w:szCs w:val="21"/>
                <w:highlight w:val="none"/>
              </w:rPr>
            </w:pPr>
          </w:p>
        </w:tc>
        <w:tc>
          <w:tcPr>
            <w:tcW w:w="3896" w:type="dxa"/>
            <w:noWrap/>
            <w:vAlign w:val="center"/>
          </w:tcPr>
          <w:p w14:paraId="63C593C3">
            <w:pPr>
              <w:pStyle w:val="17"/>
              <w:spacing w:after="0" w:line="360" w:lineRule="auto"/>
              <w:ind w:firstLine="420"/>
              <w:rPr>
                <w:rFonts w:ascii="宋体" w:hAnsi="宋体"/>
                <w:color w:val="auto"/>
                <w:sz w:val="21"/>
                <w:szCs w:val="21"/>
                <w:highlight w:val="none"/>
              </w:rPr>
            </w:pPr>
          </w:p>
        </w:tc>
      </w:tr>
      <w:tr w14:paraId="0AF1E7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ign w:val="center"/>
          </w:tcPr>
          <w:p w14:paraId="690A5FC0">
            <w:pPr>
              <w:pStyle w:val="17"/>
              <w:spacing w:after="0" w:line="360" w:lineRule="auto"/>
              <w:jc w:val="center"/>
              <w:rPr>
                <w:rFonts w:ascii="宋体" w:hAnsi="宋体"/>
                <w:color w:val="auto"/>
                <w:sz w:val="21"/>
                <w:szCs w:val="21"/>
                <w:highlight w:val="none"/>
              </w:rPr>
            </w:pPr>
            <w:r>
              <w:rPr>
                <w:rFonts w:hint="eastAsia" w:ascii="宋体" w:hAnsi="宋体"/>
                <w:color w:val="auto"/>
                <w:sz w:val="21"/>
                <w:szCs w:val="21"/>
                <w:highlight w:val="none"/>
              </w:rPr>
              <w:t>质量管理</w:t>
            </w:r>
          </w:p>
        </w:tc>
        <w:tc>
          <w:tcPr>
            <w:tcW w:w="1418" w:type="dxa"/>
            <w:noWrap/>
            <w:vAlign w:val="center"/>
          </w:tcPr>
          <w:p w14:paraId="55EE5CA3">
            <w:pPr>
              <w:pStyle w:val="17"/>
              <w:spacing w:after="0" w:line="360" w:lineRule="auto"/>
              <w:ind w:firstLine="420"/>
              <w:rPr>
                <w:rFonts w:ascii="宋体" w:hAnsi="宋体"/>
                <w:color w:val="auto"/>
                <w:sz w:val="21"/>
                <w:szCs w:val="21"/>
                <w:highlight w:val="none"/>
              </w:rPr>
            </w:pPr>
          </w:p>
        </w:tc>
        <w:tc>
          <w:tcPr>
            <w:tcW w:w="1134" w:type="dxa"/>
            <w:noWrap/>
            <w:vAlign w:val="center"/>
          </w:tcPr>
          <w:p w14:paraId="2AE494D4">
            <w:pPr>
              <w:pStyle w:val="17"/>
              <w:spacing w:after="0" w:line="360" w:lineRule="auto"/>
              <w:ind w:firstLine="420"/>
              <w:rPr>
                <w:rFonts w:ascii="宋体" w:hAnsi="宋体"/>
                <w:color w:val="auto"/>
                <w:sz w:val="21"/>
                <w:szCs w:val="21"/>
                <w:highlight w:val="none"/>
              </w:rPr>
            </w:pPr>
          </w:p>
        </w:tc>
        <w:tc>
          <w:tcPr>
            <w:tcW w:w="1134" w:type="dxa"/>
            <w:noWrap/>
            <w:vAlign w:val="center"/>
          </w:tcPr>
          <w:p w14:paraId="64E5C936">
            <w:pPr>
              <w:pStyle w:val="17"/>
              <w:spacing w:after="0" w:line="360" w:lineRule="auto"/>
              <w:ind w:firstLine="420"/>
              <w:rPr>
                <w:rFonts w:ascii="宋体" w:hAnsi="宋体"/>
                <w:color w:val="auto"/>
                <w:sz w:val="21"/>
                <w:szCs w:val="21"/>
                <w:highlight w:val="none"/>
              </w:rPr>
            </w:pPr>
          </w:p>
        </w:tc>
        <w:tc>
          <w:tcPr>
            <w:tcW w:w="3896" w:type="dxa"/>
            <w:noWrap/>
            <w:vAlign w:val="center"/>
          </w:tcPr>
          <w:p w14:paraId="141923F4">
            <w:pPr>
              <w:pStyle w:val="17"/>
              <w:spacing w:after="0" w:line="360" w:lineRule="auto"/>
              <w:ind w:firstLine="420"/>
              <w:rPr>
                <w:rFonts w:ascii="宋体" w:hAnsi="宋体"/>
                <w:color w:val="auto"/>
                <w:sz w:val="21"/>
                <w:szCs w:val="21"/>
                <w:highlight w:val="none"/>
              </w:rPr>
            </w:pPr>
          </w:p>
        </w:tc>
      </w:tr>
      <w:tr w14:paraId="7C64AF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ign w:val="center"/>
          </w:tcPr>
          <w:p w14:paraId="59AA2A9F">
            <w:pPr>
              <w:pStyle w:val="17"/>
              <w:spacing w:after="0" w:line="360" w:lineRule="auto"/>
              <w:jc w:val="center"/>
              <w:rPr>
                <w:rFonts w:ascii="宋体" w:hAnsi="宋体"/>
                <w:color w:val="auto"/>
                <w:sz w:val="21"/>
                <w:szCs w:val="21"/>
                <w:highlight w:val="none"/>
              </w:rPr>
            </w:pPr>
            <w:r>
              <w:rPr>
                <w:rFonts w:hint="eastAsia" w:ascii="宋体" w:hAnsi="宋体"/>
                <w:color w:val="auto"/>
                <w:sz w:val="21"/>
                <w:szCs w:val="21"/>
                <w:highlight w:val="none"/>
              </w:rPr>
              <w:t>计划管理</w:t>
            </w:r>
          </w:p>
        </w:tc>
        <w:tc>
          <w:tcPr>
            <w:tcW w:w="1418" w:type="dxa"/>
            <w:noWrap/>
            <w:vAlign w:val="center"/>
          </w:tcPr>
          <w:p w14:paraId="635C7C66">
            <w:pPr>
              <w:pStyle w:val="17"/>
              <w:spacing w:after="0" w:line="360" w:lineRule="auto"/>
              <w:ind w:firstLine="420"/>
              <w:rPr>
                <w:rFonts w:ascii="宋体" w:hAnsi="宋体"/>
                <w:color w:val="auto"/>
                <w:sz w:val="21"/>
                <w:szCs w:val="21"/>
                <w:highlight w:val="none"/>
              </w:rPr>
            </w:pPr>
          </w:p>
        </w:tc>
        <w:tc>
          <w:tcPr>
            <w:tcW w:w="1134" w:type="dxa"/>
            <w:noWrap/>
            <w:vAlign w:val="center"/>
          </w:tcPr>
          <w:p w14:paraId="4857AAD0">
            <w:pPr>
              <w:pStyle w:val="17"/>
              <w:spacing w:after="0" w:line="360" w:lineRule="auto"/>
              <w:ind w:firstLine="420"/>
              <w:rPr>
                <w:rFonts w:ascii="宋体" w:hAnsi="宋体"/>
                <w:color w:val="auto"/>
                <w:sz w:val="21"/>
                <w:szCs w:val="21"/>
                <w:highlight w:val="none"/>
              </w:rPr>
            </w:pPr>
          </w:p>
        </w:tc>
        <w:tc>
          <w:tcPr>
            <w:tcW w:w="1134" w:type="dxa"/>
            <w:noWrap/>
            <w:vAlign w:val="center"/>
          </w:tcPr>
          <w:p w14:paraId="1D0847AE">
            <w:pPr>
              <w:pStyle w:val="17"/>
              <w:spacing w:after="0" w:line="360" w:lineRule="auto"/>
              <w:ind w:firstLine="420"/>
              <w:rPr>
                <w:rFonts w:ascii="宋体" w:hAnsi="宋体"/>
                <w:color w:val="auto"/>
                <w:sz w:val="21"/>
                <w:szCs w:val="21"/>
                <w:highlight w:val="none"/>
              </w:rPr>
            </w:pPr>
          </w:p>
        </w:tc>
        <w:tc>
          <w:tcPr>
            <w:tcW w:w="3896" w:type="dxa"/>
            <w:noWrap/>
            <w:vAlign w:val="center"/>
          </w:tcPr>
          <w:p w14:paraId="06999975">
            <w:pPr>
              <w:pStyle w:val="17"/>
              <w:spacing w:after="0" w:line="360" w:lineRule="auto"/>
              <w:ind w:firstLine="420"/>
              <w:rPr>
                <w:rFonts w:ascii="宋体" w:hAnsi="宋体"/>
                <w:color w:val="auto"/>
                <w:sz w:val="21"/>
                <w:szCs w:val="21"/>
                <w:highlight w:val="none"/>
              </w:rPr>
            </w:pPr>
          </w:p>
        </w:tc>
      </w:tr>
      <w:tr w14:paraId="1C42AD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ign w:val="center"/>
          </w:tcPr>
          <w:p w14:paraId="3895765E">
            <w:pPr>
              <w:pStyle w:val="17"/>
              <w:spacing w:after="0" w:line="360" w:lineRule="auto"/>
              <w:jc w:val="center"/>
              <w:rPr>
                <w:rFonts w:ascii="宋体" w:hAnsi="宋体"/>
                <w:color w:val="auto"/>
                <w:sz w:val="21"/>
                <w:szCs w:val="21"/>
                <w:highlight w:val="none"/>
              </w:rPr>
            </w:pPr>
            <w:r>
              <w:rPr>
                <w:rFonts w:hint="eastAsia" w:ascii="宋体" w:hAnsi="宋体"/>
                <w:color w:val="auto"/>
                <w:sz w:val="21"/>
                <w:szCs w:val="21"/>
                <w:highlight w:val="none"/>
              </w:rPr>
              <w:t>安全管理</w:t>
            </w:r>
          </w:p>
        </w:tc>
        <w:tc>
          <w:tcPr>
            <w:tcW w:w="1418" w:type="dxa"/>
            <w:noWrap/>
            <w:vAlign w:val="center"/>
          </w:tcPr>
          <w:p w14:paraId="3629E3AD">
            <w:pPr>
              <w:pStyle w:val="17"/>
              <w:spacing w:after="0" w:line="360" w:lineRule="auto"/>
              <w:ind w:firstLine="420"/>
              <w:rPr>
                <w:rFonts w:ascii="宋体" w:hAnsi="宋体"/>
                <w:color w:val="auto"/>
                <w:sz w:val="21"/>
                <w:szCs w:val="21"/>
                <w:highlight w:val="none"/>
              </w:rPr>
            </w:pPr>
          </w:p>
        </w:tc>
        <w:tc>
          <w:tcPr>
            <w:tcW w:w="1134" w:type="dxa"/>
            <w:noWrap/>
            <w:vAlign w:val="center"/>
          </w:tcPr>
          <w:p w14:paraId="75A8A24B">
            <w:pPr>
              <w:pStyle w:val="17"/>
              <w:spacing w:after="0" w:line="360" w:lineRule="auto"/>
              <w:ind w:firstLine="420"/>
              <w:rPr>
                <w:rFonts w:ascii="宋体" w:hAnsi="宋体"/>
                <w:color w:val="auto"/>
                <w:sz w:val="21"/>
                <w:szCs w:val="21"/>
                <w:highlight w:val="none"/>
              </w:rPr>
            </w:pPr>
          </w:p>
        </w:tc>
        <w:tc>
          <w:tcPr>
            <w:tcW w:w="1134" w:type="dxa"/>
            <w:noWrap/>
            <w:vAlign w:val="center"/>
          </w:tcPr>
          <w:p w14:paraId="5B3ED500">
            <w:pPr>
              <w:pStyle w:val="17"/>
              <w:spacing w:after="0" w:line="360" w:lineRule="auto"/>
              <w:ind w:firstLine="420"/>
              <w:rPr>
                <w:rFonts w:ascii="宋体" w:hAnsi="宋体"/>
                <w:color w:val="auto"/>
                <w:sz w:val="21"/>
                <w:szCs w:val="21"/>
                <w:highlight w:val="none"/>
              </w:rPr>
            </w:pPr>
          </w:p>
        </w:tc>
        <w:tc>
          <w:tcPr>
            <w:tcW w:w="3896" w:type="dxa"/>
            <w:noWrap/>
            <w:vAlign w:val="center"/>
          </w:tcPr>
          <w:p w14:paraId="7567102F">
            <w:pPr>
              <w:pStyle w:val="17"/>
              <w:spacing w:after="0" w:line="360" w:lineRule="auto"/>
              <w:ind w:firstLine="420"/>
              <w:rPr>
                <w:rFonts w:ascii="宋体" w:hAnsi="宋体"/>
                <w:color w:val="auto"/>
                <w:sz w:val="21"/>
                <w:szCs w:val="21"/>
                <w:highlight w:val="none"/>
              </w:rPr>
            </w:pPr>
          </w:p>
        </w:tc>
      </w:tr>
      <w:tr w14:paraId="394CA0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ign w:val="center"/>
          </w:tcPr>
          <w:p w14:paraId="603B64B3">
            <w:pPr>
              <w:pStyle w:val="17"/>
              <w:spacing w:after="0" w:line="360" w:lineRule="auto"/>
              <w:jc w:val="center"/>
              <w:rPr>
                <w:rFonts w:ascii="宋体" w:hAnsi="宋体"/>
                <w:color w:val="auto"/>
                <w:sz w:val="21"/>
                <w:szCs w:val="21"/>
                <w:highlight w:val="none"/>
              </w:rPr>
            </w:pPr>
            <w:r>
              <w:rPr>
                <w:rFonts w:hint="eastAsia" w:ascii="宋体" w:hAnsi="宋体"/>
                <w:color w:val="auto"/>
                <w:sz w:val="21"/>
                <w:szCs w:val="21"/>
                <w:highlight w:val="none"/>
              </w:rPr>
              <w:t>环境管理</w:t>
            </w:r>
          </w:p>
        </w:tc>
        <w:tc>
          <w:tcPr>
            <w:tcW w:w="1418" w:type="dxa"/>
            <w:noWrap/>
            <w:vAlign w:val="center"/>
          </w:tcPr>
          <w:p w14:paraId="55C93039">
            <w:pPr>
              <w:pStyle w:val="17"/>
              <w:spacing w:after="0" w:line="360" w:lineRule="auto"/>
              <w:ind w:firstLine="420"/>
              <w:rPr>
                <w:rFonts w:ascii="宋体" w:hAnsi="宋体"/>
                <w:color w:val="auto"/>
                <w:sz w:val="21"/>
                <w:szCs w:val="21"/>
                <w:highlight w:val="none"/>
              </w:rPr>
            </w:pPr>
          </w:p>
        </w:tc>
        <w:tc>
          <w:tcPr>
            <w:tcW w:w="1134" w:type="dxa"/>
            <w:noWrap/>
            <w:vAlign w:val="center"/>
          </w:tcPr>
          <w:p w14:paraId="4FA3AA63">
            <w:pPr>
              <w:pStyle w:val="17"/>
              <w:spacing w:after="0" w:line="360" w:lineRule="auto"/>
              <w:ind w:firstLine="420"/>
              <w:rPr>
                <w:rFonts w:ascii="宋体" w:hAnsi="宋体"/>
                <w:color w:val="auto"/>
                <w:sz w:val="21"/>
                <w:szCs w:val="21"/>
                <w:highlight w:val="none"/>
              </w:rPr>
            </w:pPr>
          </w:p>
        </w:tc>
        <w:tc>
          <w:tcPr>
            <w:tcW w:w="1134" w:type="dxa"/>
            <w:noWrap/>
            <w:vAlign w:val="center"/>
          </w:tcPr>
          <w:p w14:paraId="1E324A58">
            <w:pPr>
              <w:pStyle w:val="17"/>
              <w:spacing w:after="0" w:line="360" w:lineRule="auto"/>
              <w:ind w:firstLine="420"/>
              <w:rPr>
                <w:rFonts w:ascii="宋体" w:hAnsi="宋体"/>
                <w:color w:val="auto"/>
                <w:sz w:val="21"/>
                <w:szCs w:val="21"/>
                <w:highlight w:val="none"/>
              </w:rPr>
            </w:pPr>
          </w:p>
        </w:tc>
        <w:tc>
          <w:tcPr>
            <w:tcW w:w="3896" w:type="dxa"/>
            <w:noWrap/>
            <w:vAlign w:val="center"/>
          </w:tcPr>
          <w:p w14:paraId="48F6E2DB">
            <w:pPr>
              <w:pStyle w:val="17"/>
              <w:spacing w:after="0" w:line="360" w:lineRule="auto"/>
              <w:ind w:firstLine="420"/>
              <w:rPr>
                <w:rFonts w:ascii="宋体" w:hAnsi="宋体"/>
                <w:color w:val="auto"/>
                <w:sz w:val="21"/>
                <w:szCs w:val="21"/>
                <w:highlight w:val="none"/>
              </w:rPr>
            </w:pPr>
          </w:p>
        </w:tc>
      </w:tr>
      <w:tr w14:paraId="1230FE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vMerge w:val="restart"/>
            <w:tcBorders>
              <w:top w:val="single" w:color="auto" w:sz="6" w:space="0"/>
            </w:tcBorders>
            <w:noWrap/>
            <w:vAlign w:val="center"/>
          </w:tcPr>
          <w:p w14:paraId="00832486">
            <w:pPr>
              <w:pStyle w:val="17"/>
              <w:spacing w:after="0" w:line="360" w:lineRule="auto"/>
              <w:jc w:val="center"/>
              <w:rPr>
                <w:rFonts w:ascii="宋体" w:hAnsi="宋体"/>
                <w:color w:val="auto"/>
                <w:sz w:val="21"/>
                <w:szCs w:val="21"/>
                <w:highlight w:val="none"/>
              </w:rPr>
            </w:pPr>
            <w:r>
              <w:rPr>
                <w:rFonts w:hint="eastAsia" w:ascii="宋体" w:hAnsi="宋体"/>
                <w:color w:val="auto"/>
                <w:sz w:val="21"/>
                <w:szCs w:val="21"/>
                <w:highlight w:val="none"/>
              </w:rPr>
              <w:t>其他人员</w:t>
            </w:r>
          </w:p>
        </w:tc>
        <w:tc>
          <w:tcPr>
            <w:tcW w:w="1418" w:type="dxa"/>
            <w:noWrap/>
            <w:vAlign w:val="center"/>
          </w:tcPr>
          <w:p w14:paraId="2E2F84BC">
            <w:pPr>
              <w:pStyle w:val="17"/>
              <w:spacing w:after="0" w:line="360" w:lineRule="auto"/>
              <w:ind w:firstLine="420"/>
              <w:rPr>
                <w:rFonts w:ascii="宋体" w:hAnsi="宋体"/>
                <w:color w:val="auto"/>
                <w:sz w:val="21"/>
                <w:szCs w:val="21"/>
                <w:highlight w:val="none"/>
              </w:rPr>
            </w:pPr>
          </w:p>
        </w:tc>
        <w:tc>
          <w:tcPr>
            <w:tcW w:w="1134" w:type="dxa"/>
            <w:noWrap/>
            <w:vAlign w:val="center"/>
          </w:tcPr>
          <w:p w14:paraId="442FED80">
            <w:pPr>
              <w:pStyle w:val="17"/>
              <w:spacing w:after="0" w:line="360" w:lineRule="auto"/>
              <w:ind w:firstLine="420"/>
              <w:rPr>
                <w:rFonts w:ascii="宋体" w:hAnsi="宋体"/>
                <w:color w:val="auto"/>
                <w:sz w:val="21"/>
                <w:szCs w:val="21"/>
                <w:highlight w:val="none"/>
              </w:rPr>
            </w:pPr>
          </w:p>
        </w:tc>
        <w:tc>
          <w:tcPr>
            <w:tcW w:w="1134" w:type="dxa"/>
            <w:noWrap/>
            <w:vAlign w:val="center"/>
          </w:tcPr>
          <w:p w14:paraId="3EE129D2">
            <w:pPr>
              <w:pStyle w:val="17"/>
              <w:spacing w:after="0" w:line="360" w:lineRule="auto"/>
              <w:ind w:firstLine="420"/>
              <w:rPr>
                <w:rFonts w:ascii="宋体" w:hAnsi="宋体"/>
                <w:color w:val="auto"/>
                <w:sz w:val="21"/>
                <w:szCs w:val="21"/>
                <w:highlight w:val="none"/>
              </w:rPr>
            </w:pPr>
          </w:p>
        </w:tc>
        <w:tc>
          <w:tcPr>
            <w:tcW w:w="3896" w:type="dxa"/>
            <w:noWrap/>
            <w:vAlign w:val="center"/>
          </w:tcPr>
          <w:p w14:paraId="12764D55">
            <w:pPr>
              <w:pStyle w:val="17"/>
              <w:spacing w:after="0" w:line="360" w:lineRule="auto"/>
              <w:ind w:firstLine="420"/>
              <w:rPr>
                <w:rFonts w:ascii="宋体" w:hAnsi="宋体"/>
                <w:color w:val="auto"/>
                <w:sz w:val="21"/>
                <w:szCs w:val="21"/>
                <w:highlight w:val="none"/>
              </w:rPr>
            </w:pPr>
          </w:p>
        </w:tc>
      </w:tr>
      <w:tr w14:paraId="10FF4F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vMerge w:val="continue"/>
            <w:noWrap/>
            <w:vAlign w:val="center"/>
          </w:tcPr>
          <w:p w14:paraId="428DD14F">
            <w:pPr>
              <w:pStyle w:val="17"/>
              <w:spacing w:after="0" w:line="360" w:lineRule="auto"/>
              <w:ind w:firstLine="420"/>
              <w:rPr>
                <w:rFonts w:ascii="宋体" w:hAnsi="宋体"/>
                <w:color w:val="auto"/>
                <w:sz w:val="21"/>
                <w:szCs w:val="21"/>
                <w:highlight w:val="none"/>
              </w:rPr>
            </w:pPr>
          </w:p>
        </w:tc>
        <w:tc>
          <w:tcPr>
            <w:tcW w:w="1418" w:type="dxa"/>
            <w:tcBorders>
              <w:bottom w:val="nil"/>
            </w:tcBorders>
            <w:noWrap/>
            <w:vAlign w:val="center"/>
          </w:tcPr>
          <w:p w14:paraId="0438FBD0">
            <w:pPr>
              <w:pStyle w:val="17"/>
              <w:spacing w:after="0" w:line="360" w:lineRule="auto"/>
              <w:ind w:firstLine="420"/>
              <w:rPr>
                <w:rFonts w:ascii="宋体" w:hAnsi="宋体"/>
                <w:color w:val="auto"/>
                <w:sz w:val="21"/>
                <w:szCs w:val="21"/>
                <w:highlight w:val="none"/>
              </w:rPr>
            </w:pPr>
          </w:p>
        </w:tc>
        <w:tc>
          <w:tcPr>
            <w:tcW w:w="1134" w:type="dxa"/>
            <w:tcBorders>
              <w:bottom w:val="nil"/>
            </w:tcBorders>
            <w:noWrap/>
            <w:vAlign w:val="center"/>
          </w:tcPr>
          <w:p w14:paraId="1A6C8AA4">
            <w:pPr>
              <w:pStyle w:val="17"/>
              <w:spacing w:after="0" w:line="360" w:lineRule="auto"/>
              <w:ind w:firstLine="420"/>
              <w:rPr>
                <w:rFonts w:ascii="宋体" w:hAnsi="宋体"/>
                <w:color w:val="auto"/>
                <w:sz w:val="21"/>
                <w:szCs w:val="21"/>
                <w:highlight w:val="none"/>
              </w:rPr>
            </w:pPr>
          </w:p>
        </w:tc>
        <w:tc>
          <w:tcPr>
            <w:tcW w:w="1134" w:type="dxa"/>
            <w:tcBorders>
              <w:bottom w:val="nil"/>
            </w:tcBorders>
            <w:noWrap/>
            <w:vAlign w:val="center"/>
          </w:tcPr>
          <w:p w14:paraId="2A869F39">
            <w:pPr>
              <w:pStyle w:val="17"/>
              <w:spacing w:after="0" w:line="360" w:lineRule="auto"/>
              <w:ind w:firstLine="420"/>
              <w:rPr>
                <w:rFonts w:ascii="宋体" w:hAnsi="宋体"/>
                <w:color w:val="auto"/>
                <w:sz w:val="21"/>
                <w:szCs w:val="21"/>
                <w:highlight w:val="none"/>
              </w:rPr>
            </w:pPr>
          </w:p>
        </w:tc>
        <w:tc>
          <w:tcPr>
            <w:tcW w:w="3896" w:type="dxa"/>
            <w:tcBorders>
              <w:bottom w:val="nil"/>
            </w:tcBorders>
            <w:noWrap/>
            <w:vAlign w:val="center"/>
          </w:tcPr>
          <w:p w14:paraId="3F0A115A">
            <w:pPr>
              <w:pStyle w:val="17"/>
              <w:spacing w:after="0" w:line="360" w:lineRule="auto"/>
              <w:ind w:firstLine="420"/>
              <w:rPr>
                <w:rFonts w:ascii="宋体" w:hAnsi="宋体"/>
                <w:color w:val="auto"/>
                <w:sz w:val="21"/>
                <w:szCs w:val="21"/>
                <w:highlight w:val="none"/>
              </w:rPr>
            </w:pPr>
          </w:p>
        </w:tc>
      </w:tr>
      <w:tr w14:paraId="54058B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vMerge w:val="continue"/>
            <w:noWrap/>
            <w:vAlign w:val="center"/>
          </w:tcPr>
          <w:p w14:paraId="175A2D51">
            <w:pPr>
              <w:pStyle w:val="17"/>
              <w:spacing w:after="0" w:line="360" w:lineRule="auto"/>
              <w:ind w:firstLine="420"/>
              <w:rPr>
                <w:rFonts w:ascii="宋体" w:hAnsi="宋体"/>
                <w:color w:val="auto"/>
                <w:sz w:val="21"/>
                <w:szCs w:val="21"/>
                <w:highlight w:val="none"/>
              </w:rPr>
            </w:pPr>
          </w:p>
        </w:tc>
        <w:tc>
          <w:tcPr>
            <w:tcW w:w="1418" w:type="dxa"/>
            <w:noWrap/>
            <w:vAlign w:val="center"/>
          </w:tcPr>
          <w:p w14:paraId="75CE0D55">
            <w:pPr>
              <w:pStyle w:val="17"/>
              <w:spacing w:after="0" w:line="360" w:lineRule="auto"/>
              <w:ind w:firstLine="420"/>
              <w:rPr>
                <w:rFonts w:ascii="宋体" w:hAnsi="宋体"/>
                <w:color w:val="auto"/>
                <w:sz w:val="21"/>
                <w:szCs w:val="21"/>
                <w:highlight w:val="none"/>
              </w:rPr>
            </w:pPr>
          </w:p>
        </w:tc>
        <w:tc>
          <w:tcPr>
            <w:tcW w:w="1134" w:type="dxa"/>
            <w:noWrap/>
            <w:vAlign w:val="center"/>
          </w:tcPr>
          <w:p w14:paraId="3EA58F7D">
            <w:pPr>
              <w:pStyle w:val="17"/>
              <w:spacing w:after="0" w:line="360" w:lineRule="auto"/>
              <w:ind w:firstLine="420"/>
              <w:rPr>
                <w:rFonts w:ascii="宋体" w:hAnsi="宋体"/>
                <w:color w:val="auto"/>
                <w:sz w:val="21"/>
                <w:szCs w:val="21"/>
                <w:highlight w:val="none"/>
              </w:rPr>
            </w:pPr>
          </w:p>
        </w:tc>
        <w:tc>
          <w:tcPr>
            <w:tcW w:w="1134" w:type="dxa"/>
            <w:noWrap/>
            <w:vAlign w:val="center"/>
          </w:tcPr>
          <w:p w14:paraId="076BD9A7">
            <w:pPr>
              <w:pStyle w:val="17"/>
              <w:spacing w:after="0" w:line="360" w:lineRule="auto"/>
              <w:ind w:firstLine="420"/>
              <w:rPr>
                <w:rFonts w:ascii="宋体" w:hAnsi="宋体"/>
                <w:color w:val="auto"/>
                <w:sz w:val="21"/>
                <w:szCs w:val="21"/>
                <w:highlight w:val="none"/>
              </w:rPr>
            </w:pPr>
          </w:p>
        </w:tc>
        <w:tc>
          <w:tcPr>
            <w:tcW w:w="3896" w:type="dxa"/>
            <w:noWrap/>
            <w:vAlign w:val="center"/>
          </w:tcPr>
          <w:p w14:paraId="199A08C0">
            <w:pPr>
              <w:pStyle w:val="17"/>
              <w:spacing w:after="0" w:line="360" w:lineRule="auto"/>
              <w:ind w:firstLine="420"/>
              <w:rPr>
                <w:rFonts w:ascii="宋体" w:hAnsi="宋体"/>
                <w:color w:val="auto"/>
                <w:sz w:val="21"/>
                <w:szCs w:val="21"/>
                <w:highlight w:val="none"/>
              </w:rPr>
            </w:pPr>
          </w:p>
        </w:tc>
      </w:tr>
      <w:tr w14:paraId="6C66D3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vMerge w:val="continue"/>
            <w:noWrap/>
            <w:vAlign w:val="center"/>
          </w:tcPr>
          <w:p w14:paraId="4CE6E365">
            <w:pPr>
              <w:pStyle w:val="17"/>
              <w:spacing w:after="0" w:line="360" w:lineRule="auto"/>
              <w:ind w:firstLine="420"/>
              <w:rPr>
                <w:rFonts w:ascii="宋体" w:hAnsi="宋体"/>
                <w:color w:val="auto"/>
                <w:sz w:val="21"/>
                <w:szCs w:val="21"/>
                <w:highlight w:val="none"/>
              </w:rPr>
            </w:pPr>
          </w:p>
        </w:tc>
        <w:tc>
          <w:tcPr>
            <w:tcW w:w="1418" w:type="dxa"/>
            <w:noWrap/>
            <w:vAlign w:val="center"/>
          </w:tcPr>
          <w:p w14:paraId="77415E2D">
            <w:pPr>
              <w:pStyle w:val="17"/>
              <w:spacing w:after="0" w:line="360" w:lineRule="auto"/>
              <w:ind w:firstLine="420"/>
              <w:rPr>
                <w:rFonts w:ascii="宋体" w:hAnsi="宋体"/>
                <w:color w:val="auto"/>
                <w:sz w:val="21"/>
                <w:szCs w:val="21"/>
                <w:highlight w:val="none"/>
              </w:rPr>
            </w:pPr>
          </w:p>
        </w:tc>
        <w:tc>
          <w:tcPr>
            <w:tcW w:w="1134" w:type="dxa"/>
            <w:noWrap/>
            <w:vAlign w:val="center"/>
          </w:tcPr>
          <w:p w14:paraId="487DCBAC">
            <w:pPr>
              <w:pStyle w:val="17"/>
              <w:spacing w:after="0" w:line="360" w:lineRule="auto"/>
              <w:ind w:firstLine="420"/>
              <w:rPr>
                <w:rFonts w:ascii="宋体" w:hAnsi="宋体"/>
                <w:color w:val="auto"/>
                <w:sz w:val="21"/>
                <w:szCs w:val="21"/>
                <w:highlight w:val="none"/>
              </w:rPr>
            </w:pPr>
          </w:p>
        </w:tc>
        <w:tc>
          <w:tcPr>
            <w:tcW w:w="1134" w:type="dxa"/>
            <w:noWrap/>
            <w:vAlign w:val="center"/>
          </w:tcPr>
          <w:p w14:paraId="7CE98743">
            <w:pPr>
              <w:pStyle w:val="17"/>
              <w:spacing w:after="0" w:line="360" w:lineRule="auto"/>
              <w:ind w:firstLine="420"/>
              <w:rPr>
                <w:rFonts w:ascii="宋体" w:hAnsi="宋体"/>
                <w:color w:val="auto"/>
                <w:sz w:val="21"/>
                <w:szCs w:val="21"/>
                <w:highlight w:val="none"/>
              </w:rPr>
            </w:pPr>
          </w:p>
        </w:tc>
        <w:tc>
          <w:tcPr>
            <w:tcW w:w="3896" w:type="dxa"/>
            <w:noWrap/>
            <w:vAlign w:val="center"/>
          </w:tcPr>
          <w:p w14:paraId="16829C58">
            <w:pPr>
              <w:pStyle w:val="17"/>
              <w:spacing w:after="0" w:line="360" w:lineRule="auto"/>
              <w:ind w:firstLine="420"/>
              <w:rPr>
                <w:rFonts w:ascii="宋体" w:hAnsi="宋体"/>
                <w:color w:val="auto"/>
                <w:sz w:val="21"/>
                <w:szCs w:val="21"/>
                <w:highlight w:val="none"/>
              </w:rPr>
            </w:pPr>
          </w:p>
        </w:tc>
      </w:tr>
      <w:tr w14:paraId="577E14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vMerge w:val="continue"/>
            <w:noWrap/>
            <w:vAlign w:val="center"/>
          </w:tcPr>
          <w:p w14:paraId="4AEE6144">
            <w:pPr>
              <w:pStyle w:val="17"/>
              <w:spacing w:after="0" w:line="360" w:lineRule="auto"/>
              <w:ind w:firstLine="420"/>
              <w:rPr>
                <w:rFonts w:ascii="宋体" w:hAnsi="宋体"/>
                <w:color w:val="auto"/>
                <w:sz w:val="21"/>
                <w:szCs w:val="21"/>
                <w:highlight w:val="none"/>
              </w:rPr>
            </w:pPr>
          </w:p>
        </w:tc>
        <w:tc>
          <w:tcPr>
            <w:tcW w:w="1418" w:type="dxa"/>
            <w:noWrap/>
            <w:vAlign w:val="center"/>
          </w:tcPr>
          <w:p w14:paraId="530A8423">
            <w:pPr>
              <w:pStyle w:val="17"/>
              <w:spacing w:after="0" w:line="360" w:lineRule="auto"/>
              <w:ind w:firstLine="420"/>
              <w:rPr>
                <w:rFonts w:ascii="宋体" w:hAnsi="宋体"/>
                <w:color w:val="auto"/>
                <w:sz w:val="21"/>
                <w:szCs w:val="21"/>
                <w:highlight w:val="none"/>
              </w:rPr>
            </w:pPr>
          </w:p>
        </w:tc>
        <w:tc>
          <w:tcPr>
            <w:tcW w:w="1134" w:type="dxa"/>
            <w:noWrap/>
            <w:vAlign w:val="center"/>
          </w:tcPr>
          <w:p w14:paraId="09F74ECF">
            <w:pPr>
              <w:pStyle w:val="17"/>
              <w:spacing w:after="0" w:line="360" w:lineRule="auto"/>
              <w:ind w:firstLine="420"/>
              <w:rPr>
                <w:rFonts w:ascii="宋体" w:hAnsi="宋体"/>
                <w:color w:val="auto"/>
                <w:sz w:val="21"/>
                <w:szCs w:val="21"/>
                <w:highlight w:val="none"/>
              </w:rPr>
            </w:pPr>
          </w:p>
        </w:tc>
        <w:tc>
          <w:tcPr>
            <w:tcW w:w="1134" w:type="dxa"/>
            <w:noWrap/>
            <w:vAlign w:val="center"/>
          </w:tcPr>
          <w:p w14:paraId="1486CA4C">
            <w:pPr>
              <w:pStyle w:val="17"/>
              <w:spacing w:after="0" w:line="360" w:lineRule="auto"/>
              <w:ind w:firstLine="420"/>
              <w:rPr>
                <w:rFonts w:ascii="宋体" w:hAnsi="宋体"/>
                <w:color w:val="auto"/>
                <w:sz w:val="21"/>
                <w:szCs w:val="21"/>
                <w:highlight w:val="none"/>
              </w:rPr>
            </w:pPr>
          </w:p>
        </w:tc>
        <w:tc>
          <w:tcPr>
            <w:tcW w:w="3896" w:type="dxa"/>
            <w:noWrap/>
            <w:vAlign w:val="center"/>
          </w:tcPr>
          <w:p w14:paraId="6707936B">
            <w:pPr>
              <w:pStyle w:val="17"/>
              <w:spacing w:after="0" w:line="360" w:lineRule="auto"/>
              <w:ind w:firstLine="420"/>
              <w:rPr>
                <w:rFonts w:ascii="宋体" w:hAnsi="宋体"/>
                <w:color w:val="auto"/>
                <w:sz w:val="21"/>
                <w:szCs w:val="21"/>
                <w:highlight w:val="none"/>
              </w:rPr>
            </w:pPr>
          </w:p>
        </w:tc>
      </w:tr>
      <w:tr w14:paraId="7B03A4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vMerge w:val="continue"/>
            <w:tcBorders>
              <w:bottom w:val="single" w:color="auto" w:sz="12" w:space="0"/>
            </w:tcBorders>
            <w:noWrap/>
            <w:vAlign w:val="center"/>
          </w:tcPr>
          <w:p w14:paraId="7FF9DC31">
            <w:pPr>
              <w:pStyle w:val="17"/>
              <w:spacing w:line="360" w:lineRule="auto"/>
              <w:ind w:firstLine="420"/>
              <w:rPr>
                <w:rFonts w:ascii="宋体" w:hAnsi="宋体"/>
                <w:color w:val="auto"/>
                <w:sz w:val="21"/>
                <w:szCs w:val="21"/>
                <w:highlight w:val="none"/>
              </w:rPr>
            </w:pPr>
          </w:p>
        </w:tc>
        <w:tc>
          <w:tcPr>
            <w:tcW w:w="1418" w:type="dxa"/>
            <w:tcBorders>
              <w:bottom w:val="single" w:color="auto" w:sz="12" w:space="0"/>
            </w:tcBorders>
            <w:noWrap/>
            <w:vAlign w:val="center"/>
          </w:tcPr>
          <w:p w14:paraId="0849CD2A">
            <w:pPr>
              <w:pStyle w:val="17"/>
              <w:spacing w:line="360" w:lineRule="auto"/>
              <w:ind w:firstLine="420"/>
              <w:rPr>
                <w:rFonts w:ascii="宋体" w:hAnsi="宋体"/>
                <w:color w:val="auto"/>
                <w:sz w:val="21"/>
                <w:szCs w:val="21"/>
                <w:highlight w:val="none"/>
              </w:rPr>
            </w:pPr>
          </w:p>
        </w:tc>
        <w:tc>
          <w:tcPr>
            <w:tcW w:w="1134" w:type="dxa"/>
            <w:tcBorders>
              <w:bottom w:val="single" w:color="auto" w:sz="12" w:space="0"/>
            </w:tcBorders>
            <w:noWrap/>
            <w:vAlign w:val="center"/>
          </w:tcPr>
          <w:p w14:paraId="73286124">
            <w:pPr>
              <w:pStyle w:val="17"/>
              <w:spacing w:line="360" w:lineRule="auto"/>
              <w:ind w:firstLine="420"/>
              <w:rPr>
                <w:rFonts w:ascii="宋体" w:hAnsi="宋体"/>
                <w:color w:val="auto"/>
                <w:sz w:val="21"/>
                <w:szCs w:val="21"/>
                <w:highlight w:val="none"/>
              </w:rPr>
            </w:pPr>
          </w:p>
        </w:tc>
        <w:tc>
          <w:tcPr>
            <w:tcW w:w="1134" w:type="dxa"/>
            <w:tcBorders>
              <w:bottom w:val="single" w:color="auto" w:sz="12" w:space="0"/>
            </w:tcBorders>
            <w:noWrap/>
            <w:vAlign w:val="center"/>
          </w:tcPr>
          <w:p w14:paraId="6DF11108">
            <w:pPr>
              <w:pStyle w:val="17"/>
              <w:spacing w:line="360" w:lineRule="auto"/>
              <w:ind w:firstLine="420"/>
              <w:rPr>
                <w:rFonts w:ascii="宋体" w:hAnsi="宋体"/>
                <w:color w:val="auto"/>
                <w:sz w:val="21"/>
                <w:szCs w:val="21"/>
                <w:highlight w:val="none"/>
              </w:rPr>
            </w:pPr>
          </w:p>
        </w:tc>
        <w:tc>
          <w:tcPr>
            <w:tcW w:w="3896" w:type="dxa"/>
            <w:tcBorders>
              <w:bottom w:val="single" w:color="auto" w:sz="12" w:space="0"/>
            </w:tcBorders>
            <w:noWrap/>
            <w:vAlign w:val="center"/>
          </w:tcPr>
          <w:p w14:paraId="0D2B0096">
            <w:pPr>
              <w:pStyle w:val="17"/>
              <w:spacing w:line="360" w:lineRule="auto"/>
              <w:ind w:firstLine="420"/>
              <w:rPr>
                <w:rFonts w:ascii="宋体" w:hAnsi="宋体"/>
                <w:color w:val="auto"/>
                <w:sz w:val="21"/>
                <w:szCs w:val="21"/>
                <w:highlight w:val="none"/>
              </w:rPr>
            </w:pPr>
          </w:p>
        </w:tc>
      </w:tr>
    </w:tbl>
    <w:p w14:paraId="14CD168F">
      <w:pPr>
        <w:spacing w:line="360" w:lineRule="auto"/>
        <w:ind w:firstLine="420"/>
        <w:rPr>
          <w:rFonts w:ascii="宋体" w:hAnsi="宋体"/>
          <w:color w:val="auto"/>
          <w:szCs w:val="21"/>
          <w:highlight w:val="none"/>
        </w:rPr>
      </w:pPr>
      <w:r>
        <w:rPr>
          <w:rFonts w:ascii="宋体" w:hAnsi="宋体"/>
          <w:color w:val="auto"/>
          <w:szCs w:val="21"/>
          <w:highlight w:val="none"/>
        </w:rPr>
        <w:br w:type="page"/>
      </w:r>
    </w:p>
    <w:p w14:paraId="2C92D9F1">
      <w:pPr>
        <w:pStyle w:val="173"/>
        <w:numPr>
          <w:ilvl w:val="0"/>
          <w:numId w:val="0"/>
        </w:numPr>
        <w:wordWrap/>
        <w:spacing w:after="156"/>
        <w:rPr>
          <w:rFonts w:ascii="宋体" w:hAnsi="宋体" w:eastAsia="宋体"/>
          <w:color w:val="auto"/>
          <w:sz w:val="21"/>
          <w:szCs w:val="21"/>
          <w:highlight w:val="none"/>
        </w:rPr>
      </w:pPr>
      <w:bookmarkStart w:id="1711" w:name="_Toc20062"/>
      <w:bookmarkStart w:id="1712" w:name="_Toc31781"/>
      <w:bookmarkStart w:id="1713" w:name="_Toc54862357"/>
      <w:bookmarkStart w:id="1714" w:name="_Toc13435"/>
      <w:bookmarkStart w:id="1715" w:name="_Toc30631"/>
      <w:r>
        <w:rPr>
          <w:rFonts w:hint="eastAsia" w:ascii="宋体" w:hAnsi="宋体" w:eastAsia="宋体"/>
          <w:color w:val="auto"/>
          <w:sz w:val="21"/>
          <w:szCs w:val="21"/>
          <w:highlight w:val="none"/>
        </w:rPr>
        <w:t>附件6价格指数权重表</w:t>
      </w:r>
      <w:bookmarkEnd w:id="1711"/>
      <w:bookmarkEnd w:id="1712"/>
      <w:bookmarkEnd w:id="1713"/>
      <w:bookmarkEnd w:id="1714"/>
      <w:bookmarkEnd w:id="1715"/>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584"/>
        <w:gridCol w:w="876"/>
        <w:gridCol w:w="1215"/>
        <w:gridCol w:w="1080"/>
        <w:gridCol w:w="1215"/>
        <w:gridCol w:w="1230"/>
        <w:gridCol w:w="1380"/>
      </w:tblGrid>
      <w:tr w14:paraId="7CD08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5" w:hRule="atLeast"/>
        </w:trPr>
        <w:tc>
          <w:tcPr>
            <w:tcW w:w="829" w:type="dxa"/>
            <w:vMerge w:val="restart"/>
            <w:noWrap/>
          </w:tcPr>
          <w:p w14:paraId="2834DDC7">
            <w:pPr>
              <w:spacing w:line="360" w:lineRule="auto"/>
              <w:rPr>
                <w:rFonts w:ascii="宋体" w:hAnsi="宋体"/>
                <w:color w:val="auto"/>
                <w:szCs w:val="21"/>
                <w:highlight w:val="none"/>
              </w:rPr>
            </w:pPr>
            <w:r>
              <w:rPr>
                <w:rFonts w:hint="eastAsia" w:ascii="宋体" w:hAnsi="宋体"/>
                <w:color w:val="auto"/>
                <w:szCs w:val="21"/>
                <w:highlight w:val="none"/>
              </w:rPr>
              <w:t>序号</w:t>
            </w:r>
          </w:p>
        </w:tc>
        <w:tc>
          <w:tcPr>
            <w:tcW w:w="1460" w:type="dxa"/>
            <w:gridSpan w:val="2"/>
            <w:vMerge w:val="restart"/>
            <w:noWrap/>
          </w:tcPr>
          <w:p w14:paraId="49DD5570">
            <w:pPr>
              <w:spacing w:line="360" w:lineRule="auto"/>
              <w:rPr>
                <w:rFonts w:ascii="宋体" w:hAnsi="宋体"/>
                <w:color w:val="auto"/>
                <w:szCs w:val="21"/>
                <w:highlight w:val="none"/>
              </w:rPr>
            </w:pPr>
            <w:r>
              <w:rPr>
                <w:rFonts w:hint="eastAsia" w:ascii="宋体" w:hAnsi="宋体"/>
                <w:color w:val="auto"/>
                <w:szCs w:val="21"/>
                <w:highlight w:val="none"/>
              </w:rPr>
              <w:t>名称</w:t>
            </w:r>
          </w:p>
        </w:tc>
        <w:tc>
          <w:tcPr>
            <w:tcW w:w="2295" w:type="dxa"/>
            <w:gridSpan w:val="2"/>
            <w:noWrap/>
          </w:tcPr>
          <w:p w14:paraId="3AA52A7D">
            <w:pPr>
              <w:spacing w:line="360" w:lineRule="auto"/>
              <w:rPr>
                <w:rFonts w:ascii="宋体" w:hAnsi="宋体"/>
                <w:color w:val="auto"/>
                <w:szCs w:val="21"/>
                <w:highlight w:val="none"/>
              </w:rPr>
            </w:pPr>
            <w:r>
              <w:rPr>
                <w:rFonts w:hint="eastAsia" w:ascii="宋体" w:hAnsi="宋体"/>
                <w:color w:val="auto"/>
                <w:szCs w:val="21"/>
                <w:highlight w:val="none"/>
              </w:rPr>
              <w:t>变更权重B</w:t>
            </w:r>
          </w:p>
        </w:tc>
        <w:tc>
          <w:tcPr>
            <w:tcW w:w="2445" w:type="dxa"/>
            <w:gridSpan w:val="2"/>
            <w:noWrap/>
          </w:tcPr>
          <w:p w14:paraId="003B2C0E">
            <w:pPr>
              <w:spacing w:line="360" w:lineRule="auto"/>
              <w:rPr>
                <w:rFonts w:ascii="宋体" w:hAnsi="宋体"/>
                <w:color w:val="auto"/>
                <w:szCs w:val="21"/>
                <w:highlight w:val="none"/>
              </w:rPr>
            </w:pPr>
            <w:r>
              <w:rPr>
                <w:rFonts w:hint="eastAsia" w:ascii="宋体" w:hAnsi="宋体"/>
                <w:color w:val="auto"/>
                <w:szCs w:val="21"/>
                <w:highlight w:val="none"/>
              </w:rPr>
              <w:t>基本价格指数F0</w:t>
            </w:r>
          </w:p>
        </w:tc>
        <w:tc>
          <w:tcPr>
            <w:tcW w:w="1380" w:type="dxa"/>
            <w:noWrap/>
          </w:tcPr>
          <w:p w14:paraId="2D214FD4">
            <w:pPr>
              <w:spacing w:line="360" w:lineRule="auto"/>
              <w:rPr>
                <w:rFonts w:ascii="宋体" w:hAnsi="宋体"/>
                <w:color w:val="auto"/>
                <w:szCs w:val="21"/>
                <w:highlight w:val="none"/>
              </w:rPr>
            </w:pPr>
            <w:r>
              <w:rPr>
                <w:rFonts w:hint="eastAsia" w:ascii="宋体" w:hAnsi="宋体"/>
                <w:color w:val="auto"/>
                <w:szCs w:val="21"/>
                <w:highlight w:val="none"/>
              </w:rPr>
              <w:t>备注</w:t>
            </w:r>
          </w:p>
        </w:tc>
      </w:tr>
      <w:tr w14:paraId="247C4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829" w:type="dxa"/>
            <w:vMerge w:val="continue"/>
            <w:noWrap/>
          </w:tcPr>
          <w:p w14:paraId="10DCF39D">
            <w:pPr>
              <w:spacing w:line="360" w:lineRule="auto"/>
              <w:rPr>
                <w:rFonts w:ascii="宋体" w:hAnsi="宋体"/>
                <w:color w:val="auto"/>
                <w:szCs w:val="21"/>
                <w:highlight w:val="none"/>
              </w:rPr>
            </w:pPr>
          </w:p>
        </w:tc>
        <w:tc>
          <w:tcPr>
            <w:tcW w:w="1460" w:type="dxa"/>
            <w:gridSpan w:val="2"/>
            <w:vMerge w:val="continue"/>
            <w:noWrap/>
          </w:tcPr>
          <w:p w14:paraId="6D9C8D25">
            <w:pPr>
              <w:spacing w:line="360" w:lineRule="auto"/>
              <w:rPr>
                <w:rFonts w:ascii="宋体" w:hAnsi="宋体"/>
                <w:color w:val="auto"/>
                <w:szCs w:val="21"/>
                <w:highlight w:val="none"/>
              </w:rPr>
            </w:pPr>
          </w:p>
        </w:tc>
        <w:tc>
          <w:tcPr>
            <w:tcW w:w="1215" w:type="dxa"/>
            <w:noWrap/>
          </w:tcPr>
          <w:p w14:paraId="453C00A8">
            <w:pPr>
              <w:spacing w:line="360" w:lineRule="auto"/>
              <w:rPr>
                <w:rFonts w:ascii="宋体" w:hAnsi="宋体"/>
                <w:color w:val="auto"/>
                <w:szCs w:val="21"/>
                <w:highlight w:val="none"/>
              </w:rPr>
            </w:pPr>
            <w:r>
              <w:rPr>
                <w:rFonts w:hint="eastAsia" w:ascii="宋体" w:hAnsi="宋体"/>
                <w:color w:val="auto"/>
                <w:szCs w:val="21"/>
                <w:highlight w:val="none"/>
              </w:rPr>
              <w:t>代号</w:t>
            </w:r>
          </w:p>
        </w:tc>
        <w:tc>
          <w:tcPr>
            <w:tcW w:w="1080" w:type="dxa"/>
            <w:noWrap/>
          </w:tcPr>
          <w:p w14:paraId="7DD8505C">
            <w:pPr>
              <w:spacing w:line="360" w:lineRule="auto"/>
              <w:rPr>
                <w:rFonts w:ascii="宋体" w:hAnsi="宋体"/>
                <w:color w:val="auto"/>
                <w:szCs w:val="21"/>
                <w:highlight w:val="none"/>
              </w:rPr>
            </w:pPr>
            <w:r>
              <w:rPr>
                <w:rFonts w:hint="eastAsia" w:ascii="宋体" w:hAnsi="宋体"/>
                <w:color w:val="auto"/>
                <w:szCs w:val="21"/>
                <w:highlight w:val="none"/>
              </w:rPr>
              <w:t>权重</w:t>
            </w:r>
          </w:p>
        </w:tc>
        <w:tc>
          <w:tcPr>
            <w:tcW w:w="1215" w:type="dxa"/>
            <w:noWrap/>
          </w:tcPr>
          <w:p w14:paraId="31DA10E9">
            <w:pPr>
              <w:spacing w:line="360" w:lineRule="auto"/>
              <w:rPr>
                <w:rFonts w:ascii="宋体" w:hAnsi="宋体"/>
                <w:color w:val="auto"/>
                <w:szCs w:val="21"/>
                <w:highlight w:val="none"/>
              </w:rPr>
            </w:pPr>
            <w:r>
              <w:rPr>
                <w:rFonts w:hint="eastAsia" w:ascii="宋体" w:hAnsi="宋体"/>
                <w:color w:val="auto"/>
                <w:szCs w:val="21"/>
                <w:highlight w:val="none"/>
              </w:rPr>
              <w:t>代号</w:t>
            </w:r>
          </w:p>
        </w:tc>
        <w:tc>
          <w:tcPr>
            <w:tcW w:w="1230" w:type="dxa"/>
            <w:noWrap/>
          </w:tcPr>
          <w:p w14:paraId="12E8C972">
            <w:pPr>
              <w:spacing w:line="360" w:lineRule="auto"/>
              <w:rPr>
                <w:rFonts w:ascii="宋体" w:hAnsi="宋体"/>
                <w:color w:val="auto"/>
                <w:szCs w:val="21"/>
                <w:highlight w:val="none"/>
              </w:rPr>
            </w:pPr>
            <w:r>
              <w:rPr>
                <w:rFonts w:hint="eastAsia" w:ascii="宋体" w:hAnsi="宋体"/>
                <w:color w:val="auto"/>
                <w:szCs w:val="21"/>
                <w:highlight w:val="none"/>
              </w:rPr>
              <w:t>指数</w:t>
            </w:r>
          </w:p>
        </w:tc>
        <w:tc>
          <w:tcPr>
            <w:tcW w:w="1380" w:type="dxa"/>
            <w:noWrap/>
          </w:tcPr>
          <w:p w14:paraId="67E6BC03">
            <w:pPr>
              <w:spacing w:line="360" w:lineRule="auto"/>
              <w:rPr>
                <w:rFonts w:ascii="宋体" w:hAnsi="宋体"/>
                <w:color w:val="auto"/>
                <w:szCs w:val="21"/>
                <w:highlight w:val="none"/>
              </w:rPr>
            </w:pPr>
          </w:p>
        </w:tc>
      </w:tr>
      <w:tr w14:paraId="674A1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tcPr>
          <w:p w14:paraId="07E57516">
            <w:pPr>
              <w:spacing w:line="360" w:lineRule="auto"/>
              <w:rPr>
                <w:rFonts w:ascii="宋体" w:hAnsi="宋体"/>
                <w:color w:val="auto"/>
                <w:szCs w:val="21"/>
                <w:highlight w:val="none"/>
              </w:rPr>
            </w:pPr>
          </w:p>
        </w:tc>
        <w:tc>
          <w:tcPr>
            <w:tcW w:w="584" w:type="dxa"/>
            <w:vMerge w:val="restart"/>
            <w:noWrap/>
          </w:tcPr>
          <w:p w14:paraId="3A3B93E2">
            <w:pPr>
              <w:spacing w:line="360" w:lineRule="auto"/>
              <w:rPr>
                <w:rFonts w:ascii="宋体" w:hAnsi="宋体"/>
                <w:color w:val="auto"/>
                <w:szCs w:val="21"/>
                <w:highlight w:val="none"/>
              </w:rPr>
            </w:pPr>
            <w:r>
              <w:rPr>
                <w:rFonts w:hint="eastAsia" w:ascii="宋体" w:hAnsi="宋体"/>
                <w:color w:val="auto"/>
                <w:szCs w:val="21"/>
                <w:highlight w:val="none"/>
              </w:rPr>
              <w:t>变</w:t>
            </w:r>
          </w:p>
          <w:p w14:paraId="0714A968">
            <w:pPr>
              <w:spacing w:line="360" w:lineRule="auto"/>
              <w:rPr>
                <w:rFonts w:ascii="宋体" w:hAnsi="宋体"/>
                <w:color w:val="auto"/>
                <w:szCs w:val="21"/>
                <w:highlight w:val="none"/>
              </w:rPr>
            </w:pPr>
            <w:r>
              <w:rPr>
                <w:rFonts w:hint="eastAsia" w:ascii="宋体" w:hAnsi="宋体"/>
                <w:color w:val="auto"/>
                <w:szCs w:val="21"/>
                <w:highlight w:val="none"/>
              </w:rPr>
              <w:t>值</w:t>
            </w:r>
          </w:p>
          <w:p w14:paraId="7072A7FE">
            <w:pPr>
              <w:spacing w:line="360" w:lineRule="auto"/>
              <w:rPr>
                <w:rFonts w:ascii="宋体" w:hAnsi="宋体"/>
                <w:color w:val="auto"/>
                <w:szCs w:val="21"/>
                <w:highlight w:val="none"/>
              </w:rPr>
            </w:pPr>
            <w:r>
              <w:rPr>
                <w:rFonts w:hint="eastAsia" w:ascii="宋体" w:hAnsi="宋体"/>
                <w:color w:val="auto"/>
                <w:szCs w:val="21"/>
                <w:highlight w:val="none"/>
              </w:rPr>
              <w:t>部</w:t>
            </w:r>
          </w:p>
          <w:p w14:paraId="607DAAFB">
            <w:pPr>
              <w:spacing w:line="360" w:lineRule="auto"/>
              <w:rPr>
                <w:rFonts w:ascii="宋体" w:hAnsi="宋体"/>
                <w:color w:val="auto"/>
                <w:szCs w:val="21"/>
                <w:highlight w:val="none"/>
              </w:rPr>
            </w:pPr>
            <w:r>
              <w:rPr>
                <w:rFonts w:hint="eastAsia" w:ascii="宋体" w:hAnsi="宋体"/>
                <w:color w:val="auto"/>
                <w:szCs w:val="21"/>
                <w:highlight w:val="none"/>
              </w:rPr>
              <w:t>分</w:t>
            </w:r>
          </w:p>
        </w:tc>
        <w:tc>
          <w:tcPr>
            <w:tcW w:w="876" w:type="dxa"/>
            <w:noWrap/>
          </w:tcPr>
          <w:p w14:paraId="1094A0F9">
            <w:pPr>
              <w:spacing w:line="360" w:lineRule="auto"/>
              <w:rPr>
                <w:rFonts w:ascii="宋体" w:hAnsi="宋体"/>
                <w:color w:val="auto"/>
                <w:szCs w:val="21"/>
                <w:highlight w:val="none"/>
              </w:rPr>
            </w:pPr>
          </w:p>
        </w:tc>
        <w:tc>
          <w:tcPr>
            <w:tcW w:w="1215" w:type="dxa"/>
            <w:noWrap/>
          </w:tcPr>
          <w:p w14:paraId="70434D4F">
            <w:pPr>
              <w:spacing w:line="360" w:lineRule="auto"/>
              <w:rPr>
                <w:rFonts w:ascii="宋体" w:hAnsi="宋体"/>
                <w:color w:val="auto"/>
                <w:szCs w:val="21"/>
                <w:highlight w:val="none"/>
              </w:rPr>
            </w:pPr>
            <w:r>
              <w:rPr>
                <w:rFonts w:hint="eastAsia" w:ascii="宋体" w:hAnsi="宋体"/>
                <w:color w:val="auto"/>
                <w:szCs w:val="21"/>
                <w:highlight w:val="none"/>
              </w:rPr>
              <w:t>B1</w:t>
            </w:r>
          </w:p>
        </w:tc>
        <w:tc>
          <w:tcPr>
            <w:tcW w:w="1080" w:type="dxa"/>
            <w:noWrap/>
          </w:tcPr>
          <w:p w14:paraId="1E3DC427">
            <w:pPr>
              <w:spacing w:line="360" w:lineRule="auto"/>
              <w:rPr>
                <w:rFonts w:ascii="宋体" w:hAnsi="宋体"/>
                <w:color w:val="auto"/>
                <w:szCs w:val="21"/>
                <w:highlight w:val="none"/>
              </w:rPr>
            </w:pPr>
          </w:p>
        </w:tc>
        <w:tc>
          <w:tcPr>
            <w:tcW w:w="1215" w:type="dxa"/>
            <w:noWrap/>
          </w:tcPr>
          <w:p w14:paraId="7E1E0B42">
            <w:pPr>
              <w:spacing w:line="360" w:lineRule="auto"/>
              <w:rPr>
                <w:rFonts w:ascii="宋体" w:hAnsi="宋体"/>
                <w:color w:val="auto"/>
                <w:szCs w:val="21"/>
                <w:highlight w:val="none"/>
              </w:rPr>
            </w:pPr>
            <w:r>
              <w:rPr>
                <w:rFonts w:hint="eastAsia" w:ascii="宋体" w:hAnsi="宋体"/>
                <w:color w:val="auto"/>
                <w:szCs w:val="21"/>
                <w:highlight w:val="none"/>
              </w:rPr>
              <w:t>F01</w:t>
            </w:r>
          </w:p>
        </w:tc>
        <w:tc>
          <w:tcPr>
            <w:tcW w:w="1230" w:type="dxa"/>
            <w:noWrap/>
          </w:tcPr>
          <w:p w14:paraId="137A621F">
            <w:pPr>
              <w:spacing w:line="360" w:lineRule="auto"/>
              <w:rPr>
                <w:rFonts w:ascii="宋体" w:hAnsi="宋体"/>
                <w:color w:val="auto"/>
                <w:szCs w:val="21"/>
                <w:highlight w:val="none"/>
              </w:rPr>
            </w:pPr>
          </w:p>
        </w:tc>
        <w:tc>
          <w:tcPr>
            <w:tcW w:w="1380" w:type="dxa"/>
            <w:noWrap/>
          </w:tcPr>
          <w:p w14:paraId="2E616FB8">
            <w:pPr>
              <w:spacing w:line="360" w:lineRule="auto"/>
              <w:rPr>
                <w:rFonts w:ascii="宋体" w:hAnsi="宋体"/>
                <w:color w:val="auto"/>
                <w:szCs w:val="21"/>
                <w:highlight w:val="none"/>
              </w:rPr>
            </w:pPr>
          </w:p>
        </w:tc>
      </w:tr>
      <w:tr w14:paraId="32B1B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tcPr>
          <w:p w14:paraId="7D94BCA1">
            <w:pPr>
              <w:spacing w:line="360" w:lineRule="auto"/>
              <w:rPr>
                <w:rFonts w:ascii="宋体" w:hAnsi="宋体"/>
                <w:color w:val="auto"/>
                <w:szCs w:val="21"/>
                <w:highlight w:val="none"/>
              </w:rPr>
            </w:pPr>
          </w:p>
        </w:tc>
        <w:tc>
          <w:tcPr>
            <w:tcW w:w="584" w:type="dxa"/>
            <w:vMerge w:val="continue"/>
            <w:noWrap/>
          </w:tcPr>
          <w:p w14:paraId="41E093CE">
            <w:pPr>
              <w:spacing w:line="360" w:lineRule="auto"/>
              <w:rPr>
                <w:rFonts w:ascii="宋体" w:hAnsi="宋体"/>
                <w:color w:val="auto"/>
                <w:szCs w:val="21"/>
                <w:highlight w:val="none"/>
              </w:rPr>
            </w:pPr>
          </w:p>
        </w:tc>
        <w:tc>
          <w:tcPr>
            <w:tcW w:w="876" w:type="dxa"/>
            <w:noWrap/>
          </w:tcPr>
          <w:p w14:paraId="3DD1E6E5">
            <w:pPr>
              <w:spacing w:line="360" w:lineRule="auto"/>
              <w:rPr>
                <w:rFonts w:ascii="宋体" w:hAnsi="宋体"/>
                <w:color w:val="auto"/>
                <w:szCs w:val="21"/>
                <w:highlight w:val="none"/>
              </w:rPr>
            </w:pPr>
          </w:p>
        </w:tc>
        <w:tc>
          <w:tcPr>
            <w:tcW w:w="1215" w:type="dxa"/>
            <w:noWrap/>
          </w:tcPr>
          <w:p w14:paraId="352A6ECC">
            <w:pPr>
              <w:spacing w:line="360" w:lineRule="auto"/>
              <w:rPr>
                <w:rFonts w:ascii="宋体" w:hAnsi="宋体"/>
                <w:color w:val="auto"/>
                <w:szCs w:val="21"/>
                <w:highlight w:val="none"/>
              </w:rPr>
            </w:pPr>
            <w:r>
              <w:rPr>
                <w:rFonts w:hint="eastAsia" w:ascii="宋体" w:hAnsi="宋体"/>
                <w:color w:val="auto"/>
                <w:szCs w:val="21"/>
                <w:highlight w:val="none"/>
              </w:rPr>
              <w:t>B2</w:t>
            </w:r>
          </w:p>
        </w:tc>
        <w:tc>
          <w:tcPr>
            <w:tcW w:w="1080" w:type="dxa"/>
            <w:noWrap/>
          </w:tcPr>
          <w:p w14:paraId="65FD89AB">
            <w:pPr>
              <w:spacing w:line="360" w:lineRule="auto"/>
              <w:rPr>
                <w:rFonts w:ascii="宋体" w:hAnsi="宋体"/>
                <w:color w:val="auto"/>
                <w:szCs w:val="21"/>
                <w:highlight w:val="none"/>
              </w:rPr>
            </w:pPr>
          </w:p>
        </w:tc>
        <w:tc>
          <w:tcPr>
            <w:tcW w:w="1215" w:type="dxa"/>
            <w:noWrap/>
          </w:tcPr>
          <w:p w14:paraId="5E81369F">
            <w:pPr>
              <w:spacing w:line="360" w:lineRule="auto"/>
              <w:rPr>
                <w:rFonts w:ascii="宋体" w:hAnsi="宋体"/>
                <w:color w:val="auto"/>
                <w:szCs w:val="21"/>
                <w:highlight w:val="none"/>
              </w:rPr>
            </w:pPr>
            <w:r>
              <w:rPr>
                <w:rFonts w:hint="eastAsia" w:ascii="宋体" w:hAnsi="宋体"/>
                <w:color w:val="auto"/>
                <w:szCs w:val="21"/>
                <w:highlight w:val="none"/>
              </w:rPr>
              <w:t>F02</w:t>
            </w:r>
          </w:p>
        </w:tc>
        <w:tc>
          <w:tcPr>
            <w:tcW w:w="1230" w:type="dxa"/>
            <w:noWrap/>
          </w:tcPr>
          <w:p w14:paraId="1D5EE84D">
            <w:pPr>
              <w:spacing w:line="360" w:lineRule="auto"/>
              <w:rPr>
                <w:rFonts w:ascii="宋体" w:hAnsi="宋体"/>
                <w:color w:val="auto"/>
                <w:szCs w:val="21"/>
                <w:highlight w:val="none"/>
              </w:rPr>
            </w:pPr>
          </w:p>
        </w:tc>
        <w:tc>
          <w:tcPr>
            <w:tcW w:w="1380" w:type="dxa"/>
            <w:noWrap/>
          </w:tcPr>
          <w:p w14:paraId="43CC47B0">
            <w:pPr>
              <w:spacing w:line="360" w:lineRule="auto"/>
              <w:rPr>
                <w:rFonts w:ascii="宋体" w:hAnsi="宋体"/>
                <w:color w:val="auto"/>
                <w:szCs w:val="21"/>
                <w:highlight w:val="none"/>
              </w:rPr>
            </w:pPr>
          </w:p>
        </w:tc>
      </w:tr>
      <w:tr w14:paraId="7BDAD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tcPr>
          <w:p w14:paraId="56C69E35">
            <w:pPr>
              <w:spacing w:line="360" w:lineRule="auto"/>
              <w:rPr>
                <w:rFonts w:ascii="宋体" w:hAnsi="宋体"/>
                <w:color w:val="auto"/>
                <w:szCs w:val="21"/>
                <w:highlight w:val="none"/>
              </w:rPr>
            </w:pPr>
          </w:p>
        </w:tc>
        <w:tc>
          <w:tcPr>
            <w:tcW w:w="584" w:type="dxa"/>
            <w:vMerge w:val="continue"/>
            <w:noWrap/>
          </w:tcPr>
          <w:p w14:paraId="3F62629B">
            <w:pPr>
              <w:spacing w:line="360" w:lineRule="auto"/>
              <w:rPr>
                <w:rFonts w:ascii="宋体" w:hAnsi="宋体"/>
                <w:color w:val="auto"/>
                <w:szCs w:val="21"/>
                <w:highlight w:val="none"/>
              </w:rPr>
            </w:pPr>
          </w:p>
        </w:tc>
        <w:tc>
          <w:tcPr>
            <w:tcW w:w="876" w:type="dxa"/>
            <w:noWrap/>
          </w:tcPr>
          <w:p w14:paraId="6B858FC1">
            <w:pPr>
              <w:spacing w:line="360" w:lineRule="auto"/>
              <w:rPr>
                <w:rFonts w:ascii="宋体" w:hAnsi="宋体"/>
                <w:color w:val="auto"/>
                <w:szCs w:val="21"/>
                <w:highlight w:val="none"/>
              </w:rPr>
            </w:pPr>
          </w:p>
        </w:tc>
        <w:tc>
          <w:tcPr>
            <w:tcW w:w="1215" w:type="dxa"/>
            <w:noWrap/>
          </w:tcPr>
          <w:p w14:paraId="72810E1E">
            <w:pPr>
              <w:spacing w:line="360" w:lineRule="auto"/>
              <w:rPr>
                <w:rFonts w:ascii="宋体" w:hAnsi="宋体"/>
                <w:color w:val="auto"/>
                <w:szCs w:val="21"/>
                <w:highlight w:val="none"/>
              </w:rPr>
            </w:pPr>
            <w:r>
              <w:rPr>
                <w:rFonts w:hint="eastAsia" w:ascii="宋体" w:hAnsi="宋体"/>
                <w:color w:val="auto"/>
                <w:szCs w:val="21"/>
                <w:highlight w:val="none"/>
              </w:rPr>
              <w:t>B3</w:t>
            </w:r>
          </w:p>
        </w:tc>
        <w:tc>
          <w:tcPr>
            <w:tcW w:w="1080" w:type="dxa"/>
            <w:noWrap/>
          </w:tcPr>
          <w:p w14:paraId="75673D84">
            <w:pPr>
              <w:spacing w:line="360" w:lineRule="auto"/>
              <w:rPr>
                <w:rFonts w:ascii="宋体" w:hAnsi="宋体"/>
                <w:color w:val="auto"/>
                <w:szCs w:val="21"/>
                <w:highlight w:val="none"/>
              </w:rPr>
            </w:pPr>
          </w:p>
        </w:tc>
        <w:tc>
          <w:tcPr>
            <w:tcW w:w="1215" w:type="dxa"/>
            <w:noWrap/>
          </w:tcPr>
          <w:p w14:paraId="21156794">
            <w:pPr>
              <w:spacing w:line="360" w:lineRule="auto"/>
              <w:rPr>
                <w:rFonts w:ascii="宋体" w:hAnsi="宋体"/>
                <w:color w:val="auto"/>
                <w:szCs w:val="21"/>
                <w:highlight w:val="none"/>
              </w:rPr>
            </w:pPr>
            <w:r>
              <w:rPr>
                <w:rFonts w:hint="eastAsia" w:ascii="宋体" w:hAnsi="宋体"/>
                <w:color w:val="auto"/>
                <w:szCs w:val="21"/>
                <w:highlight w:val="none"/>
              </w:rPr>
              <w:t>F03</w:t>
            </w:r>
          </w:p>
        </w:tc>
        <w:tc>
          <w:tcPr>
            <w:tcW w:w="1230" w:type="dxa"/>
            <w:noWrap/>
          </w:tcPr>
          <w:p w14:paraId="70F6C603">
            <w:pPr>
              <w:spacing w:line="360" w:lineRule="auto"/>
              <w:rPr>
                <w:rFonts w:ascii="宋体" w:hAnsi="宋体"/>
                <w:color w:val="auto"/>
                <w:szCs w:val="21"/>
                <w:highlight w:val="none"/>
              </w:rPr>
            </w:pPr>
          </w:p>
        </w:tc>
        <w:tc>
          <w:tcPr>
            <w:tcW w:w="1380" w:type="dxa"/>
            <w:noWrap/>
          </w:tcPr>
          <w:p w14:paraId="24E7EFE9">
            <w:pPr>
              <w:spacing w:line="360" w:lineRule="auto"/>
              <w:rPr>
                <w:rFonts w:ascii="宋体" w:hAnsi="宋体"/>
                <w:color w:val="auto"/>
                <w:szCs w:val="21"/>
                <w:highlight w:val="none"/>
              </w:rPr>
            </w:pPr>
          </w:p>
        </w:tc>
      </w:tr>
      <w:tr w14:paraId="619EE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tcPr>
          <w:p w14:paraId="31B5FBA9">
            <w:pPr>
              <w:spacing w:line="360" w:lineRule="auto"/>
              <w:rPr>
                <w:rFonts w:ascii="宋体" w:hAnsi="宋体"/>
                <w:color w:val="auto"/>
                <w:szCs w:val="21"/>
                <w:highlight w:val="none"/>
              </w:rPr>
            </w:pPr>
          </w:p>
        </w:tc>
        <w:tc>
          <w:tcPr>
            <w:tcW w:w="584" w:type="dxa"/>
            <w:vMerge w:val="continue"/>
            <w:noWrap/>
          </w:tcPr>
          <w:p w14:paraId="312309B2">
            <w:pPr>
              <w:spacing w:line="360" w:lineRule="auto"/>
              <w:rPr>
                <w:rFonts w:ascii="宋体" w:hAnsi="宋体"/>
                <w:color w:val="auto"/>
                <w:szCs w:val="21"/>
                <w:highlight w:val="none"/>
              </w:rPr>
            </w:pPr>
          </w:p>
        </w:tc>
        <w:tc>
          <w:tcPr>
            <w:tcW w:w="876" w:type="dxa"/>
            <w:noWrap/>
          </w:tcPr>
          <w:p w14:paraId="449EC946">
            <w:pPr>
              <w:spacing w:line="360" w:lineRule="auto"/>
              <w:rPr>
                <w:rFonts w:ascii="宋体" w:hAnsi="宋体"/>
                <w:color w:val="auto"/>
                <w:szCs w:val="21"/>
                <w:highlight w:val="none"/>
              </w:rPr>
            </w:pPr>
          </w:p>
        </w:tc>
        <w:tc>
          <w:tcPr>
            <w:tcW w:w="1215" w:type="dxa"/>
            <w:noWrap/>
          </w:tcPr>
          <w:p w14:paraId="16D7A65E">
            <w:pPr>
              <w:spacing w:line="360" w:lineRule="auto"/>
              <w:rPr>
                <w:rFonts w:ascii="宋体" w:hAnsi="宋体"/>
                <w:color w:val="auto"/>
                <w:szCs w:val="21"/>
                <w:highlight w:val="none"/>
              </w:rPr>
            </w:pPr>
            <w:r>
              <w:rPr>
                <w:rFonts w:hint="eastAsia" w:ascii="宋体" w:hAnsi="宋体"/>
                <w:color w:val="auto"/>
                <w:szCs w:val="21"/>
                <w:highlight w:val="none"/>
              </w:rPr>
              <w:t>B4</w:t>
            </w:r>
          </w:p>
        </w:tc>
        <w:tc>
          <w:tcPr>
            <w:tcW w:w="1080" w:type="dxa"/>
            <w:noWrap/>
          </w:tcPr>
          <w:p w14:paraId="140818FF">
            <w:pPr>
              <w:spacing w:line="360" w:lineRule="auto"/>
              <w:rPr>
                <w:rFonts w:ascii="宋体" w:hAnsi="宋体"/>
                <w:color w:val="auto"/>
                <w:szCs w:val="21"/>
                <w:highlight w:val="none"/>
              </w:rPr>
            </w:pPr>
          </w:p>
        </w:tc>
        <w:tc>
          <w:tcPr>
            <w:tcW w:w="1215" w:type="dxa"/>
            <w:noWrap/>
          </w:tcPr>
          <w:p w14:paraId="2C6F5C95">
            <w:pPr>
              <w:spacing w:line="360" w:lineRule="auto"/>
              <w:rPr>
                <w:rFonts w:ascii="宋体" w:hAnsi="宋体"/>
                <w:color w:val="auto"/>
                <w:szCs w:val="21"/>
                <w:highlight w:val="none"/>
              </w:rPr>
            </w:pPr>
            <w:r>
              <w:rPr>
                <w:rFonts w:hint="eastAsia" w:ascii="宋体" w:hAnsi="宋体"/>
                <w:color w:val="auto"/>
                <w:szCs w:val="21"/>
                <w:highlight w:val="none"/>
              </w:rPr>
              <w:t>F04</w:t>
            </w:r>
          </w:p>
        </w:tc>
        <w:tc>
          <w:tcPr>
            <w:tcW w:w="1230" w:type="dxa"/>
            <w:noWrap/>
          </w:tcPr>
          <w:p w14:paraId="10C96ED9">
            <w:pPr>
              <w:spacing w:line="360" w:lineRule="auto"/>
              <w:rPr>
                <w:rFonts w:ascii="宋体" w:hAnsi="宋体"/>
                <w:color w:val="auto"/>
                <w:szCs w:val="21"/>
                <w:highlight w:val="none"/>
              </w:rPr>
            </w:pPr>
          </w:p>
        </w:tc>
        <w:tc>
          <w:tcPr>
            <w:tcW w:w="1380" w:type="dxa"/>
            <w:noWrap/>
          </w:tcPr>
          <w:p w14:paraId="3755A2C8">
            <w:pPr>
              <w:spacing w:line="360" w:lineRule="auto"/>
              <w:rPr>
                <w:rFonts w:ascii="宋体" w:hAnsi="宋体"/>
                <w:color w:val="auto"/>
                <w:szCs w:val="21"/>
                <w:highlight w:val="none"/>
              </w:rPr>
            </w:pPr>
          </w:p>
        </w:tc>
      </w:tr>
      <w:tr w14:paraId="5ABE8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tcPr>
          <w:p w14:paraId="4941042B">
            <w:pPr>
              <w:spacing w:line="360" w:lineRule="auto"/>
              <w:rPr>
                <w:rFonts w:ascii="宋体" w:hAnsi="宋体"/>
                <w:color w:val="auto"/>
                <w:szCs w:val="21"/>
                <w:highlight w:val="none"/>
              </w:rPr>
            </w:pPr>
          </w:p>
        </w:tc>
        <w:tc>
          <w:tcPr>
            <w:tcW w:w="584" w:type="dxa"/>
            <w:vMerge w:val="continue"/>
            <w:noWrap/>
          </w:tcPr>
          <w:p w14:paraId="01ACA65E">
            <w:pPr>
              <w:spacing w:line="360" w:lineRule="auto"/>
              <w:rPr>
                <w:rFonts w:ascii="宋体" w:hAnsi="宋体"/>
                <w:color w:val="auto"/>
                <w:szCs w:val="21"/>
                <w:highlight w:val="none"/>
              </w:rPr>
            </w:pPr>
          </w:p>
        </w:tc>
        <w:tc>
          <w:tcPr>
            <w:tcW w:w="876" w:type="dxa"/>
            <w:noWrap/>
          </w:tcPr>
          <w:p w14:paraId="5B2F2A4D">
            <w:pPr>
              <w:spacing w:line="360" w:lineRule="auto"/>
              <w:rPr>
                <w:rFonts w:ascii="宋体" w:hAnsi="宋体"/>
                <w:color w:val="auto"/>
                <w:szCs w:val="21"/>
                <w:highlight w:val="none"/>
              </w:rPr>
            </w:pPr>
          </w:p>
        </w:tc>
        <w:tc>
          <w:tcPr>
            <w:tcW w:w="1215" w:type="dxa"/>
            <w:noWrap/>
          </w:tcPr>
          <w:p w14:paraId="2CA2D1E3">
            <w:pPr>
              <w:spacing w:line="360" w:lineRule="auto"/>
              <w:rPr>
                <w:rFonts w:ascii="宋体" w:hAnsi="宋体"/>
                <w:color w:val="auto"/>
                <w:szCs w:val="21"/>
                <w:highlight w:val="none"/>
              </w:rPr>
            </w:pPr>
          </w:p>
        </w:tc>
        <w:tc>
          <w:tcPr>
            <w:tcW w:w="1080" w:type="dxa"/>
            <w:noWrap/>
          </w:tcPr>
          <w:p w14:paraId="67D6C047">
            <w:pPr>
              <w:spacing w:line="360" w:lineRule="auto"/>
              <w:rPr>
                <w:rFonts w:ascii="宋体" w:hAnsi="宋体"/>
                <w:color w:val="auto"/>
                <w:szCs w:val="21"/>
                <w:highlight w:val="none"/>
              </w:rPr>
            </w:pPr>
          </w:p>
        </w:tc>
        <w:tc>
          <w:tcPr>
            <w:tcW w:w="1215" w:type="dxa"/>
            <w:noWrap/>
          </w:tcPr>
          <w:p w14:paraId="1E9D98F0">
            <w:pPr>
              <w:spacing w:line="360" w:lineRule="auto"/>
              <w:rPr>
                <w:rFonts w:ascii="宋体" w:hAnsi="宋体"/>
                <w:color w:val="auto"/>
                <w:szCs w:val="21"/>
                <w:highlight w:val="none"/>
              </w:rPr>
            </w:pPr>
          </w:p>
        </w:tc>
        <w:tc>
          <w:tcPr>
            <w:tcW w:w="1230" w:type="dxa"/>
            <w:noWrap/>
          </w:tcPr>
          <w:p w14:paraId="5758A90C">
            <w:pPr>
              <w:spacing w:line="360" w:lineRule="auto"/>
              <w:rPr>
                <w:rFonts w:ascii="宋体" w:hAnsi="宋体"/>
                <w:color w:val="auto"/>
                <w:szCs w:val="21"/>
                <w:highlight w:val="none"/>
              </w:rPr>
            </w:pPr>
          </w:p>
        </w:tc>
        <w:tc>
          <w:tcPr>
            <w:tcW w:w="1380" w:type="dxa"/>
            <w:noWrap/>
          </w:tcPr>
          <w:p w14:paraId="0EF2D7A1">
            <w:pPr>
              <w:spacing w:line="360" w:lineRule="auto"/>
              <w:rPr>
                <w:rFonts w:ascii="宋体" w:hAnsi="宋体"/>
                <w:color w:val="auto"/>
                <w:szCs w:val="21"/>
                <w:highlight w:val="none"/>
              </w:rPr>
            </w:pPr>
          </w:p>
        </w:tc>
      </w:tr>
      <w:tr w14:paraId="2C258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noWrap/>
          </w:tcPr>
          <w:p w14:paraId="4F1A8ADE">
            <w:pPr>
              <w:spacing w:line="360" w:lineRule="auto"/>
              <w:rPr>
                <w:rFonts w:ascii="宋体" w:hAnsi="宋体"/>
                <w:color w:val="auto"/>
                <w:szCs w:val="21"/>
                <w:highlight w:val="none"/>
              </w:rPr>
            </w:pPr>
          </w:p>
        </w:tc>
        <w:tc>
          <w:tcPr>
            <w:tcW w:w="584" w:type="dxa"/>
            <w:vMerge w:val="continue"/>
            <w:noWrap/>
          </w:tcPr>
          <w:p w14:paraId="6313AEF3">
            <w:pPr>
              <w:spacing w:line="360" w:lineRule="auto"/>
              <w:rPr>
                <w:rFonts w:ascii="宋体" w:hAnsi="宋体"/>
                <w:color w:val="auto"/>
                <w:szCs w:val="21"/>
                <w:highlight w:val="none"/>
              </w:rPr>
            </w:pPr>
          </w:p>
        </w:tc>
        <w:tc>
          <w:tcPr>
            <w:tcW w:w="876" w:type="dxa"/>
            <w:noWrap/>
          </w:tcPr>
          <w:p w14:paraId="55853AC6">
            <w:pPr>
              <w:spacing w:line="360" w:lineRule="auto"/>
              <w:rPr>
                <w:rFonts w:ascii="宋体" w:hAnsi="宋体"/>
                <w:color w:val="auto"/>
                <w:szCs w:val="21"/>
                <w:highlight w:val="none"/>
              </w:rPr>
            </w:pPr>
          </w:p>
        </w:tc>
        <w:tc>
          <w:tcPr>
            <w:tcW w:w="1215" w:type="dxa"/>
            <w:noWrap/>
          </w:tcPr>
          <w:p w14:paraId="386FD6B4">
            <w:pPr>
              <w:spacing w:line="360" w:lineRule="auto"/>
              <w:rPr>
                <w:rFonts w:ascii="宋体" w:hAnsi="宋体"/>
                <w:color w:val="auto"/>
                <w:szCs w:val="21"/>
                <w:highlight w:val="none"/>
              </w:rPr>
            </w:pPr>
          </w:p>
        </w:tc>
        <w:tc>
          <w:tcPr>
            <w:tcW w:w="1080" w:type="dxa"/>
            <w:noWrap/>
          </w:tcPr>
          <w:p w14:paraId="7F0664AC">
            <w:pPr>
              <w:spacing w:line="360" w:lineRule="auto"/>
              <w:rPr>
                <w:rFonts w:ascii="宋体" w:hAnsi="宋体"/>
                <w:color w:val="auto"/>
                <w:szCs w:val="21"/>
                <w:highlight w:val="none"/>
              </w:rPr>
            </w:pPr>
          </w:p>
        </w:tc>
        <w:tc>
          <w:tcPr>
            <w:tcW w:w="1215" w:type="dxa"/>
            <w:noWrap/>
          </w:tcPr>
          <w:p w14:paraId="0141519F">
            <w:pPr>
              <w:spacing w:line="360" w:lineRule="auto"/>
              <w:rPr>
                <w:rFonts w:ascii="宋体" w:hAnsi="宋体"/>
                <w:color w:val="auto"/>
                <w:szCs w:val="21"/>
                <w:highlight w:val="none"/>
              </w:rPr>
            </w:pPr>
          </w:p>
        </w:tc>
        <w:tc>
          <w:tcPr>
            <w:tcW w:w="1230" w:type="dxa"/>
            <w:noWrap/>
          </w:tcPr>
          <w:p w14:paraId="5327BE27">
            <w:pPr>
              <w:spacing w:line="360" w:lineRule="auto"/>
              <w:rPr>
                <w:rFonts w:ascii="宋体" w:hAnsi="宋体"/>
                <w:color w:val="auto"/>
                <w:szCs w:val="21"/>
                <w:highlight w:val="none"/>
              </w:rPr>
            </w:pPr>
          </w:p>
        </w:tc>
        <w:tc>
          <w:tcPr>
            <w:tcW w:w="1380" w:type="dxa"/>
            <w:noWrap/>
          </w:tcPr>
          <w:p w14:paraId="79AA1E2C">
            <w:pPr>
              <w:spacing w:line="360" w:lineRule="auto"/>
              <w:rPr>
                <w:rFonts w:ascii="宋体" w:hAnsi="宋体"/>
                <w:color w:val="auto"/>
                <w:szCs w:val="21"/>
                <w:highlight w:val="none"/>
              </w:rPr>
            </w:pPr>
          </w:p>
        </w:tc>
      </w:tr>
      <w:tr w14:paraId="4BBA2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9" w:type="dxa"/>
            <w:gridSpan w:val="3"/>
            <w:noWrap/>
          </w:tcPr>
          <w:p w14:paraId="385318E4">
            <w:pPr>
              <w:spacing w:line="360" w:lineRule="auto"/>
              <w:rPr>
                <w:rFonts w:ascii="宋体" w:hAnsi="宋体"/>
                <w:color w:val="auto"/>
                <w:szCs w:val="21"/>
                <w:highlight w:val="none"/>
              </w:rPr>
            </w:pPr>
            <w:r>
              <w:rPr>
                <w:rFonts w:hint="eastAsia" w:ascii="宋体" w:hAnsi="宋体"/>
                <w:color w:val="auto"/>
                <w:szCs w:val="21"/>
                <w:highlight w:val="none"/>
              </w:rPr>
              <w:t>定值部分权重A</w:t>
            </w:r>
          </w:p>
        </w:tc>
        <w:tc>
          <w:tcPr>
            <w:tcW w:w="1215" w:type="dxa"/>
            <w:noWrap/>
          </w:tcPr>
          <w:p w14:paraId="09485336">
            <w:pPr>
              <w:spacing w:line="360" w:lineRule="auto"/>
              <w:rPr>
                <w:rFonts w:ascii="宋体" w:hAnsi="宋体"/>
                <w:color w:val="auto"/>
                <w:szCs w:val="21"/>
                <w:highlight w:val="none"/>
              </w:rPr>
            </w:pPr>
          </w:p>
        </w:tc>
        <w:tc>
          <w:tcPr>
            <w:tcW w:w="1080" w:type="dxa"/>
            <w:noWrap/>
          </w:tcPr>
          <w:p w14:paraId="79230D12">
            <w:pPr>
              <w:spacing w:line="360" w:lineRule="auto"/>
              <w:rPr>
                <w:rFonts w:ascii="宋体" w:hAnsi="宋体"/>
                <w:color w:val="auto"/>
                <w:szCs w:val="21"/>
                <w:highlight w:val="none"/>
              </w:rPr>
            </w:pPr>
          </w:p>
        </w:tc>
        <w:tc>
          <w:tcPr>
            <w:tcW w:w="1215" w:type="dxa"/>
            <w:noWrap/>
          </w:tcPr>
          <w:p w14:paraId="0722EA72">
            <w:pPr>
              <w:spacing w:line="360" w:lineRule="auto"/>
              <w:rPr>
                <w:rFonts w:ascii="宋体" w:hAnsi="宋体"/>
                <w:color w:val="auto"/>
                <w:szCs w:val="21"/>
                <w:highlight w:val="none"/>
              </w:rPr>
            </w:pPr>
          </w:p>
        </w:tc>
        <w:tc>
          <w:tcPr>
            <w:tcW w:w="1230" w:type="dxa"/>
            <w:noWrap/>
          </w:tcPr>
          <w:p w14:paraId="60D771BD">
            <w:pPr>
              <w:spacing w:line="360" w:lineRule="auto"/>
              <w:rPr>
                <w:rFonts w:ascii="宋体" w:hAnsi="宋体"/>
                <w:color w:val="auto"/>
                <w:szCs w:val="21"/>
                <w:highlight w:val="none"/>
              </w:rPr>
            </w:pPr>
          </w:p>
        </w:tc>
        <w:tc>
          <w:tcPr>
            <w:tcW w:w="1380" w:type="dxa"/>
            <w:noWrap/>
          </w:tcPr>
          <w:p w14:paraId="73D9D839">
            <w:pPr>
              <w:spacing w:line="360" w:lineRule="auto"/>
              <w:rPr>
                <w:rFonts w:ascii="宋体" w:hAnsi="宋体"/>
                <w:color w:val="auto"/>
                <w:szCs w:val="21"/>
                <w:highlight w:val="none"/>
              </w:rPr>
            </w:pPr>
          </w:p>
        </w:tc>
      </w:tr>
      <w:tr w14:paraId="5467A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9" w:type="dxa"/>
            <w:gridSpan w:val="3"/>
            <w:noWrap/>
          </w:tcPr>
          <w:p w14:paraId="4717D223">
            <w:pPr>
              <w:spacing w:line="360" w:lineRule="auto"/>
              <w:rPr>
                <w:rFonts w:ascii="宋体" w:hAnsi="宋体"/>
                <w:color w:val="auto"/>
                <w:szCs w:val="21"/>
                <w:highlight w:val="none"/>
              </w:rPr>
            </w:pPr>
            <w:r>
              <w:rPr>
                <w:rFonts w:hint="eastAsia" w:ascii="宋体" w:hAnsi="宋体"/>
                <w:color w:val="auto"/>
                <w:szCs w:val="21"/>
                <w:highlight w:val="none"/>
              </w:rPr>
              <w:t>合计</w:t>
            </w:r>
          </w:p>
        </w:tc>
        <w:tc>
          <w:tcPr>
            <w:tcW w:w="2295" w:type="dxa"/>
            <w:gridSpan w:val="2"/>
            <w:noWrap/>
          </w:tcPr>
          <w:p w14:paraId="47DC05A8">
            <w:pPr>
              <w:spacing w:line="360" w:lineRule="auto"/>
              <w:rPr>
                <w:rFonts w:ascii="宋体" w:hAnsi="宋体"/>
                <w:color w:val="auto"/>
                <w:szCs w:val="21"/>
                <w:highlight w:val="none"/>
              </w:rPr>
            </w:pPr>
          </w:p>
        </w:tc>
        <w:tc>
          <w:tcPr>
            <w:tcW w:w="2445" w:type="dxa"/>
            <w:gridSpan w:val="2"/>
            <w:noWrap/>
          </w:tcPr>
          <w:p w14:paraId="671444A2">
            <w:pPr>
              <w:spacing w:line="360" w:lineRule="auto"/>
              <w:rPr>
                <w:rFonts w:ascii="宋体" w:hAnsi="宋体"/>
                <w:color w:val="auto"/>
                <w:szCs w:val="21"/>
                <w:highlight w:val="none"/>
              </w:rPr>
            </w:pPr>
          </w:p>
        </w:tc>
        <w:tc>
          <w:tcPr>
            <w:tcW w:w="1380" w:type="dxa"/>
            <w:noWrap/>
          </w:tcPr>
          <w:p w14:paraId="4FF54672">
            <w:pPr>
              <w:spacing w:line="360" w:lineRule="auto"/>
              <w:rPr>
                <w:rFonts w:ascii="宋体" w:hAnsi="宋体"/>
                <w:color w:val="auto"/>
                <w:szCs w:val="21"/>
                <w:highlight w:val="none"/>
              </w:rPr>
            </w:pPr>
          </w:p>
        </w:tc>
      </w:tr>
    </w:tbl>
    <w:p w14:paraId="7154C549">
      <w:pPr>
        <w:spacing w:line="600" w:lineRule="exact"/>
        <w:rPr>
          <w:color w:val="auto"/>
          <w:szCs w:val="21"/>
          <w:highlight w:val="none"/>
        </w:rPr>
      </w:pPr>
    </w:p>
    <w:p w14:paraId="128354A9">
      <w:pPr>
        <w:spacing w:line="600" w:lineRule="exact"/>
        <w:rPr>
          <w:color w:val="auto"/>
          <w:highlight w:val="none"/>
        </w:rPr>
      </w:pPr>
      <w:r>
        <w:rPr>
          <w:color w:val="auto"/>
          <w:highlight w:val="none"/>
        </w:rPr>
        <w:br w:type="page"/>
      </w:r>
    </w:p>
    <w:p w14:paraId="4D5BBA33">
      <w:pPr>
        <w:jc w:val="center"/>
        <w:outlineLvl w:val="9"/>
        <w:rPr>
          <w:color w:val="auto"/>
          <w:highlight w:val="none"/>
        </w:rPr>
      </w:pPr>
      <w:bookmarkStart w:id="1716" w:name="_Toc247514202"/>
      <w:bookmarkEnd w:id="1716"/>
      <w:bookmarkStart w:id="1717" w:name="_Toc152045772"/>
      <w:bookmarkEnd w:id="1717"/>
      <w:bookmarkStart w:id="1718" w:name="_Toc152042554"/>
      <w:bookmarkEnd w:id="1718"/>
      <w:bookmarkStart w:id="1719" w:name="_Toc144974834"/>
      <w:bookmarkEnd w:id="1719"/>
      <w:bookmarkStart w:id="1720" w:name="_Toc247527803"/>
      <w:bookmarkEnd w:id="1720"/>
    </w:p>
    <w:p w14:paraId="75D5AFE8">
      <w:pPr>
        <w:spacing w:line="400" w:lineRule="exact"/>
        <w:rPr>
          <w:color w:val="auto"/>
          <w:highlight w:val="none"/>
        </w:rPr>
      </w:pPr>
    </w:p>
    <w:p w14:paraId="686BA622">
      <w:pPr>
        <w:pStyle w:val="2"/>
        <w:jc w:val="center"/>
        <w:rPr>
          <w:color w:val="auto"/>
          <w:highlight w:val="none"/>
        </w:rPr>
      </w:pPr>
      <w:bookmarkStart w:id="1721" w:name="_Toc247527819"/>
      <w:bookmarkStart w:id="1722" w:name="_Toc247514232"/>
      <w:bookmarkStart w:id="1723" w:name="_Toc7611"/>
      <w:bookmarkStart w:id="1724" w:name="_Toc19317"/>
      <w:r>
        <w:rPr>
          <w:rFonts w:hint="eastAsia"/>
          <w:color w:val="auto"/>
          <w:highlight w:val="none"/>
        </w:rPr>
        <w:t>第二卷</w:t>
      </w:r>
      <w:bookmarkEnd w:id="1721"/>
      <w:bookmarkEnd w:id="1722"/>
      <w:r>
        <w:rPr>
          <w:color w:val="auto"/>
          <w:highlight w:val="none"/>
        </w:rPr>
        <w:br w:type="page"/>
      </w:r>
      <w:bookmarkEnd w:id="1723"/>
      <w:bookmarkEnd w:id="1724"/>
    </w:p>
    <w:p w14:paraId="744DAE16">
      <w:pPr>
        <w:spacing w:line="440" w:lineRule="exact"/>
        <w:jc w:val="center"/>
        <w:rPr>
          <w:color w:val="auto"/>
          <w:sz w:val="20"/>
          <w:szCs w:val="20"/>
          <w:highlight w:val="none"/>
        </w:rPr>
      </w:pPr>
    </w:p>
    <w:p w14:paraId="0C30B330">
      <w:pPr>
        <w:spacing w:line="440" w:lineRule="exact"/>
        <w:jc w:val="center"/>
        <w:rPr>
          <w:color w:val="auto"/>
          <w:sz w:val="20"/>
          <w:szCs w:val="20"/>
          <w:highlight w:val="none"/>
        </w:rPr>
      </w:pPr>
    </w:p>
    <w:p w14:paraId="565FA691">
      <w:pPr>
        <w:spacing w:line="440" w:lineRule="exact"/>
        <w:jc w:val="center"/>
        <w:rPr>
          <w:color w:val="auto"/>
          <w:sz w:val="20"/>
          <w:szCs w:val="20"/>
          <w:highlight w:val="none"/>
        </w:rPr>
      </w:pPr>
    </w:p>
    <w:p w14:paraId="5CD17F95">
      <w:pPr>
        <w:pStyle w:val="2"/>
        <w:jc w:val="center"/>
        <w:rPr>
          <w:color w:val="auto"/>
          <w:highlight w:val="none"/>
        </w:rPr>
      </w:pPr>
      <w:bookmarkStart w:id="1725" w:name="_Toc152042571"/>
      <w:bookmarkStart w:id="1726" w:name="_Toc247514233"/>
      <w:bookmarkStart w:id="1727" w:name="_Toc152045782"/>
      <w:bookmarkStart w:id="1728" w:name="_Toc144974851"/>
      <w:bookmarkStart w:id="1729" w:name="_Toc247527820"/>
      <w:bookmarkStart w:id="1730" w:name="_Toc13446"/>
      <w:bookmarkStart w:id="1731" w:name="_Toc8362"/>
      <w:r>
        <w:rPr>
          <w:rFonts w:hint="eastAsia"/>
          <w:color w:val="auto"/>
          <w:highlight w:val="none"/>
        </w:rPr>
        <w:t>第五章</w:t>
      </w:r>
      <w:bookmarkEnd w:id="1725"/>
      <w:bookmarkEnd w:id="1726"/>
      <w:bookmarkEnd w:id="1727"/>
      <w:bookmarkEnd w:id="1728"/>
      <w:bookmarkEnd w:id="1729"/>
      <w:r>
        <w:rPr>
          <w:rFonts w:hint="eastAsia"/>
          <w:color w:val="auto"/>
          <w:highlight w:val="none"/>
        </w:rPr>
        <w:t>发包人要求</w:t>
      </w:r>
      <w:bookmarkEnd w:id="1730"/>
      <w:bookmarkEnd w:id="1731"/>
    </w:p>
    <w:p w14:paraId="24BDE4B9">
      <w:pPr>
        <w:topLinePunct/>
        <w:spacing w:line="440" w:lineRule="exact"/>
        <w:jc w:val="center"/>
        <w:rPr>
          <w:color w:val="auto"/>
          <w:highlight w:val="none"/>
        </w:rPr>
      </w:pPr>
    </w:p>
    <w:p w14:paraId="2C650724">
      <w:pPr>
        <w:spacing w:line="400" w:lineRule="exact"/>
        <w:jc w:val="center"/>
        <w:rPr>
          <w:color w:val="auto"/>
          <w:highlight w:val="none"/>
        </w:rPr>
      </w:pPr>
      <w:r>
        <w:rPr>
          <w:color w:val="auto"/>
          <w:highlight w:val="none"/>
        </w:rPr>
        <w:br w:type="page"/>
      </w:r>
    </w:p>
    <w:p w14:paraId="4ECA1740">
      <w:pPr>
        <w:spacing w:line="360" w:lineRule="auto"/>
        <w:ind w:firstLine="420"/>
        <w:rPr>
          <w:rFonts w:ascii="宋体" w:hAnsi="宋体"/>
          <w:color w:val="auto"/>
          <w:szCs w:val="21"/>
          <w:highlight w:val="none"/>
        </w:rPr>
      </w:pPr>
    </w:p>
    <w:p w14:paraId="0AF39A08">
      <w:pPr>
        <w:spacing w:line="360" w:lineRule="auto"/>
        <w:ind w:firstLine="420"/>
        <w:rPr>
          <w:rFonts w:ascii="宋体" w:hAnsi="宋体"/>
          <w:color w:val="auto"/>
          <w:szCs w:val="21"/>
          <w:highlight w:val="none"/>
        </w:rPr>
      </w:pPr>
      <w:r>
        <w:rPr>
          <w:rFonts w:hint="eastAsia" w:ascii="宋体" w:hAnsi="宋体"/>
          <w:color w:val="auto"/>
          <w:szCs w:val="21"/>
          <w:highlight w:val="none"/>
        </w:rPr>
        <w:t>发包人要求应尽可能清晰准确，对于可以进行定量评估的工作，发包人要求不仅应明确规定其产能、功能、用途、质量、环境、安全，并且要规定偏离的范围和计算方法，以及检验、试验、试运行的具体要求。对于承包人负责提供的有关设备和服务，对发包人人员进行培训和提供一些消耗品等，在发包人要求中应一并明确规定。</w:t>
      </w:r>
    </w:p>
    <w:p w14:paraId="0736A9A5">
      <w:pPr>
        <w:spacing w:line="360" w:lineRule="auto"/>
        <w:ind w:firstLine="420"/>
        <w:rPr>
          <w:rFonts w:ascii="宋体" w:hAnsi="宋体"/>
          <w:color w:val="auto"/>
          <w:szCs w:val="21"/>
          <w:highlight w:val="none"/>
        </w:rPr>
      </w:pPr>
      <w:r>
        <w:rPr>
          <w:rFonts w:hint="eastAsia" w:ascii="宋体" w:hAnsi="宋体"/>
          <w:color w:val="auto"/>
          <w:szCs w:val="21"/>
          <w:highlight w:val="none"/>
        </w:rPr>
        <w:t>发包人要求通常包括但不限于以下内容：</w:t>
      </w:r>
    </w:p>
    <w:p w14:paraId="60382070">
      <w:pPr>
        <w:spacing w:line="360" w:lineRule="auto"/>
        <w:ind w:firstLine="420"/>
        <w:rPr>
          <w:rFonts w:ascii="宋体" w:hAnsi="宋体"/>
          <w:b/>
          <w:bCs/>
          <w:color w:val="auto"/>
          <w:szCs w:val="21"/>
          <w:highlight w:val="none"/>
        </w:rPr>
      </w:pPr>
      <w:r>
        <w:rPr>
          <w:rFonts w:hint="eastAsia" w:ascii="宋体" w:hAnsi="宋体"/>
          <w:b/>
          <w:bCs/>
          <w:color w:val="auto"/>
          <w:szCs w:val="21"/>
          <w:highlight w:val="none"/>
        </w:rPr>
        <w:t>一、功能要求</w:t>
      </w:r>
    </w:p>
    <w:p w14:paraId="2BBCE2BD">
      <w:pPr>
        <w:spacing w:line="360" w:lineRule="auto"/>
        <w:ind w:firstLine="420"/>
        <w:rPr>
          <w:rFonts w:ascii="宋体" w:hAnsi="宋体"/>
          <w:color w:val="auto"/>
          <w:szCs w:val="21"/>
          <w:highlight w:val="none"/>
        </w:rPr>
      </w:pPr>
      <w:r>
        <w:rPr>
          <w:rFonts w:hint="eastAsia" w:ascii="宋体" w:hAnsi="宋体"/>
          <w:color w:val="auto"/>
          <w:szCs w:val="21"/>
          <w:highlight w:val="none"/>
        </w:rPr>
        <w:t>（一）工程目的：。</w:t>
      </w:r>
    </w:p>
    <w:p w14:paraId="3C801E2C">
      <w:pPr>
        <w:keepNext w:val="0"/>
        <w:keepLines w:val="0"/>
        <w:pageBreakBefore w:val="0"/>
        <w:widowControl w:val="0"/>
        <w:kinsoku/>
        <w:wordWrap/>
        <w:overflowPunct/>
        <w:topLinePunct w:val="0"/>
        <w:autoSpaceDE/>
        <w:autoSpaceDN/>
        <w:bidi w:val="0"/>
        <w:adjustRightInd/>
        <w:snapToGrid/>
        <w:spacing w:before="260" w:line="360" w:lineRule="auto"/>
        <w:ind w:firstLine="420"/>
        <w:textAlignment w:val="auto"/>
        <w:rPr>
          <w:rFonts w:hint="eastAsia" w:ascii="宋体" w:hAnsi="宋体"/>
          <w:color w:val="auto"/>
          <w:szCs w:val="21"/>
          <w:highlight w:val="none"/>
        </w:rPr>
      </w:pPr>
      <w:r>
        <w:rPr>
          <w:rFonts w:hint="eastAsia" w:ascii="宋体" w:hAnsi="宋体"/>
          <w:color w:val="auto"/>
          <w:szCs w:val="21"/>
          <w:highlight w:val="none"/>
        </w:rPr>
        <w:t>（二）工程规模：</w:t>
      </w:r>
      <w:r>
        <w:rPr>
          <w:rStyle w:val="44"/>
          <w:rFonts w:hint="eastAsia" w:ascii="宋体" w:hAnsi="宋体" w:eastAsia="宋体" w:cs="宋体"/>
          <w:bCs/>
          <w:color w:val="auto"/>
          <w:kern w:val="2"/>
          <w:sz w:val="24"/>
          <w:szCs w:val="24"/>
          <w:highlight w:val="none"/>
          <w:u w:val="single"/>
        </w:rPr>
        <w:t>本工程为EPC工程总承包，包含与本项目所有建安工程相关的建设内容和服务内容。具体包括工程规划范围内的全过程施工图设计、材料设备采购、施工、交（竣）工验收、质量保修期内服务，办理配套设施确认、配合完成最终结算审计等。具体要求详见招标文件第五章“发包人要求”。</w:t>
      </w:r>
      <w:r>
        <w:rPr>
          <w:rFonts w:hint="eastAsia" w:ascii="宋体" w:hAnsi="宋体" w:cs="宋体"/>
          <w:color w:val="auto"/>
          <w:szCs w:val="21"/>
          <w:highlight w:val="none"/>
          <w:u w:val="single"/>
          <w:lang w:val="en-US" w:eastAsia="zh-CN"/>
        </w:rPr>
        <w:t>包括拆除并改造二、三级网管道长度总计157102米，其中拆除并改造二级网管道长度为38656米，拆除并改造三级网管道长度为118446米、换热站工艺改造（涉及44座换热站）及华源区域电控系统升级改造（涉及7座换热站、新港调度系统和芦屯调度系统）。改造区域涉及昌辉区域、鸿通区域和华源区域三个供热区域114个小区的供热管网设施更新改造工程。</w:t>
      </w:r>
    </w:p>
    <w:p w14:paraId="651AC5E7">
      <w:pPr>
        <w:spacing w:line="360" w:lineRule="auto"/>
        <w:ind w:firstLine="420"/>
        <w:rPr>
          <w:rFonts w:ascii="宋体" w:hAnsi="宋体"/>
          <w:color w:val="auto"/>
          <w:szCs w:val="21"/>
          <w:highlight w:val="none"/>
        </w:rPr>
      </w:pPr>
      <w:r>
        <w:rPr>
          <w:rFonts w:hint="eastAsia" w:ascii="宋体" w:hAnsi="宋体"/>
          <w:color w:val="auto"/>
          <w:szCs w:val="21"/>
          <w:highlight w:val="none"/>
        </w:rPr>
        <w:t>二、招标范围</w:t>
      </w:r>
    </w:p>
    <w:p w14:paraId="5B98799A">
      <w:pPr>
        <w:spacing w:line="360" w:lineRule="auto"/>
        <w:ind w:firstLine="420"/>
        <w:rPr>
          <w:rFonts w:hint="eastAsia" w:ascii="宋体" w:hAnsi="宋体"/>
          <w:color w:val="auto"/>
          <w:szCs w:val="21"/>
          <w:highlight w:val="none"/>
          <w:u w:val="single"/>
          <w:lang w:val="en-US" w:eastAsia="zh-CN"/>
        </w:rPr>
      </w:pPr>
      <w:r>
        <w:rPr>
          <w:rFonts w:hint="eastAsia" w:ascii="宋体" w:hAnsi="宋体"/>
          <w:color w:val="auto"/>
          <w:szCs w:val="21"/>
          <w:highlight w:val="none"/>
          <w:u w:val="single"/>
          <w:lang w:val="en-US" w:eastAsia="zh-CN"/>
        </w:rPr>
        <w:t>本项目为工程总承包（EPC）交钥匙工程，包括但不限于：三通一平、场地清表、施工图设计（现场勘察）（包括附属设施）、竣工图编制、预算、施工、质量保修、投资控制、管理、设备采购安装及工程交付等，以及配合招标人办理项目涉及的各项审批手续（包括履约期间成果报审、施工手续、审批等所有工作）、各专业工程的验收手续，协调相关各方的关系，确保通过政府各行业行政主管部门验收，将具备正式投入使用的项目整体移交给招标人等全部工作内容，具体详见招标文件。</w:t>
      </w:r>
    </w:p>
    <w:p w14:paraId="7D85D47F">
      <w:pPr>
        <w:spacing w:line="360" w:lineRule="auto"/>
        <w:ind w:firstLine="420"/>
        <w:rPr>
          <w:rFonts w:ascii="宋体" w:hAnsi="宋体"/>
          <w:color w:val="auto"/>
          <w:szCs w:val="21"/>
          <w:highlight w:val="none"/>
        </w:rPr>
      </w:pPr>
      <w:r>
        <w:rPr>
          <w:rFonts w:hint="eastAsia" w:ascii="宋体" w:hAnsi="宋体"/>
          <w:color w:val="auto"/>
          <w:szCs w:val="21"/>
          <w:highlight w:val="none"/>
        </w:rPr>
        <w:t>（二）包括的工作</w:t>
      </w:r>
    </w:p>
    <w:p w14:paraId="59D79050">
      <w:pPr>
        <w:spacing w:line="360" w:lineRule="auto"/>
        <w:ind w:firstLine="420"/>
        <w:rPr>
          <w:rFonts w:ascii="宋体" w:hAnsi="宋体"/>
          <w:color w:val="auto"/>
          <w:szCs w:val="21"/>
          <w:highlight w:val="none"/>
        </w:rPr>
      </w:pPr>
      <w:r>
        <w:rPr>
          <w:rFonts w:hint="eastAsia" w:ascii="宋体" w:hAnsi="宋体"/>
          <w:color w:val="auto"/>
          <w:szCs w:val="21"/>
          <w:highlight w:val="none"/>
        </w:rPr>
        <w:t>1. 永久工程的设计、采购、施工范围。</w:t>
      </w:r>
    </w:p>
    <w:p w14:paraId="61D4F872">
      <w:pPr>
        <w:spacing w:line="360" w:lineRule="auto"/>
        <w:ind w:firstLine="420"/>
        <w:rPr>
          <w:rFonts w:ascii="宋体" w:hAnsi="宋体"/>
          <w:color w:val="auto"/>
          <w:szCs w:val="21"/>
          <w:highlight w:val="none"/>
        </w:rPr>
      </w:pPr>
      <w:r>
        <w:rPr>
          <w:rFonts w:hint="eastAsia" w:ascii="宋体" w:hAnsi="宋体"/>
          <w:color w:val="auto"/>
          <w:szCs w:val="21"/>
          <w:highlight w:val="none"/>
        </w:rPr>
        <w:t>2. 临时工程的设计与施工范围。</w:t>
      </w:r>
    </w:p>
    <w:p w14:paraId="3BFCAD01">
      <w:pPr>
        <w:spacing w:line="360" w:lineRule="auto"/>
        <w:ind w:firstLine="420"/>
        <w:rPr>
          <w:rFonts w:ascii="宋体" w:hAnsi="宋体"/>
          <w:color w:val="auto"/>
          <w:szCs w:val="21"/>
          <w:highlight w:val="none"/>
        </w:rPr>
      </w:pPr>
      <w:r>
        <w:rPr>
          <w:rFonts w:hint="eastAsia" w:ascii="宋体" w:hAnsi="宋体"/>
          <w:color w:val="auto"/>
          <w:szCs w:val="21"/>
          <w:highlight w:val="none"/>
        </w:rPr>
        <w:t>3. 竣工验收工作范围。</w:t>
      </w:r>
    </w:p>
    <w:p w14:paraId="04B9F9EF">
      <w:pPr>
        <w:spacing w:line="360" w:lineRule="auto"/>
        <w:ind w:firstLine="420"/>
        <w:rPr>
          <w:rFonts w:ascii="宋体" w:hAnsi="宋体"/>
          <w:color w:val="auto"/>
          <w:szCs w:val="21"/>
          <w:highlight w:val="none"/>
        </w:rPr>
      </w:pPr>
      <w:r>
        <w:rPr>
          <w:rFonts w:hint="eastAsia" w:ascii="宋体" w:hAnsi="宋体"/>
          <w:color w:val="auto"/>
          <w:szCs w:val="21"/>
          <w:highlight w:val="none"/>
        </w:rPr>
        <w:t>4. 技术服务工作范围。</w:t>
      </w:r>
    </w:p>
    <w:p w14:paraId="026A1C18">
      <w:pPr>
        <w:spacing w:line="360" w:lineRule="auto"/>
        <w:ind w:firstLine="420"/>
        <w:rPr>
          <w:rFonts w:ascii="宋体" w:hAnsi="宋体"/>
          <w:color w:val="auto"/>
          <w:szCs w:val="21"/>
          <w:highlight w:val="none"/>
        </w:rPr>
      </w:pPr>
      <w:r>
        <w:rPr>
          <w:rFonts w:hint="eastAsia" w:ascii="宋体" w:hAnsi="宋体"/>
          <w:color w:val="auto"/>
          <w:szCs w:val="21"/>
          <w:highlight w:val="none"/>
        </w:rPr>
        <w:t>5. 培训工作范围。</w:t>
      </w:r>
    </w:p>
    <w:p w14:paraId="2EC61BD6">
      <w:pPr>
        <w:spacing w:line="360" w:lineRule="auto"/>
        <w:ind w:firstLine="420"/>
        <w:rPr>
          <w:rFonts w:ascii="宋体" w:hAnsi="宋体"/>
          <w:color w:val="auto"/>
          <w:szCs w:val="21"/>
          <w:highlight w:val="none"/>
        </w:rPr>
      </w:pPr>
      <w:r>
        <w:rPr>
          <w:rFonts w:hint="eastAsia" w:ascii="宋体" w:hAnsi="宋体"/>
          <w:color w:val="auto"/>
          <w:szCs w:val="21"/>
          <w:highlight w:val="none"/>
        </w:rPr>
        <w:t>6. 保修工作范围。</w:t>
      </w:r>
    </w:p>
    <w:p w14:paraId="43DE3C1A">
      <w:pPr>
        <w:spacing w:line="360" w:lineRule="auto"/>
        <w:ind w:firstLine="420"/>
        <w:rPr>
          <w:rFonts w:ascii="宋体" w:hAnsi="宋体"/>
          <w:color w:val="auto"/>
          <w:szCs w:val="21"/>
          <w:highlight w:val="none"/>
        </w:rPr>
      </w:pPr>
      <w:r>
        <w:rPr>
          <w:rFonts w:hint="eastAsia" w:ascii="宋体" w:hAnsi="宋体"/>
          <w:color w:val="auto"/>
          <w:szCs w:val="21"/>
          <w:highlight w:val="none"/>
        </w:rPr>
        <w:t>（三）工作界区</w:t>
      </w:r>
    </w:p>
    <w:p w14:paraId="0AF8C5C9">
      <w:pPr>
        <w:spacing w:line="360" w:lineRule="auto"/>
        <w:ind w:firstLine="420"/>
        <w:rPr>
          <w:rFonts w:ascii="宋体" w:hAnsi="宋体"/>
          <w:color w:val="auto"/>
          <w:szCs w:val="21"/>
          <w:highlight w:val="none"/>
        </w:rPr>
      </w:pPr>
      <w:r>
        <w:rPr>
          <w:rFonts w:hint="eastAsia" w:ascii="宋体" w:hAnsi="宋体"/>
          <w:color w:val="auto"/>
          <w:szCs w:val="21"/>
          <w:highlight w:val="none"/>
        </w:rPr>
        <w:t>（四）发包人提供的现场条件（以专用条款为准）</w:t>
      </w:r>
    </w:p>
    <w:p w14:paraId="54237666">
      <w:pPr>
        <w:spacing w:line="360" w:lineRule="auto"/>
        <w:ind w:firstLine="420"/>
        <w:rPr>
          <w:rFonts w:ascii="宋体" w:hAnsi="宋体"/>
          <w:color w:val="auto"/>
          <w:szCs w:val="21"/>
          <w:highlight w:val="none"/>
        </w:rPr>
      </w:pPr>
      <w:r>
        <w:rPr>
          <w:rFonts w:hint="eastAsia" w:ascii="宋体" w:hAnsi="宋体"/>
          <w:color w:val="auto"/>
          <w:szCs w:val="21"/>
          <w:highlight w:val="none"/>
        </w:rPr>
        <w:t>1. 施工用电。</w:t>
      </w:r>
    </w:p>
    <w:p w14:paraId="2BABC89A">
      <w:pPr>
        <w:spacing w:line="360" w:lineRule="auto"/>
        <w:ind w:firstLine="420"/>
        <w:rPr>
          <w:rFonts w:ascii="宋体" w:hAnsi="宋体"/>
          <w:color w:val="auto"/>
          <w:szCs w:val="21"/>
          <w:highlight w:val="none"/>
        </w:rPr>
      </w:pPr>
      <w:r>
        <w:rPr>
          <w:rFonts w:hint="eastAsia" w:ascii="宋体" w:hAnsi="宋体"/>
          <w:color w:val="auto"/>
          <w:szCs w:val="21"/>
          <w:highlight w:val="none"/>
        </w:rPr>
        <w:t>2. 施工用水。</w:t>
      </w:r>
    </w:p>
    <w:p w14:paraId="21149203">
      <w:pPr>
        <w:spacing w:line="360" w:lineRule="auto"/>
        <w:ind w:firstLine="420"/>
        <w:rPr>
          <w:rFonts w:ascii="宋体" w:hAnsi="宋体"/>
          <w:color w:val="auto"/>
          <w:szCs w:val="21"/>
          <w:highlight w:val="none"/>
        </w:rPr>
      </w:pPr>
      <w:r>
        <w:rPr>
          <w:rFonts w:hint="eastAsia" w:ascii="宋体" w:hAnsi="宋体"/>
          <w:color w:val="auto"/>
          <w:szCs w:val="21"/>
          <w:highlight w:val="none"/>
        </w:rPr>
        <w:t>3. 施工排水。</w:t>
      </w:r>
    </w:p>
    <w:p w14:paraId="7CB7DEF9">
      <w:pPr>
        <w:spacing w:line="360" w:lineRule="auto"/>
        <w:ind w:firstLine="420"/>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 xml:space="preserve"> 施工道路。</w:t>
      </w:r>
    </w:p>
    <w:p w14:paraId="1F898BDF">
      <w:pPr>
        <w:spacing w:line="360" w:lineRule="auto"/>
        <w:ind w:firstLine="420"/>
        <w:rPr>
          <w:rFonts w:ascii="宋体" w:hAnsi="宋体"/>
          <w:color w:val="auto"/>
          <w:szCs w:val="21"/>
          <w:highlight w:val="none"/>
        </w:rPr>
      </w:pPr>
      <w:r>
        <w:rPr>
          <w:rFonts w:hint="eastAsia" w:ascii="宋体" w:hAnsi="宋体"/>
          <w:color w:val="auto"/>
          <w:szCs w:val="21"/>
          <w:highlight w:val="none"/>
        </w:rPr>
        <w:t>（五）发包人提供的技术文件</w:t>
      </w:r>
    </w:p>
    <w:p w14:paraId="716F075C">
      <w:pPr>
        <w:spacing w:line="360" w:lineRule="auto"/>
        <w:ind w:firstLine="420"/>
        <w:rPr>
          <w:rFonts w:ascii="宋体" w:hAnsi="宋体"/>
          <w:color w:val="auto"/>
          <w:szCs w:val="21"/>
          <w:highlight w:val="none"/>
        </w:rPr>
      </w:pPr>
      <w:r>
        <w:rPr>
          <w:rFonts w:hint="eastAsia" w:ascii="宋体" w:hAnsi="宋体"/>
          <w:color w:val="auto"/>
          <w:szCs w:val="21"/>
          <w:highlight w:val="none"/>
        </w:rPr>
        <w:t>除另有批准外，承包人的工作需要遵照发包人的下列技术文件:</w:t>
      </w:r>
    </w:p>
    <w:p w14:paraId="52572400">
      <w:pPr>
        <w:spacing w:line="360" w:lineRule="auto"/>
        <w:ind w:firstLine="420"/>
        <w:rPr>
          <w:rFonts w:ascii="宋体" w:hAnsi="宋体"/>
          <w:color w:val="auto"/>
          <w:szCs w:val="21"/>
          <w:highlight w:val="none"/>
        </w:rPr>
      </w:pPr>
      <w:r>
        <w:rPr>
          <w:rFonts w:hint="eastAsia" w:ascii="宋体" w:hAnsi="宋体"/>
          <w:color w:val="auto"/>
          <w:szCs w:val="21"/>
          <w:highlight w:val="none"/>
        </w:rPr>
        <w:t>1. 发包人需求任务书。</w:t>
      </w:r>
    </w:p>
    <w:p w14:paraId="5B40C9A0">
      <w:pPr>
        <w:spacing w:line="360" w:lineRule="auto"/>
        <w:ind w:firstLine="420"/>
        <w:rPr>
          <w:rFonts w:ascii="宋体" w:hAnsi="宋体"/>
          <w:color w:val="auto"/>
          <w:szCs w:val="21"/>
          <w:highlight w:val="none"/>
        </w:rPr>
      </w:pPr>
      <w:r>
        <w:rPr>
          <w:rFonts w:hint="eastAsia" w:ascii="宋体" w:hAnsi="宋体"/>
          <w:color w:val="auto"/>
          <w:szCs w:val="21"/>
          <w:highlight w:val="none"/>
        </w:rPr>
        <w:t>2. 发包人已完成的设计文件。</w:t>
      </w:r>
    </w:p>
    <w:p w14:paraId="682E44FE">
      <w:pPr>
        <w:spacing w:line="360" w:lineRule="auto"/>
        <w:ind w:firstLine="420"/>
        <w:rPr>
          <w:rFonts w:ascii="宋体" w:hAnsi="宋体"/>
          <w:b/>
          <w:bCs/>
          <w:color w:val="auto"/>
          <w:szCs w:val="21"/>
          <w:highlight w:val="none"/>
        </w:rPr>
      </w:pPr>
      <w:r>
        <w:rPr>
          <w:rFonts w:hint="eastAsia" w:ascii="宋体" w:hAnsi="宋体"/>
          <w:b/>
          <w:bCs/>
          <w:color w:val="auto"/>
          <w:szCs w:val="21"/>
          <w:highlight w:val="none"/>
        </w:rPr>
        <w:t>三、工艺安排或要求（如有）</w:t>
      </w:r>
    </w:p>
    <w:p w14:paraId="6EE3F3B1">
      <w:pPr>
        <w:spacing w:line="360" w:lineRule="auto"/>
        <w:ind w:firstLine="420"/>
        <w:rPr>
          <w:rFonts w:ascii="宋体" w:hAnsi="宋体"/>
          <w:b/>
          <w:bCs/>
          <w:color w:val="auto"/>
          <w:szCs w:val="21"/>
          <w:highlight w:val="none"/>
        </w:rPr>
      </w:pPr>
      <w:r>
        <w:rPr>
          <w:rFonts w:hint="eastAsia" w:ascii="宋体" w:hAnsi="宋体"/>
          <w:b/>
          <w:bCs/>
          <w:color w:val="auto"/>
          <w:szCs w:val="21"/>
          <w:highlight w:val="none"/>
        </w:rPr>
        <w:t>四、时间要求</w:t>
      </w:r>
    </w:p>
    <w:p w14:paraId="0CEE08C9">
      <w:pPr>
        <w:spacing w:line="360" w:lineRule="auto"/>
        <w:ind w:firstLine="420"/>
        <w:rPr>
          <w:rFonts w:ascii="宋体" w:hAnsi="宋体"/>
          <w:color w:val="auto"/>
          <w:szCs w:val="21"/>
          <w:highlight w:val="none"/>
        </w:rPr>
      </w:pPr>
      <w:r>
        <w:rPr>
          <w:rFonts w:hint="eastAsia" w:ascii="宋体" w:hAnsi="宋体"/>
          <w:color w:val="auto"/>
          <w:szCs w:val="21"/>
          <w:highlight w:val="none"/>
        </w:rPr>
        <w:t>（一）开始工作时间：</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 xml:space="preserve">年  </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月   日开工。</w:t>
      </w:r>
    </w:p>
    <w:p w14:paraId="74EE3875">
      <w:pPr>
        <w:spacing w:line="360" w:lineRule="auto"/>
        <w:ind w:firstLine="420"/>
        <w:rPr>
          <w:rFonts w:ascii="宋体" w:hAnsi="宋体"/>
          <w:color w:val="auto"/>
          <w:szCs w:val="21"/>
          <w:highlight w:val="none"/>
        </w:rPr>
      </w:pPr>
      <w:r>
        <w:rPr>
          <w:rFonts w:hint="eastAsia" w:ascii="宋体" w:hAnsi="宋体"/>
          <w:color w:val="auto"/>
          <w:szCs w:val="21"/>
          <w:highlight w:val="none"/>
        </w:rPr>
        <w:t>（二）设计完成时间。</w:t>
      </w:r>
    </w:p>
    <w:p w14:paraId="50001DAB">
      <w:pPr>
        <w:spacing w:line="360" w:lineRule="auto"/>
        <w:ind w:firstLine="420"/>
        <w:rPr>
          <w:rFonts w:ascii="宋体" w:hAnsi="宋体"/>
          <w:color w:val="auto"/>
          <w:szCs w:val="21"/>
          <w:highlight w:val="none"/>
        </w:rPr>
      </w:pPr>
      <w:r>
        <w:rPr>
          <w:rFonts w:hint="eastAsia" w:ascii="宋体" w:hAnsi="宋体"/>
          <w:color w:val="auto"/>
          <w:szCs w:val="21"/>
          <w:highlight w:val="none"/>
        </w:rPr>
        <w:t>（三）进度计划。</w:t>
      </w:r>
    </w:p>
    <w:p w14:paraId="74BAFC8B">
      <w:pPr>
        <w:spacing w:line="360" w:lineRule="auto"/>
        <w:ind w:firstLine="420"/>
        <w:rPr>
          <w:rFonts w:ascii="宋体" w:hAnsi="宋体"/>
          <w:color w:val="auto"/>
          <w:szCs w:val="21"/>
          <w:highlight w:val="none"/>
        </w:rPr>
      </w:pPr>
      <w:r>
        <w:rPr>
          <w:rFonts w:hint="eastAsia" w:ascii="宋体" w:hAnsi="宋体"/>
          <w:color w:val="auto"/>
          <w:szCs w:val="21"/>
          <w:highlight w:val="none"/>
        </w:rPr>
        <w:t>（四）竣工时间：   年    月  日。</w:t>
      </w:r>
    </w:p>
    <w:p w14:paraId="45F1D280">
      <w:pPr>
        <w:spacing w:line="360" w:lineRule="auto"/>
        <w:ind w:firstLine="420"/>
        <w:rPr>
          <w:rFonts w:ascii="宋体" w:hAnsi="宋体"/>
          <w:color w:val="auto"/>
          <w:szCs w:val="21"/>
          <w:highlight w:val="none"/>
        </w:rPr>
      </w:pPr>
      <w:r>
        <w:rPr>
          <w:rFonts w:hint="eastAsia" w:ascii="宋体" w:hAnsi="宋体"/>
          <w:color w:val="auto"/>
          <w:szCs w:val="21"/>
          <w:highlight w:val="none"/>
        </w:rPr>
        <w:t>（五）缺陷责任期：24个月。</w:t>
      </w:r>
    </w:p>
    <w:p w14:paraId="0CE0876F">
      <w:pPr>
        <w:spacing w:line="360" w:lineRule="auto"/>
        <w:ind w:firstLine="420"/>
        <w:rPr>
          <w:rFonts w:ascii="宋体" w:hAnsi="宋体"/>
          <w:color w:val="auto"/>
          <w:szCs w:val="21"/>
          <w:highlight w:val="none"/>
        </w:rPr>
      </w:pPr>
      <w:r>
        <w:rPr>
          <w:rFonts w:hint="eastAsia" w:ascii="宋体" w:hAnsi="宋体"/>
          <w:color w:val="auto"/>
          <w:szCs w:val="21"/>
          <w:highlight w:val="none"/>
        </w:rPr>
        <w:t>（六）其他时间要求。</w:t>
      </w:r>
    </w:p>
    <w:p w14:paraId="6E6EF36F">
      <w:pPr>
        <w:spacing w:line="360" w:lineRule="auto"/>
        <w:ind w:firstLine="420"/>
        <w:rPr>
          <w:rFonts w:ascii="宋体" w:hAnsi="宋体"/>
          <w:b/>
          <w:bCs/>
          <w:color w:val="auto"/>
          <w:szCs w:val="21"/>
          <w:highlight w:val="none"/>
        </w:rPr>
      </w:pPr>
      <w:r>
        <w:rPr>
          <w:rFonts w:hint="eastAsia" w:ascii="宋体" w:hAnsi="宋体"/>
          <w:b/>
          <w:bCs/>
          <w:color w:val="auto"/>
          <w:szCs w:val="21"/>
          <w:highlight w:val="none"/>
        </w:rPr>
        <w:t>五、技术要求</w:t>
      </w:r>
    </w:p>
    <w:p w14:paraId="3101D2A6">
      <w:pPr>
        <w:spacing w:line="360" w:lineRule="auto"/>
        <w:ind w:firstLine="420"/>
        <w:rPr>
          <w:rFonts w:ascii="宋体" w:hAnsi="宋体"/>
          <w:color w:val="auto"/>
          <w:szCs w:val="21"/>
          <w:highlight w:val="none"/>
        </w:rPr>
      </w:pPr>
      <w:r>
        <w:rPr>
          <w:rFonts w:hint="eastAsia" w:ascii="宋体" w:hAnsi="宋体"/>
          <w:color w:val="auto"/>
          <w:szCs w:val="21"/>
          <w:highlight w:val="none"/>
        </w:rPr>
        <w:t>（一）设计阶段和设计任务。</w:t>
      </w:r>
    </w:p>
    <w:p w14:paraId="39560A0D">
      <w:pPr>
        <w:spacing w:line="360" w:lineRule="auto"/>
        <w:ind w:firstLine="420"/>
        <w:rPr>
          <w:rFonts w:ascii="宋体" w:hAnsi="宋体"/>
          <w:color w:val="auto"/>
          <w:szCs w:val="21"/>
          <w:highlight w:val="none"/>
        </w:rPr>
      </w:pPr>
      <w:r>
        <w:rPr>
          <w:rFonts w:hint="eastAsia" w:ascii="宋体" w:hAnsi="宋体"/>
          <w:color w:val="auto"/>
          <w:szCs w:val="21"/>
          <w:highlight w:val="none"/>
        </w:rPr>
        <w:t>（二）设计标准和规范。</w:t>
      </w:r>
    </w:p>
    <w:p w14:paraId="04CFCED2">
      <w:pPr>
        <w:spacing w:line="360" w:lineRule="auto"/>
        <w:ind w:firstLine="420"/>
        <w:rPr>
          <w:rFonts w:ascii="宋体" w:hAnsi="宋体"/>
          <w:color w:val="auto"/>
          <w:szCs w:val="21"/>
          <w:highlight w:val="none"/>
        </w:rPr>
      </w:pPr>
      <w:r>
        <w:rPr>
          <w:rFonts w:hint="eastAsia" w:ascii="宋体" w:hAnsi="宋体"/>
          <w:color w:val="auto"/>
          <w:szCs w:val="21"/>
          <w:highlight w:val="none"/>
        </w:rPr>
        <w:t>（三）技术标准和要求。</w:t>
      </w:r>
    </w:p>
    <w:p w14:paraId="6D28B389">
      <w:pPr>
        <w:spacing w:line="440" w:lineRule="exact"/>
        <w:ind w:firstLine="420" w:firstLineChars="200"/>
        <w:rPr>
          <w:color w:val="auto"/>
          <w:szCs w:val="21"/>
          <w:highlight w:val="none"/>
        </w:rPr>
      </w:pPr>
      <w:r>
        <w:rPr>
          <w:rFonts w:hint="eastAsia" w:ascii="宋体" w:hAnsi="宋体"/>
          <w:color w:val="auto"/>
          <w:szCs w:val="21"/>
          <w:highlight w:val="none"/>
        </w:rPr>
        <w:t>（四）质量标准：</w:t>
      </w:r>
      <w:r>
        <w:rPr>
          <w:rFonts w:hint="eastAsia"/>
          <w:color w:val="auto"/>
          <w:szCs w:val="21"/>
          <w:highlight w:val="none"/>
        </w:rPr>
        <w:t>设计要求的质量标准：</w:t>
      </w:r>
      <w:r>
        <w:rPr>
          <w:rFonts w:hint="eastAsia" w:ascii="宋体" w:hAnsi="宋体"/>
          <w:color w:val="auto"/>
          <w:szCs w:val="21"/>
          <w:highlight w:val="none"/>
        </w:rPr>
        <w:t>符合国家现行标准，</w:t>
      </w:r>
      <w:r>
        <w:rPr>
          <w:rFonts w:hint="eastAsia" w:cs="Arial"/>
          <w:color w:val="auto"/>
          <w:szCs w:val="21"/>
          <w:highlight w:val="none"/>
        </w:rPr>
        <w:t>符合国家现行设计规范要求。</w:t>
      </w:r>
    </w:p>
    <w:p w14:paraId="4D9B0232">
      <w:pPr>
        <w:spacing w:line="360" w:lineRule="auto"/>
        <w:ind w:firstLine="420"/>
        <w:rPr>
          <w:rFonts w:ascii="宋体" w:hAnsi="宋体"/>
          <w:color w:val="auto"/>
          <w:szCs w:val="21"/>
          <w:highlight w:val="none"/>
        </w:rPr>
      </w:pPr>
      <w:r>
        <w:rPr>
          <w:rFonts w:hint="eastAsia"/>
          <w:color w:val="auto"/>
          <w:szCs w:val="21"/>
          <w:highlight w:val="none"/>
        </w:rPr>
        <w:t>施工要求的质量标准：</w:t>
      </w:r>
      <w:r>
        <w:rPr>
          <w:rFonts w:hint="eastAsia" w:cs="Arial"/>
          <w:color w:val="auto"/>
          <w:szCs w:val="21"/>
          <w:highlight w:val="none"/>
        </w:rPr>
        <w:t>施工质量符合合格验收标准。</w:t>
      </w:r>
    </w:p>
    <w:p w14:paraId="474BAFC2">
      <w:pPr>
        <w:spacing w:line="360" w:lineRule="auto"/>
        <w:ind w:firstLine="420"/>
        <w:rPr>
          <w:rFonts w:ascii="宋体" w:hAnsi="宋体"/>
          <w:color w:val="auto"/>
          <w:szCs w:val="21"/>
          <w:highlight w:val="none"/>
        </w:rPr>
      </w:pPr>
      <w:r>
        <w:rPr>
          <w:rFonts w:hint="eastAsia" w:ascii="宋体" w:hAnsi="宋体"/>
          <w:color w:val="auto"/>
          <w:szCs w:val="21"/>
          <w:highlight w:val="none"/>
        </w:rPr>
        <w:t>（五）设计、施工和设备监造、试验（如有）。</w:t>
      </w:r>
    </w:p>
    <w:p w14:paraId="39BB609F">
      <w:pPr>
        <w:spacing w:line="360" w:lineRule="auto"/>
        <w:ind w:firstLine="420"/>
        <w:rPr>
          <w:rFonts w:ascii="宋体" w:hAnsi="宋体"/>
          <w:color w:val="auto"/>
          <w:szCs w:val="21"/>
          <w:highlight w:val="none"/>
        </w:rPr>
      </w:pPr>
      <w:r>
        <w:rPr>
          <w:rFonts w:hint="eastAsia" w:ascii="宋体" w:hAnsi="宋体"/>
          <w:color w:val="auto"/>
          <w:szCs w:val="21"/>
          <w:highlight w:val="none"/>
        </w:rPr>
        <w:t>（六）样品：无。</w:t>
      </w:r>
    </w:p>
    <w:p w14:paraId="18AD3170">
      <w:pPr>
        <w:spacing w:line="360" w:lineRule="auto"/>
        <w:ind w:firstLine="420"/>
        <w:rPr>
          <w:rFonts w:ascii="宋体" w:hAnsi="宋体"/>
          <w:color w:val="auto"/>
          <w:szCs w:val="21"/>
          <w:highlight w:val="none"/>
        </w:rPr>
      </w:pPr>
      <w:r>
        <w:rPr>
          <w:rFonts w:hint="eastAsia" w:ascii="宋体" w:hAnsi="宋体"/>
          <w:color w:val="auto"/>
          <w:szCs w:val="21"/>
          <w:highlight w:val="none"/>
        </w:rPr>
        <w:t>（七）发包人提供的其他条件，如发包人或其委托的第三人提供的设计、工艺包、用于试验检验的工器具等，以及据此对承包人提出的予以配套的要求。</w:t>
      </w:r>
    </w:p>
    <w:p w14:paraId="5469BFC0">
      <w:pPr>
        <w:spacing w:line="360" w:lineRule="auto"/>
        <w:ind w:firstLine="420"/>
        <w:rPr>
          <w:rFonts w:ascii="宋体" w:hAnsi="宋体"/>
          <w:b/>
          <w:bCs/>
          <w:color w:val="auto"/>
          <w:szCs w:val="21"/>
          <w:highlight w:val="none"/>
        </w:rPr>
      </w:pPr>
      <w:r>
        <w:rPr>
          <w:rFonts w:hint="eastAsia" w:ascii="宋体" w:hAnsi="宋体"/>
          <w:b/>
          <w:bCs/>
          <w:color w:val="auto"/>
          <w:szCs w:val="21"/>
          <w:highlight w:val="none"/>
        </w:rPr>
        <w:t>六、竣工试验</w:t>
      </w:r>
    </w:p>
    <w:p w14:paraId="05616579">
      <w:pPr>
        <w:spacing w:line="360" w:lineRule="auto"/>
        <w:ind w:firstLine="420"/>
        <w:rPr>
          <w:rFonts w:ascii="宋体" w:hAnsi="宋体"/>
          <w:color w:val="auto"/>
          <w:szCs w:val="21"/>
          <w:highlight w:val="none"/>
        </w:rPr>
      </w:pPr>
      <w:r>
        <w:rPr>
          <w:rFonts w:hint="eastAsia" w:ascii="宋体" w:hAnsi="宋体"/>
          <w:color w:val="auto"/>
          <w:szCs w:val="21"/>
          <w:highlight w:val="none"/>
        </w:rPr>
        <w:t>（一）第一阶段，如对单车试验等的要求，包括试验前准备。</w:t>
      </w:r>
    </w:p>
    <w:p w14:paraId="15759DBE">
      <w:pPr>
        <w:spacing w:line="360" w:lineRule="auto"/>
        <w:ind w:firstLine="420"/>
        <w:rPr>
          <w:rFonts w:ascii="宋体" w:hAnsi="宋体"/>
          <w:color w:val="auto"/>
          <w:szCs w:val="21"/>
          <w:highlight w:val="none"/>
        </w:rPr>
      </w:pPr>
      <w:r>
        <w:rPr>
          <w:rFonts w:hint="eastAsia" w:ascii="宋体" w:hAnsi="宋体"/>
          <w:color w:val="auto"/>
          <w:szCs w:val="21"/>
          <w:highlight w:val="none"/>
        </w:rPr>
        <w:t>（二）第二阶段，如对联动试车、投料试车等的要求，包括人员、设备、材料、燃料、电力、消耗品、工具等必要条件。</w:t>
      </w:r>
    </w:p>
    <w:p w14:paraId="625F2AA9">
      <w:pPr>
        <w:spacing w:line="360" w:lineRule="auto"/>
        <w:ind w:firstLine="420"/>
        <w:rPr>
          <w:rFonts w:ascii="宋体" w:hAnsi="宋体"/>
          <w:color w:val="auto"/>
          <w:szCs w:val="21"/>
          <w:highlight w:val="none"/>
        </w:rPr>
      </w:pPr>
      <w:r>
        <w:rPr>
          <w:rFonts w:hint="eastAsia" w:ascii="宋体" w:hAnsi="宋体"/>
          <w:color w:val="auto"/>
          <w:szCs w:val="21"/>
          <w:highlight w:val="none"/>
        </w:rPr>
        <w:t>（三）第三阶段，如对性能测试及其他竣工试验的要求，包括产能指标、产品质量标准、运营指标、环保指标等。</w:t>
      </w:r>
    </w:p>
    <w:p w14:paraId="4A5D1534">
      <w:pPr>
        <w:spacing w:line="360" w:lineRule="auto"/>
        <w:ind w:firstLine="420"/>
        <w:rPr>
          <w:rFonts w:ascii="宋体" w:hAnsi="宋体"/>
          <w:b/>
          <w:bCs/>
          <w:color w:val="auto"/>
          <w:szCs w:val="21"/>
          <w:highlight w:val="none"/>
        </w:rPr>
      </w:pPr>
      <w:r>
        <w:rPr>
          <w:rFonts w:hint="eastAsia" w:ascii="宋体" w:hAnsi="宋体"/>
          <w:b/>
          <w:bCs/>
          <w:color w:val="auto"/>
          <w:szCs w:val="21"/>
          <w:highlight w:val="none"/>
        </w:rPr>
        <w:t>七、竣工验收</w:t>
      </w:r>
    </w:p>
    <w:p w14:paraId="315B94E6">
      <w:pPr>
        <w:spacing w:line="360" w:lineRule="auto"/>
        <w:ind w:firstLine="420"/>
        <w:rPr>
          <w:rFonts w:ascii="宋体" w:hAnsi="宋体"/>
          <w:b/>
          <w:bCs/>
          <w:color w:val="auto"/>
          <w:szCs w:val="21"/>
          <w:highlight w:val="none"/>
        </w:rPr>
      </w:pPr>
      <w:r>
        <w:rPr>
          <w:rFonts w:hint="eastAsia" w:ascii="宋体" w:hAnsi="宋体"/>
          <w:b/>
          <w:bCs/>
          <w:color w:val="auto"/>
          <w:szCs w:val="21"/>
          <w:highlight w:val="none"/>
        </w:rPr>
        <w:t>八、竣工后试验（如有）</w:t>
      </w:r>
    </w:p>
    <w:p w14:paraId="3099753D">
      <w:pPr>
        <w:spacing w:line="360" w:lineRule="auto"/>
        <w:ind w:firstLine="420"/>
        <w:rPr>
          <w:rFonts w:ascii="宋体" w:hAnsi="宋体"/>
          <w:color w:val="auto"/>
          <w:szCs w:val="21"/>
          <w:highlight w:val="none"/>
        </w:rPr>
      </w:pPr>
      <w:r>
        <w:rPr>
          <w:rFonts w:hint="eastAsia" w:ascii="宋体" w:hAnsi="宋体"/>
          <w:color w:val="auto"/>
          <w:szCs w:val="21"/>
          <w:highlight w:val="none"/>
        </w:rPr>
        <w:t>九、文件要求</w:t>
      </w:r>
    </w:p>
    <w:p w14:paraId="59CE2F8E">
      <w:pPr>
        <w:spacing w:line="360" w:lineRule="auto"/>
        <w:ind w:firstLine="420"/>
        <w:rPr>
          <w:rFonts w:ascii="宋体" w:hAnsi="宋体"/>
          <w:color w:val="auto"/>
          <w:szCs w:val="21"/>
          <w:highlight w:val="none"/>
        </w:rPr>
      </w:pPr>
      <w:r>
        <w:rPr>
          <w:rFonts w:hint="eastAsia" w:ascii="宋体" w:hAnsi="宋体"/>
          <w:color w:val="auto"/>
          <w:szCs w:val="21"/>
          <w:highlight w:val="none"/>
        </w:rPr>
        <w:t>（一）设计文件，及其相关审批、核准、备案要求。</w:t>
      </w:r>
    </w:p>
    <w:p w14:paraId="4C5CCEFC">
      <w:pPr>
        <w:spacing w:line="360" w:lineRule="auto"/>
        <w:ind w:firstLine="420"/>
        <w:rPr>
          <w:rFonts w:ascii="宋体" w:hAnsi="宋体"/>
          <w:color w:val="auto"/>
          <w:szCs w:val="21"/>
          <w:highlight w:val="none"/>
        </w:rPr>
      </w:pPr>
      <w:r>
        <w:rPr>
          <w:rFonts w:hint="eastAsia" w:ascii="宋体" w:hAnsi="宋体"/>
          <w:color w:val="auto"/>
          <w:szCs w:val="21"/>
          <w:highlight w:val="none"/>
        </w:rPr>
        <w:t>（二）沟通计划。</w:t>
      </w:r>
    </w:p>
    <w:p w14:paraId="32F89D66">
      <w:pPr>
        <w:spacing w:line="360" w:lineRule="auto"/>
        <w:ind w:firstLine="420"/>
        <w:rPr>
          <w:rFonts w:ascii="宋体" w:hAnsi="宋体"/>
          <w:color w:val="auto"/>
          <w:szCs w:val="21"/>
          <w:highlight w:val="none"/>
        </w:rPr>
      </w:pPr>
      <w:r>
        <w:rPr>
          <w:rFonts w:hint="eastAsia" w:ascii="宋体" w:hAnsi="宋体"/>
          <w:color w:val="auto"/>
          <w:szCs w:val="21"/>
          <w:highlight w:val="none"/>
        </w:rPr>
        <w:t>（三）风险管理计划。</w:t>
      </w:r>
    </w:p>
    <w:p w14:paraId="67735F3E">
      <w:pPr>
        <w:spacing w:line="360" w:lineRule="auto"/>
        <w:ind w:firstLine="420"/>
        <w:rPr>
          <w:rFonts w:ascii="宋体" w:hAnsi="宋体"/>
          <w:color w:val="auto"/>
          <w:szCs w:val="21"/>
          <w:highlight w:val="none"/>
        </w:rPr>
      </w:pPr>
      <w:r>
        <w:rPr>
          <w:rFonts w:hint="eastAsia" w:ascii="宋体" w:hAnsi="宋体"/>
          <w:color w:val="auto"/>
          <w:szCs w:val="21"/>
          <w:highlight w:val="none"/>
        </w:rPr>
        <w:t>（四）竣工文件和工程的其他记录。</w:t>
      </w:r>
    </w:p>
    <w:p w14:paraId="2FB11D53">
      <w:pPr>
        <w:spacing w:line="360" w:lineRule="auto"/>
        <w:ind w:firstLine="420"/>
        <w:rPr>
          <w:rFonts w:ascii="宋体" w:hAnsi="宋体"/>
          <w:color w:val="auto"/>
          <w:szCs w:val="21"/>
          <w:highlight w:val="none"/>
        </w:rPr>
      </w:pPr>
      <w:r>
        <w:rPr>
          <w:rFonts w:hint="eastAsia" w:ascii="宋体" w:hAnsi="宋体"/>
          <w:color w:val="auto"/>
          <w:szCs w:val="21"/>
          <w:highlight w:val="none"/>
        </w:rPr>
        <w:t>（五）操作和维修手册。</w:t>
      </w:r>
    </w:p>
    <w:p w14:paraId="2EB48505">
      <w:pPr>
        <w:spacing w:line="360" w:lineRule="auto"/>
        <w:ind w:firstLine="420"/>
        <w:rPr>
          <w:rFonts w:ascii="宋体" w:hAnsi="宋体"/>
          <w:color w:val="auto"/>
          <w:szCs w:val="21"/>
          <w:highlight w:val="none"/>
        </w:rPr>
      </w:pPr>
      <w:r>
        <w:rPr>
          <w:rFonts w:hint="eastAsia" w:ascii="宋体" w:hAnsi="宋体"/>
          <w:color w:val="auto"/>
          <w:szCs w:val="21"/>
          <w:highlight w:val="none"/>
        </w:rPr>
        <w:t>（六）其他承包人文件。</w:t>
      </w:r>
    </w:p>
    <w:p w14:paraId="3FC2BA48">
      <w:pPr>
        <w:spacing w:line="360" w:lineRule="auto"/>
        <w:ind w:firstLine="420"/>
        <w:rPr>
          <w:rFonts w:ascii="宋体" w:hAnsi="宋体"/>
          <w:color w:val="auto"/>
          <w:szCs w:val="21"/>
          <w:highlight w:val="none"/>
        </w:rPr>
      </w:pPr>
      <w:r>
        <w:rPr>
          <w:rFonts w:hint="eastAsia" w:ascii="宋体" w:hAnsi="宋体"/>
          <w:color w:val="auto"/>
          <w:szCs w:val="21"/>
          <w:highlight w:val="none"/>
        </w:rPr>
        <w:t>十、工程项目管理规定</w:t>
      </w:r>
    </w:p>
    <w:p w14:paraId="6D987D5B">
      <w:pPr>
        <w:spacing w:line="360" w:lineRule="auto"/>
        <w:ind w:firstLine="420"/>
        <w:rPr>
          <w:rFonts w:ascii="宋体" w:hAnsi="宋体"/>
          <w:color w:val="auto"/>
          <w:szCs w:val="21"/>
          <w:highlight w:val="none"/>
        </w:rPr>
      </w:pPr>
      <w:r>
        <w:rPr>
          <w:rFonts w:hint="eastAsia" w:ascii="宋体" w:hAnsi="宋体"/>
          <w:color w:val="auto"/>
          <w:szCs w:val="21"/>
          <w:highlight w:val="none"/>
        </w:rPr>
        <w:t>（一）质量。</w:t>
      </w:r>
    </w:p>
    <w:p w14:paraId="2DA825AE">
      <w:pPr>
        <w:spacing w:line="360" w:lineRule="auto"/>
        <w:ind w:firstLine="420"/>
        <w:rPr>
          <w:rFonts w:ascii="宋体" w:hAnsi="宋体"/>
          <w:color w:val="auto"/>
          <w:szCs w:val="21"/>
          <w:highlight w:val="none"/>
        </w:rPr>
      </w:pPr>
      <w:r>
        <w:rPr>
          <w:rFonts w:hint="eastAsia" w:ascii="宋体" w:hAnsi="宋体"/>
          <w:color w:val="auto"/>
          <w:szCs w:val="21"/>
          <w:highlight w:val="none"/>
        </w:rPr>
        <w:t>（二）进度，包括里程碑进度计划（如果有）。</w:t>
      </w:r>
    </w:p>
    <w:p w14:paraId="6D9D228E">
      <w:pPr>
        <w:spacing w:line="360" w:lineRule="auto"/>
        <w:ind w:firstLine="420"/>
        <w:rPr>
          <w:rFonts w:ascii="宋体" w:hAnsi="宋体"/>
          <w:color w:val="auto"/>
          <w:szCs w:val="21"/>
          <w:highlight w:val="none"/>
        </w:rPr>
      </w:pPr>
      <w:r>
        <w:rPr>
          <w:rFonts w:hint="eastAsia" w:ascii="宋体" w:hAnsi="宋体"/>
          <w:color w:val="auto"/>
          <w:szCs w:val="21"/>
          <w:highlight w:val="none"/>
        </w:rPr>
        <w:t>（三）支付。</w:t>
      </w:r>
    </w:p>
    <w:p w14:paraId="5331D1D1">
      <w:pPr>
        <w:spacing w:line="360" w:lineRule="auto"/>
        <w:ind w:firstLine="420"/>
        <w:rPr>
          <w:rFonts w:ascii="宋体" w:hAnsi="宋体"/>
          <w:color w:val="auto"/>
          <w:szCs w:val="21"/>
          <w:highlight w:val="none"/>
        </w:rPr>
      </w:pPr>
      <w:r>
        <w:rPr>
          <w:rFonts w:hint="eastAsia" w:ascii="宋体" w:hAnsi="宋体"/>
          <w:color w:val="auto"/>
          <w:szCs w:val="21"/>
          <w:highlight w:val="none"/>
        </w:rPr>
        <w:t>（四）HSE（健康、安全与环境管理体系）。</w:t>
      </w:r>
    </w:p>
    <w:p w14:paraId="03C29F5B">
      <w:pPr>
        <w:spacing w:line="360" w:lineRule="auto"/>
        <w:ind w:firstLine="420"/>
        <w:rPr>
          <w:rFonts w:ascii="宋体" w:hAnsi="宋体"/>
          <w:color w:val="auto"/>
          <w:szCs w:val="21"/>
          <w:highlight w:val="none"/>
        </w:rPr>
      </w:pPr>
      <w:r>
        <w:rPr>
          <w:rFonts w:hint="eastAsia" w:ascii="宋体" w:hAnsi="宋体"/>
          <w:color w:val="auto"/>
          <w:szCs w:val="21"/>
          <w:highlight w:val="none"/>
        </w:rPr>
        <w:t>（五）沟通。</w:t>
      </w:r>
    </w:p>
    <w:p w14:paraId="1038D862">
      <w:pPr>
        <w:spacing w:line="360" w:lineRule="auto"/>
        <w:ind w:firstLine="420"/>
        <w:rPr>
          <w:rFonts w:ascii="宋体" w:hAnsi="宋体"/>
          <w:color w:val="auto"/>
          <w:szCs w:val="21"/>
          <w:highlight w:val="none"/>
        </w:rPr>
      </w:pPr>
      <w:r>
        <w:rPr>
          <w:rFonts w:hint="eastAsia" w:ascii="宋体" w:hAnsi="宋体"/>
          <w:color w:val="auto"/>
          <w:szCs w:val="21"/>
          <w:highlight w:val="none"/>
        </w:rPr>
        <w:t>（六）变更。</w:t>
      </w:r>
    </w:p>
    <w:p w14:paraId="580CDEEF">
      <w:pPr>
        <w:spacing w:line="360" w:lineRule="auto"/>
        <w:ind w:firstLine="420"/>
        <w:rPr>
          <w:rFonts w:ascii="宋体" w:hAnsi="宋体"/>
          <w:color w:val="auto"/>
          <w:szCs w:val="21"/>
          <w:highlight w:val="none"/>
        </w:rPr>
      </w:pPr>
      <w:r>
        <w:rPr>
          <w:rFonts w:hint="eastAsia" w:ascii="宋体" w:hAnsi="宋体"/>
          <w:color w:val="auto"/>
          <w:szCs w:val="21"/>
          <w:highlight w:val="none"/>
        </w:rPr>
        <w:t>十一、其他要求</w:t>
      </w:r>
    </w:p>
    <w:p w14:paraId="75FA190D">
      <w:pPr>
        <w:spacing w:line="360" w:lineRule="auto"/>
        <w:ind w:firstLine="420"/>
        <w:rPr>
          <w:rFonts w:ascii="宋体" w:hAnsi="宋体"/>
          <w:color w:val="auto"/>
          <w:szCs w:val="21"/>
          <w:highlight w:val="none"/>
        </w:rPr>
      </w:pPr>
      <w:r>
        <w:rPr>
          <w:rFonts w:hint="eastAsia" w:ascii="宋体" w:hAnsi="宋体"/>
          <w:color w:val="auto"/>
          <w:szCs w:val="21"/>
          <w:highlight w:val="none"/>
        </w:rPr>
        <w:t>（一）对承包人的主要人员资格要求。</w:t>
      </w:r>
    </w:p>
    <w:p w14:paraId="4AA49F82">
      <w:pPr>
        <w:spacing w:line="360" w:lineRule="auto"/>
        <w:ind w:firstLine="420"/>
        <w:rPr>
          <w:rFonts w:ascii="宋体" w:hAnsi="宋体"/>
          <w:color w:val="auto"/>
          <w:szCs w:val="21"/>
          <w:highlight w:val="none"/>
        </w:rPr>
      </w:pPr>
      <w:r>
        <w:rPr>
          <w:rFonts w:hint="eastAsia" w:ascii="宋体" w:hAnsi="宋体"/>
          <w:color w:val="auto"/>
          <w:szCs w:val="21"/>
          <w:highlight w:val="none"/>
        </w:rPr>
        <w:t>（二）相关审批、核准和备案手续的办理。</w:t>
      </w:r>
    </w:p>
    <w:p w14:paraId="6F1769E2">
      <w:pPr>
        <w:spacing w:line="360" w:lineRule="auto"/>
        <w:ind w:firstLine="420"/>
        <w:rPr>
          <w:rFonts w:ascii="宋体" w:hAnsi="宋体"/>
          <w:color w:val="auto"/>
          <w:szCs w:val="21"/>
          <w:highlight w:val="none"/>
        </w:rPr>
      </w:pPr>
      <w:r>
        <w:rPr>
          <w:rFonts w:hint="eastAsia" w:ascii="宋体" w:hAnsi="宋体"/>
          <w:color w:val="auto"/>
          <w:szCs w:val="21"/>
          <w:highlight w:val="none"/>
        </w:rPr>
        <w:t>（三）对项目业主人员的操作培训。</w:t>
      </w:r>
    </w:p>
    <w:p w14:paraId="43F5E718">
      <w:pPr>
        <w:spacing w:line="360" w:lineRule="auto"/>
        <w:ind w:firstLine="420"/>
        <w:rPr>
          <w:rFonts w:ascii="宋体" w:hAnsi="宋体"/>
          <w:color w:val="auto"/>
          <w:szCs w:val="21"/>
          <w:highlight w:val="none"/>
        </w:rPr>
      </w:pPr>
      <w:r>
        <w:rPr>
          <w:rFonts w:hint="eastAsia" w:ascii="宋体" w:hAnsi="宋体"/>
          <w:color w:val="auto"/>
          <w:szCs w:val="21"/>
          <w:highlight w:val="none"/>
        </w:rPr>
        <w:t>（四）分包。</w:t>
      </w:r>
    </w:p>
    <w:p w14:paraId="657C03D4">
      <w:pPr>
        <w:spacing w:line="360" w:lineRule="auto"/>
        <w:ind w:firstLine="420"/>
        <w:rPr>
          <w:rFonts w:ascii="宋体" w:hAnsi="宋体"/>
          <w:color w:val="auto"/>
          <w:szCs w:val="21"/>
          <w:highlight w:val="none"/>
        </w:rPr>
      </w:pPr>
      <w:r>
        <w:rPr>
          <w:rFonts w:hint="eastAsia" w:ascii="宋体" w:hAnsi="宋体"/>
          <w:color w:val="auto"/>
          <w:szCs w:val="21"/>
          <w:highlight w:val="none"/>
        </w:rPr>
        <w:t>（五）设备供应商。</w:t>
      </w:r>
    </w:p>
    <w:p w14:paraId="1C303AF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（六）缺陷责任期的服务要求。</w:t>
      </w:r>
    </w:p>
    <w:p w14:paraId="600523AA">
      <w:pPr>
        <w:spacing w:line="440" w:lineRule="exact"/>
        <w:ind w:firstLine="567" w:firstLineChars="270"/>
        <w:rPr>
          <w:color w:val="auto"/>
          <w:szCs w:val="21"/>
          <w:highlight w:val="none"/>
        </w:rPr>
      </w:pPr>
    </w:p>
    <w:p w14:paraId="028832F6">
      <w:pPr>
        <w:spacing w:line="400" w:lineRule="exact"/>
        <w:jc w:val="center"/>
        <w:rPr>
          <w:rFonts w:ascii="宋体"/>
          <w:color w:val="auto"/>
          <w:szCs w:val="21"/>
          <w:highlight w:val="none"/>
        </w:rPr>
      </w:pPr>
      <w:r>
        <w:rPr>
          <w:rFonts w:ascii="宋体"/>
          <w:color w:val="auto"/>
          <w:szCs w:val="21"/>
          <w:highlight w:val="none"/>
        </w:rPr>
        <w:br w:type="page"/>
      </w:r>
    </w:p>
    <w:p w14:paraId="0C5DF013">
      <w:pPr>
        <w:spacing w:line="400" w:lineRule="exact"/>
        <w:rPr>
          <w:rFonts w:ascii="宋体"/>
          <w:color w:val="auto"/>
          <w:szCs w:val="21"/>
          <w:highlight w:val="none"/>
        </w:rPr>
      </w:pPr>
    </w:p>
    <w:p w14:paraId="4E0A85EB">
      <w:pPr>
        <w:spacing w:line="360" w:lineRule="auto"/>
        <w:ind w:firstLine="420"/>
        <w:rPr>
          <w:rFonts w:ascii="宋体"/>
          <w:color w:val="auto"/>
          <w:szCs w:val="21"/>
          <w:highlight w:val="none"/>
        </w:rPr>
      </w:pPr>
    </w:p>
    <w:p w14:paraId="6B72110D">
      <w:pPr>
        <w:pStyle w:val="2"/>
        <w:jc w:val="center"/>
        <w:rPr>
          <w:color w:val="auto"/>
          <w:highlight w:val="none"/>
        </w:rPr>
      </w:pPr>
      <w:bookmarkStart w:id="1732" w:name="_Toc26350"/>
      <w:bookmarkStart w:id="1733" w:name="_Toc11362"/>
      <w:r>
        <w:rPr>
          <w:rFonts w:hint="eastAsia"/>
          <w:color w:val="auto"/>
          <w:highlight w:val="none"/>
        </w:rPr>
        <w:t>第六章发包人提供的资料</w:t>
      </w:r>
      <w:bookmarkEnd w:id="1732"/>
      <w:bookmarkEnd w:id="1733"/>
    </w:p>
    <w:p w14:paraId="50955032">
      <w:pPr>
        <w:spacing w:line="360" w:lineRule="auto"/>
        <w:ind w:firstLine="420"/>
        <w:rPr>
          <w:color w:val="auto"/>
          <w:highlight w:val="none"/>
        </w:rPr>
      </w:pPr>
      <w:r>
        <w:rPr>
          <w:color w:val="auto"/>
          <w:highlight w:val="none"/>
        </w:rPr>
        <w:br w:type="page"/>
      </w:r>
    </w:p>
    <w:p w14:paraId="19223C93">
      <w:pPr>
        <w:spacing w:line="400" w:lineRule="exact"/>
        <w:jc w:val="center"/>
        <w:rPr>
          <w:b/>
          <w:color w:val="auto"/>
          <w:sz w:val="32"/>
          <w:szCs w:val="32"/>
          <w:highlight w:val="none"/>
        </w:rPr>
      </w:pPr>
      <w:r>
        <w:rPr>
          <w:rFonts w:hint="eastAsia"/>
          <w:b/>
          <w:color w:val="auto"/>
          <w:sz w:val="32"/>
          <w:szCs w:val="32"/>
          <w:highlight w:val="none"/>
        </w:rPr>
        <w:t>发包人提供的资料</w:t>
      </w:r>
    </w:p>
    <w:p w14:paraId="7DD2D7BE">
      <w:pPr>
        <w:rPr>
          <w:b/>
          <w:color w:val="auto"/>
          <w:sz w:val="30"/>
          <w:szCs w:val="30"/>
          <w:highlight w:val="none"/>
        </w:rPr>
      </w:pPr>
    </w:p>
    <w:p w14:paraId="204A492D">
      <w:pPr>
        <w:keepNext w:val="0"/>
        <w:keepLines w:val="0"/>
        <w:widowControl/>
        <w:suppressLineNumbers w:val="0"/>
        <w:jc w:val="left"/>
        <w:rPr>
          <w:color w:val="auto"/>
          <w:highlight w:val="none"/>
        </w:rPr>
      </w:pPr>
      <w:r>
        <w:rPr>
          <w:rFonts w:hint="eastAsia" w:ascii="宋体" w:hAnsi="宋体" w:eastAsia="宋体" w:cs="宋体"/>
          <w:color w:val="auto"/>
          <w:kern w:val="0"/>
          <w:sz w:val="21"/>
          <w:szCs w:val="21"/>
          <w:highlight w:val="none"/>
          <w:lang w:val="en-US" w:eastAsia="zh-CN" w:bidi="ar"/>
        </w:rPr>
        <w:t xml:space="preserve">附件一：性能保证表 </w:t>
      </w:r>
    </w:p>
    <w:p w14:paraId="5EEBCBC7">
      <w:pPr>
        <w:keepNext w:val="0"/>
        <w:keepLines w:val="0"/>
        <w:widowControl/>
        <w:suppressLineNumbers w:val="0"/>
        <w:jc w:val="left"/>
        <w:rPr>
          <w:color w:val="auto"/>
          <w:highlight w:val="none"/>
        </w:rPr>
      </w:pPr>
      <w:r>
        <w:rPr>
          <w:rFonts w:hint="eastAsia" w:ascii="宋体" w:hAnsi="宋体" w:eastAsia="宋体" w:cs="宋体"/>
          <w:color w:val="auto"/>
          <w:kern w:val="0"/>
          <w:sz w:val="21"/>
          <w:szCs w:val="21"/>
          <w:highlight w:val="none"/>
          <w:lang w:val="en-US" w:eastAsia="zh-CN" w:bidi="ar"/>
        </w:rPr>
        <w:t xml:space="preserve">附件二：工作界区图 </w:t>
      </w:r>
    </w:p>
    <w:p w14:paraId="5054E162">
      <w:pPr>
        <w:keepNext w:val="0"/>
        <w:keepLines w:val="0"/>
        <w:widowControl/>
        <w:suppressLineNumbers w:val="0"/>
        <w:jc w:val="left"/>
        <w:rPr>
          <w:color w:val="auto"/>
          <w:highlight w:val="none"/>
        </w:rPr>
      </w:pPr>
      <w:r>
        <w:rPr>
          <w:rFonts w:hint="eastAsia" w:ascii="宋体" w:hAnsi="宋体" w:eastAsia="宋体" w:cs="宋体"/>
          <w:color w:val="auto"/>
          <w:kern w:val="0"/>
          <w:sz w:val="21"/>
          <w:szCs w:val="21"/>
          <w:highlight w:val="none"/>
          <w:lang w:val="en-US" w:eastAsia="zh-CN" w:bidi="ar"/>
        </w:rPr>
        <w:t xml:space="preserve">附件三：发包人需求任务书 </w:t>
      </w:r>
    </w:p>
    <w:p w14:paraId="58A4ADBB">
      <w:pPr>
        <w:keepNext w:val="0"/>
        <w:keepLines w:val="0"/>
        <w:widowControl/>
        <w:suppressLineNumbers w:val="0"/>
        <w:jc w:val="left"/>
        <w:rPr>
          <w:color w:val="auto"/>
          <w:highlight w:val="none"/>
        </w:rPr>
      </w:pPr>
      <w:r>
        <w:rPr>
          <w:rFonts w:hint="eastAsia" w:ascii="宋体" w:hAnsi="宋体" w:eastAsia="宋体" w:cs="宋体"/>
          <w:color w:val="auto"/>
          <w:kern w:val="0"/>
          <w:sz w:val="21"/>
          <w:szCs w:val="21"/>
          <w:highlight w:val="none"/>
          <w:lang w:val="en-US" w:eastAsia="zh-CN" w:bidi="ar"/>
        </w:rPr>
        <w:t xml:space="preserve">附件四：发包人已完成的设计文件 </w:t>
      </w:r>
    </w:p>
    <w:p w14:paraId="18904198">
      <w:pPr>
        <w:keepNext w:val="0"/>
        <w:keepLines w:val="0"/>
        <w:widowControl/>
        <w:suppressLineNumbers w:val="0"/>
        <w:jc w:val="left"/>
        <w:rPr>
          <w:color w:val="auto"/>
          <w:highlight w:val="none"/>
        </w:rPr>
      </w:pPr>
      <w:r>
        <w:rPr>
          <w:rFonts w:hint="eastAsia" w:ascii="宋体" w:hAnsi="宋体" w:eastAsia="宋体" w:cs="宋体"/>
          <w:color w:val="auto"/>
          <w:kern w:val="0"/>
          <w:sz w:val="21"/>
          <w:szCs w:val="21"/>
          <w:highlight w:val="none"/>
          <w:lang w:val="en-US" w:eastAsia="zh-CN" w:bidi="ar"/>
        </w:rPr>
        <w:t xml:space="preserve">附件五：承包人文件要求 </w:t>
      </w:r>
    </w:p>
    <w:p w14:paraId="4508ED00">
      <w:pPr>
        <w:keepNext w:val="0"/>
        <w:keepLines w:val="0"/>
        <w:widowControl/>
        <w:suppressLineNumbers w:val="0"/>
        <w:jc w:val="left"/>
        <w:rPr>
          <w:color w:val="auto"/>
          <w:highlight w:val="none"/>
        </w:rPr>
      </w:pPr>
      <w:r>
        <w:rPr>
          <w:rFonts w:hint="eastAsia" w:ascii="宋体" w:hAnsi="宋体" w:eastAsia="宋体" w:cs="宋体"/>
          <w:color w:val="auto"/>
          <w:kern w:val="0"/>
          <w:sz w:val="21"/>
          <w:szCs w:val="21"/>
          <w:highlight w:val="none"/>
          <w:lang w:val="en-US" w:eastAsia="zh-CN" w:bidi="ar"/>
        </w:rPr>
        <w:t xml:space="preserve">附件六：承包人人员资格要求及审查规定 </w:t>
      </w:r>
    </w:p>
    <w:p w14:paraId="3031C809">
      <w:pPr>
        <w:keepNext w:val="0"/>
        <w:keepLines w:val="0"/>
        <w:widowControl/>
        <w:suppressLineNumbers w:val="0"/>
        <w:jc w:val="left"/>
        <w:rPr>
          <w:color w:val="auto"/>
          <w:highlight w:val="none"/>
        </w:rPr>
      </w:pPr>
      <w:r>
        <w:rPr>
          <w:rFonts w:hint="eastAsia" w:ascii="宋体" w:hAnsi="宋体" w:eastAsia="宋体" w:cs="宋体"/>
          <w:color w:val="auto"/>
          <w:kern w:val="0"/>
          <w:sz w:val="21"/>
          <w:szCs w:val="21"/>
          <w:highlight w:val="none"/>
          <w:lang w:val="en-US" w:eastAsia="zh-CN" w:bidi="ar"/>
        </w:rPr>
        <w:t xml:space="preserve">附件七：承包人设计文件审查规定 </w:t>
      </w:r>
    </w:p>
    <w:p w14:paraId="0A59757D">
      <w:pPr>
        <w:keepNext w:val="0"/>
        <w:keepLines w:val="0"/>
        <w:widowControl/>
        <w:suppressLineNumbers w:val="0"/>
        <w:jc w:val="left"/>
        <w:rPr>
          <w:color w:val="auto"/>
          <w:highlight w:val="none"/>
        </w:rPr>
      </w:pPr>
      <w:r>
        <w:rPr>
          <w:rFonts w:hint="eastAsia" w:ascii="宋体" w:hAnsi="宋体" w:eastAsia="宋体" w:cs="宋体"/>
          <w:color w:val="auto"/>
          <w:kern w:val="0"/>
          <w:sz w:val="21"/>
          <w:szCs w:val="21"/>
          <w:highlight w:val="none"/>
          <w:lang w:val="en-US" w:eastAsia="zh-CN" w:bidi="ar"/>
        </w:rPr>
        <w:t xml:space="preserve">附件八：承包人采购审查与批准规定 </w:t>
      </w:r>
    </w:p>
    <w:p w14:paraId="527E857E">
      <w:pPr>
        <w:keepNext w:val="0"/>
        <w:keepLines w:val="0"/>
        <w:widowControl/>
        <w:suppressLineNumbers w:val="0"/>
        <w:jc w:val="left"/>
        <w:rPr>
          <w:color w:val="auto"/>
          <w:highlight w:val="none"/>
        </w:rPr>
      </w:pPr>
      <w:r>
        <w:rPr>
          <w:rFonts w:hint="eastAsia" w:ascii="宋体" w:hAnsi="宋体" w:eastAsia="宋体" w:cs="宋体"/>
          <w:color w:val="auto"/>
          <w:kern w:val="0"/>
          <w:sz w:val="21"/>
          <w:szCs w:val="21"/>
          <w:highlight w:val="none"/>
          <w:lang w:val="en-US" w:eastAsia="zh-CN" w:bidi="ar"/>
        </w:rPr>
        <w:t xml:space="preserve">附件九：材料、工程设备和工程试验规定 </w:t>
      </w:r>
    </w:p>
    <w:p w14:paraId="59DE41C1">
      <w:pPr>
        <w:keepNext w:val="0"/>
        <w:keepLines w:val="0"/>
        <w:widowControl/>
        <w:suppressLineNumbers w:val="0"/>
        <w:jc w:val="left"/>
        <w:rPr>
          <w:color w:val="auto"/>
          <w:highlight w:val="none"/>
        </w:rPr>
      </w:pPr>
      <w:r>
        <w:rPr>
          <w:rFonts w:hint="eastAsia" w:ascii="宋体" w:hAnsi="宋体" w:eastAsia="宋体" w:cs="宋体"/>
          <w:color w:val="auto"/>
          <w:kern w:val="0"/>
          <w:sz w:val="21"/>
          <w:szCs w:val="21"/>
          <w:highlight w:val="none"/>
          <w:lang w:val="en-US" w:eastAsia="zh-CN" w:bidi="ar"/>
        </w:rPr>
        <w:t xml:space="preserve">附件十：竣工试验规定 </w:t>
      </w:r>
    </w:p>
    <w:p w14:paraId="000A8A39">
      <w:pPr>
        <w:keepNext w:val="0"/>
        <w:keepLines w:val="0"/>
        <w:widowControl/>
        <w:suppressLineNumbers w:val="0"/>
        <w:jc w:val="left"/>
        <w:rPr>
          <w:color w:val="auto"/>
          <w:highlight w:val="none"/>
        </w:rPr>
      </w:pPr>
      <w:r>
        <w:rPr>
          <w:rFonts w:hint="eastAsia" w:ascii="宋体" w:hAnsi="宋体" w:eastAsia="宋体" w:cs="宋体"/>
          <w:color w:val="auto"/>
          <w:kern w:val="0"/>
          <w:sz w:val="21"/>
          <w:szCs w:val="21"/>
          <w:highlight w:val="none"/>
          <w:lang w:val="en-US" w:eastAsia="zh-CN" w:bidi="ar"/>
        </w:rPr>
        <w:t xml:space="preserve">附件十一：竣工验收规定 </w:t>
      </w:r>
    </w:p>
    <w:p w14:paraId="092F1D7C">
      <w:pPr>
        <w:keepNext w:val="0"/>
        <w:keepLines w:val="0"/>
        <w:widowControl/>
        <w:suppressLineNumbers w:val="0"/>
        <w:jc w:val="left"/>
        <w:rPr>
          <w:color w:val="auto"/>
          <w:highlight w:val="none"/>
        </w:rPr>
      </w:pPr>
      <w:r>
        <w:rPr>
          <w:rFonts w:hint="eastAsia" w:ascii="宋体" w:hAnsi="宋体" w:eastAsia="宋体" w:cs="宋体"/>
          <w:color w:val="auto"/>
          <w:kern w:val="0"/>
          <w:sz w:val="21"/>
          <w:szCs w:val="21"/>
          <w:highlight w:val="none"/>
          <w:lang w:val="en-US" w:eastAsia="zh-CN" w:bidi="ar"/>
        </w:rPr>
        <w:t xml:space="preserve">附件十二：竣工后试验规定 </w:t>
      </w:r>
    </w:p>
    <w:p w14:paraId="6777533C">
      <w:pPr>
        <w:keepNext w:val="0"/>
        <w:keepLines w:val="0"/>
        <w:widowControl/>
        <w:suppressLineNumbers w:val="0"/>
        <w:jc w:val="left"/>
        <w:rPr>
          <w:color w:val="auto"/>
          <w:highlight w:val="none"/>
        </w:rPr>
      </w:pPr>
      <w:r>
        <w:rPr>
          <w:rFonts w:hint="eastAsia" w:ascii="宋体" w:hAnsi="宋体" w:eastAsia="宋体" w:cs="宋体"/>
          <w:color w:val="auto"/>
          <w:kern w:val="0"/>
          <w:sz w:val="21"/>
          <w:szCs w:val="21"/>
          <w:highlight w:val="none"/>
          <w:lang w:val="en-US" w:eastAsia="zh-CN" w:bidi="ar"/>
        </w:rPr>
        <w:t>附件十三：工程项目管理规定</w:t>
      </w:r>
    </w:p>
    <w:p w14:paraId="438A0FFE">
      <w:pPr>
        <w:spacing w:line="360" w:lineRule="auto"/>
        <w:ind w:firstLine="420" w:firstLineChars="200"/>
        <w:rPr>
          <w:rFonts w:ascii="黑体" w:hAnsi="宋体" w:eastAsia="黑体"/>
          <w:color w:val="auto"/>
          <w:szCs w:val="21"/>
          <w:highlight w:val="none"/>
        </w:rPr>
      </w:pPr>
      <w:r>
        <w:rPr>
          <w:color w:val="auto"/>
          <w:highlight w:val="none"/>
        </w:rPr>
        <w:drawing>
          <wp:inline distT="0" distB="0" distL="114300" distR="114300">
            <wp:extent cx="5514975" cy="7724775"/>
            <wp:effectExtent l="0" t="0" r="9525" b="952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48"/>
                    <a:stretch>
                      <a:fillRect/>
                    </a:stretch>
                  </pic:blipFill>
                  <pic:spPr>
                    <a:xfrm>
                      <a:off x="0" y="0"/>
                      <a:ext cx="5514975" cy="7724775"/>
                    </a:xfrm>
                    <a:prstGeom prst="rect">
                      <a:avLst/>
                    </a:prstGeom>
                    <a:noFill/>
                    <a:ln>
                      <a:noFill/>
                    </a:ln>
                  </pic:spPr>
                </pic:pic>
              </a:graphicData>
            </a:graphic>
          </wp:inline>
        </w:drawing>
      </w:r>
      <w:r>
        <w:rPr>
          <w:color w:val="auto"/>
          <w:highlight w:val="none"/>
        </w:rPr>
        <w:drawing>
          <wp:inline distT="0" distB="0" distL="114300" distR="114300">
            <wp:extent cx="5495925" cy="7743825"/>
            <wp:effectExtent l="0" t="0" r="9525" b="952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49"/>
                    <a:stretch>
                      <a:fillRect/>
                    </a:stretch>
                  </pic:blipFill>
                  <pic:spPr>
                    <a:xfrm>
                      <a:off x="0" y="0"/>
                      <a:ext cx="5495925" cy="7743825"/>
                    </a:xfrm>
                    <a:prstGeom prst="rect">
                      <a:avLst/>
                    </a:prstGeom>
                    <a:noFill/>
                    <a:ln>
                      <a:noFill/>
                    </a:ln>
                  </pic:spPr>
                </pic:pic>
              </a:graphicData>
            </a:graphic>
          </wp:inline>
        </w:drawing>
      </w:r>
    </w:p>
    <w:p w14:paraId="0C4C3509">
      <w:pPr>
        <w:spacing w:line="360" w:lineRule="auto"/>
        <w:ind w:firstLine="420" w:firstLineChars="200"/>
        <w:rPr>
          <w:rFonts w:ascii="宋体"/>
          <w:color w:val="auto"/>
          <w:szCs w:val="21"/>
          <w:highlight w:val="none"/>
        </w:rPr>
      </w:pPr>
    </w:p>
    <w:p w14:paraId="14D7EB25">
      <w:pPr>
        <w:spacing w:line="400" w:lineRule="exact"/>
        <w:rPr>
          <w:color w:val="auto"/>
          <w:highlight w:val="none"/>
        </w:rPr>
      </w:pPr>
      <w:r>
        <w:rPr>
          <w:color w:val="auto"/>
          <w:highlight w:val="none"/>
        </w:rPr>
        <w:br w:type="page"/>
      </w:r>
    </w:p>
    <w:p w14:paraId="56CD6CDD">
      <w:pPr>
        <w:spacing w:line="400" w:lineRule="exact"/>
        <w:rPr>
          <w:color w:val="auto"/>
          <w:highlight w:val="none"/>
        </w:rPr>
      </w:pPr>
    </w:p>
    <w:p w14:paraId="3BB4CBBD">
      <w:pPr>
        <w:spacing w:line="400" w:lineRule="exact"/>
        <w:rPr>
          <w:color w:val="auto"/>
          <w:highlight w:val="none"/>
        </w:rPr>
      </w:pPr>
    </w:p>
    <w:p w14:paraId="236EE649">
      <w:pPr>
        <w:spacing w:line="400" w:lineRule="exact"/>
        <w:rPr>
          <w:color w:val="auto"/>
          <w:highlight w:val="none"/>
        </w:rPr>
      </w:pPr>
    </w:p>
    <w:p w14:paraId="0330C464">
      <w:pPr>
        <w:spacing w:line="400" w:lineRule="exact"/>
        <w:rPr>
          <w:color w:val="auto"/>
          <w:highlight w:val="none"/>
        </w:rPr>
      </w:pPr>
    </w:p>
    <w:p w14:paraId="622B7478">
      <w:pPr>
        <w:spacing w:line="400" w:lineRule="exact"/>
        <w:rPr>
          <w:color w:val="auto"/>
          <w:highlight w:val="none"/>
        </w:rPr>
      </w:pPr>
    </w:p>
    <w:p w14:paraId="4282B1E8">
      <w:pPr>
        <w:pStyle w:val="2"/>
        <w:jc w:val="center"/>
        <w:rPr>
          <w:color w:val="auto"/>
          <w:highlight w:val="none"/>
        </w:rPr>
      </w:pPr>
      <w:bookmarkStart w:id="1734" w:name="_Toc6926"/>
      <w:bookmarkStart w:id="1735" w:name="_Toc247527825"/>
      <w:bookmarkStart w:id="1736" w:name="_Toc12194"/>
      <w:bookmarkStart w:id="1737" w:name="_Toc247514244"/>
      <w:bookmarkStart w:id="1738" w:name="_Toc152045786"/>
      <w:bookmarkStart w:id="1739" w:name="_Toc152042575"/>
      <w:bookmarkStart w:id="1740" w:name="_Toc144974855"/>
      <w:r>
        <w:rPr>
          <w:rFonts w:hint="eastAsia"/>
          <w:color w:val="auto"/>
          <w:highlight w:val="none"/>
        </w:rPr>
        <w:t>第三卷</w:t>
      </w:r>
      <w:bookmarkEnd w:id="1734"/>
      <w:bookmarkEnd w:id="1735"/>
      <w:bookmarkEnd w:id="1736"/>
      <w:bookmarkEnd w:id="1737"/>
    </w:p>
    <w:p w14:paraId="5FE0BBA6">
      <w:pPr>
        <w:spacing w:line="400" w:lineRule="exact"/>
        <w:jc w:val="center"/>
        <w:rPr>
          <w:color w:val="auto"/>
          <w:highlight w:val="none"/>
        </w:rPr>
      </w:pPr>
      <w:r>
        <w:rPr>
          <w:rFonts w:ascii="黑体" w:hAnsi="黑体" w:eastAsia="黑体"/>
          <w:b/>
          <w:bCs/>
          <w:color w:val="auto"/>
          <w:sz w:val="32"/>
          <w:highlight w:val="none"/>
        </w:rPr>
        <w:br w:type="page"/>
      </w:r>
    </w:p>
    <w:p w14:paraId="7210F6A6">
      <w:pPr>
        <w:spacing w:line="400" w:lineRule="exact"/>
        <w:jc w:val="center"/>
        <w:rPr>
          <w:color w:val="auto"/>
          <w:highlight w:val="none"/>
        </w:rPr>
      </w:pPr>
    </w:p>
    <w:p w14:paraId="25DD4303">
      <w:pPr>
        <w:spacing w:line="400" w:lineRule="exact"/>
        <w:jc w:val="center"/>
        <w:rPr>
          <w:color w:val="auto"/>
          <w:highlight w:val="none"/>
        </w:rPr>
      </w:pPr>
    </w:p>
    <w:p w14:paraId="53057346">
      <w:pPr>
        <w:pStyle w:val="2"/>
        <w:jc w:val="center"/>
        <w:rPr>
          <w:color w:val="auto"/>
          <w:highlight w:val="none"/>
        </w:rPr>
      </w:pPr>
      <w:bookmarkStart w:id="1741" w:name="_Toc6486"/>
      <w:bookmarkStart w:id="1742" w:name="_Toc19862"/>
      <w:bookmarkStart w:id="1743" w:name="_Toc247527826"/>
      <w:bookmarkStart w:id="1744" w:name="_Toc247514245"/>
      <w:r>
        <w:rPr>
          <w:rFonts w:hint="eastAsia"/>
          <w:color w:val="auto"/>
          <w:highlight w:val="none"/>
        </w:rPr>
        <w:t>第七章投标文件格式</w:t>
      </w:r>
      <w:bookmarkEnd w:id="1738"/>
      <w:bookmarkEnd w:id="1739"/>
      <w:bookmarkEnd w:id="1740"/>
      <w:bookmarkEnd w:id="1741"/>
      <w:bookmarkEnd w:id="1742"/>
      <w:bookmarkEnd w:id="1743"/>
      <w:bookmarkEnd w:id="1744"/>
    </w:p>
    <w:p w14:paraId="36B7C5D4">
      <w:pPr>
        <w:spacing w:line="400" w:lineRule="exact"/>
        <w:rPr>
          <w:color w:val="auto"/>
          <w:highlight w:val="none"/>
        </w:rPr>
      </w:pPr>
    </w:p>
    <w:p w14:paraId="565B8AEF">
      <w:pPr>
        <w:spacing w:line="400" w:lineRule="exact"/>
        <w:rPr>
          <w:color w:val="auto"/>
          <w:highlight w:val="none"/>
        </w:rPr>
      </w:pPr>
      <w:r>
        <w:rPr>
          <w:color w:val="auto"/>
          <w:highlight w:val="none"/>
        </w:rPr>
        <w:br w:type="page"/>
      </w:r>
    </w:p>
    <w:p w14:paraId="16B5690A">
      <w:pPr>
        <w:spacing w:line="440" w:lineRule="exact"/>
        <w:rPr>
          <w:rFonts w:eastAsia="黑体"/>
          <w:color w:val="auto"/>
          <w:sz w:val="20"/>
          <w:szCs w:val="20"/>
          <w:highlight w:val="none"/>
        </w:rPr>
      </w:pPr>
    </w:p>
    <w:p w14:paraId="41A0667B">
      <w:pPr>
        <w:spacing w:line="440" w:lineRule="exact"/>
        <w:rPr>
          <w:rFonts w:eastAsia="黑体"/>
          <w:color w:val="auto"/>
          <w:sz w:val="20"/>
          <w:szCs w:val="20"/>
          <w:highlight w:val="none"/>
        </w:rPr>
      </w:pPr>
    </w:p>
    <w:p w14:paraId="35FBB774">
      <w:pPr>
        <w:jc w:val="center"/>
        <w:rPr>
          <w:rFonts w:hint="eastAsia" w:eastAsia="黑体"/>
          <w:color w:val="auto"/>
          <w:sz w:val="28"/>
          <w:szCs w:val="28"/>
          <w:highlight w:val="none"/>
          <w:lang w:val="en-US" w:eastAsia="zh-CN"/>
        </w:rPr>
      </w:pPr>
      <w:r>
        <w:rPr>
          <w:rFonts w:hint="eastAsia" w:eastAsia="黑体"/>
          <w:color w:val="auto"/>
          <w:sz w:val="28"/>
          <w:szCs w:val="28"/>
          <w:highlight w:val="none"/>
          <w:u w:val="single"/>
          <w:lang w:val="en-US" w:eastAsia="zh-CN"/>
        </w:rPr>
        <w:t xml:space="preserve">                      </w:t>
      </w:r>
      <w:r>
        <w:rPr>
          <w:rFonts w:hint="eastAsia" w:eastAsia="黑体"/>
          <w:color w:val="auto"/>
          <w:sz w:val="28"/>
          <w:szCs w:val="28"/>
          <w:highlight w:val="none"/>
        </w:rPr>
        <w:t>（</w:t>
      </w:r>
      <w:r>
        <w:rPr>
          <w:rFonts w:hint="eastAsia" w:eastAsia="黑体"/>
          <w:color w:val="auto"/>
          <w:sz w:val="28"/>
          <w:szCs w:val="28"/>
          <w:highlight w:val="none"/>
          <w:lang w:val="en-US" w:eastAsia="zh-CN"/>
        </w:rPr>
        <w:t>标段</w:t>
      </w:r>
      <w:r>
        <w:rPr>
          <w:rFonts w:hint="eastAsia" w:eastAsia="黑体"/>
          <w:color w:val="auto"/>
          <w:sz w:val="28"/>
          <w:szCs w:val="28"/>
          <w:highlight w:val="none"/>
        </w:rPr>
        <w:t>名称）项目</w:t>
      </w:r>
      <w:r>
        <w:rPr>
          <w:rFonts w:hint="eastAsia" w:eastAsia="黑体"/>
          <w:color w:val="auto"/>
          <w:sz w:val="28"/>
          <w:szCs w:val="28"/>
          <w:highlight w:val="none"/>
          <w:lang w:val="en-US" w:eastAsia="zh-CN"/>
        </w:rPr>
        <w:t>招标</w:t>
      </w:r>
    </w:p>
    <w:p w14:paraId="76B4F3D2">
      <w:pPr>
        <w:rPr>
          <w:rFonts w:eastAsia="黑体"/>
          <w:color w:val="auto"/>
          <w:sz w:val="20"/>
          <w:szCs w:val="20"/>
          <w:highlight w:val="none"/>
        </w:rPr>
      </w:pPr>
    </w:p>
    <w:p w14:paraId="46752C2F">
      <w:pPr>
        <w:rPr>
          <w:rFonts w:eastAsia="黑体"/>
          <w:color w:val="auto"/>
          <w:sz w:val="20"/>
          <w:szCs w:val="20"/>
          <w:highlight w:val="none"/>
        </w:rPr>
      </w:pPr>
    </w:p>
    <w:p w14:paraId="6E0775FD">
      <w:pPr>
        <w:jc w:val="center"/>
        <w:rPr>
          <w:rFonts w:eastAsia="黑体"/>
          <w:color w:val="auto"/>
          <w:sz w:val="44"/>
          <w:szCs w:val="44"/>
          <w:highlight w:val="none"/>
        </w:rPr>
      </w:pPr>
      <w:r>
        <w:rPr>
          <w:rFonts w:hint="eastAsia" w:eastAsia="黑体"/>
          <w:color w:val="auto"/>
          <w:sz w:val="44"/>
          <w:szCs w:val="44"/>
          <w:highlight w:val="none"/>
        </w:rPr>
        <w:t>投</w:t>
      </w:r>
      <w:r>
        <w:rPr>
          <w:rFonts w:hint="eastAsia" w:eastAsia="黑体"/>
          <w:color w:val="auto"/>
          <w:sz w:val="44"/>
          <w:szCs w:val="44"/>
          <w:highlight w:val="none"/>
          <w:lang w:val="en-US" w:eastAsia="zh-CN"/>
        </w:rPr>
        <w:t xml:space="preserve"> </w:t>
      </w:r>
      <w:r>
        <w:rPr>
          <w:rFonts w:hint="eastAsia" w:eastAsia="黑体"/>
          <w:color w:val="auto"/>
          <w:sz w:val="44"/>
          <w:szCs w:val="44"/>
          <w:highlight w:val="none"/>
        </w:rPr>
        <w:t>标</w:t>
      </w:r>
      <w:r>
        <w:rPr>
          <w:rFonts w:hint="eastAsia" w:eastAsia="黑体"/>
          <w:color w:val="auto"/>
          <w:sz w:val="44"/>
          <w:szCs w:val="44"/>
          <w:highlight w:val="none"/>
          <w:lang w:val="en-US" w:eastAsia="zh-CN"/>
        </w:rPr>
        <w:t xml:space="preserve"> </w:t>
      </w:r>
      <w:r>
        <w:rPr>
          <w:rFonts w:hint="eastAsia" w:eastAsia="黑体"/>
          <w:color w:val="auto"/>
          <w:sz w:val="44"/>
          <w:szCs w:val="44"/>
          <w:highlight w:val="none"/>
        </w:rPr>
        <w:t>文</w:t>
      </w:r>
      <w:r>
        <w:rPr>
          <w:rFonts w:hint="eastAsia" w:eastAsia="黑体"/>
          <w:color w:val="auto"/>
          <w:sz w:val="44"/>
          <w:szCs w:val="44"/>
          <w:highlight w:val="none"/>
          <w:lang w:val="en-US" w:eastAsia="zh-CN"/>
        </w:rPr>
        <w:t xml:space="preserve"> </w:t>
      </w:r>
      <w:r>
        <w:rPr>
          <w:rFonts w:hint="eastAsia" w:eastAsia="黑体"/>
          <w:color w:val="auto"/>
          <w:sz w:val="44"/>
          <w:szCs w:val="44"/>
          <w:highlight w:val="none"/>
        </w:rPr>
        <w:t>件</w:t>
      </w:r>
    </w:p>
    <w:p w14:paraId="44DF3B1C">
      <w:pPr>
        <w:spacing w:before="91" w:line="219" w:lineRule="auto"/>
        <w:ind w:left="2096"/>
        <w:rPr>
          <w:rFonts w:ascii="黑体" w:hAnsi="黑体" w:eastAsia="黑体" w:cs="黑体"/>
          <w:color w:val="auto"/>
          <w:sz w:val="28"/>
          <w:szCs w:val="28"/>
          <w:highlight w:val="none"/>
        </w:rPr>
      </w:pPr>
      <w:r>
        <w:rPr>
          <w:rFonts w:ascii="黑体" w:hAnsi="黑体" w:eastAsia="黑体" w:cs="黑体"/>
          <w:color w:val="auto"/>
          <w:spacing w:val="-4"/>
          <w:sz w:val="28"/>
          <w:szCs w:val="28"/>
          <w:highlight w:val="none"/>
        </w:rPr>
        <w:t>（</w:t>
      </w:r>
      <w:r>
        <w:rPr>
          <w:rFonts w:hint="eastAsia" w:ascii="黑体" w:hAnsi="黑体" w:eastAsia="黑体" w:cs="黑体"/>
          <w:color w:val="auto"/>
          <w:spacing w:val="-4"/>
          <w:sz w:val="28"/>
          <w:szCs w:val="28"/>
          <w:highlight w:val="none"/>
          <w:lang w:val="en-US" w:eastAsia="zh-CN"/>
        </w:rPr>
        <w:t>标段</w:t>
      </w:r>
      <w:r>
        <w:rPr>
          <w:rFonts w:ascii="黑体" w:hAnsi="黑体" w:eastAsia="黑体" w:cs="黑体"/>
          <w:color w:val="auto"/>
          <w:spacing w:val="-4"/>
          <w:sz w:val="28"/>
          <w:szCs w:val="28"/>
          <w:highlight w:val="none"/>
        </w:rPr>
        <w:t>唯一标识码</w:t>
      </w:r>
      <w:r>
        <w:rPr>
          <w:rFonts w:ascii="黑体" w:hAnsi="黑体" w:eastAsia="黑体" w:cs="黑体"/>
          <w:color w:val="auto"/>
          <w:sz w:val="28"/>
          <w:szCs w:val="28"/>
          <w:highlight w:val="none"/>
          <w:u w:val="single"/>
        </w:rPr>
        <w:t xml:space="preserve">：          </w:t>
      </w:r>
      <w:r>
        <w:rPr>
          <w:rFonts w:ascii="黑体" w:hAnsi="黑体" w:eastAsia="黑体" w:cs="黑体"/>
          <w:color w:val="auto"/>
          <w:sz w:val="28"/>
          <w:szCs w:val="28"/>
          <w:highlight w:val="none"/>
        </w:rPr>
        <w:t>）</w:t>
      </w:r>
    </w:p>
    <w:p w14:paraId="772DE37F">
      <w:pPr>
        <w:spacing w:before="91" w:line="219" w:lineRule="auto"/>
        <w:ind w:left="2096"/>
        <w:rPr>
          <w:rFonts w:ascii="黑体" w:hAnsi="黑体" w:eastAsia="黑体" w:cs="黑体"/>
          <w:color w:val="auto"/>
          <w:sz w:val="28"/>
          <w:szCs w:val="28"/>
          <w:highlight w:val="none"/>
        </w:rPr>
      </w:pPr>
      <w:r>
        <w:rPr>
          <w:rFonts w:ascii="黑体" w:hAnsi="黑体" w:eastAsia="黑体" w:cs="黑体"/>
          <w:color w:val="auto"/>
          <w:spacing w:val="-4"/>
          <w:sz w:val="28"/>
          <w:szCs w:val="28"/>
          <w:highlight w:val="none"/>
        </w:rPr>
        <w:t>（</w:t>
      </w:r>
      <w:r>
        <w:rPr>
          <w:rFonts w:hint="eastAsia" w:ascii="黑体" w:hAnsi="黑体" w:eastAsia="黑体" w:cs="黑体"/>
          <w:color w:val="auto"/>
          <w:spacing w:val="-4"/>
          <w:sz w:val="28"/>
          <w:szCs w:val="28"/>
          <w:highlight w:val="none"/>
          <w:lang w:val="en-US" w:eastAsia="zh-CN"/>
        </w:rPr>
        <w:t>标段编号</w:t>
      </w:r>
      <w:r>
        <w:rPr>
          <w:rFonts w:ascii="黑体" w:hAnsi="黑体" w:eastAsia="黑体" w:cs="黑体"/>
          <w:color w:val="auto"/>
          <w:sz w:val="28"/>
          <w:szCs w:val="28"/>
          <w:highlight w:val="none"/>
          <w:u w:val="single"/>
        </w:rPr>
        <w:t xml:space="preserve">：          </w:t>
      </w:r>
      <w:r>
        <w:rPr>
          <w:rFonts w:ascii="黑体" w:hAnsi="黑体" w:eastAsia="黑体" w:cs="黑体"/>
          <w:color w:val="auto"/>
          <w:sz w:val="28"/>
          <w:szCs w:val="28"/>
          <w:highlight w:val="none"/>
        </w:rPr>
        <w:t>）</w:t>
      </w:r>
    </w:p>
    <w:p w14:paraId="74471010">
      <w:pPr>
        <w:rPr>
          <w:rFonts w:eastAsia="黑体"/>
          <w:color w:val="auto"/>
          <w:sz w:val="28"/>
          <w:szCs w:val="28"/>
          <w:highlight w:val="none"/>
        </w:rPr>
      </w:pPr>
    </w:p>
    <w:p w14:paraId="26C7A414">
      <w:pPr>
        <w:rPr>
          <w:rFonts w:eastAsia="黑体"/>
          <w:color w:val="auto"/>
          <w:sz w:val="28"/>
          <w:szCs w:val="28"/>
          <w:highlight w:val="none"/>
        </w:rPr>
      </w:pPr>
    </w:p>
    <w:p w14:paraId="537E13C1">
      <w:pPr>
        <w:rPr>
          <w:rFonts w:eastAsia="黑体"/>
          <w:color w:val="auto"/>
          <w:sz w:val="28"/>
          <w:szCs w:val="28"/>
          <w:highlight w:val="none"/>
        </w:rPr>
      </w:pPr>
    </w:p>
    <w:p w14:paraId="6E8EF74B">
      <w:pPr>
        <w:rPr>
          <w:rFonts w:eastAsia="黑体"/>
          <w:color w:val="auto"/>
          <w:sz w:val="28"/>
          <w:szCs w:val="28"/>
          <w:highlight w:val="none"/>
        </w:rPr>
      </w:pPr>
    </w:p>
    <w:p w14:paraId="511FA742">
      <w:pPr>
        <w:rPr>
          <w:rFonts w:eastAsia="黑体"/>
          <w:color w:val="auto"/>
          <w:sz w:val="28"/>
          <w:szCs w:val="28"/>
          <w:highlight w:val="none"/>
        </w:rPr>
      </w:pPr>
    </w:p>
    <w:p w14:paraId="72B267A5">
      <w:pPr>
        <w:rPr>
          <w:rFonts w:eastAsia="黑体"/>
          <w:color w:val="auto"/>
          <w:sz w:val="28"/>
          <w:szCs w:val="28"/>
          <w:highlight w:val="none"/>
        </w:rPr>
      </w:pPr>
    </w:p>
    <w:p w14:paraId="4EC14B99">
      <w:pPr>
        <w:rPr>
          <w:rFonts w:eastAsia="黑体"/>
          <w:color w:val="auto"/>
          <w:sz w:val="28"/>
          <w:szCs w:val="28"/>
          <w:highlight w:val="none"/>
        </w:rPr>
      </w:pPr>
    </w:p>
    <w:p w14:paraId="2BD6508B">
      <w:pPr>
        <w:rPr>
          <w:rFonts w:eastAsia="黑体"/>
          <w:color w:val="auto"/>
          <w:sz w:val="28"/>
          <w:szCs w:val="28"/>
          <w:highlight w:val="none"/>
        </w:rPr>
      </w:pPr>
    </w:p>
    <w:p w14:paraId="7351E39E">
      <w:pPr>
        <w:rPr>
          <w:rFonts w:eastAsia="黑体"/>
          <w:color w:val="auto"/>
          <w:sz w:val="28"/>
          <w:szCs w:val="28"/>
          <w:highlight w:val="none"/>
        </w:rPr>
      </w:pPr>
    </w:p>
    <w:p w14:paraId="63129B00">
      <w:pPr>
        <w:rPr>
          <w:rFonts w:eastAsia="黑体"/>
          <w:color w:val="auto"/>
          <w:sz w:val="28"/>
          <w:szCs w:val="28"/>
          <w:highlight w:val="none"/>
        </w:rPr>
      </w:pPr>
    </w:p>
    <w:p w14:paraId="1BBD7270">
      <w:pPr>
        <w:rPr>
          <w:rFonts w:eastAsia="黑体"/>
          <w:color w:val="auto"/>
          <w:sz w:val="28"/>
          <w:szCs w:val="28"/>
          <w:highlight w:val="none"/>
        </w:rPr>
      </w:pPr>
    </w:p>
    <w:p w14:paraId="72A2BEB8">
      <w:pPr>
        <w:jc w:val="center"/>
        <w:rPr>
          <w:rFonts w:eastAsia="黑体"/>
          <w:color w:val="auto"/>
          <w:sz w:val="28"/>
          <w:szCs w:val="28"/>
          <w:highlight w:val="none"/>
          <w:u w:val="single"/>
        </w:rPr>
      </w:pPr>
      <w:r>
        <w:rPr>
          <w:rFonts w:hint="eastAsia" w:eastAsia="黑体"/>
          <w:color w:val="auto"/>
          <w:sz w:val="28"/>
          <w:szCs w:val="28"/>
          <w:highlight w:val="none"/>
        </w:rPr>
        <w:t>投标人：</w:t>
      </w:r>
      <w:r>
        <w:rPr>
          <w:rFonts w:hint="eastAsia" w:eastAsia="黑体"/>
          <w:color w:val="auto"/>
          <w:sz w:val="28"/>
          <w:szCs w:val="28"/>
          <w:highlight w:val="none"/>
          <w:u w:val="single"/>
          <w:lang w:val="en-US" w:eastAsia="zh-CN"/>
        </w:rPr>
        <w:t xml:space="preserve">                      </w:t>
      </w:r>
      <w:r>
        <w:rPr>
          <w:rFonts w:hint="eastAsia" w:eastAsia="黑体"/>
          <w:color w:val="auto"/>
          <w:sz w:val="28"/>
          <w:szCs w:val="28"/>
          <w:highlight w:val="none"/>
        </w:rPr>
        <w:t>（盖单位章）</w:t>
      </w:r>
    </w:p>
    <w:p w14:paraId="3CC015F7">
      <w:pPr>
        <w:jc w:val="center"/>
        <w:rPr>
          <w:rFonts w:eastAsia="黑体"/>
          <w:color w:val="auto"/>
          <w:sz w:val="28"/>
          <w:szCs w:val="28"/>
          <w:highlight w:val="none"/>
        </w:rPr>
      </w:pPr>
      <w:r>
        <w:rPr>
          <w:rFonts w:hint="eastAsia" w:eastAsia="黑体"/>
          <w:color w:val="auto"/>
          <w:sz w:val="28"/>
          <w:szCs w:val="28"/>
          <w:highlight w:val="none"/>
        </w:rPr>
        <w:t>法定代表人或其委托代理人：</w:t>
      </w:r>
      <w:r>
        <w:rPr>
          <w:rFonts w:hint="eastAsia" w:eastAsia="黑体"/>
          <w:color w:val="auto"/>
          <w:sz w:val="28"/>
          <w:szCs w:val="28"/>
          <w:highlight w:val="none"/>
          <w:u w:val="single"/>
          <w:lang w:val="en-US" w:eastAsia="zh-CN"/>
        </w:rPr>
        <w:t xml:space="preserve">            </w:t>
      </w:r>
      <w:r>
        <w:rPr>
          <w:rFonts w:hint="eastAsia" w:eastAsia="黑体"/>
          <w:color w:val="auto"/>
          <w:sz w:val="28"/>
          <w:szCs w:val="28"/>
          <w:highlight w:val="none"/>
        </w:rPr>
        <w:t>（签章）</w:t>
      </w:r>
    </w:p>
    <w:p w14:paraId="330B56EA">
      <w:pPr>
        <w:jc w:val="center"/>
        <w:rPr>
          <w:rFonts w:eastAsia="黑体"/>
          <w:color w:val="auto"/>
          <w:sz w:val="28"/>
          <w:szCs w:val="28"/>
          <w:highlight w:val="none"/>
        </w:rPr>
      </w:pPr>
      <w:r>
        <w:rPr>
          <w:rFonts w:hint="eastAsia" w:eastAsia="黑体"/>
          <w:color w:val="auto"/>
          <w:sz w:val="28"/>
          <w:szCs w:val="28"/>
          <w:highlight w:val="none"/>
          <w:u w:val="single"/>
          <w:lang w:val="en-US" w:eastAsia="zh-CN"/>
        </w:rPr>
        <w:t xml:space="preserve">     </w:t>
      </w:r>
      <w:r>
        <w:rPr>
          <w:rFonts w:hint="eastAsia" w:eastAsia="黑体"/>
          <w:color w:val="auto"/>
          <w:sz w:val="28"/>
          <w:szCs w:val="28"/>
          <w:highlight w:val="none"/>
        </w:rPr>
        <w:t>年</w:t>
      </w:r>
      <w:r>
        <w:rPr>
          <w:rFonts w:hint="eastAsia" w:eastAsia="黑体"/>
          <w:color w:val="auto"/>
          <w:sz w:val="28"/>
          <w:szCs w:val="28"/>
          <w:highlight w:val="none"/>
          <w:u w:val="single"/>
          <w:lang w:val="en-US" w:eastAsia="zh-CN"/>
        </w:rPr>
        <w:t xml:space="preserve">     </w:t>
      </w:r>
      <w:r>
        <w:rPr>
          <w:rFonts w:hint="eastAsia" w:eastAsia="黑体"/>
          <w:color w:val="auto"/>
          <w:sz w:val="28"/>
          <w:szCs w:val="28"/>
          <w:highlight w:val="none"/>
        </w:rPr>
        <w:t>月</w:t>
      </w:r>
      <w:r>
        <w:rPr>
          <w:rFonts w:hint="eastAsia" w:eastAsia="黑体"/>
          <w:color w:val="auto"/>
          <w:sz w:val="28"/>
          <w:szCs w:val="28"/>
          <w:highlight w:val="none"/>
          <w:u w:val="single"/>
          <w:lang w:val="en-US" w:eastAsia="zh-CN"/>
        </w:rPr>
        <w:t xml:space="preserve">     </w:t>
      </w:r>
      <w:r>
        <w:rPr>
          <w:rFonts w:hint="eastAsia" w:eastAsia="黑体"/>
          <w:color w:val="auto"/>
          <w:sz w:val="28"/>
          <w:szCs w:val="28"/>
          <w:highlight w:val="none"/>
        </w:rPr>
        <w:t>日</w:t>
      </w:r>
    </w:p>
    <w:p w14:paraId="19E7D76B">
      <w:pPr>
        <w:spacing w:line="440" w:lineRule="exact"/>
        <w:rPr>
          <w:rFonts w:eastAsia="黑体"/>
          <w:color w:val="auto"/>
          <w:sz w:val="20"/>
          <w:szCs w:val="20"/>
          <w:highlight w:val="none"/>
        </w:rPr>
      </w:pPr>
    </w:p>
    <w:p w14:paraId="74D5CEF4">
      <w:pPr>
        <w:spacing w:line="400" w:lineRule="exact"/>
        <w:rPr>
          <w:color w:val="auto"/>
          <w:highlight w:val="none"/>
        </w:rPr>
      </w:pPr>
      <w:r>
        <w:rPr>
          <w:color w:val="auto"/>
          <w:highlight w:val="none"/>
        </w:rPr>
        <w:br w:type="page"/>
      </w:r>
    </w:p>
    <w:p w14:paraId="61AB3358">
      <w:pPr>
        <w:pStyle w:val="3"/>
        <w:jc w:val="center"/>
        <w:rPr>
          <w:color w:val="auto"/>
          <w:highlight w:val="none"/>
        </w:rPr>
      </w:pPr>
      <w:bookmarkStart w:id="1745" w:name="_Toc3539"/>
      <w:bookmarkStart w:id="1746" w:name="_Toc144974856"/>
      <w:bookmarkStart w:id="1747" w:name="_Toc7888"/>
      <w:bookmarkStart w:id="1748" w:name="_Toc247514246"/>
      <w:bookmarkStart w:id="1749" w:name="_Toc30323"/>
      <w:bookmarkStart w:id="1750" w:name="_Toc152045787"/>
      <w:bookmarkStart w:id="1751" w:name="_Toc7956822"/>
      <w:bookmarkStart w:id="1752" w:name="_Toc17644"/>
      <w:bookmarkStart w:id="1753" w:name="_Toc152042576"/>
      <w:bookmarkStart w:id="1754" w:name="_Toc247527827"/>
      <w:r>
        <w:rPr>
          <w:rFonts w:hint="eastAsia"/>
          <w:color w:val="auto"/>
          <w:highlight w:val="none"/>
        </w:rPr>
        <w:t>目录</w:t>
      </w:r>
      <w:bookmarkEnd w:id="1745"/>
      <w:bookmarkEnd w:id="1746"/>
      <w:bookmarkEnd w:id="1747"/>
      <w:bookmarkEnd w:id="1748"/>
      <w:bookmarkEnd w:id="1749"/>
      <w:bookmarkEnd w:id="1750"/>
      <w:bookmarkEnd w:id="1751"/>
      <w:bookmarkEnd w:id="1752"/>
      <w:bookmarkEnd w:id="1753"/>
      <w:bookmarkEnd w:id="1754"/>
    </w:p>
    <w:p w14:paraId="6FE8566D">
      <w:pPr>
        <w:spacing w:line="540" w:lineRule="exact"/>
        <w:rPr>
          <w:color w:val="auto"/>
          <w:highlight w:val="none"/>
        </w:rPr>
      </w:pPr>
    </w:p>
    <w:p w14:paraId="3BD4637D">
      <w:pPr>
        <w:spacing w:line="540" w:lineRule="exact"/>
        <w:rPr>
          <w:rFonts w:hint="eastAsia" w:eastAsia="宋体"/>
          <w:color w:val="auto"/>
          <w:highlight w:val="none"/>
          <w:lang w:eastAsia="zh-CN"/>
        </w:rPr>
      </w:pPr>
      <w:r>
        <w:rPr>
          <w:rFonts w:hint="eastAsia"/>
          <w:color w:val="auto"/>
          <w:highlight w:val="none"/>
        </w:rPr>
        <w:t>一、投标函及投标函附录</w:t>
      </w:r>
      <w:r>
        <w:rPr>
          <w:rFonts w:hint="eastAsia"/>
          <w:color w:val="auto"/>
          <w:highlight w:val="none"/>
          <w:lang w:eastAsia="zh-CN"/>
        </w:rPr>
        <w:t>等</w:t>
      </w:r>
    </w:p>
    <w:p w14:paraId="680F33D5">
      <w:pPr>
        <w:spacing w:line="540" w:lineRule="exact"/>
        <w:rPr>
          <w:color w:val="auto"/>
          <w:highlight w:val="none"/>
        </w:rPr>
      </w:pPr>
      <w:r>
        <w:rPr>
          <w:rFonts w:hint="eastAsia"/>
          <w:color w:val="auto"/>
          <w:highlight w:val="none"/>
        </w:rPr>
        <w:t>二、法定代表人身份证明或授权委托书</w:t>
      </w:r>
    </w:p>
    <w:p w14:paraId="778C3894">
      <w:pPr>
        <w:spacing w:line="540" w:lineRule="exact"/>
        <w:rPr>
          <w:color w:val="auto"/>
          <w:highlight w:val="none"/>
        </w:rPr>
      </w:pPr>
      <w:r>
        <w:rPr>
          <w:rFonts w:hint="eastAsia"/>
          <w:color w:val="auto"/>
          <w:highlight w:val="none"/>
        </w:rPr>
        <w:t>三、投标保证金</w:t>
      </w:r>
    </w:p>
    <w:p w14:paraId="463A2FDF">
      <w:pPr>
        <w:spacing w:line="540" w:lineRule="exact"/>
        <w:rPr>
          <w:rFonts w:hint="eastAsia" w:eastAsia="宋体"/>
          <w:color w:val="auto"/>
          <w:highlight w:val="none"/>
          <w:lang w:eastAsia="zh-CN"/>
        </w:rPr>
      </w:pPr>
      <w:r>
        <w:rPr>
          <w:rFonts w:hint="eastAsia"/>
          <w:color w:val="auto"/>
          <w:highlight w:val="none"/>
        </w:rPr>
        <w:t>四、联合体协议书</w:t>
      </w:r>
      <w:r>
        <w:rPr>
          <w:rFonts w:hint="eastAsia"/>
          <w:color w:val="auto"/>
          <w:highlight w:val="none"/>
          <w:lang w:eastAsia="zh-CN"/>
        </w:rPr>
        <w:t>（如有）</w:t>
      </w:r>
    </w:p>
    <w:p w14:paraId="7CC33A33">
      <w:pPr>
        <w:spacing w:line="540" w:lineRule="exact"/>
        <w:rPr>
          <w:rFonts w:hint="eastAsia" w:eastAsia="宋体"/>
          <w:color w:val="auto"/>
          <w:highlight w:val="none"/>
          <w:lang w:eastAsia="zh-CN"/>
        </w:rPr>
      </w:pPr>
      <w:r>
        <w:rPr>
          <w:rFonts w:hint="eastAsia"/>
          <w:color w:val="auto"/>
          <w:highlight w:val="none"/>
        </w:rPr>
        <w:t>五、</w:t>
      </w:r>
      <w:r>
        <w:rPr>
          <w:rFonts w:hint="eastAsia"/>
          <w:color w:val="auto"/>
          <w:highlight w:val="none"/>
          <w:lang w:eastAsia="zh-CN"/>
        </w:rPr>
        <w:t>价格清单</w:t>
      </w:r>
    </w:p>
    <w:p w14:paraId="157F1D89">
      <w:pPr>
        <w:spacing w:line="540" w:lineRule="exact"/>
        <w:rPr>
          <w:rFonts w:hint="eastAsia" w:eastAsia="宋体"/>
          <w:color w:val="auto"/>
          <w:highlight w:val="none"/>
          <w:lang w:eastAsia="zh-CN"/>
        </w:rPr>
      </w:pPr>
      <w:r>
        <w:rPr>
          <w:rFonts w:hint="eastAsia"/>
          <w:color w:val="auto"/>
          <w:highlight w:val="none"/>
        </w:rPr>
        <w:t>六、承包</w:t>
      </w:r>
      <w:r>
        <w:rPr>
          <w:rFonts w:hint="eastAsia" w:ascii="Times New Roman" w:hAnsi="Times New Roman" w:cs="Times New Roman"/>
          <w:color w:val="auto"/>
          <w:highlight w:val="none"/>
        </w:rPr>
        <w:t>人</w:t>
      </w:r>
      <w:r>
        <w:rPr>
          <w:rFonts w:hint="eastAsia" w:ascii="Times New Roman" w:hAnsi="Times New Roman" w:cs="Times New Roman"/>
          <w:color w:val="auto"/>
          <w:highlight w:val="none"/>
          <w:lang w:eastAsia="zh-CN"/>
        </w:rPr>
        <w:t>建议书</w:t>
      </w:r>
    </w:p>
    <w:p w14:paraId="1876E83C">
      <w:pPr>
        <w:spacing w:line="540" w:lineRule="exact"/>
        <w:rPr>
          <w:rFonts w:hint="eastAsia"/>
          <w:color w:val="auto"/>
          <w:highlight w:val="none"/>
        </w:rPr>
      </w:pPr>
      <w:r>
        <w:rPr>
          <w:rFonts w:hint="eastAsia"/>
          <w:color w:val="auto"/>
          <w:highlight w:val="none"/>
        </w:rPr>
        <w:t>七、</w:t>
      </w:r>
      <w:r>
        <w:rPr>
          <w:rFonts w:hint="eastAsia"/>
          <w:color w:val="auto"/>
          <w:highlight w:val="none"/>
          <w:lang w:val="en-US" w:eastAsia="zh-CN"/>
        </w:rPr>
        <w:t>承包人实施方案</w:t>
      </w:r>
    </w:p>
    <w:p w14:paraId="7A707413">
      <w:pPr>
        <w:spacing w:line="540" w:lineRule="exact"/>
        <w:rPr>
          <w:color w:val="auto"/>
          <w:highlight w:val="none"/>
        </w:rPr>
      </w:pPr>
      <w:r>
        <w:rPr>
          <w:rFonts w:hint="eastAsia"/>
          <w:color w:val="auto"/>
          <w:highlight w:val="none"/>
        </w:rPr>
        <w:t>八、资格审查资料</w:t>
      </w:r>
    </w:p>
    <w:p w14:paraId="1806EF60">
      <w:pPr>
        <w:spacing w:line="540" w:lineRule="exact"/>
        <w:rPr>
          <w:color w:val="auto"/>
          <w:highlight w:val="none"/>
        </w:rPr>
      </w:pPr>
      <w:r>
        <w:rPr>
          <w:rFonts w:hint="eastAsia" w:ascii="宋体" w:hAnsi="宋体"/>
          <w:color w:val="auto"/>
          <w:highlight w:val="none"/>
        </w:rPr>
        <w:t>九、</w:t>
      </w:r>
      <w:r>
        <w:rPr>
          <w:rFonts w:hint="eastAsia"/>
          <w:color w:val="auto"/>
          <w:highlight w:val="none"/>
        </w:rPr>
        <w:t>其他资料</w:t>
      </w:r>
    </w:p>
    <w:p w14:paraId="373554B3">
      <w:pPr>
        <w:spacing w:line="540" w:lineRule="exact"/>
        <w:rPr>
          <w:color w:val="auto"/>
          <w:highlight w:val="none"/>
        </w:rPr>
      </w:pPr>
    </w:p>
    <w:p w14:paraId="5DD194B1">
      <w:pPr>
        <w:spacing w:line="540" w:lineRule="exact"/>
        <w:rPr>
          <w:color w:val="auto"/>
          <w:highlight w:val="none"/>
        </w:rPr>
      </w:pPr>
    </w:p>
    <w:p w14:paraId="792BD605">
      <w:pPr>
        <w:spacing w:line="540" w:lineRule="exact"/>
        <w:rPr>
          <w:color w:val="auto"/>
          <w:highlight w:val="none"/>
        </w:rPr>
      </w:pPr>
    </w:p>
    <w:p w14:paraId="3176B94D">
      <w:pPr>
        <w:spacing w:line="540" w:lineRule="exact"/>
        <w:rPr>
          <w:color w:val="auto"/>
          <w:highlight w:val="none"/>
        </w:rPr>
      </w:pPr>
    </w:p>
    <w:p w14:paraId="4F2B7A92">
      <w:pPr>
        <w:spacing w:line="540" w:lineRule="exact"/>
        <w:rPr>
          <w:color w:val="auto"/>
          <w:highlight w:val="none"/>
        </w:rPr>
      </w:pPr>
    </w:p>
    <w:p w14:paraId="2434C205">
      <w:pPr>
        <w:spacing w:line="540" w:lineRule="exact"/>
        <w:rPr>
          <w:color w:val="auto"/>
          <w:highlight w:val="none"/>
        </w:rPr>
      </w:pPr>
    </w:p>
    <w:p w14:paraId="65F2A523">
      <w:pPr>
        <w:spacing w:line="540" w:lineRule="exact"/>
        <w:rPr>
          <w:color w:val="auto"/>
          <w:highlight w:val="none"/>
        </w:rPr>
      </w:pPr>
    </w:p>
    <w:p w14:paraId="624BFA76">
      <w:pPr>
        <w:spacing w:line="540" w:lineRule="exact"/>
        <w:rPr>
          <w:color w:val="auto"/>
          <w:highlight w:val="none"/>
        </w:rPr>
      </w:pPr>
    </w:p>
    <w:p w14:paraId="6263075C">
      <w:pPr>
        <w:spacing w:line="540" w:lineRule="exact"/>
        <w:rPr>
          <w:color w:val="auto"/>
          <w:highlight w:val="none"/>
        </w:rPr>
      </w:pPr>
    </w:p>
    <w:p w14:paraId="7D0A05C8">
      <w:pPr>
        <w:spacing w:line="540" w:lineRule="exact"/>
        <w:rPr>
          <w:rFonts w:eastAsia="黑体"/>
          <w:color w:val="auto"/>
          <w:sz w:val="20"/>
          <w:szCs w:val="20"/>
          <w:highlight w:val="none"/>
        </w:rPr>
      </w:pPr>
    </w:p>
    <w:p w14:paraId="377ACC47">
      <w:pPr>
        <w:spacing w:line="540" w:lineRule="exact"/>
        <w:rPr>
          <w:rFonts w:eastAsia="黑体"/>
          <w:color w:val="auto"/>
          <w:sz w:val="20"/>
          <w:szCs w:val="20"/>
          <w:highlight w:val="none"/>
        </w:rPr>
      </w:pPr>
    </w:p>
    <w:p w14:paraId="7476CFC4">
      <w:pPr>
        <w:pStyle w:val="3"/>
        <w:jc w:val="center"/>
        <w:rPr>
          <w:rFonts w:hint="eastAsia" w:eastAsia="黑体"/>
          <w:color w:val="auto"/>
          <w:highlight w:val="none"/>
          <w:lang w:eastAsia="zh-CN"/>
        </w:rPr>
      </w:pPr>
      <w:bookmarkStart w:id="1755" w:name="_Toc247514247"/>
      <w:bookmarkStart w:id="1756" w:name="_Toc152042577"/>
      <w:bookmarkStart w:id="1757" w:name="_Toc144974857"/>
      <w:bookmarkStart w:id="1758" w:name="_Toc247527828"/>
      <w:bookmarkStart w:id="1759" w:name="_Toc29426"/>
      <w:bookmarkStart w:id="1760" w:name="_Toc7956823"/>
      <w:bookmarkStart w:id="1761" w:name="_Toc12705"/>
      <w:bookmarkStart w:id="1762" w:name="_Toc21625"/>
      <w:bookmarkStart w:id="1763" w:name="_Toc152045788"/>
      <w:bookmarkStart w:id="1764" w:name="_Toc14272"/>
      <w:r>
        <w:rPr>
          <w:rFonts w:hint="eastAsia"/>
          <w:color w:val="auto"/>
          <w:highlight w:val="none"/>
        </w:rPr>
        <w:t>一、投标函及投标函附录</w:t>
      </w:r>
      <w:bookmarkEnd w:id="1755"/>
      <w:bookmarkEnd w:id="1756"/>
      <w:bookmarkEnd w:id="1757"/>
      <w:bookmarkEnd w:id="1758"/>
      <w:bookmarkEnd w:id="1759"/>
      <w:bookmarkEnd w:id="1760"/>
      <w:bookmarkEnd w:id="1761"/>
      <w:bookmarkEnd w:id="1762"/>
      <w:bookmarkEnd w:id="1763"/>
      <w:r>
        <w:rPr>
          <w:rFonts w:hint="eastAsia"/>
          <w:color w:val="auto"/>
          <w:highlight w:val="none"/>
          <w:lang w:eastAsia="zh-CN"/>
        </w:rPr>
        <w:t>等</w:t>
      </w:r>
      <w:bookmarkEnd w:id="1764"/>
    </w:p>
    <w:p w14:paraId="3A55ECD2">
      <w:pPr>
        <w:pStyle w:val="4"/>
        <w:jc w:val="center"/>
        <w:rPr>
          <w:color w:val="auto"/>
          <w:highlight w:val="none"/>
        </w:rPr>
      </w:pPr>
      <w:bookmarkStart w:id="1765" w:name="_Toc152045789"/>
      <w:bookmarkStart w:id="1766" w:name="_Toc247514248"/>
      <w:bookmarkStart w:id="1767" w:name="_Toc144974858"/>
      <w:bookmarkStart w:id="1768" w:name="_Toc4117"/>
      <w:bookmarkStart w:id="1769" w:name="_Toc12004"/>
      <w:bookmarkStart w:id="1770" w:name="_Toc152042578"/>
      <w:bookmarkStart w:id="1771" w:name="_Toc247527829"/>
      <w:bookmarkStart w:id="1772" w:name="_Toc3439"/>
      <w:bookmarkStart w:id="1773" w:name="_Toc7956824"/>
      <w:r>
        <w:rPr>
          <w:rFonts w:hint="eastAsia"/>
          <w:color w:val="auto"/>
          <w:highlight w:val="none"/>
        </w:rPr>
        <w:t>（一）投标函</w:t>
      </w:r>
      <w:bookmarkEnd w:id="1765"/>
      <w:bookmarkEnd w:id="1766"/>
      <w:bookmarkEnd w:id="1767"/>
      <w:bookmarkEnd w:id="1768"/>
      <w:bookmarkEnd w:id="1769"/>
      <w:bookmarkEnd w:id="1770"/>
      <w:bookmarkEnd w:id="1771"/>
      <w:bookmarkEnd w:id="1772"/>
      <w:bookmarkEnd w:id="1773"/>
    </w:p>
    <w:p w14:paraId="5250C1AA">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宋体"/>
          <w:color w:val="auto"/>
          <w:szCs w:val="21"/>
          <w:highlight w:val="none"/>
        </w:rPr>
      </w:pPr>
      <w:r>
        <w:rPr>
          <w:rFonts w:hint="eastAsia" w:eastAsia="黑体"/>
          <w:color w:val="auto"/>
          <w:sz w:val="28"/>
          <w:szCs w:val="28"/>
          <w:highlight w:val="none"/>
          <w:u w:val="single"/>
          <w:lang w:val="en-US" w:eastAsia="zh-CN"/>
        </w:rPr>
        <w:t xml:space="preserve">              </w:t>
      </w:r>
      <w:r>
        <w:rPr>
          <w:rFonts w:hint="eastAsia" w:ascii="宋体" w:hAnsi="宋体"/>
          <w:color w:val="auto"/>
          <w:szCs w:val="21"/>
          <w:highlight w:val="none"/>
        </w:rPr>
        <w:t>（招标人名称）：</w:t>
      </w:r>
    </w:p>
    <w:p w14:paraId="1A1B3B5B">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color w:val="auto"/>
          <w:szCs w:val="21"/>
          <w:highlight w:val="none"/>
        </w:rPr>
      </w:pPr>
      <w:r>
        <w:rPr>
          <w:color w:val="auto"/>
          <w:szCs w:val="21"/>
          <w:highlight w:val="none"/>
        </w:rPr>
        <w:t>1</w:t>
      </w:r>
      <w:r>
        <w:rPr>
          <w:rFonts w:hint="eastAsia"/>
          <w:color w:val="auto"/>
          <w:szCs w:val="21"/>
          <w:highlight w:val="none"/>
        </w:rPr>
        <w:t>．我方已仔细研究了</w:t>
      </w:r>
      <w:r>
        <w:rPr>
          <w:rFonts w:hint="eastAsia" w:eastAsia="黑体"/>
          <w:color w:val="auto"/>
          <w:sz w:val="28"/>
          <w:szCs w:val="28"/>
          <w:highlight w:val="none"/>
          <w:u w:val="single"/>
          <w:lang w:val="en-US" w:eastAsia="zh-CN"/>
        </w:rPr>
        <w:t xml:space="preserve">                         </w:t>
      </w:r>
      <w:r>
        <w:rPr>
          <w:rFonts w:hint="eastAsia"/>
          <w:color w:val="auto"/>
          <w:szCs w:val="21"/>
          <w:highlight w:val="none"/>
        </w:rPr>
        <w:t>（</w:t>
      </w:r>
      <w:r>
        <w:rPr>
          <w:rFonts w:hint="eastAsia"/>
          <w:color w:val="auto"/>
          <w:szCs w:val="21"/>
          <w:highlight w:val="none"/>
          <w:lang w:val="en-US" w:eastAsia="zh-CN"/>
        </w:rPr>
        <w:t>标段</w:t>
      </w:r>
      <w:r>
        <w:rPr>
          <w:rFonts w:hint="eastAsia"/>
          <w:color w:val="auto"/>
          <w:szCs w:val="21"/>
          <w:highlight w:val="none"/>
        </w:rPr>
        <w:t>名称）</w:t>
      </w:r>
      <w:r>
        <w:rPr>
          <w:rFonts w:hint="eastAsia"/>
          <w:color w:val="auto"/>
          <w:szCs w:val="21"/>
          <w:highlight w:val="none"/>
          <w:lang w:val="en-US" w:eastAsia="zh-CN"/>
        </w:rPr>
        <w:t>项目</w:t>
      </w:r>
      <w:r>
        <w:rPr>
          <w:rFonts w:hint="eastAsia"/>
          <w:color w:val="auto"/>
          <w:szCs w:val="21"/>
          <w:highlight w:val="none"/>
        </w:rPr>
        <w:t>招标文件的全部内容，</w:t>
      </w:r>
      <w:r>
        <w:rPr>
          <w:rFonts w:hint="eastAsia"/>
          <w:color w:val="auto"/>
          <w:szCs w:val="21"/>
          <w:highlight w:val="none"/>
          <w:lang w:val="en-US" w:eastAsia="zh-CN"/>
        </w:rPr>
        <w:t>愿意以【人民币（大写）</w:t>
      </w:r>
      <w:r>
        <w:rPr>
          <w:rFonts w:hint="eastAsia" w:eastAsia="黑体"/>
          <w:color w:val="auto"/>
          <w:sz w:val="28"/>
          <w:szCs w:val="28"/>
          <w:highlight w:val="none"/>
          <w:u w:val="single"/>
          <w:lang w:val="en-US" w:eastAsia="zh-CN"/>
        </w:rPr>
        <w:t xml:space="preserve">         </w:t>
      </w:r>
      <w:r>
        <w:rPr>
          <w:rFonts w:hint="eastAsia"/>
          <w:color w:val="auto"/>
          <w:szCs w:val="21"/>
          <w:highlight w:val="none"/>
          <w:lang w:val="en-US" w:eastAsia="zh-CN"/>
        </w:rPr>
        <w:t xml:space="preserve"> 元（¥</w:t>
      </w:r>
      <w:r>
        <w:rPr>
          <w:rFonts w:hint="eastAsia" w:eastAsia="黑体"/>
          <w:color w:val="auto"/>
          <w:sz w:val="28"/>
          <w:szCs w:val="28"/>
          <w:highlight w:val="none"/>
          <w:u w:val="single"/>
          <w:lang w:val="en-US" w:eastAsia="zh-CN"/>
        </w:rPr>
        <w:t xml:space="preserve">         </w:t>
      </w:r>
      <w:r>
        <w:rPr>
          <w:rFonts w:hint="eastAsia"/>
          <w:color w:val="auto"/>
          <w:szCs w:val="21"/>
          <w:highlight w:val="none"/>
          <w:lang w:val="en-US" w:eastAsia="zh-CN"/>
        </w:rPr>
        <w:t>元）】的投标总报价，工期</w:t>
      </w:r>
      <w:r>
        <w:rPr>
          <w:rFonts w:hint="eastAsia" w:eastAsia="黑体"/>
          <w:color w:val="auto"/>
          <w:sz w:val="28"/>
          <w:szCs w:val="28"/>
          <w:highlight w:val="none"/>
          <w:u w:val="single"/>
          <w:lang w:val="en-US" w:eastAsia="zh-CN"/>
        </w:rPr>
        <w:t xml:space="preserve">      </w:t>
      </w:r>
      <w:r>
        <w:rPr>
          <w:rFonts w:hint="eastAsia"/>
          <w:color w:val="auto"/>
          <w:szCs w:val="21"/>
          <w:highlight w:val="none"/>
          <w:lang w:val="en-US" w:eastAsia="zh-CN"/>
        </w:rPr>
        <w:t>日历天，按合同约定进行设计、实施和竣工承包工程，修补工程中的任何缺陷，实现工程目的，工程质量（设计）达到</w:t>
      </w:r>
      <w:r>
        <w:rPr>
          <w:rFonts w:hint="eastAsia" w:eastAsia="黑体"/>
          <w:color w:val="auto"/>
          <w:sz w:val="28"/>
          <w:szCs w:val="28"/>
          <w:highlight w:val="none"/>
          <w:u w:val="single"/>
          <w:lang w:val="en-US" w:eastAsia="zh-CN"/>
        </w:rPr>
        <w:t xml:space="preserve">     </w:t>
      </w:r>
      <w:r>
        <w:rPr>
          <w:rFonts w:hint="eastAsia"/>
          <w:color w:val="auto"/>
          <w:szCs w:val="21"/>
          <w:highlight w:val="none"/>
          <w:lang w:val="en-US" w:eastAsia="zh-CN"/>
        </w:rPr>
        <w:t>，工程质量（施工）达到</w:t>
      </w:r>
      <w:r>
        <w:rPr>
          <w:rFonts w:hint="eastAsia" w:eastAsia="黑体"/>
          <w:color w:val="auto"/>
          <w:sz w:val="28"/>
          <w:szCs w:val="28"/>
          <w:highlight w:val="none"/>
          <w:u w:val="single"/>
          <w:lang w:val="en-US" w:eastAsia="zh-CN"/>
        </w:rPr>
        <w:t xml:space="preserve">     </w:t>
      </w:r>
      <w:r>
        <w:rPr>
          <w:rFonts w:hint="eastAsia"/>
          <w:color w:val="auto"/>
          <w:szCs w:val="21"/>
          <w:highlight w:val="none"/>
          <w:lang w:val="en-US" w:eastAsia="zh-CN"/>
        </w:rPr>
        <w:t xml:space="preserve">。 </w:t>
      </w:r>
    </w:p>
    <w:p w14:paraId="38E24619">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color w:val="auto"/>
          <w:szCs w:val="21"/>
          <w:highlight w:val="none"/>
        </w:rPr>
      </w:pPr>
      <w:r>
        <w:rPr>
          <w:rFonts w:hint="eastAsia"/>
          <w:color w:val="auto"/>
          <w:szCs w:val="21"/>
          <w:highlight w:val="none"/>
          <w:lang w:val="en-US" w:eastAsia="zh-CN"/>
        </w:rPr>
        <w:t xml:space="preserve">在我方的上述投标总报价中，包括： </w:t>
      </w:r>
    </w:p>
    <w:p w14:paraId="7372DF66">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color w:val="auto"/>
          <w:szCs w:val="21"/>
          <w:highlight w:val="none"/>
        </w:rPr>
      </w:pPr>
      <w:r>
        <w:rPr>
          <w:rFonts w:hint="eastAsia"/>
          <w:color w:val="auto"/>
          <w:szCs w:val="21"/>
          <w:highlight w:val="none"/>
          <w:lang w:val="en-US" w:eastAsia="zh-CN"/>
        </w:rPr>
        <w:t xml:space="preserve">（1）设计费（如有）： </w:t>
      </w:r>
    </w:p>
    <w:p w14:paraId="6DC0D5A6">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color w:val="auto"/>
          <w:szCs w:val="21"/>
          <w:highlight w:val="none"/>
        </w:rPr>
      </w:pPr>
      <w:r>
        <w:rPr>
          <w:rFonts w:hint="eastAsia"/>
          <w:color w:val="auto"/>
          <w:szCs w:val="21"/>
          <w:highlight w:val="none"/>
          <w:lang w:val="en-US" w:eastAsia="zh-CN"/>
        </w:rPr>
        <w:t>投标设计费报价（大写）</w:t>
      </w:r>
      <w:r>
        <w:rPr>
          <w:rFonts w:hint="eastAsia" w:eastAsia="黑体"/>
          <w:color w:val="auto"/>
          <w:sz w:val="28"/>
          <w:szCs w:val="28"/>
          <w:highlight w:val="none"/>
          <w:u w:val="single"/>
          <w:lang w:val="en-US" w:eastAsia="zh-CN"/>
        </w:rPr>
        <w:t xml:space="preserve">     </w:t>
      </w:r>
      <w:r>
        <w:rPr>
          <w:rFonts w:hint="eastAsia"/>
          <w:color w:val="auto"/>
          <w:szCs w:val="21"/>
          <w:highlight w:val="none"/>
          <w:lang w:val="en-US" w:eastAsia="zh-CN"/>
        </w:rPr>
        <w:t>（小写）</w:t>
      </w:r>
      <w:r>
        <w:rPr>
          <w:rFonts w:hint="eastAsia" w:eastAsia="黑体"/>
          <w:color w:val="auto"/>
          <w:sz w:val="28"/>
          <w:szCs w:val="28"/>
          <w:highlight w:val="none"/>
          <w:u w:val="single"/>
          <w:lang w:val="en-US" w:eastAsia="zh-CN"/>
        </w:rPr>
        <w:t xml:space="preserve">     </w:t>
      </w:r>
      <w:r>
        <w:rPr>
          <w:rFonts w:hint="eastAsia"/>
          <w:color w:val="auto"/>
          <w:szCs w:val="21"/>
          <w:highlight w:val="none"/>
          <w:lang w:val="en-US" w:eastAsia="zh-CN"/>
        </w:rPr>
        <w:t xml:space="preserve">； </w:t>
      </w:r>
    </w:p>
    <w:p w14:paraId="322CD22E">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color w:val="auto"/>
          <w:szCs w:val="21"/>
          <w:highlight w:val="none"/>
        </w:rPr>
      </w:pPr>
      <w:r>
        <w:rPr>
          <w:rFonts w:hint="eastAsia"/>
          <w:color w:val="auto"/>
          <w:szCs w:val="21"/>
          <w:highlight w:val="none"/>
          <w:lang w:val="en-US" w:eastAsia="zh-CN"/>
        </w:rPr>
        <w:t xml:space="preserve">（2）专业设备材料费（如有）： </w:t>
      </w:r>
    </w:p>
    <w:p w14:paraId="1BA2C498">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color w:val="auto"/>
          <w:szCs w:val="21"/>
          <w:highlight w:val="none"/>
        </w:rPr>
      </w:pPr>
      <w:r>
        <w:rPr>
          <w:rFonts w:hint="eastAsia"/>
          <w:color w:val="auto"/>
          <w:szCs w:val="21"/>
          <w:highlight w:val="none"/>
          <w:lang w:val="en-US" w:eastAsia="zh-CN"/>
        </w:rPr>
        <w:t>投标专业设备材料费报价（大写）</w:t>
      </w:r>
      <w:r>
        <w:rPr>
          <w:rFonts w:hint="eastAsia" w:eastAsia="黑体"/>
          <w:color w:val="auto"/>
          <w:sz w:val="28"/>
          <w:szCs w:val="28"/>
          <w:highlight w:val="none"/>
          <w:u w:val="single"/>
          <w:lang w:val="en-US" w:eastAsia="zh-CN"/>
        </w:rPr>
        <w:t xml:space="preserve">     </w:t>
      </w:r>
      <w:r>
        <w:rPr>
          <w:rFonts w:hint="eastAsia"/>
          <w:color w:val="auto"/>
          <w:szCs w:val="21"/>
          <w:highlight w:val="none"/>
          <w:lang w:val="en-US" w:eastAsia="zh-CN"/>
        </w:rPr>
        <w:t>（小写）</w:t>
      </w:r>
      <w:r>
        <w:rPr>
          <w:rFonts w:hint="eastAsia" w:eastAsia="黑体"/>
          <w:color w:val="auto"/>
          <w:sz w:val="28"/>
          <w:szCs w:val="28"/>
          <w:highlight w:val="none"/>
          <w:u w:val="single"/>
          <w:lang w:val="en-US" w:eastAsia="zh-CN"/>
        </w:rPr>
        <w:t xml:space="preserve">     </w:t>
      </w:r>
      <w:r>
        <w:rPr>
          <w:rFonts w:hint="eastAsia"/>
          <w:color w:val="auto"/>
          <w:szCs w:val="21"/>
          <w:highlight w:val="none"/>
          <w:lang w:val="en-US" w:eastAsia="zh-CN"/>
        </w:rPr>
        <w:t xml:space="preserve">； </w:t>
      </w:r>
    </w:p>
    <w:p w14:paraId="6CC697AE">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color w:val="auto"/>
          <w:szCs w:val="21"/>
          <w:highlight w:val="none"/>
        </w:rPr>
      </w:pPr>
      <w:r>
        <w:rPr>
          <w:rFonts w:hint="eastAsia"/>
          <w:color w:val="auto"/>
          <w:szCs w:val="21"/>
          <w:highlight w:val="none"/>
          <w:lang w:val="en-US" w:eastAsia="zh-CN"/>
        </w:rPr>
        <w:t xml:space="preserve">（3）建筑安装工程费（如有）： </w:t>
      </w:r>
    </w:p>
    <w:p w14:paraId="01FCA9FE">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color w:val="auto"/>
          <w:szCs w:val="21"/>
          <w:highlight w:val="none"/>
        </w:rPr>
      </w:pPr>
      <w:r>
        <w:rPr>
          <w:rFonts w:hint="eastAsia"/>
          <w:color w:val="auto"/>
          <w:szCs w:val="21"/>
          <w:highlight w:val="none"/>
          <w:lang w:val="en-US" w:eastAsia="zh-CN"/>
        </w:rPr>
        <w:t>投标建筑安装工程费报价（大写）</w:t>
      </w:r>
      <w:r>
        <w:rPr>
          <w:rFonts w:hint="eastAsia" w:eastAsia="黑体"/>
          <w:color w:val="auto"/>
          <w:sz w:val="28"/>
          <w:szCs w:val="28"/>
          <w:highlight w:val="none"/>
          <w:u w:val="single"/>
          <w:lang w:val="en-US" w:eastAsia="zh-CN"/>
        </w:rPr>
        <w:t xml:space="preserve">     </w:t>
      </w:r>
      <w:r>
        <w:rPr>
          <w:rFonts w:hint="eastAsia"/>
          <w:color w:val="auto"/>
          <w:szCs w:val="21"/>
          <w:highlight w:val="none"/>
          <w:lang w:val="en-US" w:eastAsia="zh-CN"/>
        </w:rPr>
        <w:t>（小写）</w:t>
      </w:r>
      <w:r>
        <w:rPr>
          <w:rFonts w:hint="eastAsia" w:eastAsia="黑体"/>
          <w:color w:val="auto"/>
          <w:sz w:val="28"/>
          <w:szCs w:val="28"/>
          <w:highlight w:val="none"/>
          <w:u w:val="single"/>
          <w:lang w:val="en-US" w:eastAsia="zh-CN"/>
        </w:rPr>
        <w:t xml:space="preserve">     </w:t>
      </w:r>
      <w:r>
        <w:rPr>
          <w:rFonts w:hint="eastAsia"/>
          <w:color w:val="auto"/>
          <w:szCs w:val="21"/>
          <w:highlight w:val="none"/>
          <w:lang w:val="en-US" w:eastAsia="zh-CN"/>
        </w:rPr>
        <w:t xml:space="preserve">； </w:t>
      </w:r>
    </w:p>
    <w:p w14:paraId="1D3AA4FE">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color w:val="auto"/>
          <w:szCs w:val="21"/>
          <w:highlight w:val="none"/>
        </w:rPr>
      </w:pPr>
      <w:r>
        <w:rPr>
          <w:rFonts w:hint="eastAsia"/>
          <w:color w:val="auto"/>
          <w:szCs w:val="21"/>
          <w:highlight w:val="none"/>
          <w:lang w:val="en-US" w:eastAsia="zh-CN"/>
        </w:rPr>
        <w:t>（4）其他费用（如有）：</w:t>
      </w:r>
      <w:r>
        <w:rPr>
          <w:rFonts w:hint="eastAsia" w:eastAsia="黑体"/>
          <w:color w:val="auto"/>
          <w:sz w:val="28"/>
          <w:szCs w:val="28"/>
          <w:highlight w:val="none"/>
          <w:u w:val="single"/>
          <w:lang w:val="en-US" w:eastAsia="zh-CN"/>
        </w:rPr>
        <w:t xml:space="preserve">     </w:t>
      </w:r>
      <w:r>
        <w:rPr>
          <w:rFonts w:hint="eastAsia"/>
          <w:color w:val="auto"/>
          <w:szCs w:val="21"/>
          <w:highlight w:val="none"/>
          <w:lang w:val="en-US" w:eastAsia="zh-CN"/>
        </w:rPr>
        <w:t>。</w:t>
      </w:r>
    </w:p>
    <w:p w14:paraId="1DDD8C88">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color w:val="auto"/>
          <w:szCs w:val="21"/>
          <w:highlight w:val="none"/>
        </w:rPr>
      </w:pPr>
      <w:r>
        <w:rPr>
          <w:rFonts w:hint="default"/>
          <w:color w:val="auto"/>
          <w:szCs w:val="21"/>
          <w:highlight w:val="none"/>
          <w:lang w:val="en-US" w:eastAsia="zh-CN"/>
        </w:rPr>
        <w:t>2</w:t>
      </w:r>
      <w:r>
        <w:rPr>
          <w:rFonts w:hint="eastAsia"/>
          <w:color w:val="auto"/>
          <w:szCs w:val="21"/>
          <w:highlight w:val="none"/>
        </w:rPr>
        <w:t>．</w:t>
      </w:r>
      <w:r>
        <w:rPr>
          <w:rFonts w:hint="eastAsia"/>
          <w:color w:val="auto"/>
          <w:szCs w:val="21"/>
          <w:highlight w:val="none"/>
          <w:lang w:val="en-US" w:eastAsia="zh-CN"/>
        </w:rPr>
        <w:t xml:space="preserve">我方拟派： </w:t>
      </w:r>
    </w:p>
    <w:p w14:paraId="1619E89F">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color w:val="auto"/>
          <w:szCs w:val="21"/>
          <w:highlight w:val="none"/>
        </w:rPr>
      </w:pPr>
      <w:r>
        <w:rPr>
          <w:rFonts w:hint="eastAsia"/>
          <w:color w:val="auto"/>
          <w:szCs w:val="21"/>
          <w:highlight w:val="none"/>
          <w:lang w:val="en-US" w:eastAsia="zh-CN"/>
        </w:rPr>
        <w:t>项目经理：</w:t>
      </w:r>
      <w:r>
        <w:rPr>
          <w:rFonts w:hint="eastAsia" w:eastAsia="黑体"/>
          <w:color w:val="auto"/>
          <w:sz w:val="28"/>
          <w:szCs w:val="28"/>
          <w:highlight w:val="none"/>
          <w:u w:val="single"/>
          <w:lang w:val="en-US" w:eastAsia="zh-CN"/>
        </w:rPr>
        <w:t xml:space="preserve">           </w:t>
      </w:r>
      <w:r>
        <w:rPr>
          <w:rFonts w:hint="eastAsia"/>
          <w:color w:val="auto"/>
          <w:szCs w:val="21"/>
          <w:highlight w:val="none"/>
          <w:lang w:val="en-US" w:eastAsia="zh-CN"/>
        </w:rPr>
        <w:t>（姓名），证书名称：</w:t>
      </w:r>
      <w:r>
        <w:rPr>
          <w:rFonts w:hint="eastAsia" w:eastAsia="黑体"/>
          <w:color w:val="auto"/>
          <w:sz w:val="28"/>
          <w:szCs w:val="28"/>
          <w:highlight w:val="none"/>
          <w:u w:val="single"/>
          <w:lang w:val="en-US" w:eastAsia="zh-CN"/>
        </w:rPr>
        <w:t xml:space="preserve">           </w:t>
      </w:r>
      <w:r>
        <w:rPr>
          <w:rFonts w:hint="eastAsia"/>
          <w:color w:val="auto"/>
          <w:szCs w:val="21"/>
          <w:highlight w:val="none"/>
          <w:lang w:val="en-US" w:eastAsia="zh-CN"/>
        </w:rPr>
        <w:t>，证书编号：</w:t>
      </w:r>
      <w:r>
        <w:rPr>
          <w:rFonts w:hint="eastAsia" w:eastAsia="黑体"/>
          <w:color w:val="auto"/>
          <w:sz w:val="28"/>
          <w:szCs w:val="28"/>
          <w:highlight w:val="none"/>
          <w:u w:val="single"/>
          <w:lang w:val="en-US" w:eastAsia="zh-CN"/>
        </w:rPr>
        <w:t xml:space="preserve">           </w:t>
      </w:r>
      <w:r>
        <w:rPr>
          <w:rFonts w:hint="eastAsia"/>
          <w:color w:val="auto"/>
          <w:szCs w:val="21"/>
          <w:highlight w:val="none"/>
          <w:lang w:val="en-US" w:eastAsia="zh-CN"/>
        </w:rPr>
        <w:t xml:space="preserve">。 </w:t>
      </w:r>
    </w:p>
    <w:p w14:paraId="5F1A58B6">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color w:val="auto"/>
          <w:szCs w:val="21"/>
          <w:highlight w:val="none"/>
        </w:rPr>
      </w:pPr>
      <w:r>
        <w:rPr>
          <w:rFonts w:hint="eastAsia"/>
          <w:color w:val="auto"/>
          <w:szCs w:val="21"/>
          <w:highlight w:val="none"/>
          <w:lang w:val="en-US" w:eastAsia="zh-CN"/>
        </w:rPr>
        <w:t>施工负责人：</w:t>
      </w:r>
      <w:r>
        <w:rPr>
          <w:rFonts w:hint="eastAsia" w:eastAsia="黑体"/>
          <w:color w:val="auto"/>
          <w:sz w:val="28"/>
          <w:szCs w:val="28"/>
          <w:highlight w:val="none"/>
          <w:u w:val="single"/>
          <w:lang w:val="en-US" w:eastAsia="zh-CN"/>
        </w:rPr>
        <w:t xml:space="preserve">          </w:t>
      </w:r>
      <w:r>
        <w:rPr>
          <w:rFonts w:hint="eastAsia"/>
          <w:color w:val="auto"/>
          <w:szCs w:val="21"/>
          <w:highlight w:val="none"/>
          <w:lang w:val="en-US" w:eastAsia="zh-CN"/>
        </w:rPr>
        <w:t>（姓名），证书名称：</w:t>
      </w:r>
      <w:r>
        <w:rPr>
          <w:rFonts w:hint="eastAsia" w:eastAsia="黑体"/>
          <w:color w:val="auto"/>
          <w:sz w:val="28"/>
          <w:szCs w:val="28"/>
          <w:highlight w:val="none"/>
          <w:u w:val="single"/>
          <w:lang w:val="en-US" w:eastAsia="zh-CN"/>
        </w:rPr>
        <w:t xml:space="preserve">           </w:t>
      </w:r>
      <w:r>
        <w:rPr>
          <w:rFonts w:hint="eastAsia"/>
          <w:color w:val="auto"/>
          <w:szCs w:val="21"/>
          <w:highlight w:val="none"/>
          <w:lang w:val="en-US" w:eastAsia="zh-CN"/>
        </w:rPr>
        <w:t>，证书编号：</w:t>
      </w:r>
      <w:r>
        <w:rPr>
          <w:rFonts w:hint="eastAsia" w:eastAsia="黑体"/>
          <w:color w:val="auto"/>
          <w:sz w:val="28"/>
          <w:szCs w:val="28"/>
          <w:highlight w:val="none"/>
          <w:u w:val="single"/>
          <w:lang w:val="en-US" w:eastAsia="zh-CN"/>
        </w:rPr>
        <w:t xml:space="preserve">           </w:t>
      </w:r>
      <w:r>
        <w:rPr>
          <w:rFonts w:hint="eastAsia"/>
          <w:color w:val="auto"/>
          <w:szCs w:val="21"/>
          <w:highlight w:val="none"/>
          <w:lang w:val="en-US" w:eastAsia="zh-CN"/>
        </w:rPr>
        <w:t xml:space="preserve">。 </w:t>
      </w:r>
    </w:p>
    <w:p w14:paraId="563FFDC2">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color w:val="auto"/>
          <w:szCs w:val="21"/>
          <w:highlight w:val="none"/>
        </w:rPr>
      </w:pPr>
      <w:r>
        <w:rPr>
          <w:rFonts w:hint="eastAsia"/>
          <w:color w:val="auto"/>
          <w:szCs w:val="21"/>
          <w:highlight w:val="none"/>
          <w:lang w:val="en-US" w:eastAsia="zh-CN"/>
        </w:rPr>
        <w:t>设计负责人：</w:t>
      </w:r>
      <w:r>
        <w:rPr>
          <w:rFonts w:hint="eastAsia" w:eastAsia="黑体"/>
          <w:color w:val="auto"/>
          <w:sz w:val="28"/>
          <w:szCs w:val="28"/>
          <w:highlight w:val="none"/>
          <w:u w:val="single"/>
          <w:lang w:val="en-US" w:eastAsia="zh-CN"/>
        </w:rPr>
        <w:t xml:space="preserve">          </w:t>
      </w:r>
      <w:r>
        <w:rPr>
          <w:rFonts w:hint="eastAsia"/>
          <w:color w:val="auto"/>
          <w:szCs w:val="21"/>
          <w:highlight w:val="none"/>
          <w:lang w:val="en-US" w:eastAsia="zh-CN"/>
        </w:rPr>
        <w:t>（姓名），证书名称：</w:t>
      </w:r>
      <w:r>
        <w:rPr>
          <w:rFonts w:hint="eastAsia" w:eastAsia="黑体"/>
          <w:color w:val="auto"/>
          <w:sz w:val="28"/>
          <w:szCs w:val="28"/>
          <w:highlight w:val="none"/>
          <w:u w:val="single"/>
          <w:lang w:val="en-US" w:eastAsia="zh-CN"/>
        </w:rPr>
        <w:t xml:space="preserve">           </w:t>
      </w:r>
      <w:r>
        <w:rPr>
          <w:rFonts w:hint="eastAsia"/>
          <w:color w:val="auto"/>
          <w:szCs w:val="21"/>
          <w:highlight w:val="none"/>
          <w:lang w:val="en-US" w:eastAsia="zh-CN"/>
        </w:rPr>
        <w:t>，证书编号：</w:t>
      </w:r>
      <w:r>
        <w:rPr>
          <w:rFonts w:hint="eastAsia" w:eastAsia="黑体"/>
          <w:color w:val="auto"/>
          <w:sz w:val="28"/>
          <w:szCs w:val="28"/>
          <w:highlight w:val="none"/>
          <w:u w:val="single"/>
          <w:lang w:val="en-US" w:eastAsia="zh-CN"/>
        </w:rPr>
        <w:t xml:space="preserve">           </w:t>
      </w:r>
      <w:r>
        <w:rPr>
          <w:rFonts w:hint="eastAsia"/>
          <w:color w:val="auto"/>
          <w:szCs w:val="21"/>
          <w:highlight w:val="none"/>
          <w:lang w:val="en-US" w:eastAsia="zh-CN"/>
        </w:rPr>
        <w:t>。</w:t>
      </w:r>
    </w:p>
    <w:p w14:paraId="3313213A">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color w:val="auto"/>
          <w:szCs w:val="21"/>
          <w:highlight w:val="none"/>
        </w:rPr>
      </w:pPr>
      <w:r>
        <w:rPr>
          <w:rFonts w:hint="eastAsia"/>
          <w:color w:val="auto"/>
          <w:szCs w:val="21"/>
          <w:highlight w:val="none"/>
          <w:lang w:val="en-US" w:eastAsia="zh-CN"/>
        </w:rPr>
        <w:t>3</w:t>
      </w:r>
      <w:r>
        <w:rPr>
          <w:rFonts w:hint="eastAsia"/>
          <w:color w:val="auto"/>
          <w:szCs w:val="21"/>
          <w:highlight w:val="none"/>
        </w:rPr>
        <w:t>．我方承诺在</w:t>
      </w:r>
      <w:r>
        <w:rPr>
          <w:rFonts w:hint="eastAsia"/>
          <w:color w:val="auto"/>
          <w:szCs w:val="21"/>
          <w:highlight w:val="none"/>
          <w:lang w:val="en-US" w:eastAsia="zh-CN"/>
        </w:rPr>
        <w:t>投标有效期</w:t>
      </w:r>
      <w:r>
        <w:rPr>
          <w:rFonts w:hint="eastAsia" w:eastAsia="黑体"/>
          <w:color w:val="auto"/>
          <w:sz w:val="28"/>
          <w:szCs w:val="28"/>
          <w:highlight w:val="none"/>
          <w:u w:val="single"/>
          <w:lang w:val="en-US" w:eastAsia="zh-CN"/>
        </w:rPr>
        <w:t xml:space="preserve">     </w:t>
      </w:r>
      <w:r>
        <w:rPr>
          <w:rFonts w:hint="eastAsia"/>
          <w:color w:val="auto"/>
          <w:szCs w:val="21"/>
          <w:highlight w:val="none"/>
          <w:lang w:val="en-US" w:eastAsia="zh-CN"/>
        </w:rPr>
        <w:t>天内不修改、</w:t>
      </w:r>
      <w:r>
        <w:rPr>
          <w:rFonts w:hint="eastAsia"/>
          <w:color w:val="auto"/>
          <w:szCs w:val="21"/>
          <w:highlight w:val="none"/>
        </w:rPr>
        <w:t>撤销投标文件。</w:t>
      </w:r>
    </w:p>
    <w:p w14:paraId="58707CD6">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color w:val="auto"/>
          <w:szCs w:val="21"/>
          <w:highlight w:val="none"/>
        </w:rPr>
      </w:pPr>
      <w:r>
        <w:rPr>
          <w:rFonts w:hint="eastAsia"/>
          <w:color w:val="auto"/>
          <w:szCs w:val="21"/>
          <w:highlight w:val="none"/>
          <w:lang w:val="en-US" w:eastAsia="zh-CN"/>
        </w:rPr>
        <w:t>4</w:t>
      </w:r>
      <w:r>
        <w:rPr>
          <w:rFonts w:hint="eastAsia"/>
          <w:color w:val="auto"/>
          <w:szCs w:val="21"/>
          <w:highlight w:val="none"/>
        </w:rPr>
        <w:t>．随同本投标函提交投标保证金一份，金额为人民币（大写）</w:t>
      </w:r>
      <w:r>
        <w:rPr>
          <w:rFonts w:hint="eastAsia" w:eastAsia="黑体"/>
          <w:color w:val="auto"/>
          <w:sz w:val="28"/>
          <w:szCs w:val="28"/>
          <w:highlight w:val="none"/>
          <w:u w:val="single"/>
          <w:lang w:val="en-US" w:eastAsia="zh-CN"/>
        </w:rPr>
        <w:t xml:space="preserve">     </w:t>
      </w:r>
      <w:r>
        <w:rPr>
          <w:rFonts w:hint="eastAsia"/>
          <w:color w:val="auto"/>
          <w:szCs w:val="21"/>
          <w:highlight w:val="none"/>
        </w:rPr>
        <w:t>（</w:t>
      </w:r>
      <w:r>
        <w:rPr>
          <w:color w:val="auto"/>
          <w:szCs w:val="21"/>
          <w:highlight w:val="none"/>
        </w:rPr>
        <w:t>¥</w:t>
      </w:r>
      <w:r>
        <w:rPr>
          <w:rFonts w:hint="eastAsia" w:eastAsia="黑体"/>
          <w:color w:val="auto"/>
          <w:sz w:val="28"/>
          <w:szCs w:val="28"/>
          <w:highlight w:val="none"/>
          <w:u w:val="single"/>
          <w:lang w:val="en-US" w:eastAsia="zh-CN"/>
        </w:rPr>
        <w:t xml:space="preserve">     </w:t>
      </w:r>
      <w:r>
        <w:rPr>
          <w:rFonts w:hint="eastAsia"/>
          <w:color w:val="auto"/>
          <w:szCs w:val="21"/>
          <w:highlight w:val="none"/>
        </w:rPr>
        <w:t>）。</w:t>
      </w:r>
    </w:p>
    <w:p w14:paraId="679C50F1">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color w:val="auto"/>
          <w:szCs w:val="21"/>
          <w:highlight w:val="none"/>
        </w:rPr>
      </w:pPr>
      <w:r>
        <w:rPr>
          <w:rFonts w:hint="eastAsia"/>
          <w:color w:val="auto"/>
          <w:szCs w:val="21"/>
          <w:highlight w:val="none"/>
          <w:lang w:val="en-US" w:eastAsia="zh-CN"/>
        </w:rPr>
        <w:t>5</w:t>
      </w:r>
      <w:r>
        <w:rPr>
          <w:rFonts w:hint="eastAsia"/>
          <w:color w:val="auto"/>
          <w:szCs w:val="21"/>
          <w:highlight w:val="none"/>
        </w:rPr>
        <w:t>．如我方中标：</w:t>
      </w:r>
    </w:p>
    <w:p w14:paraId="65D2FA9A">
      <w:pPr>
        <w:keepNext w:val="0"/>
        <w:keepLines w:val="0"/>
        <w:pageBreakBefore w:val="0"/>
        <w:widowControl w:val="0"/>
        <w:kinsoku/>
        <w:wordWrap/>
        <w:overflowPunct/>
        <w:topLinePunct w:val="0"/>
        <w:autoSpaceDE/>
        <w:autoSpaceDN/>
        <w:bidi w:val="0"/>
        <w:adjustRightInd w:val="0"/>
        <w:snapToGrid w:val="0"/>
        <w:spacing w:line="400" w:lineRule="exact"/>
        <w:ind w:firstLine="718" w:firstLineChars="342"/>
        <w:textAlignment w:val="auto"/>
        <w:rPr>
          <w:color w:val="auto"/>
          <w:szCs w:val="21"/>
          <w:highlight w:val="none"/>
        </w:rPr>
      </w:pPr>
      <w:r>
        <w:rPr>
          <w:rFonts w:hint="eastAsia"/>
          <w:color w:val="auto"/>
          <w:szCs w:val="21"/>
          <w:highlight w:val="none"/>
        </w:rPr>
        <w:t>（</w:t>
      </w:r>
      <w:r>
        <w:rPr>
          <w:color w:val="auto"/>
          <w:szCs w:val="21"/>
          <w:highlight w:val="none"/>
        </w:rPr>
        <w:t>1</w:t>
      </w:r>
      <w:r>
        <w:rPr>
          <w:rFonts w:hint="eastAsia"/>
          <w:color w:val="auto"/>
          <w:szCs w:val="21"/>
          <w:highlight w:val="none"/>
        </w:rPr>
        <w:t>）我方承诺在收到中标通知书后，在中标通知书规定的期限内与你方签订合同。</w:t>
      </w:r>
    </w:p>
    <w:p w14:paraId="07DC1CA3">
      <w:pPr>
        <w:keepNext w:val="0"/>
        <w:keepLines w:val="0"/>
        <w:pageBreakBefore w:val="0"/>
        <w:widowControl w:val="0"/>
        <w:kinsoku/>
        <w:wordWrap/>
        <w:overflowPunct/>
        <w:topLinePunct w:val="0"/>
        <w:autoSpaceDE/>
        <w:autoSpaceDN/>
        <w:bidi w:val="0"/>
        <w:adjustRightInd w:val="0"/>
        <w:snapToGrid w:val="0"/>
        <w:spacing w:line="400" w:lineRule="exact"/>
        <w:ind w:firstLine="718" w:firstLineChars="342"/>
        <w:textAlignment w:val="auto"/>
        <w:rPr>
          <w:color w:val="auto"/>
          <w:szCs w:val="21"/>
          <w:highlight w:val="none"/>
        </w:rPr>
      </w:pPr>
      <w:r>
        <w:rPr>
          <w:rFonts w:hint="eastAsia"/>
          <w:color w:val="auto"/>
          <w:szCs w:val="21"/>
          <w:highlight w:val="none"/>
        </w:rPr>
        <w:t>（</w:t>
      </w:r>
      <w:r>
        <w:rPr>
          <w:color w:val="auto"/>
          <w:szCs w:val="21"/>
          <w:highlight w:val="none"/>
        </w:rPr>
        <w:t>2</w:t>
      </w:r>
      <w:r>
        <w:rPr>
          <w:rFonts w:hint="eastAsia"/>
          <w:color w:val="auto"/>
          <w:szCs w:val="21"/>
          <w:highlight w:val="none"/>
        </w:rPr>
        <w:t>）随同本投标函递交的投标函附录属于合同文件的组成部分。</w:t>
      </w:r>
    </w:p>
    <w:p w14:paraId="585F800D">
      <w:pPr>
        <w:keepNext w:val="0"/>
        <w:keepLines w:val="0"/>
        <w:pageBreakBefore w:val="0"/>
        <w:widowControl w:val="0"/>
        <w:kinsoku/>
        <w:wordWrap/>
        <w:overflowPunct/>
        <w:topLinePunct w:val="0"/>
        <w:autoSpaceDE/>
        <w:autoSpaceDN/>
        <w:bidi w:val="0"/>
        <w:adjustRightInd w:val="0"/>
        <w:snapToGrid w:val="0"/>
        <w:spacing w:line="400" w:lineRule="exact"/>
        <w:ind w:firstLine="718" w:firstLineChars="342"/>
        <w:textAlignment w:val="auto"/>
        <w:rPr>
          <w:color w:val="auto"/>
          <w:szCs w:val="21"/>
          <w:highlight w:val="none"/>
        </w:rPr>
      </w:pPr>
      <w:r>
        <w:rPr>
          <w:rFonts w:hint="eastAsia"/>
          <w:color w:val="auto"/>
          <w:szCs w:val="21"/>
          <w:highlight w:val="none"/>
        </w:rPr>
        <w:t>（</w:t>
      </w:r>
      <w:r>
        <w:rPr>
          <w:color w:val="auto"/>
          <w:szCs w:val="21"/>
          <w:highlight w:val="none"/>
        </w:rPr>
        <w:t>3</w:t>
      </w:r>
      <w:r>
        <w:rPr>
          <w:rFonts w:hint="eastAsia"/>
          <w:color w:val="auto"/>
          <w:szCs w:val="21"/>
          <w:highlight w:val="none"/>
        </w:rPr>
        <w:t>）我方承诺按照招标文件规定向你方递交履约担保。</w:t>
      </w:r>
    </w:p>
    <w:p w14:paraId="76F9D053">
      <w:pPr>
        <w:keepNext w:val="0"/>
        <w:keepLines w:val="0"/>
        <w:pageBreakBefore w:val="0"/>
        <w:widowControl w:val="0"/>
        <w:kinsoku/>
        <w:wordWrap/>
        <w:overflowPunct/>
        <w:topLinePunct w:val="0"/>
        <w:autoSpaceDE/>
        <w:autoSpaceDN/>
        <w:bidi w:val="0"/>
        <w:adjustRightInd w:val="0"/>
        <w:snapToGrid w:val="0"/>
        <w:spacing w:line="400" w:lineRule="exact"/>
        <w:ind w:firstLine="718" w:firstLineChars="342"/>
        <w:textAlignment w:val="auto"/>
        <w:rPr>
          <w:rFonts w:hint="eastAsia"/>
          <w:color w:val="auto"/>
          <w:szCs w:val="21"/>
          <w:highlight w:val="none"/>
        </w:rPr>
      </w:pPr>
      <w:r>
        <w:rPr>
          <w:rFonts w:hint="eastAsia"/>
          <w:color w:val="auto"/>
          <w:szCs w:val="21"/>
          <w:highlight w:val="none"/>
        </w:rPr>
        <w:t>（</w:t>
      </w:r>
      <w:r>
        <w:rPr>
          <w:color w:val="auto"/>
          <w:szCs w:val="21"/>
          <w:highlight w:val="none"/>
        </w:rPr>
        <w:t>4</w:t>
      </w:r>
      <w:r>
        <w:rPr>
          <w:rFonts w:hint="eastAsia"/>
          <w:color w:val="auto"/>
          <w:szCs w:val="21"/>
          <w:highlight w:val="none"/>
        </w:rPr>
        <w:t>）我方承诺在合同约定的期限内完成并移交全部合同工程。</w:t>
      </w:r>
    </w:p>
    <w:p w14:paraId="30177B13">
      <w:pPr>
        <w:keepNext w:val="0"/>
        <w:keepLines w:val="0"/>
        <w:pageBreakBefore w:val="0"/>
        <w:widowControl w:val="0"/>
        <w:kinsoku/>
        <w:wordWrap/>
        <w:overflowPunct/>
        <w:topLinePunct w:val="0"/>
        <w:autoSpaceDE/>
        <w:autoSpaceDN/>
        <w:bidi w:val="0"/>
        <w:adjustRightInd w:val="0"/>
        <w:snapToGrid w:val="0"/>
        <w:spacing w:line="400" w:lineRule="exact"/>
        <w:ind w:firstLine="718" w:firstLineChars="342"/>
        <w:textAlignment w:val="auto"/>
        <w:rPr>
          <w:rFonts w:hint="eastAsia"/>
          <w:color w:val="auto"/>
          <w:szCs w:val="21"/>
          <w:highlight w:val="none"/>
        </w:rPr>
      </w:pPr>
      <w:r>
        <w:rPr>
          <w:rFonts w:hint="eastAsia"/>
          <w:color w:val="auto"/>
          <w:szCs w:val="21"/>
          <w:highlight w:val="none"/>
        </w:rPr>
        <w:t>（</w:t>
      </w:r>
      <w:r>
        <w:rPr>
          <w:rFonts w:hint="eastAsia"/>
          <w:color w:val="auto"/>
          <w:szCs w:val="21"/>
          <w:highlight w:val="none"/>
          <w:lang w:val="en-US" w:eastAsia="zh-CN"/>
        </w:rPr>
        <w:t>5</w:t>
      </w:r>
      <w:r>
        <w:rPr>
          <w:rFonts w:hint="eastAsia"/>
          <w:color w:val="auto"/>
          <w:szCs w:val="21"/>
          <w:highlight w:val="none"/>
        </w:rPr>
        <w:t>）</w:t>
      </w:r>
      <w:r>
        <w:rPr>
          <w:rFonts w:hint="eastAsia" w:eastAsia="黑体"/>
          <w:color w:val="auto"/>
          <w:sz w:val="28"/>
          <w:szCs w:val="28"/>
          <w:highlight w:val="none"/>
          <w:u w:val="single"/>
          <w:lang w:val="en-US" w:eastAsia="zh-CN"/>
        </w:rPr>
        <w:t xml:space="preserve">                                    </w:t>
      </w:r>
      <w:r>
        <w:rPr>
          <w:rFonts w:hint="eastAsia" w:eastAsia="黑体"/>
          <w:color w:val="auto"/>
          <w:sz w:val="28"/>
          <w:szCs w:val="28"/>
          <w:highlight w:val="none"/>
          <w:u w:val="none"/>
          <w:lang w:val="en-US" w:eastAsia="zh-CN"/>
        </w:rPr>
        <w:t>。</w:t>
      </w:r>
    </w:p>
    <w:p w14:paraId="14495A85">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color w:val="auto"/>
          <w:szCs w:val="21"/>
          <w:highlight w:val="none"/>
        </w:rPr>
      </w:pPr>
      <w:r>
        <w:rPr>
          <w:rFonts w:hint="eastAsia"/>
          <w:color w:val="auto"/>
          <w:szCs w:val="21"/>
          <w:highlight w:val="none"/>
          <w:lang w:val="en-US" w:eastAsia="zh-CN"/>
        </w:rPr>
        <w:t>6</w:t>
      </w:r>
      <w:r>
        <w:rPr>
          <w:rFonts w:hint="eastAsia"/>
          <w:color w:val="auto"/>
          <w:szCs w:val="21"/>
          <w:highlight w:val="none"/>
        </w:rPr>
        <w:t>．</w:t>
      </w:r>
      <w:r>
        <w:rPr>
          <w:rFonts w:hint="eastAsia"/>
          <w:color w:val="auto"/>
          <w:highlight w:val="none"/>
        </w:rPr>
        <w:t>我方在此声明，所递交的投标文件及有关资料内容完整、真实和准确，且不存在第二章“投标人须知”第</w:t>
      </w:r>
      <w:r>
        <w:rPr>
          <w:color w:val="auto"/>
          <w:highlight w:val="none"/>
        </w:rPr>
        <w:t>1.4.3</w:t>
      </w:r>
      <w:r>
        <w:rPr>
          <w:rFonts w:hint="eastAsia"/>
          <w:color w:val="auto"/>
          <w:highlight w:val="none"/>
        </w:rPr>
        <w:t>项规定的任何一种情形。</w:t>
      </w:r>
    </w:p>
    <w:p w14:paraId="5C5AFEE2">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color w:val="auto"/>
          <w:szCs w:val="21"/>
          <w:highlight w:val="none"/>
        </w:rPr>
      </w:pPr>
      <w:r>
        <w:rPr>
          <w:rFonts w:hint="eastAsia"/>
          <w:color w:val="auto"/>
          <w:szCs w:val="21"/>
          <w:highlight w:val="none"/>
          <w:lang w:val="en-US" w:eastAsia="zh-CN"/>
        </w:rPr>
        <w:t>7</w:t>
      </w:r>
      <w:r>
        <w:rPr>
          <w:rFonts w:hint="eastAsia"/>
          <w:color w:val="auto"/>
          <w:szCs w:val="21"/>
          <w:highlight w:val="none"/>
        </w:rPr>
        <w:t>．</w:t>
      </w:r>
      <w:r>
        <w:rPr>
          <w:rFonts w:hint="eastAsia" w:eastAsia="黑体"/>
          <w:color w:val="auto"/>
          <w:sz w:val="28"/>
          <w:szCs w:val="28"/>
          <w:highlight w:val="none"/>
          <w:u w:val="single"/>
          <w:lang w:val="en-US" w:eastAsia="zh-CN"/>
        </w:rPr>
        <w:t xml:space="preserve">                                    </w:t>
      </w:r>
      <w:r>
        <w:rPr>
          <w:rFonts w:hint="eastAsia"/>
          <w:color w:val="auto"/>
          <w:szCs w:val="21"/>
          <w:highlight w:val="none"/>
        </w:rPr>
        <w:t>（其他补充说明）。</w:t>
      </w:r>
    </w:p>
    <w:p w14:paraId="3F3E5440">
      <w:pPr>
        <w:adjustRightInd w:val="0"/>
        <w:snapToGrid w:val="0"/>
        <w:spacing w:line="360" w:lineRule="auto"/>
        <w:ind w:firstLine="3675" w:firstLineChars="1750"/>
        <w:rPr>
          <w:color w:val="auto"/>
          <w:szCs w:val="21"/>
          <w:highlight w:val="none"/>
        </w:rPr>
      </w:pPr>
      <w:r>
        <w:rPr>
          <w:rFonts w:hint="eastAsia"/>
          <w:color w:val="auto"/>
          <w:szCs w:val="21"/>
          <w:highlight w:val="none"/>
        </w:rPr>
        <w:t>投标人：</w:t>
      </w:r>
      <w:r>
        <w:rPr>
          <w:rFonts w:hint="eastAsia" w:eastAsia="黑体"/>
          <w:color w:val="auto"/>
          <w:sz w:val="28"/>
          <w:szCs w:val="28"/>
          <w:highlight w:val="none"/>
          <w:u w:val="single"/>
          <w:lang w:val="en-US" w:eastAsia="zh-CN"/>
        </w:rPr>
        <w:t xml:space="preserve">                </w:t>
      </w:r>
      <w:r>
        <w:rPr>
          <w:rFonts w:hint="eastAsia"/>
          <w:color w:val="auto"/>
          <w:szCs w:val="21"/>
          <w:highlight w:val="none"/>
        </w:rPr>
        <w:t>（盖单位章）</w:t>
      </w:r>
    </w:p>
    <w:p w14:paraId="104F520B">
      <w:pPr>
        <w:adjustRightInd w:val="0"/>
        <w:snapToGrid w:val="0"/>
        <w:spacing w:line="360" w:lineRule="auto"/>
        <w:ind w:firstLine="3675" w:firstLineChars="1750"/>
        <w:rPr>
          <w:color w:val="auto"/>
          <w:szCs w:val="21"/>
          <w:highlight w:val="none"/>
        </w:rPr>
      </w:pPr>
      <w:r>
        <w:rPr>
          <w:rFonts w:hint="eastAsia"/>
          <w:color w:val="auto"/>
          <w:szCs w:val="21"/>
          <w:highlight w:val="none"/>
        </w:rPr>
        <w:t>法定代表人或其委托代理人：</w:t>
      </w:r>
      <w:r>
        <w:rPr>
          <w:rFonts w:hint="eastAsia" w:eastAsia="黑体"/>
          <w:color w:val="auto"/>
          <w:sz w:val="28"/>
          <w:szCs w:val="28"/>
          <w:highlight w:val="none"/>
          <w:u w:val="single"/>
          <w:lang w:val="en-US" w:eastAsia="zh-CN"/>
        </w:rPr>
        <w:t xml:space="preserve">          </w:t>
      </w:r>
      <w:r>
        <w:rPr>
          <w:rFonts w:hint="eastAsia"/>
          <w:color w:val="auto"/>
          <w:szCs w:val="21"/>
          <w:highlight w:val="none"/>
        </w:rPr>
        <w:t>（签章）</w:t>
      </w:r>
    </w:p>
    <w:p w14:paraId="6660AA43">
      <w:pPr>
        <w:adjustRightInd w:val="0"/>
        <w:snapToGrid w:val="0"/>
        <w:spacing w:line="360" w:lineRule="auto"/>
        <w:ind w:firstLine="3675" w:firstLineChars="1750"/>
        <w:rPr>
          <w:color w:val="auto"/>
          <w:szCs w:val="21"/>
          <w:highlight w:val="none"/>
        </w:rPr>
      </w:pPr>
      <w:r>
        <w:rPr>
          <w:rFonts w:hint="eastAsia"/>
          <w:color w:val="auto"/>
          <w:szCs w:val="21"/>
          <w:highlight w:val="none"/>
        </w:rPr>
        <w:t>地址：</w:t>
      </w:r>
      <w:r>
        <w:rPr>
          <w:rFonts w:hint="eastAsia" w:eastAsia="黑体"/>
          <w:color w:val="auto"/>
          <w:sz w:val="28"/>
          <w:szCs w:val="28"/>
          <w:highlight w:val="none"/>
          <w:u w:val="single"/>
          <w:lang w:val="en-US" w:eastAsia="zh-CN"/>
        </w:rPr>
        <w:t xml:space="preserve">                </w:t>
      </w:r>
    </w:p>
    <w:p w14:paraId="3A638343">
      <w:pPr>
        <w:adjustRightInd w:val="0"/>
        <w:snapToGrid w:val="0"/>
        <w:spacing w:line="360" w:lineRule="auto"/>
        <w:ind w:firstLine="3675" w:firstLineChars="1750"/>
        <w:rPr>
          <w:rFonts w:hint="eastAsia" w:eastAsia="黑体"/>
          <w:color w:val="auto"/>
          <w:sz w:val="28"/>
          <w:szCs w:val="28"/>
          <w:highlight w:val="none"/>
          <w:u w:val="single"/>
          <w:lang w:val="en-US" w:eastAsia="zh-CN"/>
        </w:rPr>
      </w:pPr>
      <w:r>
        <w:rPr>
          <w:rFonts w:hint="eastAsia"/>
          <w:color w:val="auto"/>
          <w:szCs w:val="21"/>
          <w:highlight w:val="none"/>
        </w:rPr>
        <w:t>网址：</w:t>
      </w:r>
      <w:r>
        <w:rPr>
          <w:rFonts w:hint="eastAsia" w:eastAsia="黑体"/>
          <w:color w:val="auto"/>
          <w:sz w:val="28"/>
          <w:szCs w:val="28"/>
          <w:highlight w:val="none"/>
          <w:u w:val="single"/>
          <w:lang w:val="en-US" w:eastAsia="zh-CN"/>
        </w:rPr>
        <w:t xml:space="preserve">                </w:t>
      </w:r>
    </w:p>
    <w:p w14:paraId="4B1D70F7">
      <w:pPr>
        <w:adjustRightInd w:val="0"/>
        <w:snapToGrid w:val="0"/>
        <w:spacing w:line="360" w:lineRule="auto"/>
        <w:ind w:firstLine="3675" w:firstLineChars="1750"/>
        <w:rPr>
          <w:color w:val="auto"/>
          <w:szCs w:val="21"/>
          <w:highlight w:val="none"/>
        </w:rPr>
      </w:pPr>
      <w:r>
        <w:rPr>
          <w:rFonts w:hint="eastAsia"/>
          <w:color w:val="auto"/>
          <w:szCs w:val="21"/>
          <w:highlight w:val="none"/>
        </w:rPr>
        <w:t>电话：</w:t>
      </w:r>
      <w:r>
        <w:rPr>
          <w:rFonts w:hint="eastAsia" w:eastAsia="黑体"/>
          <w:color w:val="auto"/>
          <w:sz w:val="28"/>
          <w:szCs w:val="28"/>
          <w:highlight w:val="none"/>
          <w:u w:val="single"/>
          <w:lang w:val="en-US" w:eastAsia="zh-CN"/>
        </w:rPr>
        <w:t xml:space="preserve">                </w:t>
      </w:r>
    </w:p>
    <w:p w14:paraId="7762BB1C">
      <w:pPr>
        <w:adjustRightInd w:val="0"/>
        <w:snapToGrid w:val="0"/>
        <w:spacing w:line="360" w:lineRule="auto"/>
        <w:ind w:firstLine="3675" w:firstLineChars="1750"/>
        <w:rPr>
          <w:rFonts w:hint="eastAsia" w:eastAsia="黑体"/>
          <w:color w:val="auto"/>
          <w:sz w:val="28"/>
          <w:szCs w:val="28"/>
          <w:highlight w:val="none"/>
          <w:u w:val="single"/>
          <w:lang w:val="en-US" w:eastAsia="zh-CN"/>
        </w:rPr>
      </w:pPr>
      <w:r>
        <w:rPr>
          <w:rFonts w:hint="eastAsia"/>
          <w:color w:val="auto"/>
          <w:szCs w:val="21"/>
          <w:highlight w:val="none"/>
        </w:rPr>
        <w:t>传真：</w:t>
      </w:r>
      <w:r>
        <w:rPr>
          <w:rFonts w:hint="eastAsia" w:eastAsia="黑体"/>
          <w:color w:val="auto"/>
          <w:sz w:val="28"/>
          <w:szCs w:val="28"/>
          <w:highlight w:val="none"/>
          <w:u w:val="single"/>
          <w:lang w:val="en-US" w:eastAsia="zh-CN"/>
        </w:rPr>
        <w:t xml:space="preserve">                </w:t>
      </w:r>
    </w:p>
    <w:p w14:paraId="1D16672C">
      <w:pPr>
        <w:adjustRightInd w:val="0"/>
        <w:snapToGrid w:val="0"/>
        <w:spacing w:line="360" w:lineRule="auto"/>
        <w:ind w:firstLine="3675" w:firstLineChars="1750"/>
        <w:rPr>
          <w:color w:val="auto"/>
          <w:szCs w:val="21"/>
          <w:highlight w:val="none"/>
        </w:rPr>
      </w:pPr>
      <w:r>
        <w:rPr>
          <w:rFonts w:hint="eastAsia"/>
          <w:color w:val="auto"/>
          <w:szCs w:val="21"/>
          <w:highlight w:val="none"/>
        </w:rPr>
        <w:t>邮政编码：</w:t>
      </w:r>
      <w:r>
        <w:rPr>
          <w:rFonts w:hint="eastAsia" w:eastAsia="黑体"/>
          <w:color w:val="auto"/>
          <w:sz w:val="28"/>
          <w:szCs w:val="28"/>
          <w:highlight w:val="none"/>
          <w:u w:val="single"/>
          <w:lang w:val="en-US" w:eastAsia="zh-CN"/>
        </w:rPr>
        <w:t xml:space="preserve">                </w:t>
      </w:r>
    </w:p>
    <w:p w14:paraId="608D8A37">
      <w:pPr>
        <w:adjustRightInd w:val="0"/>
        <w:snapToGrid w:val="0"/>
        <w:spacing w:line="360" w:lineRule="auto"/>
        <w:ind w:firstLine="4760" w:firstLineChars="1700"/>
        <w:rPr>
          <w:rFonts w:ascii="宋体"/>
          <w:color w:val="auto"/>
          <w:szCs w:val="21"/>
          <w:highlight w:val="none"/>
        </w:rPr>
      </w:pPr>
      <w:r>
        <w:rPr>
          <w:rFonts w:hint="eastAsia" w:eastAsia="黑体"/>
          <w:color w:val="auto"/>
          <w:sz w:val="28"/>
          <w:szCs w:val="28"/>
          <w:highlight w:val="none"/>
          <w:u w:val="single"/>
          <w:lang w:val="en-US" w:eastAsia="zh-CN"/>
        </w:rPr>
        <w:t xml:space="preserve">     </w:t>
      </w:r>
      <w:r>
        <w:rPr>
          <w:rFonts w:hint="eastAsia" w:ascii="宋体" w:hAnsi="宋体"/>
          <w:color w:val="auto"/>
          <w:szCs w:val="21"/>
          <w:highlight w:val="none"/>
        </w:rPr>
        <w:t>年</w:t>
      </w:r>
      <w:r>
        <w:rPr>
          <w:rFonts w:hint="eastAsia" w:eastAsia="黑体"/>
          <w:color w:val="auto"/>
          <w:sz w:val="28"/>
          <w:szCs w:val="28"/>
          <w:highlight w:val="none"/>
          <w:u w:val="single"/>
          <w:lang w:val="en-US" w:eastAsia="zh-CN"/>
        </w:rPr>
        <w:t xml:space="preserve">     </w:t>
      </w:r>
      <w:r>
        <w:rPr>
          <w:rFonts w:hint="eastAsia" w:ascii="宋体" w:hAnsi="宋体"/>
          <w:color w:val="auto"/>
          <w:szCs w:val="21"/>
          <w:highlight w:val="none"/>
        </w:rPr>
        <w:t>月</w:t>
      </w:r>
      <w:r>
        <w:rPr>
          <w:rFonts w:hint="eastAsia" w:eastAsia="黑体"/>
          <w:color w:val="auto"/>
          <w:sz w:val="28"/>
          <w:szCs w:val="28"/>
          <w:highlight w:val="none"/>
          <w:u w:val="single"/>
          <w:lang w:val="en-US" w:eastAsia="zh-CN"/>
        </w:rPr>
        <w:t xml:space="preserve">     </w:t>
      </w:r>
      <w:r>
        <w:rPr>
          <w:rFonts w:hint="eastAsia" w:ascii="宋体" w:hAnsi="宋体"/>
          <w:color w:val="auto"/>
          <w:szCs w:val="21"/>
          <w:highlight w:val="none"/>
        </w:rPr>
        <w:t>日</w:t>
      </w:r>
    </w:p>
    <w:p w14:paraId="6BFB2611">
      <w:pPr>
        <w:spacing w:line="440" w:lineRule="exact"/>
        <w:ind w:firstLine="4725" w:firstLineChars="2250"/>
        <w:rPr>
          <w:color w:val="auto"/>
          <w:szCs w:val="21"/>
          <w:highlight w:val="none"/>
        </w:rPr>
      </w:pPr>
      <w:r>
        <w:rPr>
          <w:color w:val="auto"/>
          <w:highlight w:val="none"/>
        </w:rPr>
        <w:br w:type="page"/>
      </w:r>
    </w:p>
    <w:p w14:paraId="59C5D5D3">
      <w:pPr>
        <w:pStyle w:val="4"/>
        <w:numPr>
          <w:ilvl w:val="0"/>
          <w:numId w:val="10"/>
        </w:numPr>
        <w:jc w:val="center"/>
        <w:rPr>
          <w:rFonts w:hint="eastAsia"/>
          <w:color w:val="auto"/>
          <w:highlight w:val="none"/>
        </w:rPr>
      </w:pPr>
      <w:bookmarkStart w:id="1774" w:name="_Toc152042579"/>
      <w:bookmarkStart w:id="1775" w:name="_Toc152045790"/>
      <w:bookmarkStart w:id="1776" w:name="_Toc26598"/>
      <w:bookmarkStart w:id="1777" w:name="_Toc29048"/>
      <w:bookmarkStart w:id="1778" w:name="_Toc7956825"/>
      <w:bookmarkStart w:id="1779" w:name="_Toc144974859"/>
      <w:bookmarkStart w:id="1780" w:name="_Toc25266"/>
      <w:bookmarkStart w:id="1781" w:name="_Toc247527830"/>
      <w:bookmarkStart w:id="1782" w:name="_Toc247514249"/>
      <w:r>
        <w:rPr>
          <w:rFonts w:hint="eastAsia"/>
          <w:color w:val="auto"/>
          <w:highlight w:val="none"/>
        </w:rPr>
        <w:t>投标函附录</w:t>
      </w:r>
      <w:bookmarkEnd w:id="1774"/>
      <w:bookmarkEnd w:id="1775"/>
      <w:bookmarkEnd w:id="1776"/>
      <w:bookmarkEnd w:id="1777"/>
      <w:bookmarkEnd w:id="1778"/>
      <w:bookmarkEnd w:id="1779"/>
      <w:bookmarkEnd w:id="1780"/>
      <w:bookmarkEnd w:id="1781"/>
      <w:bookmarkEnd w:id="1782"/>
    </w:p>
    <w:p w14:paraId="2C9AFD99">
      <w:pPr>
        <w:numPr>
          <w:ilvl w:val="0"/>
          <w:numId w:val="0"/>
        </w:numPr>
        <w:rPr>
          <w:color w:val="auto"/>
          <w:highlight w:val="none"/>
        </w:rPr>
      </w:pPr>
      <w:r>
        <w:rPr>
          <w:rFonts w:hint="eastAsia"/>
          <w:b/>
          <w:bCs/>
          <w:color w:val="auto"/>
          <w:highlight w:val="none"/>
          <w:lang w:val="en-US" w:eastAsia="zh-CN"/>
        </w:rPr>
        <w:t>标段名称：</w:t>
      </w:r>
    </w:p>
    <w:tbl>
      <w:tblPr>
        <w:tblStyle w:val="42"/>
        <w:tblW w:w="93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2420"/>
        <w:gridCol w:w="1763"/>
        <w:gridCol w:w="3628"/>
        <w:gridCol w:w="893"/>
      </w:tblGrid>
      <w:tr w14:paraId="1F732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4" w:type="dxa"/>
            <w:noWrap/>
            <w:vAlign w:val="center"/>
          </w:tcPr>
          <w:p w14:paraId="3C38D912">
            <w:pPr>
              <w:jc w:val="center"/>
              <w:rPr>
                <w:rFonts w:ascii="宋体"/>
                <w:color w:val="auto"/>
                <w:szCs w:val="21"/>
                <w:highlight w:val="none"/>
              </w:rPr>
            </w:pPr>
            <w:r>
              <w:rPr>
                <w:rFonts w:hint="eastAsia" w:ascii="宋体" w:hAnsi="宋体"/>
                <w:color w:val="auto"/>
                <w:szCs w:val="21"/>
                <w:highlight w:val="none"/>
              </w:rPr>
              <w:t>序号</w:t>
            </w:r>
          </w:p>
        </w:tc>
        <w:tc>
          <w:tcPr>
            <w:tcW w:w="2420" w:type="dxa"/>
            <w:noWrap/>
            <w:vAlign w:val="center"/>
          </w:tcPr>
          <w:p w14:paraId="712E602B">
            <w:pPr>
              <w:jc w:val="center"/>
              <w:rPr>
                <w:rFonts w:hint="eastAsia" w:ascii="宋体" w:eastAsia="宋体"/>
                <w:color w:val="auto"/>
                <w:szCs w:val="21"/>
                <w:highlight w:val="none"/>
                <w:lang w:eastAsia="zh-CN"/>
              </w:rPr>
            </w:pPr>
            <w:r>
              <w:rPr>
                <w:rFonts w:hint="eastAsia" w:ascii="宋体" w:hAnsi="宋体"/>
                <w:color w:val="auto"/>
                <w:szCs w:val="21"/>
                <w:highlight w:val="none"/>
              </w:rPr>
              <w:t>条款</w:t>
            </w:r>
            <w:r>
              <w:rPr>
                <w:rFonts w:hint="eastAsia" w:ascii="宋体" w:hAnsi="宋体"/>
                <w:color w:val="auto"/>
                <w:szCs w:val="21"/>
                <w:highlight w:val="none"/>
                <w:lang w:val="en-US" w:eastAsia="zh-CN"/>
              </w:rPr>
              <w:t>内容</w:t>
            </w:r>
          </w:p>
        </w:tc>
        <w:tc>
          <w:tcPr>
            <w:tcW w:w="1763" w:type="dxa"/>
            <w:noWrap/>
            <w:vAlign w:val="center"/>
          </w:tcPr>
          <w:p w14:paraId="0091A82C">
            <w:pPr>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合同条款号</w:t>
            </w:r>
          </w:p>
        </w:tc>
        <w:tc>
          <w:tcPr>
            <w:tcW w:w="3628" w:type="dxa"/>
            <w:noWrap/>
            <w:vAlign w:val="center"/>
          </w:tcPr>
          <w:p w14:paraId="3AE1C23D">
            <w:pPr>
              <w:jc w:val="center"/>
              <w:rPr>
                <w:rFonts w:ascii="宋体"/>
                <w:color w:val="auto"/>
                <w:szCs w:val="21"/>
                <w:highlight w:val="none"/>
              </w:rPr>
            </w:pPr>
            <w:r>
              <w:rPr>
                <w:rFonts w:hint="eastAsia" w:ascii="宋体" w:hAnsi="宋体"/>
                <w:color w:val="auto"/>
                <w:szCs w:val="21"/>
                <w:highlight w:val="none"/>
              </w:rPr>
              <w:t>约定内容</w:t>
            </w:r>
          </w:p>
        </w:tc>
        <w:tc>
          <w:tcPr>
            <w:tcW w:w="893" w:type="dxa"/>
            <w:noWrap/>
            <w:vAlign w:val="center"/>
          </w:tcPr>
          <w:p w14:paraId="552BF710">
            <w:pPr>
              <w:jc w:val="center"/>
              <w:rPr>
                <w:rFonts w:ascii="宋体"/>
                <w:color w:val="auto"/>
                <w:szCs w:val="21"/>
                <w:highlight w:val="none"/>
              </w:rPr>
            </w:pPr>
            <w:r>
              <w:rPr>
                <w:rFonts w:hint="eastAsia" w:ascii="宋体" w:hAnsi="宋体"/>
                <w:color w:val="auto"/>
                <w:szCs w:val="21"/>
                <w:highlight w:val="none"/>
              </w:rPr>
              <w:t>备注</w:t>
            </w:r>
          </w:p>
        </w:tc>
      </w:tr>
      <w:tr w14:paraId="6C601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4" w:type="dxa"/>
            <w:noWrap/>
            <w:vAlign w:val="center"/>
          </w:tcPr>
          <w:p w14:paraId="2621A293">
            <w:pPr>
              <w:spacing w:line="440" w:lineRule="exact"/>
              <w:jc w:val="center"/>
              <w:rPr>
                <w:rFonts w:ascii="宋体"/>
                <w:color w:val="auto"/>
                <w:szCs w:val="21"/>
                <w:highlight w:val="none"/>
              </w:rPr>
            </w:pPr>
            <w:r>
              <w:rPr>
                <w:rFonts w:ascii="宋体" w:hAnsi="宋体"/>
                <w:color w:val="auto"/>
                <w:szCs w:val="21"/>
                <w:highlight w:val="none"/>
              </w:rPr>
              <w:t>1</w:t>
            </w:r>
          </w:p>
        </w:tc>
        <w:tc>
          <w:tcPr>
            <w:tcW w:w="2420" w:type="dxa"/>
            <w:noWrap/>
            <w:vAlign w:val="center"/>
          </w:tcPr>
          <w:p w14:paraId="4ED25132">
            <w:pPr>
              <w:spacing w:line="440" w:lineRule="exact"/>
              <w:jc w:val="left"/>
              <w:rPr>
                <w:rFonts w:ascii="宋体"/>
                <w:color w:val="auto"/>
                <w:szCs w:val="21"/>
                <w:highlight w:val="none"/>
              </w:rPr>
            </w:pPr>
            <w:r>
              <w:rPr>
                <w:rFonts w:hint="eastAsia" w:ascii="宋体" w:hAnsi="宋体"/>
                <w:color w:val="auto"/>
                <w:szCs w:val="21"/>
                <w:highlight w:val="none"/>
              </w:rPr>
              <w:t>项目经理</w:t>
            </w:r>
          </w:p>
        </w:tc>
        <w:tc>
          <w:tcPr>
            <w:tcW w:w="1763" w:type="dxa"/>
            <w:noWrap/>
            <w:vAlign w:val="center"/>
          </w:tcPr>
          <w:p w14:paraId="615BC818">
            <w:pPr>
              <w:spacing w:line="440" w:lineRule="exact"/>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1.1.2.7</w:t>
            </w:r>
          </w:p>
        </w:tc>
        <w:tc>
          <w:tcPr>
            <w:tcW w:w="3628" w:type="dxa"/>
            <w:noWrap/>
            <w:vAlign w:val="center"/>
          </w:tcPr>
          <w:p w14:paraId="32AA5001">
            <w:pPr>
              <w:keepNext w:val="0"/>
              <w:keepLines w:val="0"/>
              <w:widowControl/>
              <w:suppressLineNumbers w:val="0"/>
              <w:jc w:val="left"/>
              <w:rPr>
                <w:rFonts w:ascii="宋体"/>
                <w:color w:val="auto"/>
                <w:szCs w:val="21"/>
                <w:highlight w:val="none"/>
              </w:rPr>
            </w:pPr>
            <w:r>
              <w:rPr>
                <w:rFonts w:hint="eastAsia" w:ascii="宋体" w:hAnsi="宋体" w:eastAsia="宋体" w:cs="宋体"/>
                <w:color w:val="auto"/>
                <w:kern w:val="0"/>
                <w:sz w:val="21"/>
                <w:szCs w:val="21"/>
                <w:highlight w:val="none"/>
                <w:lang w:val="en-US" w:eastAsia="zh-CN" w:bidi="ar"/>
              </w:rPr>
              <w:t>（见投标函）</w:t>
            </w:r>
          </w:p>
        </w:tc>
        <w:tc>
          <w:tcPr>
            <w:tcW w:w="893" w:type="dxa"/>
            <w:noWrap/>
            <w:vAlign w:val="center"/>
          </w:tcPr>
          <w:p w14:paraId="4D3545EB">
            <w:pPr>
              <w:spacing w:line="440" w:lineRule="exact"/>
              <w:rPr>
                <w:rFonts w:ascii="宋体"/>
                <w:color w:val="auto"/>
                <w:szCs w:val="21"/>
                <w:highlight w:val="none"/>
              </w:rPr>
            </w:pPr>
          </w:p>
        </w:tc>
      </w:tr>
      <w:tr w14:paraId="4199F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4" w:type="dxa"/>
            <w:shd w:val="clear" w:color="auto" w:fill="auto"/>
            <w:noWrap/>
            <w:vAlign w:val="center"/>
          </w:tcPr>
          <w:p w14:paraId="76738B39">
            <w:pPr>
              <w:jc w:val="center"/>
              <w:rPr>
                <w:rFonts w:ascii="宋体" w:hAnsi="Times New Roman" w:eastAsia="宋体" w:cs="Times New Roman"/>
                <w:color w:val="auto"/>
                <w:kern w:val="2"/>
                <w:sz w:val="21"/>
                <w:szCs w:val="21"/>
                <w:highlight w:val="none"/>
                <w:lang w:val="en-US" w:eastAsia="zh-CN" w:bidi="ar-SA"/>
              </w:rPr>
            </w:pPr>
            <w:r>
              <w:rPr>
                <w:rFonts w:ascii="宋体" w:hAnsi="宋体"/>
                <w:color w:val="auto"/>
                <w:szCs w:val="21"/>
                <w:highlight w:val="none"/>
              </w:rPr>
              <w:t>2</w:t>
            </w:r>
          </w:p>
        </w:tc>
        <w:tc>
          <w:tcPr>
            <w:tcW w:w="2420" w:type="dxa"/>
            <w:noWrap/>
            <w:vAlign w:val="center"/>
          </w:tcPr>
          <w:p w14:paraId="0CE53226">
            <w:pPr>
              <w:spacing w:line="440" w:lineRule="exact"/>
              <w:jc w:val="left"/>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工期</w:t>
            </w:r>
          </w:p>
        </w:tc>
        <w:tc>
          <w:tcPr>
            <w:tcW w:w="1763" w:type="dxa"/>
            <w:noWrap/>
            <w:vAlign w:val="center"/>
          </w:tcPr>
          <w:p w14:paraId="0905E4FE">
            <w:pPr>
              <w:spacing w:line="440" w:lineRule="exact"/>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1.1.4.5</w:t>
            </w:r>
          </w:p>
        </w:tc>
        <w:tc>
          <w:tcPr>
            <w:tcW w:w="3628" w:type="dxa"/>
            <w:noWrap/>
            <w:vAlign w:val="center"/>
          </w:tcPr>
          <w:p w14:paraId="7C0CF5C7">
            <w:pPr>
              <w:spacing w:line="440" w:lineRule="exact"/>
              <w:rPr>
                <w:rFonts w:hint="eastAsia" w:ascii="宋体" w:hAnsi="宋体"/>
                <w:color w:val="auto"/>
                <w:szCs w:val="21"/>
                <w:highlight w:val="none"/>
              </w:rPr>
            </w:pPr>
            <w:r>
              <w:rPr>
                <w:rFonts w:hint="eastAsia" w:ascii="宋体" w:hAnsi="宋体" w:eastAsia="宋体" w:cs="宋体"/>
                <w:color w:val="auto"/>
                <w:kern w:val="0"/>
                <w:sz w:val="21"/>
                <w:szCs w:val="21"/>
                <w:highlight w:val="none"/>
                <w:lang w:val="en-US" w:eastAsia="zh-CN" w:bidi="ar"/>
              </w:rPr>
              <w:t>（见投标函）</w:t>
            </w:r>
          </w:p>
        </w:tc>
        <w:tc>
          <w:tcPr>
            <w:tcW w:w="893" w:type="dxa"/>
            <w:noWrap/>
            <w:vAlign w:val="center"/>
          </w:tcPr>
          <w:p w14:paraId="4920B530">
            <w:pPr>
              <w:spacing w:line="440" w:lineRule="exact"/>
              <w:rPr>
                <w:rFonts w:ascii="宋体"/>
                <w:color w:val="auto"/>
                <w:szCs w:val="21"/>
                <w:highlight w:val="none"/>
              </w:rPr>
            </w:pPr>
          </w:p>
        </w:tc>
      </w:tr>
      <w:tr w14:paraId="0A2DF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4" w:type="dxa"/>
            <w:shd w:val="clear" w:color="auto" w:fill="auto"/>
            <w:noWrap/>
            <w:vAlign w:val="center"/>
          </w:tcPr>
          <w:p w14:paraId="4BE2666A">
            <w:pPr>
              <w:jc w:val="center"/>
              <w:rPr>
                <w:rFonts w:ascii="宋体" w:hAnsi="Times New Roman" w:eastAsia="宋体" w:cs="Times New Roman"/>
                <w:color w:val="auto"/>
                <w:kern w:val="2"/>
                <w:sz w:val="21"/>
                <w:szCs w:val="21"/>
                <w:highlight w:val="none"/>
                <w:lang w:val="en-US" w:eastAsia="zh-CN" w:bidi="ar-SA"/>
              </w:rPr>
            </w:pPr>
            <w:r>
              <w:rPr>
                <w:rFonts w:hint="eastAsia" w:ascii="宋体" w:hAnsi="宋体"/>
                <w:color w:val="auto"/>
                <w:szCs w:val="21"/>
                <w:highlight w:val="none"/>
              </w:rPr>
              <w:t>3</w:t>
            </w:r>
          </w:p>
        </w:tc>
        <w:tc>
          <w:tcPr>
            <w:tcW w:w="2420" w:type="dxa"/>
            <w:noWrap/>
            <w:vAlign w:val="center"/>
          </w:tcPr>
          <w:p w14:paraId="68D10736">
            <w:pPr>
              <w:spacing w:line="440" w:lineRule="exact"/>
              <w:jc w:val="left"/>
              <w:rPr>
                <w:rFonts w:ascii="宋体"/>
                <w:color w:val="auto"/>
                <w:szCs w:val="21"/>
                <w:highlight w:val="none"/>
              </w:rPr>
            </w:pPr>
            <w:r>
              <w:rPr>
                <w:rFonts w:hint="eastAsia" w:ascii="宋体"/>
                <w:color w:val="auto"/>
                <w:szCs w:val="21"/>
                <w:highlight w:val="none"/>
                <w:lang w:val="en-US" w:eastAsia="zh-CN"/>
              </w:rPr>
              <w:t>缺陷责任期</w:t>
            </w:r>
          </w:p>
        </w:tc>
        <w:tc>
          <w:tcPr>
            <w:tcW w:w="1763" w:type="dxa"/>
            <w:noWrap/>
            <w:vAlign w:val="center"/>
          </w:tcPr>
          <w:p w14:paraId="64DE761D">
            <w:pPr>
              <w:spacing w:line="440" w:lineRule="exact"/>
              <w:jc w:val="center"/>
              <w:rPr>
                <w:rFonts w:hint="default" w:ascii="宋体" w:hAnsi="宋体"/>
                <w:color w:val="auto"/>
                <w:szCs w:val="21"/>
                <w:highlight w:val="none"/>
                <w:lang w:val="en-US"/>
              </w:rPr>
            </w:pPr>
            <w:r>
              <w:rPr>
                <w:rFonts w:hint="eastAsia" w:ascii="宋体" w:hAnsi="宋体"/>
                <w:color w:val="auto"/>
                <w:szCs w:val="21"/>
                <w:highlight w:val="none"/>
                <w:lang w:val="en-US" w:eastAsia="zh-CN"/>
              </w:rPr>
              <w:t>1.1.4.6</w:t>
            </w:r>
          </w:p>
        </w:tc>
        <w:tc>
          <w:tcPr>
            <w:tcW w:w="3628" w:type="dxa"/>
            <w:noWrap/>
            <w:vAlign w:val="center"/>
          </w:tcPr>
          <w:p w14:paraId="365CC28A">
            <w:pPr>
              <w:spacing w:line="440" w:lineRule="exact"/>
              <w:rPr>
                <w:rFonts w:ascii="宋体"/>
                <w:color w:val="auto"/>
                <w:szCs w:val="21"/>
                <w:highlight w:val="none"/>
              </w:rPr>
            </w:pPr>
          </w:p>
        </w:tc>
        <w:tc>
          <w:tcPr>
            <w:tcW w:w="893" w:type="dxa"/>
            <w:noWrap/>
            <w:vAlign w:val="center"/>
          </w:tcPr>
          <w:p w14:paraId="11D9A289">
            <w:pPr>
              <w:spacing w:line="440" w:lineRule="exact"/>
              <w:rPr>
                <w:rFonts w:ascii="宋体"/>
                <w:color w:val="auto"/>
                <w:szCs w:val="21"/>
                <w:highlight w:val="none"/>
              </w:rPr>
            </w:pPr>
          </w:p>
        </w:tc>
      </w:tr>
      <w:tr w14:paraId="5D426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4" w:type="dxa"/>
            <w:shd w:val="clear" w:color="auto" w:fill="auto"/>
            <w:noWrap/>
            <w:vAlign w:val="center"/>
          </w:tcPr>
          <w:p w14:paraId="091DB268">
            <w:pPr>
              <w:jc w:val="center"/>
              <w:rPr>
                <w:rFonts w:ascii="宋体" w:hAnsi="Times New Roman" w:eastAsia="宋体" w:cs="Times New Roman"/>
                <w:color w:val="auto"/>
                <w:kern w:val="2"/>
                <w:sz w:val="21"/>
                <w:szCs w:val="21"/>
                <w:highlight w:val="none"/>
                <w:lang w:val="en-US" w:eastAsia="zh-CN" w:bidi="ar-SA"/>
              </w:rPr>
            </w:pPr>
            <w:r>
              <w:rPr>
                <w:rFonts w:hint="eastAsia" w:ascii="宋体" w:hAnsi="宋体"/>
                <w:color w:val="auto"/>
                <w:szCs w:val="21"/>
                <w:highlight w:val="none"/>
              </w:rPr>
              <w:t>4</w:t>
            </w:r>
          </w:p>
        </w:tc>
        <w:tc>
          <w:tcPr>
            <w:tcW w:w="2420" w:type="dxa"/>
            <w:noWrap/>
            <w:vAlign w:val="center"/>
          </w:tcPr>
          <w:p w14:paraId="7A3E90B3">
            <w:pPr>
              <w:keepNext w:val="0"/>
              <w:keepLines w:val="0"/>
              <w:widowControl/>
              <w:suppressLineNumbers w:val="0"/>
              <w:jc w:val="left"/>
              <w:rPr>
                <w:color w:val="auto"/>
                <w:highlight w:val="none"/>
              </w:rPr>
            </w:pPr>
            <w:r>
              <w:rPr>
                <w:rFonts w:hint="eastAsia" w:ascii="宋体" w:hAnsi="宋体" w:eastAsia="宋体" w:cs="宋体"/>
                <w:color w:val="auto"/>
                <w:kern w:val="0"/>
                <w:sz w:val="21"/>
                <w:szCs w:val="21"/>
                <w:highlight w:val="none"/>
                <w:lang w:val="en-US" w:eastAsia="zh-CN" w:bidi="ar"/>
              </w:rPr>
              <w:t xml:space="preserve">项目经理每月在施工现 </w:t>
            </w:r>
          </w:p>
          <w:p w14:paraId="3663A117">
            <w:pPr>
              <w:keepNext w:val="0"/>
              <w:keepLines w:val="0"/>
              <w:widowControl/>
              <w:suppressLineNumbers w:val="0"/>
              <w:jc w:val="left"/>
              <w:rPr>
                <w:rFonts w:ascii="宋体"/>
                <w:color w:val="auto"/>
                <w:szCs w:val="21"/>
                <w:highlight w:val="none"/>
              </w:rPr>
            </w:pPr>
            <w:r>
              <w:rPr>
                <w:rFonts w:hint="eastAsia" w:ascii="宋体" w:hAnsi="宋体" w:eastAsia="宋体" w:cs="宋体"/>
                <w:color w:val="auto"/>
                <w:kern w:val="0"/>
                <w:sz w:val="21"/>
                <w:szCs w:val="21"/>
                <w:highlight w:val="none"/>
                <w:lang w:val="en-US" w:eastAsia="zh-CN" w:bidi="ar"/>
              </w:rPr>
              <w:t>场的时间</w:t>
            </w:r>
          </w:p>
        </w:tc>
        <w:tc>
          <w:tcPr>
            <w:tcW w:w="1763" w:type="dxa"/>
            <w:noWrap/>
            <w:vAlign w:val="center"/>
          </w:tcPr>
          <w:p w14:paraId="2A37A301">
            <w:pPr>
              <w:spacing w:line="440" w:lineRule="exact"/>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4.3.2</w:t>
            </w:r>
          </w:p>
        </w:tc>
        <w:tc>
          <w:tcPr>
            <w:tcW w:w="3628" w:type="dxa"/>
            <w:noWrap/>
            <w:vAlign w:val="center"/>
          </w:tcPr>
          <w:p w14:paraId="33DC14BE">
            <w:pPr>
              <w:spacing w:line="440" w:lineRule="exact"/>
              <w:rPr>
                <w:rFonts w:ascii="宋体"/>
                <w:color w:val="auto"/>
                <w:szCs w:val="21"/>
                <w:highlight w:val="none"/>
              </w:rPr>
            </w:pPr>
          </w:p>
        </w:tc>
        <w:tc>
          <w:tcPr>
            <w:tcW w:w="893" w:type="dxa"/>
            <w:noWrap/>
            <w:vAlign w:val="center"/>
          </w:tcPr>
          <w:p w14:paraId="08AE4912">
            <w:pPr>
              <w:spacing w:line="440" w:lineRule="exact"/>
              <w:rPr>
                <w:rFonts w:ascii="宋体"/>
                <w:color w:val="auto"/>
                <w:szCs w:val="21"/>
                <w:highlight w:val="none"/>
              </w:rPr>
            </w:pPr>
          </w:p>
        </w:tc>
      </w:tr>
      <w:tr w14:paraId="11249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4" w:type="dxa"/>
            <w:shd w:val="clear" w:color="auto" w:fill="auto"/>
            <w:noWrap/>
            <w:vAlign w:val="center"/>
          </w:tcPr>
          <w:p w14:paraId="127753E8">
            <w:pPr>
              <w:jc w:val="center"/>
              <w:rPr>
                <w:rFonts w:ascii="宋体" w:hAnsi="Times New Roman" w:eastAsia="宋体" w:cs="Times New Roman"/>
                <w:color w:val="auto"/>
                <w:kern w:val="2"/>
                <w:sz w:val="21"/>
                <w:szCs w:val="21"/>
                <w:highlight w:val="none"/>
                <w:lang w:val="en-US" w:eastAsia="zh-CN" w:bidi="ar-SA"/>
              </w:rPr>
            </w:pPr>
            <w:r>
              <w:rPr>
                <w:rFonts w:hint="eastAsia" w:ascii="宋体"/>
                <w:color w:val="auto"/>
                <w:szCs w:val="21"/>
                <w:highlight w:val="none"/>
              </w:rPr>
              <w:t>5</w:t>
            </w:r>
          </w:p>
        </w:tc>
        <w:tc>
          <w:tcPr>
            <w:tcW w:w="2420" w:type="dxa"/>
            <w:noWrap/>
            <w:vAlign w:val="center"/>
          </w:tcPr>
          <w:p w14:paraId="4339069A">
            <w:pPr>
              <w:keepNext w:val="0"/>
              <w:keepLines w:val="0"/>
              <w:widowControl/>
              <w:suppressLineNumbers w:val="0"/>
              <w:jc w:val="left"/>
              <w:rPr>
                <w:color w:val="auto"/>
                <w:highlight w:val="none"/>
              </w:rPr>
            </w:pPr>
            <w:r>
              <w:rPr>
                <w:rFonts w:hint="eastAsia" w:ascii="宋体" w:hAnsi="宋体" w:eastAsia="宋体" w:cs="宋体"/>
                <w:color w:val="auto"/>
                <w:kern w:val="0"/>
                <w:sz w:val="21"/>
                <w:szCs w:val="21"/>
                <w:highlight w:val="none"/>
                <w:lang w:val="en-US" w:eastAsia="zh-CN" w:bidi="ar"/>
              </w:rPr>
              <w:t xml:space="preserve">项目经理擅自离开施工 </w:t>
            </w:r>
          </w:p>
          <w:p w14:paraId="63475099">
            <w:pPr>
              <w:keepNext w:val="0"/>
              <w:keepLines w:val="0"/>
              <w:widowControl/>
              <w:suppressLineNumbers w:val="0"/>
              <w:jc w:val="left"/>
              <w:rPr>
                <w:rFonts w:ascii="宋体"/>
                <w:color w:val="auto"/>
                <w:szCs w:val="21"/>
                <w:highlight w:val="none"/>
              </w:rPr>
            </w:pPr>
            <w:r>
              <w:rPr>
                <w:rFonts w:hint="eastAsia" w:ascii="宋体" w:hAnsi="宋体" w:eastAsia="宋体" w:cs="宋体"/>
                <w:color w:val="auto"/>
                <w:kern w:val="0"/>
                <w:sz w:val="21"/>
                <w:szCs w:val="21"/>
                <w:highlight w:val="none"/>
                <w:lang w:val="en-US" w:eastAsia="zh-CN" w:bidi="ar"/>
              </w:rPr>
              <w:t>现场的违约责任</w:t>
            </w:r>
          </w:p>
        </w:tc>
        <w:tc>
          <w:tcPr>
            <w:tcW w:w="1763" w:type="dxa"/>
            <w:noWrap/>
            <w:vAlign w:val="center"/>
          </w:tcPr>
          <w:p w14:paraId="7D61CCF6">
            <w:pPr>
              <w:spacing w:line="440" w:lineRule="exact"/>
              <w:jc w:val="center"/>
              <w:rPr>
                <w:rFonts w:hint="eastAsia" w:ascii="宋体" w:hAnsi="宋体"/>
                <w:color w:val="auto"/>
                <w:szCs w:val="21"/>
                <w:highlight w:val="none"/>
              </w:rPr>
            </w:pPr>
            <w:r>
              <w:rPr>
                <w:rFonts w:hint="eastAsia" w:ascii="宋体" w:hAnsi="宋体"/>
                <w:color w:val="auto"/>
                <w:szCs w:val="21"/>
                <w:highlight w:val="none"/>
                <w:lang w:val="en-US" w:eastAsia="zh-CN"/>
              </w:rPr>
              <w:t>4.3.2</w:t>
            </w:r>
          </w:p>
        </w:tc>
        <w:tc>
          <w:tcPr>
            <w:tcW w:w="3628" w:type="dxa"/>
            <w:noWrap/>
            <w:vAlign w:val="center"/>
          </w:tcPr>
          <w:p w14:paraId="056B1A82">
            <w:pPr>
              <w:spacing w:line="440" w:lineRule="exact"/>
              <w:rPr>
                <w:rFonts w:ascii="宋体"/>
                <w:color w:val="auto"/>
                <w:szCs w:val="21"/>
                <w:highlight w:val="none"/>
              </w:rPr>
            </w:pPr>
          </w:p>
        </w:tc>
        <w:tc>
          <w:tcPr>
            <w:tcW w:w="893" w:type="dxa"/>
            <w:noWrap/>
            <w:vAlign w:val="center"/>
          </w:tcPr>
          <w:p w14:paraId="5EE72FC7">
            <w:pPr>
              <w:spacing w:line="440" w:lineRule="exact"/>
              <w:rPr>
                <w:rFonts w:ascii="宋体"/>
                <w:color w:val="auto"/>
                <w:szCs w:val="21"/>
                <w:highlight w:val="none"/>
              </w:rPr>
            </w:pPr>
          </w:p>
        </w:tc>
      </w:tr>
      <w:tr w14:paraId="26804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4" w:type="dxa"/>
            <w:shd w:val="clear" w:color="auto" w:fill="auto"/>
            <w:noWrap/>
            <w:vAlign w:val="center"/>
          </w:tcPr>
          <w:p w14:paraId="42ACC5D9">
            <w:pPr>
              <w:jc w:val="center"/>
              <w:rPr>
                <w:rFonts w:ascii="宋体" w:hAnsi="Times New Roman" w:eastAsia="宋体" w:cs="Times New Roman"/>
                <w:color w:val="auto"/>
                <w:kern w:val="2"/>
                <w:sz w:val="21"/>
                <w:szCs w:val="21"/>
                <w:highlight w:val="none"/>
                <w:lang w:val="en-US" w:eastAsia="zh-CN" w:bidi="ar-SA"/>
              </w:rPr>
            </w:pPr>
            <w:r>
              <w:rPr>
                <w:rFonts w:hint="eastAsia" w:ascii="宋体"/>
                <w:color w:val="auto"/>
                <w:szCs w:val="21"/>
                <w:highlight w:val="none"/>
              </w:rPr>
              <w:t>6</w:t>
            </w:r>
          </w:p>
        </w:tc>
        <w:tc>
          <w:tcPr>
            <w:tcW w:w="2420" w:type="dxa"/>
            <w:noWrap/>
            <w:vAlign w:val="center"/>
          </w:tcPr>
          <w:p w14:paraId="63799610">
            <w:pPr>
              <w:spacing w:line="440" w:lineRule="exact"/>
              <w:rPr>
                <w:rFonts w:ascii="宋体" w:hAnsi="宋体"/>
                <w:color w:val="auto"/>
                <w:szCs w:val="21"/>
                <w:highlight w:val="none"/>
              </w:rPr>
            </w:pPr>
            <w:r>
              <w:rPr>
                <w:rFonts w:hint="eastAsia" w:ascii="宋体" w:hAnsi="宋体"/>
                <w:color w:val="auto"/>
                <w:szCs w:val="21"/>
                <w:highlight w:val="none"/>
                <w:lang w:val="en-US" w:eastAsia="zh-CN"/>
              </w:rPr>
              <w:t xml:space="preserve">擅自更换项目经理的违 </w:t>
            </w:r>
          </w:p>
          <w:p w14:paraId="44E02A8F">
            <w:pPr>
              <w:spacing w:line="440" w:lineRule="exact"/>
              <w:rPr>
                <w:rFonts w:ascii="宋体" w:hAnsi="宋体"/>
                <w:color w:val="auto"/>
                <w:szCs w:val="21"/>
                <w:highlight w:val="none"/>
              </w:rPr>
            </w:pPr>
            <w:r>
              <w:rPr>
                <w:rFonts w:hint="eastAsia" w:ascii="宋体" w:hAnsi="宋体"/>
                <w:color w:val="auto"/>
                <w:szCs w:val="21"/>
                <w:highlight w:val="none"/>
                <w:lang w:val="en-US" w:eastAsia="zh-CN"/>
              </w:rPr>
              <w:t>约责任</w:t>
            </w:r>
          </w:p>
        </w:tc>
        <w:tc>
          <w:tcPr>
            <w:tcW w:w="1763" w:type="dxa"/>
            <w:noWrap/>
            <w:vAlign w:val="center"/>
          </w:tcPr>
          <w:p w14:paraId="276A15BE">
            <w:pPr>
              <w:keepNext w:val="0"/>
              <w:keepLines w:val="0"/>
              <w:widowControl/>
              <w:suppressLineNumbers w:val="0"/>
              <w:jc w:val="center"/>
              <w:rPr>
                <w:rFonts w:hint="eastAsia" w:ascii="宋体" w:hAnsi="宋体"/>
                <w:color w:val="auto"/>
                <w:szCs w:val="21"/>
                <w:highlight w:val="none"/>
              </w:rPr>
            </w:pPr>
            <w:r>
              <w:rPr>
                <w:rFonts w:hint="eastAsia" w:ascii="宋体" w:hAnsi="宋体" w:eastAsia="宋体" w:cs="宋体"/>
                <w:color w:val="auto"/>
                <w:kern w:val="0"/>
                <w:sz w:val="21"/>
                <w:szCs w:val="21"/>
                <w:highlight w:val="none"/>
                <w:lang w:val="en-US" w:eastAsia="zh-CN" w:bidi="ar"/>
              </w:rPr>
              <w:t>4.3.4</w:t>
            </w:r>
          </w:p>
        </w:tc>
        <w:tc>
          <w:tcPr>
            <w:tcW w:w="3628" w:type="dxa"/>
            <w:noWrap/>
            <w:vAlign w:val="center"/>
          </w:tcPr>
          <w:p w14:paraId="0BE5C40C">
            <w:pPr>
              <w:spacing w:line="440" w:lineRule="exact"/>
              <w:rPr>
                <w:rFonts w:ascii="宋体" w:hAnsi="宋体"/>
                <w:color w:val="auto"/>
                <w:szCs w:val="21"/>
                <w:highlight w:val="none"/>
              </w:rPr>
            </w:pPr>
          </w:p>
        </w:tc>
        <w:tc>
          <w:tcPr>
            <w:tcW w:w="893" w:type="dxa"/>
            <w:noWrap/>
            <w:vAlign w:val="center"/>
          </w:tcPr>
          <w:p w14:paraId="5EFA2779">
            <w:pPr>
              <w:spacing w:line="440" w:lineRule="exact"/>
              <w:rPr>
                <w:rFonts w:ascii="宋体"/>
                <w:color w:val="auto"/>
                <w:szCs w:val="21"/>
                <w:highlight w:val="none"/>
              </w:rPr>
            </w:pPr>
          </w:p>
        </w:tc>
      </w:tr>
      <w:tr w14:paraId="068C6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4" w:type="dxa"/>
            <w:shd w:val="clear" w:color="auto" w:fill="auto"/>
            <w:noWrap/>
            <w:vAlign w:val="center"/>
          </w:tcPr>
          <w:p w14:paraId="0FF56AA2">
            <w:pPr>
              <w:jc w:val="center"/>
              <w:rPr>
                <w:rFonts w:ascii="宋体" w:hAnsi="Times New Roman" w:eastAsia="宋体" w:cs="Times New Roman"/>
                <w:color w:val="auto"/>
                <w:kern w:val="2"/>
                <w:sz w:val="21"/>
                <w:szCs w:val="21"/>
                <w:highlight w:val="none"/>
                <w:lang w:val="en-US" w:eastAsia="zh-CN" w:bidi="ar-SA"/>
              </w:rPr>
            </w:pPr>
            <w:r>
              <w:rPr>
                <w:rFonts w:hint="eastAsia" w:ascii="宋体"/>
                <w:color w:val="auto"/>
                <w:szCs w:val="21"/>
                <w:highlight w:val="none"/>
              </w:rPr>
              <w:t>7</w:t>
            </w:r>
          </w:p>
        </w:tc>
        <w:tc>
          <w:tcPr>
            <w:tcW w:w="2420" w:type="dxa"/>
            <w:noWrap/>
            <w:vAlign w:val="center"/>
          </w:tcPr>
          <w:p w14:paraId="6098DF8F">
            <w:pPr>
              <w:spacing w:line="440" w:lineRule="exact"/>
              <w:rPr>
                <w:rFonts w:ascii="宋体"/>
                <w:color w:val="auto"/>
                <w:szCs w:val="21"/>
                <w:highlight w:val="none"/>
              </w:rPr>
            </w:pPr>
            <w:r>
              <w:rPr>
                <w:rFonts w:hint="eastAsia" w:ascii="宋体"/>
                <w:color w:val="auto"/>
                <w:szCs w:val="21"/>
                <w:highlight w:val="none"/>
                <w:lang w:val="en-US" w:eastAsia="zh-CN"/>
              </w:rPr>
              <w:t xml:space="preserve">无正当理由拒绝更换项 </w:t>
            </w:r>
          </w:p>
          <w:p w14:paraId="21366DA5">
            <w:pPr>
              <w:spacing w:line="440" w:lineRule="exact"/>
              <w:rPr>
                <w:rFonts w:ascii="宋体"/>
                <w:color w:val="auto"/>
                <w:szCs w:val="21"/>
                <w:highlight w:val="none"/>
              </w:rPr>
            </w:pPr>
            <w:r>
              <w:rPr>
                <w:rFonts w:hint="eastAsia" w:ascii="宋体"/>
                <w:color w:val="auto"/>
                <w:szCs w:val="21"/>
                <w:highlight w:val="none"/>
                <w:lang w:val="en-US" w:eastAsia="zh-CN"/>
              </w:rPr>
              <w:t>目经理的违约责任</w:t>
            </w:r>
          </w:p>
        </w:tc>
        <w:tc>
          <w:tcPr>
            <w:tcW w:w="1763" w:type="dxa"/>
            <w:noWrap/>
            <w:vAlign w:val="center"/>
          </w:tcPr>
          <w:p w14:paraId="18DFAEF3">
            <w:pPr>
              <w:keepNext w:val="0"/>
              <w:keepLines w:val="0"/>
              <w:widowControl/>
              <w:suppressLineNumbers w:val="0"/>
              <w:jc w:val="center"/>
              <w:rPr>
                <w:rFonts w:hint="eastAsia" w:ascii="宋体" w:hAnsi="宋体"/>
                <w:color w:val="auto"/>
                <w:szCs w:val="21"/>
                <w:highlight w:val="none"/>
              </w:rPr>
            </w:pPr>
            <w:r>
              <w:rPr>
                <w:rFonts w:hint="eastAsia" w:ascii="宋体" w:hAnsi="宋体" w:eastAsia="宋体" w:cs="宋体"/>
                <w:color w:val="auto"/>
                <w:kern w:val="0"/>
                <w:sz w:val="21"/>
                <w:szCs w:val="21"/>
                <w:highlight w:val="none"/>
                <w:lang w:val="en-US" w:eastAsia="zh-CN" w:bidi="ar"/>
              </w:rPr>
              <w:t>4.3.5</w:t>
            </w:r>
          </w:p>
        </w:tc>
        <w:tc>
          <w:tcPr>
            <w:tcW w:w="3628" w:type="dxa"/>
            <w:noWrap/>
            <w:vAlign w:val="center"/>
          </w:tcPr>
          <w:p w14:paraId="51CCDA23">
            <w:pPr>
              <w:spacing w:line="440" w:lineRule="exact"/>
              <w:rPr>
                <w:rFonts w:ascii="宋体"/>
                <w:color w:val="auto"/>
                <w:szCs w:val="21"/>
                <w:highlight w:val="none"/>
              </w:rPr>
            </w:pPr>
          </w:p>
        </w:tc>
        <w:tc>
          <w:tcPr>
            <w:tcW w:w="893" w:type="dxa"/>
            <w:noWrap/>
            <w:vAlign w:val="center"/>
          </w:tcPr>
          <w:p w14:paraId="7CCF1EBC">
            <w:pPr>
              <w:spacing w:line="440" w:lineRule="exact"/>
              <w:rPr>
                <w:rFonts w:ascii="宋体"/>
                <w:color w:val="auto"/>
                <w:szCs w:val="21"/>
                <w:highlight w:val="none"/>
              </w:rPr>
            </w:pPr>
          </w:p>
        </w:tc>
      </w:tr>
      <w:tr w14:paraId="7E4C9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4" w:type="dxa"/>
            <w:shd w:val="clear" w:color="auto" w:fill="auto"/>
            <w:noWrap/>
            <w:vAlign w:val="center"/>
          </w:tcPr>
          <w:p w14:paraId="4FE21AF9">
            <w:pPr>
              <w:jc w:val="center"/>
              <w:rPr>
                <w:rFonts w:ascii="宋体" w:hAnsi="Times New Roman" w:eastAsia="宋体" w:cs="Times New Roman"/>
                <w:color w:val="auto"/>
                <w:kern w:val="2"/>
                <w:sz w:val="21"/>
                <w:szCs w:val="21"/>
                <w:highlight w:val="none"/>
                <w:lang w:val="en-US" w:eastAsia="zh-CN" w:bidi="ar-SA"/>
              </w:rPr>
            </w:pPr>
            <w:r>
              <w:rPr>
                <w:rFonts w:hint="eastAsia" w:ascii="宋体"/>
                <w:color w:val="auto"/>
                <w:szCs w:val="21"/>
                <w:highlight w:val="none"/>
              </w:rPr>
              <w:t>8</w:t>
            </w:r>
          </w:p>
        </w:tc>
        <w:tc>
          <w:tcPr>
            <w:tcW w:w="2420" w:type="dxa"/>
            <w:noWrap/>
            <w:vAlign w:val="center"/>
          </w:tcPr>
          <w:p w14:paraId="291905C0">
            <w:pPr>
              <w:keepNext w:val="0"/>
              <w:keepLines w:val="0"/>
              <w:widowControl/>
              <w:suppressLineNumbers w:val="0"/>
              <w:jc w:val="left"/>
              <w:rPr>
                <w:rFonts w:ascii="宋体"/>
                <w:color w:val="auto"/>
                <w:szCs w:val="21"/>
                <w:highlight w:val="none"/>
              </w:rPr>
            </w:pPr>
            <w:r>
              <w:rPr>
                <w:rFonts w:hint="eastAsia" w:ascii="宋体" w:hAnsi="宋体" w:eastAsia="宋体" w:cs="宋体"/>
                <w:color w:val="auto"/>
                <w:kern w:val="0"/>
                <w:sz w:val="21"/>
                <w:szCs w:val="21"/>
                <w:highlight w:val="none"/>
                <w:lang w:val="en-US" w:eastAsia="zh-CN" w:bidi="ar"/>
              </w:rPr>
              <w:t>承包人履约担保金额</w:t>
            </w:r>
          </w:p>
        </w:tc>
        <w:tc>
          <w:tcPr>
            <w:tcW w:w="1763" w:type="dxa"/>
            <w:noWrap/>
            <w:vAlign w:val="center"/>
          </w:tcPr>
          <w:p w14:paraId="79327448">
            <w:pPr>
              <w:keepNext w:val="0"/>
              <w:keepLines w:val="0"/>
              <w:widowControl/>
              <w:suppressLineNumbers w:val="0"/>
              <w:jc w:val="center"/>
              <w:rPr>
                <w:rFonts w:ascii="宋体"/>
                <w:color w:val="auto"/>
                <w:szCs w:val="21"/>
                <w:highlight w:val="none"/>
              </w:rPr>
            </w:pPr>
            <w:r>
              <w:rPr>
                <w:rFonts w:hint="eastAsia" w:ascii="宋体" w:hAnsi="宋体" w:eastAsia="宋体" w:cs="宋体"/>
                <w:color w:val="auto"/>
                <w:kern w:val="0"/>
                <w:sz w:val="21"/>
                <w:szCs w:val="21"/>
                <w:highlight w:val="none"/>
                <w:lang w:val="en-US" w:eastAsia="zh-CN" w:bidi="ar"/>
              </w:rPr>
              <w:t>4.2</w:t>
            </w:r>
          </w:p>
        </w:tc>
        <w:tc>
          <w:tcPr>
            <w:tcW w:w="3628" w:type="dxa"/>
            <w:noWrap/>
            <w:vAlign w:val="center"/>
          </w:tcPr>
          <w:p w14:paraId="64007DBB">
            <w:pPr>
              <w:spacing w:line="440" w:lineRule="exact"/>
              <w:rPr>
                <w:rFonts w:ascii="宋体"/>
                <w:color w:val="auto"/>
                <w:szCs w:val="21"/>
                <w:highlight w:val="none"/>
              </w:rPr>
            </w:pPr>
          </w:p>
        </w:tc>
        <w:tc>
          <w:tcPr>
            <w:tcW w:w="893" w:type="dxa"/>
            <w:noWrap/>
            <w:vAlign w:val="center"/>
          </w:tcPr>
          <w:p w14:paraId="1599DD1F">
            <w:pPr>
              <w:spacing w:line="440" w:lineRule="exact"/>
              <w:rPr>
                <w:rFonts w:ascii="宋体"/>
                <w:color w:val="auto"/>
                <w:szCs w:val="21"/>
                <w:highlight w:val="none"/>
              </w:rPr>
            </w:pPr>
          </w:p>
        </w:tc>
      </w:tr>
      <w:tr w14:paraId="496AB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4" w:type="dxa"/>
            <w:shd w:val="clear" w:color="auto" w:fill="auto"/>
            <w:noWrap/>
            <w:vAlign w:val="center"/>
          </w:tcPr>
          <w:p w14:paraId="2ECCE301">
            <w:pPr>
              <w:jc w:val="center"/>
              <w:rPr>
                <w:rFonts w:ascii="宋体" w:hAnsi="Times New Roman" w:eastAsia="宋体" w:cs="Times New Roman"/>
                <w:color w:val="auto"/>
                <w:kern w:val="2"/>
                <w:sz w:val="21"/>
                <w:szCs w:val="21"/>
                <w:highlight w:val="none"/>
                <w:lang w:val="en-US" w:eastAsia="zh-CN" w:bidi="ar-SA"/>
              </w:rPr>
            </w:pPr>
            <w:r>
              <w:rPr>
                <w:rFonts w:hint="eastAsia" w:ascii="宋体"/>
                <w:color w:val="auto"/>
                <w:szCs w:val="21"/>
                <w:highlight w:val="none"/>
              </w:rPr>
              <w:t>9</w:t>
            </w:r>
          </w:p>
        </w:tc>
        <w:tc>
          <w:tcPr>
            <w:tcW w:w="2420" w:type="dxa"/>
            <w:noWrap/>
            <w:vAlign w:val="center"/>
          </w:tcPr>
          <w:p w14:paraId="69B873AF">
            <w:pPr>
              <w:keepNext w:val="0"/>
              <w:keepLines w:val="0"/>
              <w:widowControl/>
              <w:suppressLineNumbers w:val="0"/>
              <w:jc w:val="left"/>
              <w:rPr>
                <w:rFonts w:ascii="宋体"/>
                <w:color w:val="auto"/>
                <w:szCs w:val="21"/>
                <w:highlight w:val="none"/>
              </w:rPr>
            </w:pPr>
            <w:r>
              <w:rPr>
                <w:rFonts w:hint="eastAsia" w:ascii="宋体" w:hAnsi="宋体" w:eastAsia="宋体" w:cs="宋体"/>
                <w:color w:val="auto"/>
                <w:kern w:val="0"/>
                <w:sz w:val="21"/>
                <w:szCs w:val="21"/>
                <w:highlight w:val="none"/>
                <w:lang w:val="en-US" w:eastAsia="zh-CN" w:bidi="ar"/>
              </w:rPr>
              <w:t>分包</w:t>
            </w:r>
          </w:p>
        </w:tc>
        <w:tc>
          <w:tcPr>
            <w:tcW w:w="1763" w:type="dxa"/>
            <w:noWrap/>
            <w:vAlign w:val="center"/>
          </w:tcPr>
          <w:p w14:paraId="73BDAB1A">
            <w:pPr>
              <w:keepNext w:val="0"/>
              <w:keepLines w:val="0"/>
              <w:widowControl/>
              <w:suppressLineNumbers w:val="0"/>
              <w:jc w:val="center"/>
              <w:rPr>
                <w:rFonts w:ascii="宋体"/>
                <w:color w:val="auto"/>
                <w:szCs w:val="21"/>
                <w:highlight w:val="none"/>
              </w:rPr>
            </w:pPr>
            <w:r>
              <w:rPr>
                <w:rFonts w:hint="eastAsia" w:ascii="宋体" w:hAnsi="宋体" w:eastAsia="宋体" w:cs="宋体"/>
                <w:color w:val="auto"/>
                <w:kern w:val="0"/>
                <w:sz w:val="21"/>
                <w:szCs w:val="21"/>
                <w:highlight w:val="none"/>
                <w:lang w:val="en-US" w:eastAsia="zh-CN" w:bidi="ar"/>
              </w:rPr>
              <w:t>4.5</w:t>
            </w:r>
          </w:p>
        </w:tc>
        <w:tc>
          <w:tcPr>
            <w:tcW w:w="3628" w:type="dxa"/>
            <w:noWrap/>
            <w:vAlign w:val="center"/>
          </w:tcPr>
          <w:p w14:paraId="79F9EB52">
            <w:pPr>
              <w:spacing w:line="440" w:lineRule="exact"/>
              <w:rPr>
                <w:rFonts w:ascii="宋体"/>
                <w:color w:val="auto"/>
                <w:szCs w:val="21"/>
                <w:highlight w:val="none"/>
              </w:rPr>
            </w:pPr>
          </w:p>
        </w:tc>
        <w:tc>
          <w:tcPr>
            <w:tcW w:w="893" w:type="dxa"/>
            <w:noWrap/>
            <w:vAlign w:val="center"/>
          </w:tcPr>
          <w:p w14:paraId="77F132BA">
            <w:pPr>
              <w:spacing w:line="440" w:lineRule="exact"/>
              <w:rPr>
                <w:rFonts w:ascii="宋体"/>
                <w:color w:val="auto"/>
                <w:szCs w:val="21"/>
                <w:highlight w:val="none"/>
              </w:rPr>
            </w:pPr>
          </w:p>
        </w:tc>
      </w:tr>
      <w:tr w14:paraId="6923B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4" w:type="dxa"/>
            <w:shd w:val="clear" w:color="auto" w:fill="auto"/>
            <w:noWrap/>
            <w:vAlign w:val="center"/>
          </w:tcPr>
          <w:p w14:paraId="3DC6F7A8">
            <w:pPr>
              <w:jc w:val="center"/>
              <w:rPr>
                <w:rFonts w:ascii="宋体" w:hAnsi="Times New Roman" w:eastAsia="宋体" w:cs="Times New Roman"/>
                <w:color w:val="auto"/>
                <w:kern w:val="2"/>
                <w:sz w:val="21"/>
                <w:szCs w:val="21"/>
                <w:highlight w:val="none"/>
                <w:lang w:val="en-US" w:eastAsia="zh-CN" w:bidi="ar-SA"/>
              </w:rPr>
            </w:pPr>
            <w:r>
              <w:rPr>
                <w:rFonts w:hint="eastAsia" w:ascii="宋体"/>
                <w:color w:val="auto"/>
                <w:szCs w:val="21"/>
                <w:highlight w:val="none"/>
              </w:rPr>
              <w:t>10</w:t>
            </w:r>
          </w:p>
        </w:tc>
        <w:tc>
          <w:tcPr>
            <w:tcW w:w="2420" w:type="dxa"/>
            <w:noWrap/>
            <w:vAlign w:val="center"/>
          </w:tcPr>
          <w:p w14:paraId="56FA4FDB">
            <w:pPr>
              <w:keepNext w:val="0"/>
              <w:keepLines w:val="0"/>
              <w:widowControl/>
              <w:suppressLineNumbers w:val="0"/>
              <w:jc w:val="left"/>
              <w:rPr>
                <w:rFonts w:ascii="宋体"/>
                <w:color w:val="auto"/>
                <w:szCs w:val="21"/>
                <w:highlight w:val="none"/>
              </w:rPr>
            </w:pPr>
            <w:r>
              <w:rPr>
                <w:rFonts w:hint="eastAsia" w:ascii="宋体" w:hAnsi="宋体" w:eastAsia="宋体" w:cs="宋体"/>
                <w:color w:val="auto"/>
                <w:kern w:val="0"/>
                <w:sz w:val="21"/>
                <w:szCs w:val="21"/>
                <w:highlight w:val="none"/>
                <w:lang w:val="en-US" w:eastAsia="zh-CN" w:bidi="ar"/>
              </w:rPr>
              <w:t>逾期竣工违约金</w:t>
            </w:r>
          </w:p>
        </w:tc>
        <w:tc>
          <w:tcPr>
            <w:tcW w:w="1763" w:type="dxa"/>
            <w:noWrap/>
            <w:vAlign w:val="center"/>
          </w:tcPr>
          <w:p w14:paraId="6E7B6134">
            <w:pPr>
              <w:keepNext w:val="0"/>
              <w:keepLines w:val="0"/>
              <w:widowControl/>
              <w:suppressLineNumbers w:val="0"/>
              <w:jc w:val="center"/>
              <w:rPr>
                <w:rFonts w:ascii="宋体" w:hAnsi="宋体"/>
                <w:color w:val="auto"/>
                <w:szCs w:val="21"/>
                <w:highlight w:val="none"/>
              </w:rPr>
            </w:pPr>
            <w:r>
              <w:rPr>
                <w:rFonts w:hint="eastAsia" w:ascii="宋体" w:hAnsi="宋体" w:eastAsia="宋体" w:cs="宋体"/>
                <w:color w:val="auto"/>
                <w:kern w:val="0"/>
                <w:sz w:val="21"/>
                <w:szCs w:val="21"/>
                <w:highlight w:val="none"/>
                <w:lang w:val="en-US" w:eastAsia="zh-CN" w:bidi="ar"/>
              </w:rPr>
              <w:t>8.7.2</w:t>
            </w:r>
          </w:p>
        </w:tc>
        <w:tc>
          <w:tcPr>
            <w:tcW w:w="3628" w:type="dxa"/>
            <w:noWrap/>
            <w:vAlign w:val="center"/>
          </w:tcPr>
          <w:p w14:paraId="415A0543">
            <w:pPr>
              <w:keepNext w:val="0"/>
              <w:keepLines w:val="0"/>
              <w:widowControl/>
              <w:suppressLineNumbers w:val="0"/>
              <w:jc w:val="left"/>
              <w:rPr>
                <w:rFonts w:ascii="宋体"/>
                <w:color w:val="auto"/>
                <w:szCs w:val="21"/>
                <w:highlight w:val="none"/>
              </w:rPr>
            </w:pPr>
            <w:r>
              <w:rPr>
                <w:rFonts w:hint="eastAsia" w:ascii="宋体"/>
                <w:color w:val="auto"/>
                <w:szCs w:val="21"/>
                <w:highlight w:val="none"/>
                <w:u w:val="single"/>
                <w:lang w:val="en-US" w:eastAsia="zh-CN"/>
              </w:rPr>
              <w:t xml:space="preserve">                </w:t>
            </w:r>
            <w:r>
              <w:rPr>
                <w:rFonts w:hint="eastAsia" w:ascii="宋体" w:hAnsi="宋体" w:eastAsia="宋体" w:cs="宋体"/>
                <w:color w:val="auto"/>
                <w:kern w:val="0"/>
                <w:sz w:val="21"/>
                <w:szCs w:val="21"/>
                <w:highlight w:val="none"/>
                <w:lang w:val="en-US" w:eastAsia="zh-CN" w:bidi="ar"/>
              </w:rPr>
              <w:t>元/天</w:t>
            </w:r>
          </w:p>
        </w:tc>
        <w:tc>
          <w:tcPr>
            <w:tcW w:w="893" w:type="dxa"/>
            <w:noWrap/>
            <w:vAlign w:val="center"/>
          </w:tcPr>
          <w:p w14:paraId="643348C4">
            <w:pPr>
              <w:spacing w:line="440" w:lineRule="exact"/>
              <w:rPr>
                <w:rFonts w:ascii="宋体"/>
                <w:color w:val="auto"/>
                <w:szCs w:val="21"/>
                <w:highlight w:val="none"/>
              </w:rPr>
            </w:pPr>
          </w:p>
        </w:tc>
      </w:tr>
      <w:tr w14:paraId="74316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4" w:type="dxa"/>
            <w:noWrap/>
            <w:vAlign w:val="center"/>
          </w:tcPr>
          <w:p w14:paraId="50E4DB6A">
            <w:pPr>
              <w:jc w:val="center"/>
              <w:rPr>
                <w:rFonts w:hint="default" w:ascii="宋体" w:eastAsia="宋体"/>
                <w:color w:val="auto"/>
                <w:szCs w:val="21"/>
                <w:highlight w:val="none"/>
                <w:lang w:val="en-US" w:eastAsia="zh-CN"/>
              </w:rPr>
            </w:pPr>
            <w:r>
              <w:rPr>
                <w:rFonts w:hint="eastAsia" w:ascii="宋体"/>
                <w:color w:val="auto"/>
                <w:szCs w:val="21"/>
                <w:highlight w:val="none"/>
                <w:lang w:val="en-US" w:eastAsia="zh-CN"/>
              </w:rPr>
              <w:t>11</w:t>
            </w:r>
          </w:p>
        </w:tc>
        <w:tc>
          <w:tcPr>
            <w:tcW w:w="2420" w:type="dxa"/>
            <w:noWrap/>
            <w:vAlign w:val="center"/>
          </w:tcPr>
          <w:p w14:paraId="099E7A65">
            <w:pPr>
              <w:keepNext w:val="0"/>
              <w:keepLines w:val="0"/>
              <w:widowControl/>
              <w:suppressLineNumbers w:val="0"/>
              <w:jc w:val="left"/>
              <w:rPr>
                <w:rFonts w:ascii="宋体"/>
                <w:color w:val="auto"/>
                <w:szCs w:val="21"/>
                <w:highlight w:val="none"/>
              </w:rPr>
            </w:pPr>
            <w:r>
              <w:rPr>
                <w:rFonts w:hint="eastAsia" w:ascii="宋体" w:hAnsi="宋体" w:eastAsia="宋体" w:cs="宋体"/>
                <w:color w:val="auto"/>
                <w:kern w:val="0"/>
                <w:sz w:val="21"/>
                <w:szCs w:val="21"/>
                <w:highlight w:val="none"/>
                <w:lang w:val="en-US" w:eastAsia="zh-CN" w:bidi="ar"/>
              </w:rPr>
              <w:t>逾期竣工违约金的上限</w:t>
            </w:r>
          </w:p>
        </w:tc>
        <w:tc>
          <w:tcPr>
            <w:tcW w:w="1763" w:type="dxa"/>
            <w:noWrap/>
            <w:vAlign w:val="center"/>
          </w:tcPr>
          <w:p w14:paraId="216BA2EE">
            <w:pPr>
              <w:keepNext w:val="0"/>
              <w:keepLines w:val="0"/>
              <w:widowControl/>
              <w:suppressLineNumbers w:val="0"/>
              <w:jc w:val="center"/>
              <w:rPr>
                <w:rFonts w:ascii="宋体"/>
                <w:color w:val="auto"/>
                <w:szCs w:val="21"/>
                <w:highlight w:val="none"/>
              </w:rPr>
            </w:pPr>
            <w:r>
              <w:rPr>
                <w:rFonts w:hint="eastAsia" w:ascii="宋体" w:hAnsi="宋体" w:eastAsia="宋体" w:cs="宋体"/>
                <w:color w:val="auto"/>
                <w:kern w:val="0"/>
                <w:sz w:val="21"/>
                <w:szCs w:val="21"/>
                <w:highlight w:val="none"/>
                <w:lang w:val="en-US" w:eastAsia="zh-CN" w:bidi="ar"/>
              </w:rPr>
              <w:t>8.7.2</w:t>
            </w:r>
          </w:p>
        </w:tc>
        <w:tc>
          <w:tcPr>
            <w:tcW w:w="3628" w:type="dxa"/>
            <w:noWrap/>
            <w:vAlign w:val="center"/>
          </w:tcPr>
          <w:p w14:paraId="3E09994D">
            <w:pPr>
              <w:spacing w:line="440" w:lineRule="exact"/>
              <w:rPr>
                <w:rFonts w:hint="default" w:ascii="宋体" w:eastAsia="宋体"/>
                <w:color w:val="auto"/>
                <w:szCs w:val="21"/>
                <w:highlight w:val="none"/>
                <w:u w:val="single"/>
                <w:lang w:val="en-US" w:eastAsia="zh-CN"/>
              </w:rPr>
            </w:pPr>
            <w:r>
              <w:rPr>
                <w:rFonts w:hint="eastAsia" w:ascii="宋体"/>
                <w:color w:val="auto"/>
                <w:szCs w:val="21"/>
                <w:highlight w:val="none"/>
                <w:u w:val="single"/>
                <w:lang w:val="en-US" w:eastAsia="zh-CN"/>
              </w:rPr>
              <w:t xml:space="preserve">                </w:t>
            </w:r>
          </w:p>
        </w:tc>
        <w:tc>
          <w:tcPr>
            <w:tcW w:w="893" w:type="dxa"/>
            <w:noWrap/>
            <w:vAlign w:val="center"/>
          </w:tcPr>
          <w:p w14:paraId="3A5839D4">
            <w:pPr>
              <w:spacing w:line="440" w:lineRule="exact"/>
              <w:rPr>
                <w:rFonts w:ascii="宋体"/>
                <w:color w:val="auto"/>
                <w:szCs w:val="21"/>
                <w:highlight w:val="none"/>
              </w:rPr>
            </w:pPr>
          </w:p>
        </w:tc>
      </w:tr>
      <w:tr w14:paraId="38879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4" w:type="dxa"/>
            <w:noWrap/>
            <w:vAlign w:val="center"/>
          </w:tcPr>
          <w:p w14:paraId="2AE974CA">
            <w:pPr>
              <w:jc w:val="center"/>
              <w:rPr>
                <w:rFonts w:hint="default" w:ascii="宋体" w:eastAsia="宋体"/>
                <w:color w:val="auto"/>
                <w:szCs w:val="21"/>
                <w:highlight w:val="none"/>
                <w:lang w:val="en-US" w:eastAsia="zh-CN"/>
              </w:rPr>
            </w:pPr>
            <w:r>
              <w:rPr>
                <w:rFonts w:hint="eastAsia" w:ascii="宋体"/>
                <w:color w:val="auto"/>
                <w:szCs w:val="21"/>
                <w:highlight w:val="none"/>
                <w:lang w:val="en-US" w:eastAsia="zh-CN"/>
              </w:rPr>
              <w:t>12</w:t>
            </w:r>
          </w:p>
        </w:tc>
        <w:tc>
          <w:tcPr>
            <w:tcW w:w="2420" w:type="dxa"/>
            <w:noWrap/>
            <w:vAlign w:val="center"/>
          </w:tcPr>
          <w:p w14:paraId="535460D7">
            <w:pPr>
              <w:keepNext w:val="0"/>
              <w:keepLines w:val="0"/>
              <w:widowControl/>
              <w:suppressLineNumbers w:val="0"/>
              <w:jc w:val="left"/>
              <w:rPr>
                <w:rFonts w:hint="eastAsia" w:ascii="宋体" w:hAnsi="宋体"/>
                <w:color w:val="auto"/>
                <w:szCs w:val="21"/>
                <w:highlight w:val="none"/>
              </w:rPr>
            </w:pPr>
            <w:r>
              <w:rPr>
                <w:rFonts w:hint="eastAsia" w:ascii="宋体" w:hAnsi="宋体" w:eastAsia="宋体" w:cs="宋体"/>
                <w:color w:val="auto"/>
                <w:kern w:val="0"/>
                <w:sz w:val="21"/>
                <w:szCs w:val="21"/>
                <w:highlight w:val="none"/>
                <w:lang w:val="en-US" w:eastAsia="zh-CN" w:bidi="ar"/>
              </w:rPr>
              <w:t>价格调整的差额计算</w:t>
            </w:r>
          </w:p>
        </w:tc>
        <w:tc>
          <w:tcPr>
            <w:tcW w:w="1763" w:type="dxa"/>
            <w:noWrap/>
            <w:vAlign w:val="center"/>
          </w:tcPr>
          <w:p w14:paraId="118B3C28">
            <w:pPr>
              <w:keepNext w:val="0"/>
              <w:keepLines w:val="0"/>
              <w:widowControl/>
              <w:suppressLineNumbers w:val="0"/>
              <w:jc w:val="center"/>
              <w:rPr>
                <w:rFonts w:ascii="宋体"/>
                <w:color w:val="auto"/>
                <w:szCs w:val="21"/>
                <w:highlight w:val="none"/>
              </w:rPr>
            </w:pPr>
            <w:r>
              <w:rPr>
                <w:rFonts w:hint="eastAsia" w:ascii="宋体" w:hAnsi="宋体" w:eastAsia="宋体" w:cs="宋体"/>
                <w:color w:val="auto"/>
                <w:kern w:val="0"/>
                <w:sz w:val="21"/>
                <w:szCs w:val="21"/>
                <w:highlight w:val="none"/>
                <w:lang w:val="en-US" w:eastAsia="zh-CN" w:bidi="ar"/>
              </w:rPr>
              <w:t>13.8</w:t>
            </w:r>
          </w:p>
        </w:tc>
        <w:tc>
          <w:tcPr>
            <w:tcW w:w="3628" w:type="dxa"/>
            <w:noWrap/>
            <w:vAlign w:val="center"/>
          </w:tcPr>
          <w:p w14:paraId="38110AAB">
            <w:pPr>
              <w:keepNext w:val="0"/>
              <w:keepLines w:val="0"/>
              <w:widowControl/>
              <w:suppressLineNumbers w:val="0"/>
              <w:jc w:val="left"/>
              <w:rPr>
                <w:color w:val="auto"/>
                <w:highlight w:val="none"/>
              </w:rPr>
            </w:pPr>
            <w:r>
              <w:rPr>
                <w:rFonts w:hint="eastAsia" w:ascii="宋体" w:hAnsi="宋体" w:eastAsia="宋体" w:cs="宋体"/>
                <w:color w:val="auto"/>
                <w:kern w:val="0"/>
                <w:sz w:val="21"/>
                <w:szCs w:val="21"/>
                <w:highlight w:val="none"/>
                <w:lang w:val="en-US" w:eastAsia="zh-CN" w:bidi="ar"/>
              </w:rPr>
              <w:t xml:space="preserve">采用价格指数进行价格调整时，见价 </w:t>
            </w:r>
          </w:p>
          <w:p w14:paraId="7D63AEE8">
            <w:pPr>
              <w:keepNext w:val="0"/>
              <w:keepLines w:val="0"/>
              <w:widowControl/>
              <w:suppressLineNumbers w:val="0"/>
              <w:jc w:val="left"/>
              <w:rPr>
                <w:rFonts w:ascii="宋体"/>
                <w:color w:val="auto"/>
                <w:szCs w:val="21"/>
                <w:highlight w:val="none"/>
              </w:rPr>
            </w:pPr>
            <w:r>
              <w:rPr>
                <w:rFonts w:hint="eastAsia" w:ascii="宋体" w:hAnsi="宋体" w:eastAsia="宋体" w:cs="宋体"/>
                <w:color w:val="auto"/>
                <w:kern w:val="0"/>
                <w:sz w:val="21"/>
                <w:szCs w:val="21"/>
                <w:highlight w:val="none"/>
                <w:lang w:val="en-US" w:eastAsia="zh-CN" w:bidi="ar"/>
              </w:rPr>
              <w:t>格指数权重表</w:t>
            </w:r>
          </w:p>
        </w:tc>
        <w:tc>
          <w:tcPr>
            <w:tcW w:w="893" w:type="dxa"/>
            <w:noWrap/>
            <w:vAlign w:val="center"/>
          </w:tcPr>
          <w:p w14:paraId="11892598">
            <w:pPr>
              <w:spacing w:line="440" w:lineRule="exact"/>
              <w:rPr>
                <w:rFonts w:ascii="宋体"/>
                <w:color w:val="auto"/>
                <w:szCs w:val="21"/>
                <w:highlight w:val="none"/>
              </w:rPr>
            </w:pPr>
          </w:p>
        </w:tc>
      </w:tr>
      <w:tr w14:paraId="30FF9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674" w:type="dxa"/>
            <w:noWrap/>
            <w:vAlign w:val="center"/>
          </w:tcPr>
          <w:p w14:paraId="5878EFB0">
            <w:pPr>
              <w:jc w:val="center"/>
              <w:rPr>
                <w:rFonts w:hint="default" w:ascii="宋体" w:eastAsia="宋体"/>
                <w:color w:val="auto"/>
                <w:szCs w:val="21"/>
                <w:highlight w:val="none"/>
                <w:lang w:val="en-US" w:eastAsia="zh-CN"/>
              </w:rPr>
            </w:pPr>
            <w:r>
              <w:rPr>
                <w:rFonts w:hint="eastAsia" w:ascii="宋体"/>
                <w:color w:val="auto"/>
                <w:szCs w:val="21"/>
                <w:highlight w:val="none"/>
                <w:lang w:val="en-US" w:eastAsia="zh-CN"/>
              </w:rPr>
              <w:t>13</w:t>
            </w:r>
          </w:p>
        </w:tc>
        <w:tc>
          <w:tcPr>
            <w:tcW w:w="2420" w:type="dxa"/>
            <w:noWrap/>
            <w:vAlign w:val="center"/>
          </w:tcPr>
          <w:p w14:paraId="62B59C39">
            <w:pPr>
              <w:keepNext w:val="0"/>
              <w:keepLines w:val="0"/>
              <w:widowControl/>
              <w:suppressLineNumbers w:val="0"/>
              <w:jc w:val="left"/>
              <w:rPr>
                <w:rFonts w:hint="eastAsia" w:ascii="宋体" w:hAnsi="宋体"/>
                <w:color w:val="auto"/>
                <w:szCs w:val="21"/>
                <w:highlight w:val="none"/>
              </w:rPr>
            </w:pPr>
            <w:r>
              <w:rPr>
                <w:rFonts w:hint="eastAsia" w:ascii="宋体" w:hAnsi="宋体" w:eastAsia="宋体" w:cs="宋体"/>
                <w:color w:val="auto"/>
                <w:kern w:val="0"/>
                <w:sz w:val="21"/>
                <w:szCs w:val="21"/>
                <w:highlight w:val="none"/>
                <w:lang w:val="en-US" w:eastAsia="zh-CN" w:bidi="ar"/>
              </w:rPr>
              <w:t>预付款支付比例或金额</w:t>
            </w:r>
          </w:p>
        </w:tc>
        <w:tc>
          <w:tcPr>
            <w:tcW w:w="1763" w:type="dxa"/>
            <w:noWrap/>
            <w:vAlign w:val="center"/>
          </w:tcPr>
          <w:p w14:paraId="5A3EC5AC">
            <w:pPr>
              <w:keepNext w:val="0"/>
              <w:keepLines w:val="0"/>
              <w:widowControl/>
              <w:suppressLineNumbers w:val="0"/>
              <w:jc w:val="center"/>
              <w:rPr>
                <w:color w:val="auto"/>
                <w:highlight w:val="none"/>
              </w:rPr>
            </w:pPr>
            <w:r>
              <w:rPr>
                <w:rFonts w:hint="eastAsia" w:ascii="宋体" w:hAnsi="宋体" w:eastAsia="宋体" w:cs="宋体"/>
                <w:color w:val="auto"/>
                <w:kern w:val="0"/>
                <w:sz w:val="21"/>
                <w:szCs w:val="21"/>
                <w:highlight w:val="none"/>
                <w:lang w:val="en-US" w:eastAsia="zh-CN" w:bidi="ar"/>
              </w:rPr>
              <w:t>14.2.1</w:t>
            </w:r>
          </w:p>
          <w:p w14:paraId="15124BF5">
            <w:pPr>
              <w:spacing w:line="440" w:lineRule="exact"/>
              <w:ind w:firstLine="2100" w:firstLineChars="1000"/>
              <w:jc w:val="center"/>
              <w:rPr>
                <w:rFonts w:ascii="宋体"/>
                <w:color w:val="auto"/>
                <w:szCs w:val="21"/>
                <w:highlight w:val="none"/>
              </w:rPr>
            </w:pPr>
          </w:p>
        </w:tc>
        <w:tc>
          <w:tcPr>
            <w:tcW w:w="3628" w:type="dxa"/>
            <w:noWrap/>
            <w:vAlign w:val="center"/>
          </w:tcPr>
          <w:p w14:paraId="00029634">
            <w:pPr>
              <w:spacing w:line="440" w:lineRule="exact"/>
              <w:ind w:firstLine="2100" w:firstLineChars="1000"/>
              <w:rPr>
                <w:rFonts w:ascii="宋体"/>
                <w:color w:val="auto"/>
                <w:szCs w:val="21"/>
                <w:highlight w:val="none"/>
              </w:rPr>
            </w:pPr>
          </w:p>
        </w:tc>
        <w:tc>
          <w:tcPr>
            <w:tcW w:w="893" w:type="dxa"/>
            <w:noWrap/>
            <w:vAlign w:val="center"/>
          </w:tcPr>
          <w:p w14:paraId="616E948B">
            <w:pPr>
              <w:spacing w:line="440" w:lineRule="exact"/>
              <w:rPr>
                <w:rFonts w:ascii="宋体"/>
                <w:color w:val="auto"/>
                <w:szCs w:val="21"/>
                <w:highlight w:val="none"/>
              </w:rPr>
            </w:pPr>
          </w:p>
        </w:tc>
      </w:tr>
      <w:tr w14:paraId="6359D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4" w:type="dxa"/>
            <w:noWrap/>
            <w:vAlign w:val="center"/>
          </w:tcPr>
          <w:p w14:paraId="65F7BFD6">
            <w:pPr>
              <w:jc w:val="center"/>
              <w:rPr>
                <w:rFonts w:hint="default" w:ascii="宋体"/>
                <w:color w:val="auto"/>
                <w:szCs w:val="21"/>
                <w:highlight w:val="none"/>
                <w:lang w:val="en-US" w:eastAsia="zh-CN"/>
              </w:rPr>
            </w:pPr>
            <w:r>
              <w:rPr>
                <w:rFonts w:hint="eastAsia" w:ascii="宋体"/>
                <w:color w:val="auto"/>
                <w:szCs w:val="21"/>
                <w:highlight w:val="none"/>
                <w:lang w:val="en-US" w:eastAsia="zh-CN"/>
              </w:rPr>
              <w:t>14</w:t>
            </w:r>
          </w:p>
        </w:tc>
        <w:tc>
          <w:tcPr>
            <w:tcW w:w="2420" w:type="dxa"/>
            <w:noWrap/>
            <w:vAlign w:val="center"/>
          </w:tcPr>
          <w:p w14:paraId="57F45DA6">
            <w:pPr>
              <w:keepNext w:val="0"/>
              <w:keepLines w:val="0"/>
              <w:widowControl/>
              <w:suppressLineNumbers w:val="0"/>
              <w:jc w:val="left"/>
              <w:rPr>
                <w:rFonts w:hint="eastAsia" w:ascii="宋体" w:hAnsi="宋体"/>
                <w:color w:val="auto"/>
                <w:szCs w:val="21"/>
                <w:highlight w:val="none"/>
              </w:rPr>
            </w:pPr>
            <w:r>
              <w:rPr>
                <w:rFonts w:hint="eastAsia" w:ascii="宋体" w:hAnsi="宋体" w:eastAsia="宋体" w:cs="宋体"/>
                <w:color w:val="auto"/>
                <w:kern w:val="0"/>
                <w:sz w:val="21"/>
                <w:szCs w:val="21"/>
                <w:highlight w:val="none"/>
                <w:lang w:val="en-US" w:eastAsia="zh-CN" w:bidi="ar"/>
              </w:rPr>
              <w:t>质量保证金额度</w:t>
            </w:r>
          </w:p>
        </w:tc>
        <w:tc>
          <w:tcPr>
            <w:tcW w:w="1763" w:type="dxa"/>
            <w:noWrap/>
            <w:vAlign w:val="center"/>
          </w:tcPr>
          <w:p w14:paraId="1FF827F2">
            <w:pPr>
              <w:keepNext w:val="0"/>
              <w:keepLines w:val="0"/>
              <w:widowControl/>
              <w:suppressLineNumbers w:val="0"/>
              <w:jc w:val="center"/>
              <w:rPr>
                <w:color w:val="auto"/>
                <w:highlight w:val="none"/>
              </w:rPr>
            </w:pPr>
            <w:r>
              <w:rPr>
                <w:rFonts w:hint="eastAsia" w:ascii="宋体" w:hAnsi="宋体" w:eastAsia="宋体" w:cs="宋体"/>
                <w:color w:val="auto"/>
                <w:kern w:val="0"/>
                <w:sz w:val="21"/>
                <w:szCs w:val="21"/>
                <w:highlight w:val="none"/>
                <w:lang w:val="en-US" w:eastAsia="zh-CN" w:bidi="ar"/>
              </w:rPr>
              <w:t>14.6</w:t>
            </w:r>
          </w:p>
          <w:p w14:paraId="784B194D">
            <w:pPr>
              <w:spacing w:line="440" w:lineRule="exact"/>
              <w:ind w:firstLine="2100" w:firstLineChars="1000"/>
              <w:jc w:val="center"/>
              <w:rPr>
                <w:rFonts w:ascii="宋体"/>
                <w:color w:val="auto"/>
                <w:szCs w:val="21"/>
                <w:highlight w:val="none"/>
              </w:rPr>
            </w:pPr>
          </w:p>
        </w:tc>
        <w:tc>
          <w:tcPr>
            <w:tcW w:w="3628" w:type="dxa"/>
            <w:noWrap/>
            <w:vAlign w:val="center"/>
          </w:tcPr>
          <w:p w14:paraId="09C69251">
            <w:pPr>
              <w:spacing w:line="440" w:lineRule="exact"/>
              <w:ind w:firstLine="2100" w:firstLineChars="1000"/>
              <w:rPr>
                <w:rFonts w:ascii="宋体"/>
                <w:color w:val="auto"/>
                <w:szCs w:val="21"/>
                <w:highlight w:val="none"/>
              </w:rPr>
            </w:pPr>
          </w:p>
        </w:tc>
        <w:tc>
          <w:tcPr>
            <w:tcW w:w="893" w:type="dxa"/>
            <w:noWrap/>
            <w:vAlign w:val="center"/>
          </w:tcPr>
          <w:p w14:paraId="78C6C867">
            <w:pPr>
              <w:spacing w:line="440" w:lineRule="exact"/>
              <w:rPr>
                <w:rFonts w:ascii="宋体"/>
                <w:color w:val="auto"/>
                <w:szCs w:val="21"/>
                <w:highlight w:val="none"/>
              </w:rPr>
            </w:pPr>
          </w:p>
        </w:tc>
      </w:tr>
      <w:tr w14:paraId="73CB8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674" w:type="dxa"/>
            <w:noWrap/>
            <w:vAlign w:val="center"/>
          </w:tcPr>
          <w:p w14:paraId="7BF7D19F">
            <w:pPr>
              <w:jc w:val="center"/>
              <w:rPr>
                <w:rFonts w:hint="default" w:ascii="宋体"/>
                <w:color w:val="auto"/>
                <w:szCs w:val="21"/>
                <w:highlight w:val="none"/>
                <w:lang w:val="en-US" w:eastAsia="zh-CN"/>
              </w:rPr>
            </w:pPr>
            <w:r>
              <w:rPr>
                <w:rFonts w:hint="eastAsia" w:ascii="宋体"/>
                <w:color w:val="auto"/>
                <w:szCs w:val="21"/>
                <w:highlight w:val="none"/>
                <w:lang w:val="en-US" w:eastAsia="zh-CN"/>
              </w:rPr>
              <w:t>15</w:t>
            </w:r>
          </w:p>
        </w:tc>
        <w:tc>
          <w:tcPr>
            <w:tcW w:w="2420" w:type="dxa"/>
            <w:noWrap/>
            <w:vAlign w:val="center"/>
          </w:tcPr>
          <w:p w14:paraId="461BDBDA">
            <w:pPr>
              <w:keepNext w:val="0"/>
              <w:keepLines w:val="0"/>
              <w:widowControl/>
              <w:suppressLineNumbers w:val="0"/>
              <w:jc w:val="left"/>
              <w:rPr>
                <w:rFonts w:hint="eastAsia" w:ascii="宋体" w:hAnsi="宋体"/>
                <w:color w:val="auto"/>
                <w:szCs w:val="21"/>
                <w:highlight w:val="none"/>
              </w:rPr>
            </w:pPr>
            <w:r>
              <w:rPr>
                <w:rFonts w:hint="eastAsia" w:ascii="宋体" w:hAnsi="宋体" w:eastAsia="宋体" w:cs="宋体"/>
                <w:color w:val="auto"/>
                <w:kern w:val="0"/>
                <w:sz w:val="21"/>
                <w:szCs w:val="21"/>
                <w:highlight w:val="none"/>
                <w:lang w:val="en-US" w:eastAsia="zh-CN" w:bidi="ar"/>
              </w:rPr>
              <w:t>质量保证金的扣留方式</w:t>
            </w:r>
          </w:p>
        </w:tc>
        <w:tc>
          <w:tcPr>
            <w:tcW w:w="1763" w:type="dxa"/>
            <w:noWrap/>
            <w:vAlign w:val="center"/>
          </w:tcPr>
          <w:p w14:paraId="504CCA71">
            <w:pPr>
              <w:keepNext w:val="0"/>
              <w:keepLines w:val="0"/>
              <w:widowControl/>
              <w:suppressLineNumbers w:val="0"/>
              <w:jc w:val="center"/>
              <w:rPr>
                <w:color w:val="auto"/>
                <w:highlight w:val="none"/>
              </w:rPr>
            </w:pPr>
            <w:r>
              <w:rPr>
                <w:rFonts w:hint="eastAsia" w:ascii="宋体" w:hAnsi="宋体" w:eastAsia="宋体" w:cs="宋体"/>
                <w:color w:val="auto"/>
                <w:kern w:val="0"/>
                <w:sz w:val="21"/>
                <w:szCs w:val="21"/>
                <w:highlight w:val="none"/>
                <w:lang w:val="en-US" w:eastAsia="zh-CN" w:bidi="ar"/>
              </w:rPr>
              <w:t>14.6</w:t>
            </w:r>
          </w:p>
          <w:p w14:paraId="2B20E736">
            <w:pPr>
              <w:spacing w:line="440" w:lineRule="exact"/>
              <w:ind w:firstLine="2100" w:firstLineChars="1000"/>
              <w:jc w:val="center"/>
              <w:rPr>
                <w:rFonts w:ascii="宋体"/>
                <w:color w:val="auto"/>
                <w:szCs w:val="21"/>
                <w:highlight w:val="none"/>
              </w:rPr>
            </w:pPr>
          </w:p>
        </w:tc>
        <w:tc>
          <w:tcPr>
            <w:tcW w:w="3628" w:type="dxa"/>
            <w:noWrap/>
            <w:vAlign w:val="center"/>
          </w:tcPr>
          <w:p w14:paraId="30F8306D">
            <w:pPr>
              <w:spacing w:line="440" w:lineRule="exact"/>
              <w:ind w:firstLine="2100" w:firstLineChars="1000"/>
              <w:rPr>
                <w:rFonts w:ascii="宋体"/>
                <w:color w:val="auto"/>
                <w:szCs w:val="21"/>
                <w:highlight w:val="none"/>
              </w:rPr>
            </w:pPr>
          </w:p>
        </w:tc>
        <w:tc>
          <w:tcPr>
            <w:tcW w:w="893" w:type="dxa"/>
            <w:noWrap/>
            <w:vAlign w:val="center"/>
          </w:tcPr>
          <w:p w14:paraId="59F3C6D7">
            <w:pPr>
              <w:spacing w:line="440" w:lineRule="exact"/>
              <w:rPr>
                <w:rFonts w:ascii="宋体"/>
                <w:color w:val="auto"/>
                <w:szCs w:val="21"/>
                <w:highlight w:val="none"/>
              </w:rPr>
            </w:pPr>
          </w:p>
        </w:tc>
      </w:tr>
      <w:tr w14:paraId="06478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4" w:type="dxa"/>
            <w:noWrap/>
            <w:vAlign w:val="center"/>
          </w:tcPr>
          <w:p w14:paraId="797D826E">
            <w:pPr>
              <w:jc w:val="center"/>
              <w:rPr>
                <w:rFonts w:hint="default" w:ascii="宋体"/>
                <w:color w:val="auto"/>
                <w:szCs w:val="21"/>
                <w:highlight w:val="none"/>
                <w:lang w:val="en-US" w:eastAsia="zh-CN"/>
              </w:rPr>
            </w:pPr>
            <w:r>
              <w:rPr>
                <w:rFonts w:hint="eastAsia" w:ascii="宋体"/>
                <w:color w:val="auto"/>
                <w:szCs w:val="21"/>
                <w:highlight w:val="none"/>
                <w:lang w:val="en-US" w:eastAsia="zh-CN"/>
              </w:rPr>
              <w:t>16</w:t>
            </w:r>
          </w:p>
        </w:tc>
        <w:tc>
          <w:tcPr>
            <w:tcW w:w="2420" w:type="dxa"/>
            <w:noWrap/>
            <w:vAlign w:val="center"/>
          </w:tcPr>
          <w:p w14:paraId="02E785DC">
            <w:pPr>
              <w:spacing w:line="440" w:lineRule="exact"/>
              <w:jc w:val="left"/>
              <w:rPr>
                <w:rFonts w:hint="eastAsia" w:ascii="宋体" w:hAnsi="宋体"/>
                <w:color w:val="auto"/>
                <w:szCs w:val="21"/>
                <w:highlight w:val="none"/>
              </w:rPr>
            </w:pPr>
            <w:r>
              <w:rPr>
                <w:rFonts w:hint="eastAsia" w:ascii="宋体" w:hAnsi="宋体"/>
                <w:color w:val="auto"/>
                <w:szCs w:val="21"/>
                <w:highlight w:val="none"/>
                <w:lang w:val="en-US" w:eastAsia="zh-CN"/>
              </w:rPr>
              <w:t>发包人要求</w:t>
            </w:r>
          </w:p>
        </w:tc>
        <w:tc>
          <w:tcPr>
            <w:tcW w:w="1763" w:type="dxa"/>
            <w:noWrap/>
            <w:vAlign w:val="center"/>
          </w:tcPr>
          <w:p w14:paraId="03592975">
            <w:pPr>
              <w:spacing w:line="440" w:lineRule="exact"/>
              <w:ind w:firstLine="2100" w:firstLineChars="1000"/>
              <w:rPr>
                <w:rFonts w:ascii="宋体"/>
                <w:color w:val="auto"/>
                <w:szCs w:val="21"/>
                <w:highlight w:val="none"/>
              </w:rPr>
            </w:pPr>
          </w:p>
        </w:tc>
        <w:tc>
          <w:tcPr>
            <w:tcW w:w="3628" w:type="dxa"/>
            <w:noWrap/>
            <w:vAlign w:val="center"/>
          </w:tcPr>
          <w:p w14:paraId="0D3FB725">
            <w:pPr>
              <w:keepNext w:val="0"/>
              <w:keepLines w:val="0"/>
              <w:widowControl/>
              <w:suppressLineNumbers w:val="0"/>
              <w:jc w:val="left"/>
              <w:rPr>
                <w:rFonts w:ascii="宋体"/>
                <w:color w:val="auto"/>
                <w:szCs w:val="21"/>
                <w:highlight w:val="none"/>
              </w:rPr>
            </w:pPr>
            <w:r>
              <w:rPr>
                <w:rFonts w:hint="eastAsia" w:ascii="宋体" w:hAnsi="宋体" w:eastAsia="宋体" w:cs="宋体"/>
                <w:color w:val="auto"/>
                <w:kern w:val="0"/>
                <w:sz w:val="21"/>
                <w:szCs w:val="21"/>
                <w:highlight w:val="none"/>
                <w:lang w:val="en-US" w:eastAsia="zh-CN" w:bidi="ar"/>
              </w:rPr>
              <w:t>符合第五章“发包人要求”规定</w:t>
            </w:r>
          </w:p>
        </w:tc>
        <w:tc>
          <w:tcPr>
            <w:tcW w:w="893" w:type="dxa"/>
            <w:noWrap/>
            <w:vAlign w:val="center"/>
          </w:tcPr>
          <w:p w14:paraId="70950DC5">
            <w:pPr>
              <w:spacing w:line="440" w:lineRule="exact"/>
              <w:rPr>
                <w:rFonts w:ascii="宋体"/>
                <w:color w:val="auto"/>
                <w:szCs w:val="21"/>
                <w:highlight w:val="none"/>
              </w:rPr>
            </w:pPr>
          </w:p>
        </w:tc>
      </w:tr>
      <w:tr w14:paraId="75590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378" w:type="dxa"/>
            <w:gridSpan w:val="5"/>
            <w:noWrap/>
            <w:vAlign w:val="center"/>
          </w:tcPr>
          <w:p w14:paraId="539D7DA1">
            <w:pPr>
              <w:keepNext w:val="0"/>
              <w:keepLines w:val="0"/>
              <w:widowControl/>
              <w:suppressLineNumbers w:val="0"/>
              <w:jc w:val="left"/>
              <w:rPr>
                <w:color w:val="auto"/>
                <w:highlight w:val="none"/>
              </w:rPr>
            </w:pPr>
            <w:r>
              <w:rPr>
                <w:rFonts w:hint="eastAsia" w:ascii="宋体" w:hAnsi="宋体" w:eastAsia="宋体" w:cs="宋体"/>
                <w:color w:val="auto"/>
                <w:kern w:val="0"/>
                <w:sz w:val="21"/>
                <w:szCs w:val="21"/>
                <w:highlight w:val="none"/>
                <w:lang w:val="en-US" w:eastAsia="zh-CN" w:bidi="ar"/>
              </w:rPr>
              <w:t xml:space="preserve">备注：投标人在响应招标文件中规定的实质性要求和条件的基础上，可做出其他有利于招标人 </w:t>
            </w:r>
          </w:p>
          <w:p w14:paraId="69C11C6F">
            <w:pPr>
              <w:keepNext w:val="0"/>
              <w:keepLines w:val="0"/>
              <w:widowControl/>
              <w:suppressLineNumbers w:val="0"/>
              <w:jc w:val="left"/>
              <w:rPr>
                <w:rFonts w:ascii="宋体"/>
                <w:color w:val="auto"/>
                <w:szCs w:val="21"/>
                <w:highlight w:val="none"/>
              </w:rPr>
            </w:pPr>
            <w:r>
              <w:rPr>
                <w:rFonts w:hint="eastAsia" w:ascii="宋体" w:hAnsi="宋体" w:eastAsia="宋体" w:cs="宋体"/>
                <w:color w:val="auto"/>
                <w:kern w:val="0"/>
                <w:sz w:val="21"/>
                <w:szCs w:val="21"/>
                <w:highlight w:val="none"/>
                <w:lang w:val="en-US" w:eastAsia="zh-CN" w:bidi="ar"/>
              </w:rPr>
              <w:t>的承诺。此类承诺可在本表中予以补充填写。</w:t>
            </w:r>
          </w:p>
        </w:tc>
      </w:tr>
    </w:tbl>
    <w:p w14:paraId="12BDCE62">
      <w:pPr>
        <w:adjustRightInd w:val="0"/>
        <w:snapToGrid w:val="0"/>
        <w:spacing w:line="360" w:lineRule="auto"/>
        <w:ind w:firstLine="3675" w:firstLineChars="1750"/>
        <w:rPr>
          <w:rFonts w:hint="eastAsia"/>
          <w:color w:val="auto"/>
          <w:szCs w:val="21"/>
          <w:highlight w:val="none"/>
        </w:rPr>
      </w:pPr>
    </w:p>
    <w:p w14:paraId="53218BC4">
      <w:pPr>
        <w:adjustRightInd w:val="0"/>
        <w:snapToGrid w:val="0"/>
        <w:spacing w:line="360" w:lineRule="auto"/>
        <w:ind w:firstLine="3780" w:firstLineChars="1800"/>
        <w:rPr>
          <w:color w:val="auto"/>
          <w:szCs w:val="21"/>
          <w:highlight w:val="none"/>
        </w:rPr>
      </w:pPr>
      <w:r>
        <w:rPr>
          <w:rFonts w:hint="eastAsia"/>
          <w:color w:val="auto"/>
          <w:szCs w:val="21"/>
          <w:highlight w:val="none"/>
        </w:rPr>
        <w:t>投标人：</w:t>
      </w:r>
      <w:r>
        <w:rPr>
          <w:rFonts w:hint="eastAsia" w:eastAsia="黑体"/>
          <w:color w:val="auto"/>
          <w:sz w:val="28"/>
          <w:szCs w:val="28"/>
          <w:highlight w:val="none"/>
          <w:u w:val="single"/>
          <w:lang w:val="en-US" w:eastAsia="zh-CN"/>
        </w:rPr>
        <w:t xml:space="preserve">                </w:t>
      </w:r>
      <w:r>
        <w:rPr>
          <w:rFonts w:hint="eastAsia"/>
          <w:color w:val="auto"/>
          <w:szCs w:val="21"/>
          <w:highlight w:val="none"/>
        </w:rPr>
        <w:t>（盖单位章）</w:t>
      </w:r>
    </w:p>
    <w:p w14:paraId="6981F39F">
      <w:pPr>
        <w:adjustRightInd w:val="0"/>
        <w:snapToGrid w:val="0"/>
        <w:spacing w:line="360" w:lineRule="auto"/>
        <w:ind w:firstLine="3675" w:firstLineChars="1750"/>
        <w:rPr>
          <w:color w:val="auto"/>
          <w:szCs w:val="21"/>
          <w:highlight w:val="none"/>
        </w:rPr>
      </w:pPr>
      <w:r>
        <w:rPr>
          <w:rFonts w:hint="eastAsia"/>
          <w:color w:val="auto"/>
          <w:szCs w:val="21"/>
          <w:highlight w:val="none"/>
        </w:rPr>
        <w:t>法定代表人或其委托代理人：</w:t>
      </w:r>
      <w:r>
        <w:rPr>
          <w:rFonts w:hint="eastAsia" w:eastAsia="黑体"/>
          <w:color w:val="auto"/>
          <w:sz w:val="28"/>
          <w:szCs w:val="28"/>
          <w:highlight w:val="none"/>
          <w:u w:val="single"/>
          <w:lang w:val="en-US" w:eastAsia="zh-CN"/>
        </w:rPr>
        <w:t xml:space="preserve">          </w:t>
      </w:r>
      <w:r>
        <w:rPr>
          <w:rFonts w:hint="eastAsia"/>
          <w:color w:val="auto"/>
          <w:szCs w:val="21"/>
          <w:highlight w:val="none"/>
        </w:rPr>
        <w:t>（签章）</w:t>
      </w:r>
    </w:p>
    <w:p w14:paraId="4E200EFE">
      <w:pPr>
        <w:adjustRightInd w:val="0"/>
        <w:snapToGrid w:val="0"/>
        <w:spacing w:line="360" w:lineRule="auto"/>
        <w:ind w:firstLine="4760" w:firstLineChars="1700"/>
        <w:rPr>
          <w:rFonts w:ascii="宋体"/>
          <w:color w:val="auto"/>
          <w:szCs w:val="21"/>
          <w:highlight w:val="none"/>
        </w:rPr>
      </w:pPr>
      <w:r>
        <w:rPr>
          <w:rFonts w:hint="eastAsia" w:eastAsia="黑体"/>
          <w:color w:val="auto"/>
          <w:sz w:val="28"/>
          <w:szCs w:val="28"/>
          <w:highlight w:val="none"/>
          <w:u w:val="single"/>
          <w:lang w:val="en-US" w:eastAsia="zh-CN"/>
        </w:rPr>
        <w:t xml:space="preserve">     </w:t>
      </w:r>
      <w:r>
        <w:rPr>
          <w:rFonts w:hint="eastAsia" w:ascii="宋体" w:hAnsi="宋体"/>
          <w:color w:val="auto"/>
          <w:szCs w:val="21"/>
          <w:highlight w:val="none"/>
        </w:rPr>
        <w:t>年</w:t>
      </w:r>
      <w:r>
        <w:rPr>
          <w:rFonts w:hint="eastAsia" w:eastAsia="黑体"/>
          <w:color w:val="auto"/>
          <w:sz w:val="28"/>
          <w:szCs w:val="28"/>
          <w:highlight w:val="none"/>
          <w:u w:val="single"/>
          <w:lang w:val="en-US" w:eastAsia="zh-CN"/>
        </w:rPr>
        <w:t xml:space="preserve">     </w:t>
      </w:r>
      <w:r>
        <w:rPr>
          <w:rFonts w:hint="eastAsia" w:ascii="宋体" w:hAnsi="宋体"/>
          <w:color w:val="auto"/>
          <w:szCs w:val="21"/>
          <w:highlight w:val="none"/>
        </w:rPr>
        <w:t>月</w:t>
      </w:r>
      <w:r>
        <w:rPr>
          <w:rFonts w:hint="eastAsia" w:eastAsia="黑体"/>
          <w:color w:val="auto"/>
          <w:sz w:val="28"/>
          <w:szCs w:val="28"/>
          <w:highlight w:val="none"/>
          <w:u w:val="single"/>
          <w:lang w:val="en-US" w:eastAsia="zh-CN"/>
        </w:rPr>
        <w:t xml:space="preserve">     </w:t>
      </w:r>
      <w:r>
        <w:rPr>
          <w:rFonts w:hint="eastAsia" w:ascii="宋体" w:hAnsi="宋体"/>
          <w:color w:val="auto"/>
          <w:szCs w:val="21"/>
          <w:highlight w:val="none"/>
        </w:rPr>
        <w:t>日</w:t>
      </w:r>
    </w:p>
    <w:p w14:paraId="0F875077">
      <w:pPr>
        <w:rPr>
          <w:color w:val="auto"/>
          <w:szCs w:val="21"/>
          <w:highlight w:val="none"/>
        </w:rPr>
      </w:pPr>
    </w:p>
    <w:p w14:paraId="3D2E70F1">
      <w:pPr>
        <w:rPr>
          <w:rFonts w:eastAsia="黑体"/>
          <w:color w:val="auto"/>
          <w:sz w:val="20"/>
          <w:szCs w:val="20"/>
          <w:highlight w:val="none"/>
        </w:rPr>
      </w:pPr>
      <w:r>
        <w:rPr>
          <w:color w:val="auto"/>
          <w:szCs w:val="21"/>
          <w:highlight w:val="none"/>
        </w:rPr>
        <w:br w:type="page"/>
      </w:r>
    </w:p>
    <w:p w14:paraId="59F9BE43">
      <w:pPr>
        <w:pStyle w:val="4"/>
        <w:numPr>
          <w:ilvl w:val="0"/>
          <w:numId w:val="10"/>
        </w:numPr>
        <w:jc w:val="center"/>
        <w:rPr>
          <w:rFonts w:hint="eastAsia" w:hAnsi="宋体" w:cs="Times New Roman"/>
          <w:color w:val="auto"/>
          <w:highlight w:val="none"/>
          <w:lang w:val="en-US" w:eastAsia="zh-CN"/>
        </w:rPr>
      </w:pPr>
      <w:bookmarkStart w:id="1783" w:name="_Toc630"/>
      <w:bookmarkStart w:id="1784" w:name="_Toc247514283"/>
      <w:bookmarkStart w:id="1785" w:name="_Toc9269"/>
      <w:bookmarkStart w:id="1786" w:name="_Toc144974860"/>
      <w:bookmarkStart w:id="1787" w:name="_Toc247527831"/>
      <w:bookmarkStart w:id="1788" w:name="_Toc152042580"/>
      <w:bookmarkStart w:id="1789" w:name="_Toc7956826"/>
      <w:bookmarkStart w:id="1790" w:name="_Toc23686"/>
      <w:bookmarkStart w:id="1791" w:name="_Toc152045791"/>
      <w:r>
        <w:rPr>
          <w:rFonts w:hint="eastAsia" w:hAnsi="宋体" w:cs="Times New Roman"/>
          <w:color w:val="auto"/>
          <w:highlight w:val="none"/>
          <w:lang w:val="en-US" w:eastAsia="zh-CN"/>
        </w:rPr>
        <w:t>告知承诺函</w:t>
      </w:r>
    </w:p>
    <w:p w14:paraId="3D25444F">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21"/>
          <w:szCs w:val="21"/>
          <w:highlight w:val="none"/>
          <w:lang w:val="en-US" w:eastAsia="zh-CN" w:bidi="ar"/>
        </w:rPr>
      </w:pPr>
    </w:p>
    <w:p w14:paraId="4B1F10D2">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我单位参与</w:t>
      </w:r>
      <w:r>
        <w:rPr>
          <w:rFonts w:hint="eastAsia" w:ascii="宋体" w:hAnsi="宋体" w:eastAsia="宋体" w:cs="宋体"/>
          <w:color w:val="auto"/>
          <w:kern w:val="0"/>
          <w:sz w:val="21"/>
          <w:szCs w:val="21"/>
          <w:highlight w:val="none"/>
          <w:u w:val="single"/>
          <w:lang w:val="en-US" w:eastAsia="zh-CN" w:bidi="ar"/>
        </w:rPr>
        <w:t xml:space="preserve">    （标段名称 ）    </w:t>
      </w:r>
      <w:r>
        <w:rPr>
          <w:rFonts w:hint="eastAsia" w:ascii="宋体" w:hAnsi="宋体" w:eastAsia="宋体" w:cs="宋体"/>
          <w:color w:val="auto"/>
          <w:kern w:val="0"/>
          <w:sz w:val="21"/>
          <w:szCs w:val="21"/>
          <w:highlight w:val="none"/>
          <w:lang w:val="en-US" w:eastAsia="zh-CN" w:bidi="ar"/>
        </w:rPr>
        <w:t xml:space="preserve">的投标。根据《中华人民共和国招标投标法》等法律法规的规定，我已知悉本单位相关权利义务，作为法定代表人（或授权委托人），本人清楚知晓我单位在本项目投标活动的情况。本人已详细阅读告知承诺函的内容，并在此郑重承诺： </w:t>
      </w:r>
    </w:p>
    <w:p w14:paraId="34FFECBE">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一、我单位和我本人遵循公开、公平、公正、诚实守信的原则，依法依规参与本项目投标。 </w:t>
      </w:r>
    </w:p>
    <w:p w14:paraId="5AF08D29">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二、我单位具有参与本次投标的资质和能力，公司运营状况良好，不存在挂靠投标、不受让、租借、出租、出借资格或资质证书，无处罚期内的不良行为。 </w:t>
      </w:r>
    </w:p>
    <w:p w14:paraId="091B4850">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三、我单位在本项目投标过程中从招标公告/投标邀请书列明的渠道获取招标文件，没有通过其他不正当渠道获取招标文件。 </w:t>
      </w:r>
    </w:p>
    <w:p w14:paraId="2D372E60">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四、我单位承诺投标文件由本单位员工独立编制，严格遵守保密义务。所提供的一切投标相关材料都是真实、有效、合法的。 </w:t>
      </w:r>
    </w:p>
    <w:p w14:paraId="6B963454">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五、我单位不与其他投标人相互串通投标报价，不恶意压低或抬高投标报价，不排挤其他投标人的公平竞争，不损害招标人或其他投标人的合法权益。 </w:t>
      </w:r>
    </w:p>
    <w:p w14:paraId="41C20FF2">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六、我单位不与招标人或招标代理机构串通投标，损害国家利益、社会公共利益或者他人的合法权益。 </w:t>
      </w:r>
    </w:p>
    <w:p w14:paraId="6800FF60">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七、我单位不向招标人或者评标委员会成员行贿以牟取中标，不在开标后进行虚假恶意投诉。 </w:t>
      </w:r>
    </w:p>
    <w:p w14:paraId="024BB0CC">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八、我单位和我个人清楚并知晓《中华人民共和国刑法》第二百二十三条“投标人相互串通投标报价，损害招标人或者其他投标人利益，情节严重的，处三年以下有期徒刑或者拘役，并处或者单处罚金。投标人与招标人串通投标，损害国家、集体、公民的合法利益的，依照前款的规定处罚”的规定。 </w:t>
      </w:r>
    </w:p>
    <w:p w14:paraId="271C248C">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九、我单位如在本项目招标投标活动评标工作中存在串通投标、弄虚作假等行为的，本单位及本人自愿承担法律责任，接受相应刑事、纪律和行政处罚以及失信惩戒。 </w:t>
      </w:r>
    </w:p>
    <w:p w14:paraId="74175E62">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十、本承诺函由我单位盖章及法定代表人（授权委托人）本人亲自盖章或签字确认。 </w:t>
      </w:r>
    </w:p>
    <w:p w14:paraId="785F757C">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kern w:val="0"/>
          <w:sz w:val="21"/>
          <w:szCs w:val="21"/>
          <w:highlight w:val="none"/>
          <w:lang w:val="en-US" w:eastAsia="zh-CN" w:bidi="ar"/>
        </w:rPr>
      </w:pPr>
    </w:p>
    <w:p w14:paraId="48932E2F">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kern w:val="0"/>
          <w:sz w:val="21"/>
          <w:szCs w:val="21"/>
          <w:highlight w:val="none"/>
          <w:lang w:val="en-US" w:eastAsia="zh-CN" w:bidi="ar"/>
        </w:rPr>
      </w:pPr>
    </w:p>
    <w:p w14:paraId="621FD198">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kern w:val="0"/>
          <w:sz w:val="21"/>
          <w:szCs w:val="21"/>
          <w:highlight w:val="none"/>
          <w:lang w:val="en-US" w:eastAsia="zh-CN" w:bidi="ar"/>
        </w:rPr>
      </w:pPr>
    </w:p>
    <w:p w14:paraId="68DC7D5F">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righ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承诺单位：（盖单位章） </w:t>
      </w:r>
    </w:p>
    <w:p w14:paraId="20769EC0">
      <w:pPr>
        <w:keepNext w:val="0"/>
        <w:keepLines w:val="0"/>
        <w:widowControl/>
        <w:suppressLineNumbers w:val="0"/>
        <w:spacing w:line="360" w:lineRule="auto"/>
        <w:jc w:val="right"/>
        <w:rPr>
          <w:color w:val="auto"/>
          <w:highlight w:val="none"/>
        </w:rPr>
      </w:pPr>
      <w:r>
        <w:rPr>
          <w:rFonts w:hint="eastAsia" w:ascii="宋体" w:hAnsi="宋体" w:eastAsia="宋体" w:cs="宋体"/>
          <w:color w:val="auto"/>
          <w:kern w:val="0"/>
          <w:sz w:val="21"/>
          <w:szCs w:val="21"/>
          <w:highlight w:val="none"/>
          <w:lang w:val="en-US" w:eastAsia="zh-CN" w:bidi="ar"/>
        </w:rPr>
        <w:t xml:space="preserve">法定代表人或授权委托人：（签章） </w:t>
      </w:r>
    </w:p>
    <w:p w14:paraId="01E959AD">
      <w:pPr>
        <w:keepNext w:val="0"/>
        <w:keepLines w:val="0"/>
        <w:widowControl/>
        <w:suppressLineNumbers w:val="0"/>
        <w:spacing w:line="360" w:lineRule="auto"/>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                                                                 承诺时间：    年    月   日</w:t>
      </w:r>
    </w:p>
    <w:p w14:paraId="52D010B0">
      <w:pPr>
        <w:keepNext w:val="0"/>
        <w:keepLines w:val="0"/>
        <w:widowControl/>
        <w:suppressLineNumbers w:val="0"/>
        <w:spacing w:line="360" w:lineRule="auto"/>
        <w:jc w:val="center"/>
        <w:rPr>
          <w:rFonts w:hint="eastAsia" w:ascii="宋体" w:hAnsi="宋体" w:eastAsia="宋体" w:cs="宋体"/>
          <w:color w:val="auto"/>
          <w:kern w:val="0"/>
          <w:sz w:val="21"/>
          <w:szCs w:val="21"/>
          <w:highlight w:val="none"/>
          <w:lang w:val="en-US" w:eastAsia="zh-CN" w:bidi="ar"/>
        </w:rPr>
      </w:pPr>
    </w:p>
    <w:p w14:paraId="2E92C1A6">
      <w:pPr>
        <w:pStyle w:val="4"/>
        <w:jc w:val="center"/>
        <w:rPr>
          <w:rFonts w:hint="eastAsia" w:hAnsi="宋体" w:cs="Times New Roman"/>
          <w:color w:val="auto"/>
          <w:highlight w:val="none"/>
        </w:rPr>
      </w:pPr>
      <w:r>
        <w:rPr>
          <w:rFonts w:hint="eastAsia" w:hAnsi="宋体" w:cs="Times New Roman"/>
          <w:color w:val="auto"/>
          <w:highlight w:val="none"/>
          <w:lang w:val="en-US" w:eastAsia="zh-CN"/>
        </w:rPr>
        <w:t>（四）声明函</w:t>
      </w:r>
    </w:p>
    <w:p w14:paraId="227F8521">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在本项目编制投标文件过程中，我单位声明如下： </w:t>
      </w:r>
    </w:p>
    <w:p w14:paraId="2BFE4D00">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一、未与本标段其他投标人委托同一单位或同一人编制投标文件； </w:t>
      </w:r>
    </w:p>
    <w:p w14:paraId="6EBFDC2F">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二、未与本标段其他投标人协商投标报价； </w:t>
      </w:r>
    </w:p>
    <w:p w14:paraId="1C51330E">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三、未与本标段其他投标人使用同一电脑等电子设备编制投标文件； </w:t>
      </w:r>
    </w:p>
    <w:p w14:paraId="3C2A7D04">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四、未使用“网络虚拟设备”等无法识别电子设备归属的电脑编制投标文件； </w:t>
      </w:r>
    </w:p>
    <w:p w14:paraId="41FE06F7">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五、本项目技术标（监理大纲）是针对本项目现场实际、技术特点而编制的相应的技术方案，在编制过程中未抄袭、摘抄网络或其他项目相关技术资料，对文件内容具有独立自主知识产权； </w:t>
      </w:r>
    </w:p>
    <w:p w14:paraId="567F3D01">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六、本项目经济标（投标报价）是依据本项目给定的图纸、工程量清单、最高投标限价以及现场实际独立编制的，对投标报价编制的完整性、准确性负责； </w:t>
      </w:r>
    </w:p>
    <w:p w14:paraId="538D15F4">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七、本项目资信标提供的材料均为我单位真实、有效和完整的材料，不存在任何弄虚作假行为。投标文件所附的各类材料均为我单位提供相关材料和填写的内容在主体信息库依据规则生成，我单位已对材料进行确认，并认可提供材料的有效性、真实性和完整性。我单位对以上声明内容完全负责，如违反以上任一一款，评标委员会有权依据招标文件相应条款否决我单位投标文件，招标人有权依据相关法律不接受我单位投标并没收我单位投标保证金，由此造成的一切法律责任和经济损失我单位均予以承担。 </w:t>
      </w:r>
    </w:p>
    <w:p w14:paraId="0746BE3C">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特此声明！ </w:t>
      </w:r>
    </w:p>
    <w:p w14:paraId="245A30C7">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14:paraId="6EA1F7CF">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14:paraId="59859251">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14:paraId="40134861">
      <w:pPr>
        <w:keepNext w:val="0"/>
        <w:keepLines w:val="0"/>
        <w:widowControl/>
        <w:suppressLineNumbers w:val="0"/>
        <w:spacing w:line="360" w:lineRule="auto"/>
        <w:jc w:val="center"/>
        <w:rPr>
          <w:color w:val="auto"/>
          <w:highlight w:val="none"/>
        </w:rPr>
      </w:pPr>
      <w:r>
        <w:rPr>
          <w:rFonts w:hint="eastAsia" w:ascii="宋体" w:hAnsi="宋体" w:eastAsia="宋体" w:cs="宋体"/>
          <w:color w:val="auto"/>
          <w:kern w:val="0"/>
          <w:sz w:val="21"/>
          <w:szCs w:val="21"/>
          <w:highlight w:val="none"/>
          <w:lang w:val="en-US" w:eastAsia="zh-CN" w:bidi="ar"/>
        </w:rPr>
        <w:t xml:space="preserve">                                   声明单位：（盖单位章）</w:t>
      </w:r>
    </w:p>
    <w:p w14:paraId="371EAEA5">
      <w:pPr>
        <w:keepNext w:val="0"/>
        <w:keepLines w:val="0"/>
        <w:widowControl/>
        <w:suppressLineNumbers w:val="0"/>
        <w:spacing w:line="360" w:lineRule="auto"/>
        <w:jc w:val="center"/>
        <w:rPr>
          <w:color w:val="auto"/>
          <w:highlight w:val="none"/>
        </w:rPr>
      </w:pPr>
      <w:r>
        <w:rPr>
          <w:rFonts w:hint="eastAsia" w:ascii="宋体" w:hAnsi="宋体" w:eastAsia="宋体" w:cs="宋体"/>
          <w:color w:val="auto"/>
          <w:kern w:val="0"/>
          <w:sz w:val="21"/>
          <w:szCs w:val="21"/>
          <w:highlight w:val="none"/>
          <w:lang w:val="en-US" w:eastAsia="zh-CN" w:bidi="ar"/>
        </w:rPr>
        <w:t xml:space="preserve">                                            法定代表人或授权委托人：（签章） </w:t>
      </w:r>
    </w:p>
    <w:p w14:paraId="1DE312E7">
      <w:pPr>
        <w:keepNext w:val="0"/>
        <w:keepLines w:val="0"/>
        <w:widowControl/>
        <w:suppressLineNumbers w:val="0"/>
        <w:spacing w:line="360" w:lineRule="auto"/>
        <w:jc w:val="center"/>
        <w:rPr>
          <w:color w:val="auto"/>
          <w:highlight w:val="none"/>
        </w:rPr>
      </w:pPr>
      <w:r>
        <w:rPr>
          <w:rFonts w:hint="eastAsia" w:ascii="宋体" w:hAnsi="宋体" w:eastAsia="宋体" w:cs="宋体"/>
          <w:color w:val="auto"/>
          <w:kern w:val="0"/>
          <w:sz w:val="21"/>
          <w:szCs w:val="21"/>
          <w:highlight w:val="none"/>
          <w:lang w:val="en-US" w:eastAsia="zh-CN" w:bidi="ar"/>
        </w:rPr>
        <w:t xml:space="preserve">                                      声明时间：    年   月   日</w:t>
      </w:r>
    </w:p>
    <w:p w14:paraId="3DBEF638">
      <w:pPr>
        <w:keepNext w:val="0"/>
        <w:keepLines w:val="0"/>
        <w:widowControl/>
        <w:suppressLineNumbers w:val="0"/>
        <w:spacing w:line="360" w:lineRule="auto"/>
        <w:jc w:val="center"/>
        <w:rPr>
          <w:rFonts w:hint="eastAsia" w:ascii="宋体" w:hAnsi="宋体" w:eastAsia="宋体" w:cs="宋体"/>
          <w:color w:val="auto"/>
          <w:kern w:val="0"/>
          <w:sz w:val="21"/>
          <w:szCs w:val="21"/>
          <w:highlight w:val="none"/>
          <w:lang w:val="en-US" w:eastAsia="zh-CN" w:bidi="ar"/>
        </w:rPr>
      </w:pPr>
    </w:p>
    <w:p w14:paraId="2392BC48">
      <w:pPr>
        <w:jc w:val="center"/>
        <w:outlineLvl w:val="9"/>
        <w:rPr>
          <w:rFonts w:hint="eastAsia"/>
          <w:color w:val="auto"/>
          <w:highlight w:val="none"/>
        </w:rPr>
      </w:pPr>
    </w:p>
    <w:p w14:paraId="00339BAF">
      <w:pPr>
        <w:jc w:val="center"/>
        <w:outlineLvl w:val="9"/>
        <w:rPr>
          <w:rFonts w:hint="eastAsia"/>
          <w:color w:val="auto"/>
          <w:highlight w:val="none"/>
        </w:rPr>
      </w:pPr>
    </w:p>
    <w:p w14:paraId="2F4CCBBB">
      <w:pPr>
        <w:jc w:val="center"/>
        <w:outlineLvl w:val="9"/>
        <w:rPr>
          <w:rFonts w:hint="eastAsia"/>
          <w:color w:val="auto"/>
          <w:highlight w:val="none"/>
        </w:rPr>
      </w:pPr>
    </w:p>
    <w:p w14:paraId="4500020C">
      <w:pPr>
        <w:jc w:val="center"/>
        <w:outlineLvl w:val="9"/>
        <w:rPr>
          <w:rFonts w:hint="eastAsia"/>
          <w:color w:val="auto"/>
          <w:highlight w:val="none"/>
        </w:rPr>
      </w:pPr>
    </w:p>
    <w:p w14:paraId="4E16302E">
      <w:pPr>
        <w:pStyle w:val="3"/>
        <w:jc w:val="center"/>
        <w:rPr>
          <w:color w:val="auto"/>
          <w:highlight w:val="none"/>
        </w:rPr>
      </w:pPr>
      <w:bookmarkStart w:id="1792" w:name="_Toc3900"/>
      <w:r>
        <w:rPr>
          <w:rFonts w:hint="eastAsia"/>
          <w:color w:val="auto"/>
          <w:highlight w:val="none"/>
        </w:rPr>
        <w:t>二、法定代表人身份证明</w:t>
      </w:r>
      <w:bookmarkEnd w:id="1783"/>
      <w:bookmarkEnd w:id="1784"/>
      <w:bookmarkEnd w:id="1785"/>
      <w:bookmarkEnd w:id="1786"/>
      <w:bookmarkEnd w:id="1787"/>
      <w:bookmarkEnd w:id="1788"/>
      <w:bookmarkEnd w:id="1789"/>
      <w:bookmarkEnd w:id="1790"/>
      <w:bookmarkEnd w:id="1791"/>
      <w:bookmarkEnd w:id="1792"/>
    </w:p>
    <w:p w14:paraId="7E8191C0">
      <w:pPr>
        <w:spacing w:line="440" w:lineRule="exact"/>
        <w:rPr>
          <w:color w:val="auto"/>
          <w:sz w:val="20"/>
          <w:szCs w:val="20"/>
          <w:highlight w:val="none"/>
        </w:rPr>
      </w:pPr>
    </w:p>
    <w:p w14:paraId="5A6C41A1">
      <w:pPr>
        <w:spacing w:line="440" w:lineRule="exact"/>
        <w:rPr>
          <w:color w:val="auto"/>
          <w:szCs w:val="21"/>
          <w:highlight w:val="none"/>
        </w:rPr>
      </w:pPr>
    </w:p>
    <w:p w14:paraId="3F4D0BB3">
      <w:pPr>
        <w:keepNext w:val="0"/>
        <w:keepLines w:val="0"/>
        <w:pageBreakBefore w:val="0"/>
        <w:widowControl w:val="0"/>
        <w:kinsoku/>
        <w:wordWrap/>
        <w:overflowPunct/>
        <w:topLinePunct w:val="0"/>
        <w:autoSpaceDE/>
        <w:autoSpaceDN/>
        <w:bidi w:val="0"/>
        <w:adjustRightInd/>
        <w:snapToGrid/>
        <w:spacing w:line="360" w:lineRule="auto"/>
        <w:textAlignment w:val="auto"/>
        <w:rPr>
          <w:color w:val="auto"/>
          <w:szCs w:val="21"/>
          <w:highlight w:val="none"/>
        </w:rPr>
      </w:pPr>
      <w:r>
        <w:rPr>
          <w:rFonts w:hint="eastAsia"/>
          <w:color w:val="auto"/>
          <w:szCs w:val="21"/>
          <w:highlight w:val="none"/>
        </w:rPr>
        <w:t>投标人：</w:t>
      </w:r>
    </w:p>
    <w:p w14:paraId="3B496556">
      <w:pPr>
        <w:keepNext w:val="0"/>
        <w:keepLines w:val="0"/>
        <w:pageBreakBefore w:val="0"/>
        <w:widowControl w:val="0"/>
        <w:kinsoku/>
        <w:wordWrap/>
        <w:overflowPunct/>
        <w:topLinePunct w:val="0"/>
        <w:autoSpaceDE/>
        <w:autoSpaceDN/>
        <w:bidi w:val="0"/>
        <w:adjustRightInd/>
        <w:snapToGrid/>
        <w:spacing w:line="360" w:lineRule="auto"/>
        <w:textAlignment w:val="auto"/>
        <w:rPr>
          <w:color w:val="auto"/>
          <w:szCs w:val="21"/>
          <w:highlight w:val="none"/>
        </w:rPr>
      </w:pPr>
      <w:r>
        <w:rPr>
          <w:rFonts w:hint="eastAsia"/>
          <w:color w:val="auto"/>
          <w:szCs w:val="21"/>
          <w:highlight w:val="none"/>
        </w:rPr>
        <w:t>单位性质：</w:t>
      </w:r>
    </w:p>
    <w:p w14:paraId="6687AFEE">
      <w:pPr>
        <w:keepNext w:val="0"/>
        <w:keepLines w:val="0"/>
        <w:pageBreakBefore w:val="0"/>
        <w:widowControl w:val="0"/>
        <w:kinsoku/>
        <w:wordWrap/>
        <w:overflowPunct/>
        <w:topLinePunct w:val="0"/>
        <w:autoSpaceDE/>
        <w:autoSpaceDN/>
        <w:bidi w:val="0"/>
        <w:adjustRightInd/>
        <w:snapToGrid/>
        <w:spacing w:line="360" w:lineRule="auto"/>
        <w:textAlignment w:val="auto"/>
        <w:rPr>
          <w:color w:val="auto"/>
          <w:szCs w:val="21"/>
          <w:highlight w:val="none"/>
        </w:rPr>
      </w:pPr>
      <w:r>
        <w:rPr>
          <w:rFonts w:hint="eastAsia"/>
          <w:color w:val="auto"/>
          <w:szCs w:val="21"/>
          <w:highlight w:val="none"/>
        </w:rPr>
        <w:t>地址：</w:t>
      </w:r>
    </w:p>
    <w:p w14:paraId="1B76D2DB">
      <w:pPr>
        <w:keepNext w:val="0"/>
        <w:keepLines w:val="0"/>
        <w:pageBreakBefore w:val="0"/>
        <w:widowControl w:val="0"/>
        <w:kinsoku/>
        <w:wordWrap/>
        <w:overflowPunct/>
        <w:topLinePunct w:val="0"/>
        <w:autoSpaceDE/>
        <w:autoSpaceDN/>
        <w:bidi w:val="0"/>
        <w:adjustRightInd/>
        <w:snapToGrid/>
        <w:spacing w:line="360" w:lineRule="auto"/>
        <w:textAlignment w:val="auto"/>
        <w:rPr>
          <w:color w:val="auto"/>
          <w:szCs w:val="21"/>
          <w:highlight w:val="none"/>
        </w:rPr>
      </w:pPr>
      <w:r>
        <w:rPr>
          <w:rFonts w:hint="eastAsia"/>
          <w:color w:val="auto"/>
          <w:szCs w:val="21"/>
          <w:highlight w:val="none"/>
        </w:rPr>
        <w:t>成立时间：</w:t>
      </w:r>
      <w:r>
        <w:rPr>
          <w:rFonts w:hint="eastAsia"/>
          <w:color w:val="auto"/>
          <w:szCs w:val="21"/>
          <w:highlight w:val="none"/>
          <w:u w:val="single"/>
          <w:lang w:val="en-US" w:eastAsia="zh-CN"/>
        </w:rPr>
        <w:t xml:space="preserve">          </w:t>
      </w:r>
      <w:r>
        <w:rPr>
          <w:rFonts w:hint="eastAsia"/>
          <w:color w:val="auto"/>
          <w:szCs w:val="21"/>
          <w:highlight w:val="none"/>
        </w:rPr>
        <w:t>年</w:t>
      </w:r>
      <w:r>
        <w:rPr>
          <w:rFonts w:hint="eastAsia"/>
          <w:color w:val="auto"/>
          <w:szCs w:val="21"/>
          <w:highlight w:val="none"/>
          <w:u w:val="single"/>
          <w:lang w:val="en-US" w:eastAsia="zh-CN"/>
        </w:rPr>
        <w:t xml:space="preserve">          </w:t>
      </w:r>
      <w:r>
        <w:rPr>
          <w:rFonts w:hint="eastAsia"/>
          <w:color w:val="auto"/>
          <w:szCs w:val="21"/>
          <w:highlight w:val="none"/>
        </w:rPr>
        <w:t>月</w:t>
      </w:r>
      <w:r>
        <w:rPr>
          <w:rFonts w:hint="eastAsia"/>
          <w:color w:val="auto"/>
          <w:szCs w:val="21"/>
          <w:highlight w:val="none"/>
          <w:u w:val="single"/>
          <w:lang w:val="en-US" w:eastAsia="zh-CN"/>
        </w:rPr>
        <w:t xml:space="preserve">          </w:t>
      </w:r>
      <w:r>
        <w:rPr>
          <w:rFonts w:hint="eastAsia"/>
          <w:color w:val="auto"/>
          <w:szCs w:val="21"/>
          <w:highlight w:val="none"/>
        </w:rPr>
        <w:t>日</w:t>
      </w:r>
    </w:p>
    <w:p w14:paraId="5775C9E9">
      <w:pPr>
        <w:keepNext w:val="0"/>
        <w:keepLines w:val="0"/>
        <w:pageBreakBefore w:val="0"/>
        <w:widowControl w:val="0"/>
        <w:kinsoku/>
        <w:wordWrap/>
        <w:overflowPunct/>
        <w:topLinePunct w:val="0"/>
        <w:autoSpaceDE/>
        <w:autoSpaceDN/>
        <w:bidi w:val="0"/>
        <w:adjustRightInd/>
        <w:snapToGrid/>
        <w:spacing w:line="360" w:lineRule="auto"/>
        <w:textAlignment w:val="auto"/>
        <w:rPr>
          <w:color w:val="auto"/>
          <w:szCs w:val="21"/>
          <w:highlight w:val="none"/>
        </w:rPr>
      </w:pPr>
      <w:r>
        <w:rPr>
          <w:rFonts w:hint="eastAsia"/>
          <w:color w:val="auto"/>
          <w:szCs w:val="21"/>
          <w:highlight w:val="none"/>
        </w:rPr>
        <w:t>经营期限：</w:t>
      </w:r>
    </w:p>
    <w:p w14:paraId="0F9C10D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Cs w:val="21"/>
          <w:highlight w:val="none"/>
        </w:rPr>
      </w:pPr>
      <w:r>
        <w:rPr>
          <w:rFonts w:hint="eastAsia"/>
          <w:color w:val="auto"/>
          <w:szCs w:val="21"/>
          <w:highlight w:val="none"/>
        </w:rPr>
        <w:t>姓名：</w:t>
      </w:r>
      <w:r>
        <w:rPr>
          <w:rFonts w:hint="eastAsia"/>
          <w:color w:val="auto"/>
          <w:szCs w:val="21"/>
          <w:highlight w:val="none"/>
          <w:u w:val="single"/>
          <w:lang w:val="en-US" w:eastAsia="zh-CN"/>
        </w:rPr>
        <w:t xml:space="preserve">                    </w:t>
      </w:r>
      <w:r>
        <w:rPr>
          <w:rFonts w:hint="eastAsia"/>
          <w:color w:val="auto"/>
          <w:szCs w:val="21"/>
          <w:highlight w:val="none"/>
        </w:rPr>
        <w:t>性别：</w:t>
      </w:r>
    </w:p>
    <w:p w14:paraId="01FB0C5B">
      <w:pPr>
        <w:keepNext w:val="0"/>
        <w:keepLines w:val="0"/>
        <w:pageBreakBefore w:val="0"/>
        <w:widowControl w:val="0"/>
        <w:kinsoku/>
        <w:wordWrap/>
        <w:overflowPunct/>
        <w:topLinePunct w:val="0"/>
        <w:autoSpaceDE/>
        <w:autoSpaceDN/>
        <w:bidi w:val="0"/>
        <w:adjustRightInd/>
        <w:snapToGrid/>
        <w:spacing w:line="360" w:lineRule="auto"/>
        <w:textAlignment w:val="auto"/>
        <w:rPr>
          <w:color w:val="auto"/>
          <w:szCs w:val="21"/>
          <w:highlight w:val="none"/>
        </w:rPr>
      </w:pPr>
      <w:r>
        <w:rPr>
          <w:rFonts w:hint="eastAsia"/>
          <w:color w:val="auto"/>
          <w:szCs w:val="21"/>
          <w:highlight w:val="none"/>
        </w:rPr>
        <w:t>年龄：</w:t>
      </w:r>
      <w:r>
        <w:rPr>
          <w:rFonts w:hint="eastAsia"/>
          <w:color w:val="auto"/>
          <w:szCs w:val="21"/>
          <w:highlight w:val="none"/>
          <w:u w:val="single"/>
          <w:lang w:val="en-US" w:eastAsia="zh-CN"/>
        </w:rPr>
        <w:t xml:space="preserve">                    </w:t>
      </w:r>
      <w:r>
        <w:rPr>
          <w:rFonts w:hint="eastAsia"/>
          <w:color w:val="auto"/>
          <w:szCs w:val="21"/>
          <w:highlight w:val="none"/>
        </w:rPr>
        <w:t>职务：</w:t>
      </w:r>
    </w:p>
    <w:p w14:paraId="624D46EC">
      <w:pPr>
        <w:keepNext w:val="0"/>
        <w:keepLines w:val="0"/>
        <w:pageBreakBefore w:val="0"/>
        <w:widowControl w:val="0"/>
        <w:kinsoku/>
        <w:wordWrap/>
        <w:overflowPunct/>
        <w:topLinePunct w:val="0"/>
        <w:autoSpaceDE/>
        <w:autoSpaceDN/>
        <w:bidi w:val="0"/>
        <w:adjustRightInd/>
        <w:snapToGrid/>
        <w:spacing w:line="360" w:lineRule="auto"/>
        <w:textAlignment w:val="auto"/>
        <w:rPr>
          <w:color w:val="auto"/>
          <w:szCs w:val="21"/>
          <w:highlight w:val="none"/>
        </w:rPr>
      </w:pPr>
      <w:r>
        <w:rPr>
          <w:rFonts w:hint="eastAsia"/>
          <w:color w:val="auto"/>
          <w:szCs w:val="21"/>
          <w:highlight w:val="none"/>
        </w:rPr>
        <w:t>系</w:t>
      </w:r>
      <w:r>
        <w:rPr>
          <w:rFonts w:hint="eastAsia"/>
          <w:color w:val="auto"/>
          <w:szCs w:val="21"/>
          <w:highlight w:val="none"/>
          <w:u w:val="single"/>
          <w:lang w:val="en-US" w:eastAsia="zh-CN"/>
        </w:rPr>
        <w:t xml:space="preserve">                                        </w:t>
      </w:r>
      <w:r>
        <w:rPr>
          <w:rFonts w:hint="eastAsia"/>
          <w:color w:val="auto"/>
          <w:szCs w:val="21"/>
          <w:highlight w:val="none"/>
        </w:rPr>
        <w:t>（投标人名称）的法定代表人。</w:t>
      </w:r>
    </w:p>
    <w:p w14:paraId="4F725393">
      <w:pPr>
        <w:keepNext w:val="0"/>
        <w:keepLines w:val="0"/>
        <w:pageBreakBefore w:val="0"/>
        <w:widowControl w:val="0"/>
        <w:kinsoku/>
        <w:wordWrap/>
        <w:overflowPunct/>
        <w:topLinePunct w:val="0"/>
        <w:autoSpaceDE/>
        <w:autoSpaceDN/>
        <w:bidi w:val="0"/>
        <w:adjustRightInd/>
        <w:snapToGrid/>
        <w:spacing w:line="360" w:lineRule="auto"/>
        <w:textAlignment w:val="auto"/>
        <w:rPr>
          <w:color w:val="auto"/>
          <w:szCs w:val="21"/>
          <w:highlight w:val="none"/>
        </w:rPr>
      </w:pPr>
      <w:r>
        <w:rPr>
          <w:rFonts w:hint="eastAsia"/>
          <w:color w:val="auto"/>
          <w:szCs w:val="21"/>
          <w:highlight w:val="none"/>
        </w:rPr>
        <w:t>特此证明。</w:t>
      </w:r>
    </w:p>
    <w:p w14:paraId="6E0E975A">
      <w:pPr>
        <w:keepNext w:val="0"/>
        <w:keepLines w:val="0"/>
        <w:pageBreakBefore w:val="0"/>
        <w:widowControl w:val="0"/>
        <w:kinsoku/>
        <w:wordWrap/>
        <w:overflowPunct/>
        <w:topLinePunct w:val="0"/>
        <w:autoSpaceDE/>
        <w:autoSpaceDN/>
        <w:bidi w:val="0"/>
        <w:adjustRightInd/>
        <w:snapToGrid/>
        <w:spacing w:line="360" w:lineRule="auto"/>
        <w:textAlignment w:val="auto"/>
        <w:rPr>
          <w:color w:val="auto"/>
          <w:szCs w:val="21"/>
          <w:highlight w:val="none"/>
        </w:rPr>
      </w:pPr>
    </w:p>
    <w:p w14:paraId="4EE49F3C">
      <w:pPr>
        <w:keepNext w:val="0"/>
        <w:keepLines w:val="0"/>
        <w:pageBreakBefore w:val="0"/>
        <w:widowControl w:val="0"/>
        <w:kinsoku/>
        <w:wordWrap/>
        <w:overflowPunct/>
        <w:topLinePunct w:val="0"/>
        <w:autoSpaceDE/>
        <w:autoSpaceDN/>
        <w:bidi w:val="0"/>
        <w:adjustRightInd/>
        <w:snapToGrid/>
        <w:spacing w:line="360" w:lineRule="auto"/>
        <w:textAlignment w:val="auto"/>
        <w:rPr>
          <w:color w:val="auto"/>
          <w:szCs w:val="21"/>
          <w:highlight w:val="none"/>
        </w:rPr>
      </w:pPr>
    </w:p>
    <w:p w14:paraId="282D107A">
      <w:pPr>
        <w:keepNext w:val="0"/>
        <w:keepLines w:val="0"/>
        <w:pageBreakBefore w:val="0"/>
        <w:widowControl w:val="0"/>
        <w:kinsoku/>
        <w:wordWrap/>
        <w:overflowPunct/>
        <w:topLinePunct w:val="0"/>
        <w:autoSpaceDE/>
        <w:autoSpaceDN/>
        <w:bidi w:val="0"/>
        <w:adjustRightInd/>
        <w:snapToGrid/>
        <w:spacing w:line="360" w:lineRule="auto"/>
        <w:ind w:firstLine="3990" w:firstLineChars="1900"/>
        <w:textAlignment w:val="auto"/>
        <w:rPr>
          <w:color w:val="auto"/>
          <w:szCs w:val="21"/>
          <w:highlight w:val="none"/>
        </w:rPr>
      </w:pPr>
      <w:r>
        <w:rPr>
          <w:rFonts w:hint="eastAsia"/>
          <w:color w:val="auto"/>
          <w:szCs w:val="21"/>
          <w:highlight w:val="none"/>
        </w:rPr>
        <w:t>投标人：</w:t>
      </w:r>
      <w:r>
        <w:rPr>
          <w:rFonts w:hint="eastAsia"/>
          <w:color w:val="auto"/>
          <w:szCs w:val="21"/>
          <w:highlight w:val="none"/>
          <w:u w:val="single"/>
          <w:lang w:val="en-US" w:eastAsia="zh-CN"/>
        </w:rPr>
        <w:t xml:space="preserve">                    </w:t>
      </w:r>
      <w:r>
        <w:rPr>
          <w:rFonts w:hint="eastAsia"/>
          <w:color w:val="auto"/>
          <w:szCs w:val="21"/>
          <w:highlight w:val="none"/>
        </w:rPr>
        <w:t>（盖单位章）</w:t>
      </w:r>
    </w:p>
    <w:p w14:paraId="126F69D6">
      <w:pPr>
        <w:keepNext w:val="0"/>
        <w:keepLines w:val="0"/>
        <w:pageBreakBefore w:val="0"/>
        <w:widowControl w:val="0"/>
        <w:kinsoku/>
        <w:wordWrap/>
        <w:overflowPunct/>
        <w:topLinePunct w:val="0"/>
        <w:autoSpaceDE/>
        <w:autoSpaceDN/>
        <w:bidi w:val="0"/>
        <w:adjustRightInd/>
        <w:snapToGrid/>
        <w:spacing w:line="360" w:lineRule="auto"/>
        <w:ind w:firstLine="5460" w:firstLineChars="2600"/>
        <w:textAlignment w:val="auto"/>
        <w:rPr>
          <w:color w:val="auto"/>
          <w:szCs w:val="21"/>
          <w:highlight w:val="none"/>
        </w:rPr>
      </w:pPr>
      <w:r>
        <w:rPr>
          <w:rFonts w:hint="eastAsia"/>
          <w:color w:val="auto"/>
          <w:szCs w:val="21"/>
          <w:highlight w:val="none"/>
          <w:u w:val="single"/>
          <w:lang w:val="en-US" w:eastAsia="zh-CN"/>
        </w:rPr>
        <w:t xml:space="preserve">          </w:t>
      </w:r>
      <w:r>
        <w:rPr>
          <w:rFonts w:hint="eastAsia"/>
          <w:color w:val="auto"/>
          <w:szCs w:val="21"/>
          <w:highlight w:val="none"/>
        </w:rPr>
        <w:t>年</w:t>
      </w:r>
      <w:r>
        <w:rPr>
          <w:rFonts w:hint="eastAsia"/>
          <w:color w:val="auto"/>
          <w:szCs w:val="21"/>
          <w:highlight w:val="none"/>
          <w:u w:val="single"/>
          <w:lang w:val="en-US" w:eastAsia="zh-CN"/>
        </w:rPr>
        <w:t xml:space="preserve">          </w:t>
      </w:r>
      <w:r>
        <w:rPr>
          <w:rFonts w:hint="eastAsia"/>
          <w:color w:val="auto"/>
          <w:szCs w:val="21"/>
          <w:highlight w:val="none"/>
        </w:rPr>
        <w:t>月</w:t>
      </w:r>
      <w:r>
        <w:rPr>
          <w:rFonts w:hint="eastAsia"/>
          <w:color w:val="auto"/>
          <w:szCs w:val="21"/>
          <w:highlight w:val="none"/>
          <w:u w:val="single"/>
          <w:lang w:val="en-US" w:eastAsia="zh-CN"/>
        </w:rPr>
        <w:t xml:space="preserve">          </w:t>
      </w:r>
      <w:r>
        <w:rPr>
          <w:rFonts w:hint="eastAsia"/>
          <w:color w:val="auto"/>
          <w:szCs w:val="21"/>
          <w:highlight w:val="none"/>
        </w:rPr>
        <w:t>日</w:t>
      </w:r>
    </w:p>
    <w:p w14:paraId="5ECED8C7">
      <w:pPr>
        <w:spacing w:line="440" w:lineRule="exact"/>
        <w:jc w:val="center"/>
        <w:rPr>
          <w:rFonts w:eastAsia="黑体"/>
          <w:color w:val="auto"/>
          <w:sz w:val="20"/>
          <w:szCs w:val="20"/>
          <w:highlight w:val="none"/>
        </w:rPr>
      </w:pPr>
      <w:r>
        <w:rPr>
          <w:rFonts w:eastAsia="黑体"/>
          <w:color w:val="auto"/>
          <w:sz w:val="20"/>
          <w:szCs w:val="20"/>
          <w:highlight w:val="none"/>
        </w:rPr>
        <w:br w:type="page"/>
      </w:r>
    </w:p>
    <w:p w14:paraId="1EBDF52A">
      <w:pPr>
        <w:pStyle w:val="3"/>
        <w:jc w:val="center"/>
        <w:rPr>
          <w:color w:val="auto"/>
          <w:highlight w:val="none"/>
        </w:rPr>
      </w:pPr>
      <w:bookmarkStart w:id="1793" w:name="_Toc152045792"/>
      <w:bookmarkStart w:id="1794" w:name="_Toc247527832"/>
      <w:bookmarkStart w:id="1795" w:name="_Toc1709"/>
      <w:bookmarkStart w:id="1796" w:name="_Toc247514284"/>
      <w:bookmarkStart w:id="1797" w:name="_Toc2746"/>
      <w:bookmarkStart w:id="1798" w:name="_Toc14583"/>
      <w:bookmarkStart w:id="1799" w:name="_Toc144974861"/>
      <w:bookmarkStart w:id="1800" w:name="_Toc28127"/>
      <w:bookmarkStart w:id="1801" w:name="_Toc152042581"/>
      <w:bookmarkStart w:id="1802" w:name="_Toc7956827"/>
      <w:r>
        <w:rPr>
          <w:rFonts w:hint="eastAsia"/>
          <w:color w:val="auto"/>
          <w:highlight w:val="none"/>
        </w:rPr>
        <w:t>二、授权委托书</w:t>
      </w:r>
      <w:bookmarkEnd w:id="1793"/>
      <w:bookmarkEnd w:id="1794"/>
      <w:bookmarkEnd w:id="1795"/>
      <w:bookmarkEnd w:id="1796"/>
      <w:bookmarkEnd w:id="1797"/>
      <w:bookmarkEnd w:id="1798"/>
      <w:bookmarkEnd w:id="1799"/>
      <w:bookmarkEnd w:id="1800"/>
      <w:bookmarkEnd w:id="1801"/>
      <w:bookmarkEnd w:id="1802"/>
    </w:p>
    <w:p w14:paraId="1073ECCE">
      <w:pPr>
        <w:spacing w:line="440" w:lineRule="exact"/>
        <w:rPr>
          <w:rFonts w:eastAsia="黑体"/>
          <w:color w:val="auto"/>
          <w:szCs w:val="21"/>
          <w:highlight w:val="none"/>
        </w:rPr>
      </w:pPr>
    </w:p>
    <w:p w14:paraId="55287F76">
      <w:pPr>
        <w:keepNext w:val="0"/>
        <w:keepLines w:val="0"/>
        <w:pageBreakBefore w:val="0"/>
        <w:widowControl w:val="0"/>
        <w:kinsoku/>
        <w:wordWrap/>
        <w:overflowPunct/>
        <w:topLinePunct/>
        <w:autoSpaceDE/>
        <w:autoSpaceDN/>
        <w:bidi w:val="0"/>
        <w:adjustRightInd/>
        <w:snapToGrid/>
        <w:spacing w:line="360" w:lineRule="auto"/>
        <w:ind w:firstLine="420" w:firstLineChars="200"/>
        <w:textAlignment w:val="auto"/>
        <w:rPr>
          <w:color w:val="auto"/>
          <w:szCs w:val="21"/>
          <w:highlight w:val="none"/>
        </w:rPr>
      </w:pPr>
      <w:r>
        <w:rPr>
          <w:rFonts w:hint="eastAsia"/>
          <w:color w:val="auto"/>
          <w:szCs w:val="21"/>
          <w:highlight w:val="none"/>
        </w:rPr>
        <w:t>本人</w:t>
      </w:r>
      <w:r>
        <w:rPr>
          <w:rFonts w:hint="eastAsia"/>
          <w:color w:val="auto"/>
          <w:szCs w:val="21"/>
          <w:highlight w:val="none"/>
          <w:u w:val="single"/>
          <w:lang w:val="en-US" w:eastAsia="zh-CN"/>
        </w:rPr>
        <w:t xml:space="preserve">           </w:t>
      </w:r>
      <w:r>
        <w:rPr>
          <w:rFonts w:hint="eastAsia"/>
          <w:color w:val="auto"/>
          <w:szCs w:val="21"/>
          <w:highlight w:val="none"/>
        </w:rPr>
        <w:t>（姓名）系</w:t>
      </w:r>
      <w:r>
        <w:rPr>
          <w:rFonts w:hint="eastAsia"/>
          <w:color w:val="auto"/>
          <w:szCs w:val="21"/>
          <w:highlight w:val="none"/>
          <w:u w:val="single"/>
          <w:lang w:val="en-US" w:eastAsia="zh-CN"/>
        </w:rPr>
        <w:t xml:space="preserve">             </w:t>
      </w:r>
      <w:r>
        <w:rPr>
          <w:rFonts w:hint="eastAsia"/>
          <w:color w:val="auto"/>
          <w:szCs w:val="21"/>
          <w:highlight w:val="none"/>
        </w:rPr>
        <w:t>（投标人名称）的法定代表人，现委托</w:t>
      </w:r>
      <w:r>
        <w:rPr>
          <w:rFonts w:hint="eastAsia"/>
          <w:color w:val="auto"/>
          <w:szCs w:val="21"/>
          <w:highlight w:val="none"/>
          <w:u w:val="single"/>
          <w:lang w:val="en-US" w:eastAsia="zh-CN"/>
        </w:rPr>
        <w:t xml:space="preserve">           </w:t>
      </w:r>
      <w:r>
        <w:rPr>
          <w:rFonts w:hint="eastAsia"/>
          <w:color w:val="auto"/>
          <w:szCs w:val="21"/>
          <w:highlight w:val="none"/>
        </w:rPr>
        <w:t>（姓名）为我方代理人。代理人根据授权，以我方名义签署、澄清、说明、补正、递交、撤回、修改</w:t>
      </w:r>
      <w:r>
        <w:rPr>
          <w:rFonts w:hint="eastAsia"/>
          <w:color w:val="auto"/>
          <w:szCs w:val="21"/>
          <w:highlight w:val="none"/>
          <w:u w:val="single"/>
          <w:lang w:val="en-US" w:eastAsia="zh-CN"/>
        </w:rPr>
        <w:t xml:space="preserve">          </w:t>
      </w:r>
      <w:r>
        <w:rPr>
          <w:rFonts w:hint="eastAsia"/>
          <w:color w:val="auto"/>
          <w:szCs w:val="21"/>
          <w:highlight w:val="none"/>
        </w:rPr>
        <w:t>（</w:t>
      </w:r>
      <w:r>
        <w:rPr>
          <w:rFonts w:hint="eastAsia"/>
          <w:color w:val="auto"/>
          <w:szCs w:val="21"/>
          <w:highlight w:val="none"/>
          <w:lang w:val="en-US" w:eastAsia="zh-CN"/>
        </w:rPr>
        <w:t>标段</w:t>
      </w:r>
      <w:r>
        <w:rPr>
          <w:rFonts w:hint="eastAsia"/>
          <w:color w:val="auto"/>
          <w:szCs w:val="21"/>
          <w:highlight w:val="none"/>
        </w:rPr>
        <w:t>名称）</w:t>
      </w:r>
      <w:r>
        <w:rPr>
          <w:rFonts w:hint="eastAsia"/>
          <w:color w:val="auto"/>
          <w:szCs w:val="21"/>
          <w:highlight w:val="none"/>
          <w:lang w:val="en-US" w:eastAsia="zh-CN"/>
        </w:rPr>
        <w:t>项目（标段唯一标识码：</w:t>
      </w:r>
      <w:r>
        <w:rPr>
          <w:rFonts w:hint="eastAsia"/>
          <w:color w:val="auto"/>
          <w:szCs w:val="21"/>
          <w:highlight w:val="none"/>
          <w:u w:val="single"/>
          <w:lang w:val="en-US" w:eastAsia="zh-CN"/>
        </w:rPr>
        <w:t xml:space="preserve">          </w:t>
      </w:r>
      <w:r>
        <w:rPr>
          <w:rFonts w:hint="eastAsia"/>
          <w:color w:val="auto"/>
          <w:szCs w:val="21"/>
          <w:highlight w:val="none"/>
          <w:lang w:val="en-US" w:eastAsia="zh-CN"/>
        </w:rPr>
        <w:t>）</w:t>
      </w:r>
      <w:r>
        <w:rPr>
          <w:rFonts w:hint="eastAsia"/>
          <w:color w:val="auto"/>
          <w:szCs w:val="21"/>
          <w:highlight w:val="none"/>
        </w:rPr>
        <w:t>投标文件、签订合同和处理有关事宜，其法律后果由我方承担。</w:t>
      </w:r>
    </w:p>
    <w:p w14:paraId="32B7FBBB">
      <w:pPr>
        <w:keepNext w:val="0"/>
        <w:keepLines w:val="0"/>
        <w:pageBreakBefore w:val="0"/>
        <w:widowControl w:val="0"/>
        <w:kinsoku/>
        <w:wordWrap/>
        <w:overflowPunct/>
        <w:autoSpaceDE/>
        <w:autoSpaceDN/>
        <w:bidi w:val="0"/>
        <w:adjustRightInd/>
        <w:snapToGrid/>
        <w:spacing w:line="360" w:lineRule="auto"/>
        <w:ind w:firstLine="420" w:firstLineChars="200"/>
        <w:textAlignment w:val="auto"/>
        <w:rPr>
          <w:color w:val="auto"/>
          <w:szCs w:val="21"/>
          <w:highlight w:val="none"/>
        </w:rPr>
      </w:pPr>
      <w:r>
        <w:rPr>
          <w:rFonts w:hint="eastAsia"/>
          <w:color w:val="auto"/>
          <w:szCs w:val="21"/>
          <w:highlight w:val="none"/>
        </w:rPr>
        <w:t>委托期限：</w:t>
      </w:r>
      <w:r>
        <w:rPr>
          <w:rFonts w:hint="eastAsia"/>
          <w:color w:val="auto"/>
          <w:szCs w:val="21"/>
          <w:highlight w:val="none"/>
          <w:u w:val="single"/>
          <w:lang w:val="en-US" w:eastAsia="zh-CN"/>
        </w:rPr>
        <w:t xml:space="preserve">                                                               </w:t>
      </w:r>
      <w:r>
        <w:rPr>
          <w:rFonts w:hint="eastAsia"/>
          <w:color w:val="auto"/>
          <w:szCs w:val="21"/>
          <w:highlight w:val="none"/>
        </w:rPr>
        <w:t>。</w:t>
      </w:r>
    </w:p>
    <w:p w14:paraId="33308FFC">
      <w:pPr>
        <w:keepNext w:val="0"/>
        <w:keepLines w:val="0"/>
        <w:pageBreakBefore w:val="0"/>
        <w:widowControl w:val="0"/>
        <w:kinsoku/>
        <w:wordWrap/>
        <w:overflowPunct/>
        <w:autoSpaceDE/>
        <w:autoSpaceDN/>
        <w:bidi w:val="0"/>
        <w:adjustRightInd/>
        <w:snapToGrid/>
        <w:spacing w:line="360" w:lineRule="auto"/>
        <w:ind w:firstLine="420" w:firstLineChars="200"/>
        <w:textAlignment w:val="auto"/>
        <w:rPr>
          <w:color w:val="auto"/>
          <w:szCs w:val="21"/>
          <w:highlight w:val="none"/>
        </w:rPr>
      </w:pPr>
      <w:r>
        <w:rPr>
          <w:rFonts w:hint="eastAsia"/>
          <w:color w:val="auto"/>
          <w:szCs w:val="21"/>
          <w:highlight w:val="none"/>
        </w:rPr>
        <w:t>代理人无转委托权。</w:t>
      </w:r>
    </w:p>
    <w:p w14:paraId="259882D6">
      <w:pPr>
        <w:keepNext w:val="0"/>
        <w:keepLines w:val="0"/>
        <w:widowControl/>
        <w:suppressLineNumbers w:val="0"/>
        <w:ind w:firstLine="2310" w:firstLineChars="1100"/>
        <w:jc w:val="left"/>
        <w:rPr>
          <w:rFonts w:hint="eastAsia"/>
          <w:color w:val="auto"/>
          <w:szCs w:val="21"/>
          <w:highlight w:val="none"/>
          <w:lang w:eastAsia="zh-CN"/>
        </w:rPr>
      </w:pPr>
    </w:p>
    <w:p w14:paraId="6B7A0869">
      <w:pPr>
        <w:keepNext w:val="0"/>
        <w:keepLines w:val="0"/>
        <w:widowControl/>
        <w:suppressLineNumbers w:val="0"/>
        <w:ind w:firstLine="2310" w:firstLineChars="1100"/>
        <w:jc w:val="left"/>
        <w:rPr>
          <w:color w:val="auto"/>
          <w:szCs w:val="21"/>
          <w:highlight w:val="none"/>
        </w:rPr>
      </w:pPr>
      <w:r>
        <w:rPr>
          <w:rFonts w:hint="eastAsia"/>
          <w:color w:val="auto"/>
          <w:szCs w:val="21"/>
          <w:highlight w:val="none"/>
          <w:lang w:eastAsia="zh-CN"/>
        </w:rPr>
        <w:t>（</w:t>
      </w:r>
      <w:r>
        <w:rPr>
          <w:rFonts w:hint="eastAsia" w:ascii="宋体" w:hAnsi="宋体" w:eastAsia="宋体" w:cs="宋体"/>
          <w:color w:val="auto"/>
          <w:kern w:val="0"/>
          <w:sz w:val="21"/>
          <w:szCs w:val="21"/>
          <w:highlight w:val="none"/>
          <w:lang w:val="en-US" w:eastAsia="zh-CN" w:bidi="ar"/>
        </w:rPr>
        <w:t>附授权委托人身份证正反面复印件</w:t>
      </w:r>
      <w:r>
        <w:rPr>
          <w:rFonts w:hint="eastAsia"/>
          <w:color w:val="auto"/>
          <w:szCs w:val="21"/>
          <w:highlight w:val="none"/>
          <w:lang w:eastAsia="zh-CN"/>
        </w:rPr>
        <w:t>）</w:t>
      </w:r>
    </w:p>
    <w:p w14:paraId="3AD08D00">
      <w:pPr>
        <w:spacing w:line="440" w:lineRule="exact"/>
        <w:rPr>
          <w:color w:val="auto"/>
          <w:szCs w:val="21"/>
          <w:highlight w:val="none"/>
        </w:rPr>
      </w:pPr>
    </w:p>
    <w:p w14:paraId="22B85F78">
      <w:pPr>
        <w:spacing w:line="440" w:lineRule="exact"/>
        <w:rPr>
          <w:color w:val="auto"/>
          <w:szCs w:val="21"/>
          <w:highlight w:val="none"/>
        </w:rPr>
      </w:pPr>
    </w:p>
    <w:p w14:paraId="4042016D">
      <w:pPr>
        <w:keepNext w:val="0"/>
        <w:keepLines w:val="0"/>
        <w:pageBreakBefore w:val="0"/>
        <w:widowControl w:val="0"/>
        <w:kinsoku/>
        <w:wordWrap/>
        <w:overflowPunct/>
        <w:topLinePunct w:val="0"/>
        <w:autoSpaceDE/>
        <w:autoSpaceDN/>
        <w:bidi w:val="0"/>
        <w:adjustRightInd/>
        <w:snapToGrid/>
        <w:spacing w:line="440" w:lineRule="exact"/>
        <w:ind w:firstLine="2940" w:firstLineChars="1400"/>
        <w:textAlignment w:val="auto"/>
        <w:rPr>
          <w:color w:val="auto"/>
          <w:szCs w:val="21"/>
          <w:highlight w:val="none"/>
        </w:rPr>
      </w:pPr>
      <w:r>
        <w:rPr>
          <w:rFonts w:hint="eastAsia"/>
          <w:color w:val="auto"/>
          <w:szCs w:val="21"/>
          <w:highlight w:val="none"/>
        </w:rPr>
        <w:t>投标人：</w:t>
      </w:r>
      <w:r>
        <w:rPr>
          <w:rFonts w:hint="eastAsia"/>
          <w:color w:val="auto"/>
          <w:szCs w:val="21"/>
          <w:highlight w:val="none"/>
          <w:u w:val="single"/>
          <w:lang w:val="en-US" w:eastAsia="zh-CN"/>
        </w:rPr>
        <w:t xml:space="preserve">                                  </w:t>
      </w:r>
      <w:r>
        <w:rPr>
          <w:rFonts w:hint="eastAsia"/>
          <w:color w:val="auto"/>
          <w:szCs w:val="21"/>
          <w:highlight w:val="none"/>
        </w:rPr>
        <w:t>（盖单位章）</w:t>
      </w:r>
    </w:p>
    <w:p w14:paraId="44AFA342">
      <w:pPr>
        <w:keepNext w:val="0"/>
        <w:keepLines w:val="0"/>
        <w:pageBreakBefore w:val="0"/>
        <w:widowControl w:val="0"/>
        <w:kinsoku/>
        <w:wordWrap/>
        <w:overflowPunct/>
        <w:topLinePunct w:val="0"/>
        <w:autoSpaceDE/>
        <w:autoSpaceDN/>
        <w:bidi w:val="0"/>
        <w:adjustRightInd/>
        <w:snapToGrid/>
        <w:spacing w:line="440" w:lineRule="exact"/>
        <w:ind w:firstLine="2940" w:firstLineChars="1400"/>
        <w:textAlignment w:val="auto"/>
        <w:rPr>
          <w:color w:val="auto"/>
          <w:szCs w:val="21"/>
          <w:highlight w:val="none"/>
        </w:rPr>
      </w:pPr>
    </w:p>
    <w:p w14:paraId="2E2B28DD">
      <w:pPr>
        <w:keepNext w:val="0"/>
        <w:keepLines w:val="0"/>
        <w:pageBreakBefore w:val="0"/>
        <w:widowControl w:val="0"/>
        <w:kinsoku/>
        <w:wordWrap/>
        <w:overflowPunct/>
        <w:topLinePunct w:val="0"/>
        <w:autoSpaceDE/>
        <w:autoSpaceDN/>
        <w:bidi w:val="0"/>
        <w:adjustRightInd/>
        <w:snapToGrid/>
        <w:spacing w:line="440" w:lineRule="exact"/>
        <w:ind w:firstLine="2940" w:firstLineChars="1400"/>
        <w:textAlignment w:val="auto"/>
        <w:rPr>
          <w:color w:val="auto"/>
          <w:szCs w:val="21"/>
          <w:highlight w:val="none"/>
        </w:rPr>
      </w:pPr>
      <w:r>
        <w:rPr>
          <w:rFonts w:hint="eastAsia"/>
          <w:color w:val="auto"/>
          <w:szCs w:val="21"/>
          <w:highlight w:val="none"/>
        </w:rPr>
        <w:t>法定代表人：</w:t>
      </w:r>
      <w:r>
        <w:rPr>
          <w:rFonts w:hint="eastAsia"/>
          <w:color w:val="auto"/>
          <w:szCs w:val="21"/>
          <w:highlight w:val="none"/>
          <w:u w:val="single"/>
          <w:lang w:val="en-US" w:eastAsia="zh-CN"/>
        </w:rPr>
        <w:t xml:space="preserve">                                  </w:t>
      </w:r>
      <w:r>
        <w:rPr>
          <w:rFonts w:hint="eastAsia"/>
          <w:color w:val="auto"/>
          <w:szCs w:val="21"/>
          <w:highlight w:val="none"/>
        </w:rPr>
        <w:t>（签字）</w:t>
      </w:r>
    </w:p>
    <w:p w14:paraId="04CB9466">
      <w:pPr>
        <w:keepNext w:val="0"/>
        <w:keepLines w:val="0"/>
        <w:pageBreakBefore w:val="0"/>
        <w:widowControl w:val="0"/>
        <w:kinsoku/>
        <w:wordWrap/>
        <w:overflowPunct/>
        <w:topLinePunct w:val="0"/>
        <w:autoSpaceDE/>
        <w:autoSpaceDN/>
        <w:bidi w:val="0"/>
        <w:adjustRightInd/>
        <w:snapToGrid/>
        <w:spacing w:line="440" w:lineRule="exact"/>
        <w:ind w:firstLine="2940" w:firstLineChars="1400"/>
        <w:textAlignment w:val="auto"/>
        <w:rPr>
          <w:color w:val="auto"/>
          <w:szCs w:val="21"/>
          <w:highlight w:val="none"/>
        </w:rPr>
      </w:pPr>
    </w:p>
    <w:p w14:paraId="014BC22C">
      <w:pPr>
        <w:keepNext w:val="0"/>
        <w:keepLines w:val="0"/>
        <w:pageBreakBefore w:val="0"/>
        <w:widowControl w:val="0"/>
        <w:kinsoku/>
        <w:wordWrap/>
        <w:overflowPunct/>
        <w:topLinePunct w:val="0"/>
        <w:autoSpaceDE/>
        <w:autoSpaceDN/>
        <w:bidi w:val="0"/>
        <w:adjustRightInd/>
        <w:snapToGrid/>
        <w:spacing w:line="440" w:lineRule="exact"/>
        <w:ind w:firstLine="2940" w:firstLineChars="1400"/>
        <w:textAlignment w:val="auto"/>
        <w:rPr>
          <w:color w:val="auto"/>
          <w:szCs w:val="21"/>
          <w:highlight w:val="none"/>
        </w:rPr>
      </w:pPr>
      <w:r>
        <w:rPr>
          <w:rFonts w:hint="eastAsia"/>
          <w:color w:val="auto"/>
          <w:szCs w:val="21"/>
          <w:highlight w:val="none"/>
        </w:rPr>
        <w:t>身份证号码：</w:t>
      </w:r>
      <w:r>
        <w:rPr>
          <w:rFonts w:hint="eastAsia"/>
          <w:color w:val="auto"/>
          <w:szCs w:val="21"/>
          <w:highlight w:val="none"/>
          <w:u w:val="single"/>
          <w:lang w:val="en-US" w:eastAsia="zh-CN"/>
        </w:rPr>
        <w:t xml:space="preserve">                                  </w:t>
      </w:r>
    </w:p>
    <w:p w14:paraId="2A5DDBDF">
      <w:pPr>
        <w:keepNext w:val="0"/>
        <w:keepLines w:val="0"/>
        <w:pageBreakBefore w:val="0"/>
        <w:widowControl w:val="0"/>
        <w:kinsoku/>
        <w:wordWrap/>
        <w:overflowPunct/>
        <w:topLinePunct w:val="0"/>
        <w:autoSpaceDE/>
        <w:autoSpaceDN/>
        <w:bidi w:val="0"/>
        <w:adjustRightInd/>
        <w:snapToGrid/>
        <w:spacing w:line="440" w:lineRule="exact"/>
        <w:ind w:firstLine="2940" w:firstLineChars="1400"/>
        <w:textAlignment w:val="auto"/>
        <w:rPr>
          <w:color w:val="auto"/>
          <w:szCs w:val="21"/>
          <w:highlight w:val="none"/>
        </w:rPr>
      </w:pPr>
    </w:p>
    <w:p w14:paraId="619C4E56">
      <w:pPr>
        <w:keepNext w:val="0"/>
        <w:keepLines w:val="0"/>
        <w:pageBreakBefore w:val="0"/>
        <w:widowControl w:val="0"/>
        <w:kinsoku/>
        <w:wordWrap/>
        <w:overflowPunct/>
        <w:topLinePunct w:val="0"/>
        <w:autoSpaceDE/>
        <w:autoSpaceDN/>
        <w:bidi w:val="0"/>
        <w:adjustRightInd/>
        <w:snapToGrid/>
        <w:spacing w:line="440" w:lineRule="exact"/>
        <w:ind w:firstLine="2940" w:firstLineChars="1400"/>
        <w:textAlignment w:val="auto"/>
        <w:rPr>
          <w:color w:val="auto"/>
          <w:szCs w:val="21"/>
          <w:highlight w:val="none"/>
        </w:rPr>
      </w:pPr>
      <w:r>
        <w:rPr>
          <w:rFonts w:hint="eastAsia"/>
          <w:color w:val="auto"/>
          <w:szCs w:val="21"/>
          <w:highlight w:val="none"/>
        </w:rPr>
        <w:t>委托代理人：</w:t>
      </w:r>
      <w:r>
        <w:rPr>
          <w:rFonts w:hint="eastAsia"/>
          <w:color w:val="auto"/>
          <w:szCs w:val="21"/>
          <w:highlight w:val="none"/>
          <w:u w:val="single"/>
          <w:lang w:val="en-US" w:eastAsia="zh-CN"/>
        </w:rPr>
        <w:t xml:space="preserve">                                  </w:t>
      </w:r>
      <w:r>
        <w:rPr>
          <w:rFonts w:hint="eastAsia"/>
          <w:color w:val="auto"/>
          <w:szCs w:val="21"/>
          <w:highlight w:val="none"/>
        </w:rPr>
        <w:t>（签字）</w:t>
      </w:r>
    </w:p>
    <w:p w14:paraId="3FA7B1DD">
      <w:pPr>
        <w:keepNext w:val="0"/>
        <w:keepLines w:val="0"/>
        <w:pageBreakBefore w:val="0"/>
        <w:widowControl w:val="0"/>
        <w:kinsoku/>
        <w:wordWrap/>
        <w:overflowPunct/>
        <w:topLinePunct w:val="0"/>
        <w:autoSpaceDE/>
        <w:autoSpaceDN/>
        <w:bidi w:val="0"/>
        <w:adjustRightInd/>
        <w:snapToGrid/>
        <w:spacing w:line="440" w:lineRule="exact"/>
        <w:ind w:firstLine="2940" w:firstLineChars="1400"/>
        <w:textAlignment w:val="auto"/>
        <w:rPr>
          <w:color w:val="auto"/>
          <w:szCs w:val="21"/>
          <w:highlight w:val="none"/>
        </w:rPr>
      </w:pPr>
    </w:p>
    <w:p w14:paraId="1987BB51">
      <w:pPr>
        <w:keepNext w:val="0"/>
        <w:keepLines w:val="0"/>
        <w:pageBreakBefore w:val="0"/>
        <w:widowControl w:val="0"/>
        <w:kinsoku/>
        <w:wordWrap/>
        <w:overflowPunct/>
        <w:topLinePunct w:val="0"/>
        <w:autoSpaceDE/>
        <w:autoSpaceDN/>
        <w:bidi w:val="0"/>
        <w:adjustRightInd/>
        <w:snapToGrid/>
        <w:spacing w:line="440" w:lineRule="exact"/>
        <w:ind w:firstLine="2940" w:firstLineChars="1400"/>
        <w:textAlignment w:val="auto"/>
        <w:rPr>
          <w:color w:val="auto"/>
          <w:szCs w:val="21"/>
          <w:highlight w:val="none"/>
        </w:rPr>
      </w:pPr>
      <w:r>
        <w:rPr>
          <w:rFonts w:hint="eastAsia"/>
          <w:color w:val="auto"/>
          <w:szCs w:val="21"/>
          <w:highlight w:val="none"/>
        </w:rPr>
        <w:t>身份证号码：</w:t>
      </w:r>
      <w:r>
        <w:rPr>
          <w:rFonts w:hint="eastAsia"/>
          <w:color w:val="auto"/>
          <w:szCs w:val="21"/>
          <w:highlight w:val="none"/>
          <w:u w:val="single"/>
          <w:lang w:val="en-US" w:eastAsia="zh-CN"/>
        </w:rPr>
        <w:t xml:space="preserve">                                  </w:t>
      </w:r>
    </w:p>
    <w:p w14:paraId="083ADD0C">
      <w:pPr>
        <w:spacing w:line="440" w:lineRule="exact"/>
        <w:rPr>
          <w:color w:val="auto"/>
          <w:szCs w:val="21"/>
          <w:highlight w:val="none"/>
        </w:rPr>
      </w:pPr>
    </w:p>
    <w:p w14:paraId="7CCD7EDC">
      <w:pPr>
        <w:spacing w:line="440" w:lineRule="exact"/>
        <w:ind w:firstLine="4305" w:firstLineChars="2050"/>
        <w:rPr>
          <w:rFonts w:eastAsia="黑体"/>
          <w:color w:val="auto"/>
          <w:szCs w:val="21"/>
          <w:highlight w:val="none"/>
        </w:rPr>
      </w:pPr>
      <w:r>
        <w:rPr>
          <w:rFonts w:hint="eastAsia"/>
          <w:color w:val="auto"/>
          <w:szCs w:val="21"/>
          <w:highlight w:val="none"/>
          <w:u w:val="single"/>
          <w:lang w:val="en-US" w:eastAsia="zh-CN"/>
        </w:rPr>
        <w:t xml:space="preserve">       </w:t>
      </w:r>
      <w:r>
        <w:rPr>
          <w:rFonts w:hint="eastAsia"/>
          <w:color w:val="auto"/>
          <w:szCs w:val="21"/>
          <w:highlight w:val="none"/>
        </w:rPr>
        <w:t>年</w:t>
      </w:r>
      <w:r>
        <w:rPr>
          <w:rFonts w:hint="eastAsia"/>
          <w:color w:val="auto"/>
          <w:szCs w:val="21"/>
          <w:highlight w:val="none"/>
          <w:u w:val="single"/>
          <w:lang w:val="en-US" w:eastAsia="zh-CN"/>
        </w:rPr>
        <w:t xml:space="preserve">       </w:t>
      </w:r>
      <w:r>
        <w:rPr>
          <w:rFonts w:hint="eastAsia"/>
          <w:color w:val="auto"/>
          <w:szCs w:val="21"/>
          <w:highlight w:val="none"/>
        </w:rPr>
        <w:t>月</w:t>
      </w:r>
      <w:r>
        <w:rPr>
          <w:rFonts w:hint="eastAsia"/>
          <w:color w:val="auto"/>
          <w:szCs w:val="21"/>
          <w:highlight w:val="none"/>
          <w:u w:val="single"/>
          <w:lang w:val="en-US" w:eastAsia="zh-CN"/>
        </w:rPr>
        <w:t xml:space="preserve">       </w:t>
      </w:r>
      <w:r>
        <w:rPr>
          <w:rFonts w:hint="eastAsia"/>
          <w:color w:val="auto"/>
          <w:szCs w:val="21"/>
          <w:highlight w:val="none"/>
        </w:rPr>
        <w:t>日</w:t>
      </w:r>
    </w:p>
    <w:p w14:paraId="1748D198">
      <w:pPr>
        <w:spacing w:line="400" w:lineRule="exact"/>
        <w:rPr>
          <w:color w:val="auto"/>
          <w:highlight w:val="none"/>
        </w:rPr>
      </w:pPr>
      <w:r>
        <w:rPr>
          <w:color w:val="auto"/>
          <w:highlight w:val="none"/>
        </w:rPr>
        <w:br w:type="page"/>
      </w:r>
    </w:p>
    <w:p w14:paraId="698E9158">
      <w:pPr>
        <w:pStyle w:val="3"/>
        <w:jc w:val="center"/>
        <w:rPr>
          <w:color w:val="auto"/>
          <w:highlight w:val="none"/>
        </w:rPr>
      </w:pPr>
      <w:bookmarkStart w:id="1803" w:name="_Toc28058"/>
      <w:bookmarkStart w:id="1804" w:name="_Toc247514286"/>
      <w:bookmarkStart w:id="1805" w:name="_Toc23232"/>
      <w:bookmarkStart w:id="1806" w:name="_Toc7892"/>
      <w:bookmarkStart w:id="1807" w:name="_Toc152045794"/>
      <w:bookmarkStart w:id="1808" w:name="_Toc152042583"/>
      <w:bookmarkStart w:id="1809" w:name="_Toc144974862"/>
      <w:bookmarkStart w:id="1810" w:name="_Toc3946"/>
      <w:bookmarkStart w:id="1811" w:name="_Toc7956829"/>
      <w:bookmarkStart w:id="1812" w:name="_Toc247527834"/>
      <w:r>
        <w:rPr>
          <w:rFonts w:hint="eastAsia"/>
          <w:color w:val="auto"/>
          <w:highlight w:val="none"/>
        </w:rPr>
        <w:t>三、投标保证金</w:t>
      </w:r>
      <w:bookmarkEnd w:id="1803"/>
      <w:bookmarkEnd w:id="1804"/>
      <w:bookmarkEnd w:id="1805"/>
      <w:bookmarkEnd w:id="1806"/>
      <w:bookmarkEnd w:id="1807"/>
      <w:bookmarkEnd w:id="1808"/>
      <w:bookmarkEnd w:id="1809"/>
      <w:bookmarkEnd w:id="1810"/>
      <w:bookmarkEnd w:id="1811"/>
      <w:bookmarkEnd w:id="1812"/>
      <w:bookmarkStart w:id="1813" w:name="_Toc152045796"/>
      <w:bookmarkStart w:id="1814" w:name="_Toc152042585"/>
      <w:bookmarkStart w:id="1815" w:name="_Toc247514288"/>
      <w:bookmarkStart w:id="1816" w:name="_Toc247527836"/>
      <w:bookmarkStart w:id="1817" w:name="_Toc144974864"/>
    </w:p>
    <w:p w14:paraId="1505A9DA">
      <w:pPr>
        <w:spacing w:line="400" w:lineRule="atLeast"/>
        <w:ind w:firstLine="390"/>
        <w:rPr>
          <w:rFonts w:ascii="宋体" w:hAnsi="宋体"/>
          <w:b/>
          <w:bCs/>
          <w:color w:val="auto"/>
          <w:highlight w:val="none"/>
        </w:rPr>
      </w:pPr>
      <w:r>
        <w:rPr>
          <w:rFonts w:hint="eastAsia" w:ascii="宋体" w:hAnsi="宋体"/>
          <w:b/>
          <w:bCs/>
          <w:color w:val="auto"/>
          <w:szCs w:val="21"/>
          <w:highlight w:val="none"/>
        </w:rPr>
        <w:t>（一）</w:t>
      </w:r>
      <w:r>
        <w:rPr>
          <w:rFonts w:ascii="宋体" w:hAnsi="宋体"/>
          <w:b/>
          <w:bCs/>
          <w:color w:val="auto"/>
          <w:szCs w:val="21"/>
          <w:highlight w:val="none"/>
        </w:rPr>
        <w:t>若采用现金或支票，投标人应</w:t>
      </w:r>
      <w:r>
        <w:rPr>
          <w:rFonts w:hint="eastAsia" w:ascii="宋体" w:hAnsi="宋体"/>
          <w:b/>
          <w:bCs/>
          <w:color w:val="auto"/>
          <w:szCs w:val="21"/>
          <w:highlight w:val="none"/>
        </w:rPr>
        <w:t>填写以下表格信息并</w:t>
      </w:r>
      <w:r>
        <w:rPr>
          <w:rFonts w:ascii="宋体" w:hAnsi="宋体"/>
          <w:b/>
          <w:bCs/>
          <w:color w:val="auto"/>
          <w:szCs w:val="21"/>
          <w:highlight w:val="none"/>
        </w:rPr>
        <w:t>提供汇款凭证的扫描件。</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1487"/>
        <w:gridCol w:w="3195"/>
        <w:gridCol w:w="1161"/>
        <w:gridCol w:w="2777"/>
      </w:tblGrid>
      <w:tr w14:paraId="3ED4C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9" w:hRule="atLeast"/>
          <w:jc w:val="center"/>
        </w:trPr>
        <w:tc>
          <w:tcPr>
            <w:tcW w:w="8620" w:type="dxa"/>
            <w:gridSpan w:val="4"/>
            <w:tcBorders>
              <w:top w:val="single" w:color="auto" w:sz="4" w:space="0"/>
              <w:left w:val="single" w:color="auto" w:sz="4" w:space="0"/>
              <w:bottom w:val="single" w:color="auto" w:sz="4" w:space="0"/>
              <w:right w:val="single" w:color="auto" w:sz="4" w:space="0"/>
            </w:tcBorders>
            <w:shd w:val="clear" w:color="auto" w:fill="FFFFFF"/>
            <w:noWrap w:val="0"/>
            <w:vAlign w:val="center"/>
          </w:tcPr>
          <w:p w14:paraId="7E3AB54A">
            <w:pPr>
              <w:jc w:val="center"/>
              <w:rPr>
                <w:rFonts w:ascii="宋体" w:hAnsi="宋体"/>
                <w:b/>
                <w:color w:val="auto"/>
                <w:highlight w:val="none"/>
              </w:rPr>
            </w:pPr>
            <w:r>
              <w:rPr>
                <w:rFonts w:hint="eastAsia" w:ascii="宋体" w:hAnsi="宋体"/>
                <w:b/>
                <w:color w:val="auto"/>
                <w:highlight w:val="none"/>
              </w:rPr>
              <w:t>现金汇款信息</w:t>
            </w:r>
          </w:p>
        </w:tc>
      </w:tr>
      <w:tr w14:paraId="1C900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9" w:hRule="atLeast"/>
          <w:jc w:val="center"/>
        </w:trPr>
        <w:tc>
          <w:tcPr>
            <w:tcW w:w="148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46910DC">
            <w:pPr>
              <w:jc w:val="center"/>
              <w:rPr>
                <w:rFonts w:ascii="宋体" w:hAnsi="宋体"/>
                <w:color w:val="auto"/>
                <w:highlight w:val="none"/>
              </w:rPr>
            </w:pPr>
            <w:r>
              <w:rPr>
                <w:rFonts w:hint="eastAsia" w:ascii="宋体" w:hAnsi="宋体"/>
                <w:color w:val="auto"/>
                <w:highlight w:val="none"/>
              </w:rPr>
              <w:t>收款账户</w:t>
            </w:r>
          </w:p>
        </w:tc>
        <w:tc>
          <w:tcPr>
            <w:tcW w:w="319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EC07D77">
            <w:pPr>
              <w:rPr>
                <w:rFonts w:ascii="宋体" w:hAnsi="宋体"/>
                <w:color w:val="auto"/>
                <w:highlight w:val="none"/>
              </w:rPr>
            </w:pPr>
          </w:p>
        </w:tc>
        <w:tc>
          <w:tcPr>
            <w:tcW w:w="116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2FA66C7">
            <w:pPr>
              <w:jc w:val="center"/>
              <w:rPr>
                <w:rFonts w:ascii="宋体" w:hAnsi="宋体"/>
                <w:color w:val="auto"/>
                <w:highlight w:val="none"/>
              </w:rPr>
            </w:pPr>
            <w:r>
              <w:rPr>
                <w:rFonts w:hint="eastAsia" w:ascii="宋体" w:hAnsi="宋体"/>
                <w:color w:val="auto"/>
                <w:highlight w:val="none"/>
              </w:rPr>
              <w:t>汇款账户</w:t>
            </w:r>
          </w:p>
        </w:tc>
        <w:tc>
          <w:tcPr>
            <w:tcW w:w="277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AD067D6">
            <w:pPr>
              <w:rPr>
                <w:rFonts w:ascii="宋体" w:hAnsi="宋体"/>
                <w:color w:val="auto"/>
                <w:highlight w:val="none"/>
              </w:rPr>
            </w:pPr>
          </w:p>
        </w:tc>
      </w:tr>
      <w:tr w14:paraId="63F01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9" w:hRule="atLeast"/>
          <w:jc w:val="center"/>
        </w:trPr>
        <w:tc>
          <w:tcPr>
            <w:tcW w:w="148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95577D2">
            <w:pPr>
              <w:jc w:val="center"/>
              <w:rPr>
                <w:rFonts w:ascii="宋体" w:hAnsi="宋体"/>
                <w:color w:val="auto"/>
                <w:highlight w:val="none"/>
              </w:rPr>
            </w:pPr>
            <w:r>
              <w:rPr>
                <w:rFonts w:hint="eastAsia" w:ascii="宋体" w:hAnsi="宋体"/>
                <w:color w:val="auto"/>
                <w:highlight w:val="none"/>
              </w:rPr>
              <w:t>收款账号</w:t>
            </w:r>
          </w:p>
        </w:tc>
        <w:tc>
          <w:tcPr>
            <w:tcW w:w="319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1E26041">
            <w:pPr>
              <w:rPr>
                <w:rFonts w:ascii="宋体" w:hAnsi="宋体"/>
                <w:color w:val="auto"/>
                <w:highlight w:val="none"/>
              </w:rPr>
            </w:pPr>
          </w:p>
        </w:tc>
        <w:tc>
          <w:tcPr>
            <w:tcW w:w="116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54DB1A7">
            <w:pPr>
              <w:jc w:val="center"/>
              <w:rPr>
                <w:rFonts w:ascii="宋体" w:hAnsi="宋体"/>
                <w:color w:val="auto"/>
                <w:highlight w:val="none"/>
              </w:rPr>
            </w:pPr>
            <w:r>
              <w:rPr>
                <w:rFonts w:hint="eastAsia" w:ascii="宋体" w:hAnsi="宋体"/>
                <w:color w:val="auto"/>
                <w:highlight w:val="none"/>
              </w:rPr>
              <w:t>汇款账号</w:t>
            </w:r>
          </w:p>
        </w:tc>
        <w:tc>
          <w:tcPr>
            <w:tcW w:w="277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E3FF55D">
            <w:pPr>
              <w:rPr>
                <w:rFonts w:ascii="宋体" w:hAnsi="宋体"/>
                <w:color w:val="auto"/>
                <w:highlight w:val="none"/>
              </w:rPr>
            </w:pPr>
          </w:p>
        </w:tc>
      </w:tr>
      <w:tr w14:paraId="39456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9" w:hRule="atLeast"/>
          <w:jc w:val="center"/>
        </w:trPr>
        <w:tc>
          <w:tcPr>
            <w:tcW w:w="148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F2D8D49">
            <w:pPr>
              <w:jc w:val="center"/>
              <w:rPr>
                <w:rFonts w:ascii="宋体" w:hAnsi="宋体"/>
                <w:color w:val="auto"/>
                <w:highlight w:val="none"/>
              </w:rPr>
            </w:pPr>
            <w:r>
              <w:rPr>
                <w:rFonts w:hint="eastAsia" w:ascii="宋体" w:hAnsi="宋体"/>
                <w:color w:val="auto"/>
                <w:highlight w:val="none"/>
              </w:rPr>
              <w:t>汇款金额</w:t>
            </w:r>
          </w:p>
        </w:tc>
        <w:tc>
          <w:tcPr>
            <w:tcW w:w="319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DF94F11">
            <w:pPr>
              <w:rPr>
                <w:rFonts w:ascii="宋体" w:hAnsi="宋体"/>
                <w:color w:val="auto"/>
                <w:highlight w:val="none"/>
              </w:rPr>
            </w:pPr>
          </w:p>
        </w:tc>
        <w:tc>
          <w:tcPr>
            <w:tcW w:w="116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D1098A4">
            <w:pPr>
              <w:jc w:val="center"/>
              <w:rPr>
                <w:rFonts w:ascii="宋体" w:hAnsi="宋体"/>
                <w:color w:val="auto"/>
                <w:highlight w:val="none"/>
              </w:rPr>
            </w:pPr>
            <w:r>
              <w:rPr>
                <w:rFonts w:hint="eastAsia" w:ascii="宋体" w:hAnsi="宋体"/>
                <w:color w:val="auto"/>
                <w:highlight w:val="none"/>
              </w:rPr>
              <w:t>汇款时间</w:t>
            </w:r>
          </w:p>
        </w:tc>
        <w:tc>
          <w:tcPr>
            <w:tcW w:w="277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758F8DC">
            <w:pPr>
              <w:rPr>
                <w:rFonts w:ascii="宋体" w:hAnsi="宋体"/>
                <w:color w:val="auto"/>
                <w:highlight w:val="none"/>
              </w:rPr>
            </w:pPr>
          </w:p>
        </w:tc>
      </w:tr>
      <w:tr w14:paraId="0D22E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9" w:hRule="atLeast"/>
          <w:jc w:val="center"/>
        </w:trPr>
        <w:tc>
          <w:tcPr>
            <w:tcW w:w="1487"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2D4DCE5">
            <w:pPr>
              <w:jc w:val="center"/>
              <w:rPr>
                <w:rFonts w:ascii="宋体" w:hAnsi="宋体"/>
                <w:color w:val="auto"/>
                <w:highlight w:val="none"/>
              </w:rPr>
            </w:pPr>
            <w:r>
              <w:rPr>
                <w:rFonts w:hint="eastAsia" w:ascii="宋体" w:hAnsi="宋体"/>
                <w:color w:val="auto"/>
                <w:highlight w:val="none"/>
              </w:rPr>
              <w:t>附件</w:t>
            </w:r>
          </w:p>
        </w:tc>
        <w:tc>
          <w:tcPr>
            <w:tcW w:w="7133" w:type="dxa"/>
            <w:gridSpan w:val="3"/>
            <w:tcBorders>
              <w:top w:val="single" w:color="auto" w:sz="4" w:space="0"/>
              <w:left w:val="single" w:color="auto" w:sz="4" w:space="0"/>
              <w:bottom w:val="single" w:color="auto" w:sz="4" w:space="0"/>
              <w:right w:val="single" w:color="auto" w:sz="4" w:space="0"/>
            </w:tcBorders>
            <w:shd w:val="clear" w:color="auto" w:fill="FFFFFF"/>
            <w:noWrap w:val="0"/>
            <w:vAlign w:val="center"/>
          </w:tcPr>
          <w:p w14:paraId="32CA4080">
            <w:pPr>
              <w:rPr>
                <w:rFonts w:ascii="宋体" w:hAnsi="宋体"/>
                <w:color w:val="auto"/>
                <w:highlight w:val="none"/>
              </w:rPr>
            </w:pPr>
            <w:r>
              <w:rPr>
                <w:rFonts w:hint="eastAsia" w:ascii="宋体" w:hAnsi="宋体"/>
                <w:color w:val="auto"/>
                <w:highlight w:val="none"/>
              </w:rPr>
              <w:t>汇款凭证扫描件</w:t>
            </w:r>
          </w:p>
        </w:tc>
      </w:tr>
      <w:tr w14:paraId="7D181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9" w:hRule="atLeast"/>
          <w:jc w:val="center"/>
        </w:trPr>
        <w:tc>
          <w:tcPr>
            <w:tcW w:w="0" w:type="auto"/>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5BC25FDE">
            <w:pPr>
              <w:widowControl/>
              <w:rPr>
                <w:rFonts w:ascii="宋体" w:hAnsi="宋体"/>
                <w:color w:val="auto"/>
                <w:highlight w:val="none"/>
              </w:rPr>
            </w:pPr>
          </w:p>
        </w:tc>
        <w:tc>
          <w:tcPr>
            <w:tcW w:w="7133" w:type="dxa"/>
            <w:gridSpan w:val="3"/>
            <w:tcBorders>
              <w:top w:val="single" w:color="auto" w:sz="4" w:space="0"/>
              <w:left w:val="single" w:color="auto" w:sz="4" w:space="0"/>
              <w:bottom w:val="single" w:color="auto" w:sz="4" w:space="0"/>
              <w:right w:val="single" w:color="auto" w:sz="4" w:space="0"/>
            </w:tcBorders>
            <w:shd w:val="clear" w:color="auto" w:fill="FFFFFF"/>
            <w:noWrap w:val="0"/>
            <w:vAlign w:val="center"/>
          </w:tcPr>
          <w:p w14:paraId="6967B9E4">
            <w:pPr>
              <w:rPr>
                <w:rFonts w:ascii="宋体" w:hAnsi="宋体"/>
                <w:color w:val="auto"/>
                <w:highlight w:val="none"/>
              </w:rPr>
            </w:pPr>
          </w:p>
        </w:tc>
      </w:tr>
      <w:tr w14:paraId="47F65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9" w:hRule="atLeast"/>
          <w:jc w:val="center"/>
        </w:trPr>
        <w:tc>
          <w:tcPr>
            <w:tcW w:w="0" w:type="auto"/>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0AB24B17">
            <w:pPr>
              <w:widowControl/>
              <w:rPr>
                <w:rFonts w:ascii="宋体" w:hAnsi="宋体"/>
                <w:color w:val="auto"/>
                <w:highlight w:val="none"/>
              </w:rPr>
            </w:pPr>
          </w:p>
        </w:tc>
        <w:tc>
          <w:tcPr>
            <w:tcW w:w="7133" w:type="dxa"/>
            <w:gridSpan w:val="3"/>
            <w:tcBorders>
              <w:top w:val="single" w:color="auto" w:sz="4" w:space="0"/>
              <w:left w:val="single" w:color="auto" w:sz="4" w:space="0"/>
              <w:bottom w:val="single" w:color="auto" w:sz="4" w:space="0"/>
              <w:right w:val="single" w:color="auto" w:sz="4" w:space="0"/>
            </w:tcBorders>
            <w:shd w:val="clear" w:color="auto" w:fill="FFFFFF"/>
            <w:noWrap w:val="0"/>
            <w:vAlign w:val="center"/>
          </w:tcPr>
          <w:p w14:paraId="2A95E59A">
            <w:pPr>
              <w:rPr>
                <w:rFonts w:ascii="宋体" w:hAnsi="宋体"/>
                <w:color w:val="auto"/>
                <w:highlight w:val="none"/>
              </w:rPr>
            </w:pPr>
            <w:r>
              <w:rPr>
                <w:rFonts w:hint="eastAsia" w:ascii="宋体" w:hAnsi="宋体"/>
                <w:color w:val="auto"/>
                <w:highlight w:val="none"/>
              </w:rPr>
              <w:t>基本户开户许可证（基本存款账户信息）扫描件</w:t>
            </w:r>
          </w:p>
        </w:tc>
      </w:tr>
      <w:tr w14:paraId="0C827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9" w:hRule="atLeast"/>
          <w:jc w:val="center"/>
        </w:trPr>
        <w:tc>
          <w:tcPr>
            <w:tcW w:w="0" w:type="auto"/>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0BA85337">
            <w:pPr>
              <w:widowControl/>
              <w:rPr>
                <w:rFonts w:ascii="宋体" w:hAnsi="宋体"/>
                <w:color w:val="auto"/>
                <w:highlight w:val="none"/>
              </w:rPr>
            </w:pPr>
          </w:p>
        </w:tc>
        <w:tc>
          <w:tcPr>
            <w:tcW w:w="7133" w:type="dxa"/>
            <w:gridSpan w:val="3"/>
            <w:tcBorders>
              <w:top w:val="single" w:color="auto" w:sz="4" w:space="0"/>
              <w:left w:val="single" w:color="auto" w:sz="4" w:space="0"/>
              <w:bottom w:val="single" w:color="auto" w:sz="4" w:space="0"/>
              <w:right w:val="single" w:color="auto" w:sz="4" w:space="0"/>
            </w:tcBorders>
            <w:shd w:val="clear" w:color="auto" w:fill="FFFFFF"/>
            <w:noWrap w:val="0"/>
            <w:vAlign w:val="center"/>
          </w:tcPr>
          <w:p w14:paraId="49FF255A">
            <w:pPr>
              <w:rPr>
                <w:rFonts w:ascii="宋体" w:hAnsi="宋体"/>
                <w:color w:val="auto"/>
                <w:highlight w:val="none"/>
              </w:rPr>
            </w:pPr>
          </w:p>
        </w:tc>
      </w:tr>
      <w:tr w14:paraId="63F98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319" w:hRule="atLeast"/>
          <w:jc w:val="center"/>
        </w:trPr>
        <w:tc>
          <w:tcPr>
            <w:tcW w:w="0" w:type="auto"/>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354A873C">
            <w:pPr>
              <w:widowControl/>
              <w:rPr>
                <w:rFonts w:ascii="宋体" w:hAnsi="宋体"/>
                <w:color w:val="auto"/>
                <w:highlight w:val="none"/>
              </w:rPr>
            </w:pPr>
          </w:p>
        </w:tc>
        <w:tc>
          <w:tcPr>
            <w:tcW w:w="7133" w:type="dxa"/>
            <w:gridSpan w:val="3"/>
            <w:tcBorders>
              <w:top w:val="single" w:color="auto" w:sz="4" w:space="0"/>
              <w:left w:val="single" w:color="auto" w:sz="4" w:space="0"/>
              <w:bottom w:val="single" w:color="auto" w:sz="4" w:space="0"/>
              <w:right w:val="single" w:color="auto" w:sz="4" w:space="0"/>
            </w:tcBorders>
            <w:shd w:val="clear" w:color="auto" w:fill="FFFFFF"/>
            <w:noWrap w:val="0"/>
            <w:vAlign w:val="center"/>
          </w:tcPr>
          <w:p w14:paraId="02631B14">
            <w:pPr>
              <w:rPr>
                <w:rFonts w:ascii="宋体" w:hAnsi="宋体"/>
                <w:color w:val="auto"/>
                <w:highlight w:val="none"/>
              </w:rPr>
            </w:pPr>
            <w:r>
              <w:rPr>
                <w:rFonts w:hint="eastAsia" w:ascii="宋体" w:hAnsi="宋体"/>
                <w:color w:val="auto"/>
                <w:highlight w:val="none"/>
              </w:rPr>
              <w:t>其他材料</w:t>
            </w:r>
          </w:p>
        </w:tc>
      </w:tr>
      <w:tr w14:paraId="7D068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29" w:hRule="atLeast"/>
          <w:jc w:val="center"/>
        </w:trPr>
        <w:tc>
          <w:tcPr>
            <w:tcW w:w="0" w:type="auto"/>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49C2ACFC">
            <w:pPr>
              <w:widowControl/>
              <w:rPr>
                <w:rFonts w:ascii="宋体" w:hAnsi="宋体"/>
                <w:color w:val="auto"/>
                <w:highlight w:val="none"/>
              </w:rPr>
            </w:pPr>
          </w:p>
        </w:tc>
        <w:tc>
          <w:tcPr>
            <w:tcW w:w="7133" w:type="dxa"/>
            <w:gridSpan w:val="3"/>
            <w:tcBorders>
              <w:top w:val="single" w:color="auto" w:sz="4" w:space="0"/>
              <w:left w:val="single" w:color="auto" w:sz="4" w:space="0"/>
              <w:bottom w:val="single" w:color="auto" w:sz="4" w:space="0"/>
              <w:right w:val="single" w:color="auto" w:sz="4" w:space="0"/>
            </w:tcBorders>
            <w:shd w:val="clear" w:color="auto" w:fill="FFFFFF"/>
            <w:noWrap w:val="0"/>
            <w:vAlign w:val="center"/>
          </w:tcPr>
          <w:p w14:paraId="6D9E8A6C">
            <w:pPr>
              <w:rPr>
                <w:rFonts w:ascii="宋体" w:hAnsi="宋体"/>
                <w:color w:val="auto"/>
                <w:highlight w:val="none"/>
              </w:rPr>
            </w:pPr>
          </w:p>
        </w:tc>
      </w:tr>
    </w:tbl>
    <w:p w14:paraId="1A4548B2">
      <w:pPr>
        <w:autoSpaceDE w:val="0"/>
        <w:autoSpaceDN w:val="0"/>
        <w:adjustRightInd w:val="0"/>
        <w:spacing w:line="360" w:lineRule="auto"/>
        <w:ind w:firstLine="400" w:firstLineChars="200"/>
        <w:rPr>
          <w:rFonts w:ascii="宋体" w:hAnsi="宋体"/>
          <w:color w:val="auto"/>
          <w:sz w:val="20"/>
          <w:highlight w:val="none"/>
        </w:rPr>
      </w:pPr>
    </w:p>
    <w:p w14:paraId="195918E7">
      <w:pPr>
        <w:spacing w:line="400" w:lineRule="atLeast"/>
        <w:ind w:firstLine="390"/>
        <w:rPr>
          <w:rFonts w:ascii="宋体" w:hAnsi="宋体"/>
          <w:b/>
          <w:bCs/>
          <w:color w:val="auto"/>
          <w:highlight w:val="none"/>
        </w:rPr>
      </w:pPr>
      <w:r>
        <w:rPr>
          <w:rFonts w:hint="eastAsia" w:ascii="宋体" w:hAnsi="宋体"/>
          <w:b/>
          <w:bCs/>
          <w:color w:val="auto"/>
          <w:szCs w:val="21"/>
          <w:highlight w:val="none"/>
        </w:rPr>
        <w:t>（二）</w:t>
      </w:r>
      <w:r>
        <w:rPr>
          <w:rFonts w:ascii="宋体" w:hAnsi="宋体"/>
          <w:b/>
          <w:bCs/>
          <w:color w:val="auto"/>
          <w:szCs w:val="21"/>
          <w:highlight w:val="none"/>
        </w:rPr>
        <w:t>若</w:t>
      </w:r>
      <w:r>
        <w:rPr>
          <w:rFonts w:hint="eastAsia" w:ascii="宋体" w:hAnsi="宋体"/>
          <w:b/>
          <w:bCs/>
          <w:color w:val="auto"/>
          <w:szCs w:val="21"/>
          <w:highlight w:val="none"/>
          <w:lang w:val="en-US" w:eastAsia="zh-CN"/>
        </w:rPr>
        <w:t>采用</w:t>
      </w:r>
      <w:r>
        <w:rPr>
          <w:rFonts w:hint="eastAsia" w:ascii="宋体" w:hAnsi="宋体"/>
          <w:b/>
          <w:bCs/>
          <w:color w:val="auto"/>
          <w:szCs w:val="21"/>
          <w:highlight w:val="none"/>
        </w:rPr>
        <w:t>辽宁省工程建设项目电子保函保险基础服务平台</w:t>
      </w:r>
      <w:bookmarkStart w:id="1818" w:name="_Hlk150859078"/>
      <w:r>
        <w:rPr>
          <w:rFonts w:hint="eastAsia" w:ascii="宋体" w:hAnsi="宋体"/>
          <w:b/>
          <w:bCs/>
          <w:color w:val="auto"/>
          <w:szCs w:val="21"/>
          <w:highlight w:val="none"/>
        </w:rPr>
        <w:t>（包含辽宁省建设工程领域电子保函保险基础公共服务平台及跨地区、跨行业自由服务试点的金融平台或金融机构）</w:t>
      </w:r>
      <w:bookmarkEnd w:id="1818"/>
      <w:r>
        <w:rPr>
          <w:rFonts w:hint="eastAsia" w:ascii="宋体" w:hAnsi="宋体"/>
          <w:b/>
          <w:bCs/>
          <w:color w:val="auto"/>
          <w:szCs w:val="21"/>
          <w:highlight w:val="none"/>
        </w:rPr>
        <w:t>电子保函</w:t>
      </w:r>
      <w:r>
        <w:rPr>
          <w:rFonts w:ascii="宋体" w:hAnsi="宋体"/>
          <w:b/>
          <w:bCs/>
          <w:color w:val="auto"/>
          <w:szCs w:val="21"/>
          <w:highlight w:val="none"/>
        </w:rPr>
        <w:t>，投标人应</w:t>
      </w:r>
      <w:r>
        <w:rPr>
          <w:rFonts w:hint="eastAsia" w:ascii="宋体" w:hAnsi="宋体"/>
          <w:b/>
          <w:bCs/>
          <w:color w:val="auto"/>
          <w:szCs w:val="21"/>
          <w:highlight w:val="none"/>
        </w:rPr>
        <w:t>填写以下表格信息</w:t>
      </w:r>
      <w:r>
        <w:rPr>
          <w:rFonts w:ascii="宋体" w:hAnsi="宋体"/>
          <w:b/>
          <w:bCs/>
          <w:color w:val="auto"/>
          <w:szCs w:val="21"/>
          <w:highlight w:val="none"/>
        </w:rPr>
        <w:t>。</w:t>
      </w:r>
    </w:p>
    <w:tbl>
      <w:tblPr>
        <w:tblStyle w:val="42"/>
        <w:tblW w:w="87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4"/>
        <w:gridCol w:w="7106"/>
      </w:tblGrid>
      <w:tr w14:paraId="61F4A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8760" w:type="dxa"/>
            <w:gridSpan w:val="2"/>
            <w:tcBorders>
              <w:top w:val="single" w:color="auto" w:sz="4" w:space="0"/>
              <w:left w:val="single" w:color="auto" w:sz="4" w:space="0"/>
              <w:bottom w:val="single" w:color="auto" w:sz="4" w:space="0"/>
              <w:right w:val="single" w:color="auto" w:sz="4" w:space="0"/>
            </w:tcBorders>
            <w:noWrap w:val="0"/>
            <w:vAlign w:val="center"/>
          </w:tcPr>
          <w:p w14:paraId="4D466927">
            <w:pPr>
              <w:jc w:val="center"/>
              <w:rPr>
                <w:rFonts w:ascii="宋体" w:hAnsi="宋体"/>
                <w:b/>
                <w:color w:val="auto"/>
                <w:highlight w:val="none"/>
              </w:rPr>
            </w:pPr>
            <w:r>
              <w:rPr>
                <w:rFonts w:hint="eastAsia" w:ascii="宋体" w:hAnsi="宋体"/>
                <w:b/>
                <w:bCs/>
                <w:color w:val="auto"/>
                <w:szCs w:val="21"/>
                <w:highlight w:val="none"/>
              </w:rPr>
              <w:t>辽宁省工程建设项目电子保函保险基础服务平台</w:t>
            </w:r>
            <w:r>
              <w:rPr>
                <w:rFonts w:hint="eastAsia" w:ascii="宋体" w:hAnsi="宋体"/>
                <w:b/>
                <w:color w:val="auto"/>
                <w:highlight w:val="none"/>
              </w:rPr>
              <w:t>保函信息</w:t>
            </w:r>
          </w:p>
        </w:tc>
      </w:tr>
      <w:tr w14:paraId="35843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654" w:type="dxa"/>
            <w:tcBorders>
              <w:top w:val="single" w:color="auto" w:sz="4" w:space="0"/>
              <w:left w:val="single" w:color="auto" w:sz="4" w:space="0"/>
              <w:bottom w:val="single" w:color="auto" w:sz="4" w:space="0"/>
              <w:right w:val="single" w:color="auto" w:sz="4" w:space="0"/>
            </w:tcBorders>
            <w:noWrap w:val="0"/>
            <w:vAlign w:val="center"/>
          </w:tcPr>
          <w:p w14:paraId="4AB8A897">
            <w:pPr>
              <w:jc w:val="center"/>
              <w:rPr>
                <w:rFonts w:ascii="宋体" w:hAnsi="宋体"/>
                <w:color w:val="auto"/>
                <w:highlight w:val="none"/>
              </w:rPr>
            </w:pPr>
            <w:r>
              <w:rPr>
                <w:rFonts w:hint="eastAsia" w:ascii="宋体" w:hAnsi="宋体"/>
                <w:color w:val="auto"/>
                <w:highlight w:val="none"/>
              </w:rPr>
              <w:t>保函编号</w:t>
            </w:r>
          </w:p>
        </w:tc>
        <w:tc>
          <w:tcPr>
            <w:tcW w:w="7106" w:type="dxa"/>
            <w:tcBorders>
              <w:top w:val="single" w:color="auto" w:sz="4" w:space="0"/>
              <w:left w:val="single" w:color="auto" w:sz="4" w:space="0"/>
              <w:bottom w:val="single" w:color="auto" w:sz="4" w:space="0"/>
              <w:right w:val="single" w:color="auto" w:sz="4" w:space="0"/>
            </w:tcBorders>
            <w:noWrap w:val="0"/>
            <w:vAlign w:val="center"/>
          </w:tcPr>
          <w:p w14:paraId="1A4285DD">
            <w:pPr>
              <w:rPr>
                <w:rFonts w:ascii="宋体" w:hAnsi="宋体"/>
                <w:color w:val="auto"/>
                <w:highlight w:val="none"/>
              </w:rPr>
            </w:pPr>
          </w:p>
        </w:tc>
      </w:tr>
      <w:tr w14:paraId="3B507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654" w:type="dxa"/>
            <w:vMerge w:val="restart"/>
            <w:tcBorders>
              <w:top w:val="single" w:color="auto" w:sz="4" w:space="0"/>
              <w:left w:val="single" w:color="auto" w:sz="4" w:space="0"/>
              <w:bottom w:val="single" w:color="auto" w:sz="4" w:space="0"/>
              <w:right w:val="single" w:color="auto" w:sz="4" w:space="0"/>
            </w:tcBorders>
            <w:noWrap w:val="0"/>
            <w:vAlign w:val="center"/>
          </w:tcPr>
          <w:p w14:paraId="05CF7762">
            <w:pPr>
              <w:jc w:val="center"/>
              <w:rPr>
                <w:rFonts w:ascii="宋体" w:hAnsi="宋体"/>
                <w:color w:val="auto"/>
                <w:highlight w:val="none"/>
              </w:rPr>
            </w:pPr>
            <w:r>
              <w:rPr>
                <w:rFonts w:hint="eastAsia" w:ascii="宋体" w:hAnsi="宋体"/>
                <w:color w:val="auto"/>
                <w:highlight w:val="none"/>
              </w:rPr>
              <w:t>附件</w:t>
            </w:r>
          </w:p>
        </w:tc>
        <w:tc>
          <w:tcPr>
            <w:tcW w:w="7106" w:type="dxa"/>
            <w:tcBorders>
              <w:top w:val="single" w:color="auto" w:sz="4" w:space="0"/>
              <w:left w:val="single" w:color="auto" w:sz="4" w:space="0"/>
              <w:bottom w:val="single" w:color="auto" w:sz="4" w:space="0"/>
              <w:right w:val="single" w:color="auto" w:sz="4" w:space="0"/>
            </w:tcBorders>
            <w:noWrap w:val="0"/>
            <w:vAlign w:val="center"/>
          </w:tcPr>
          <w:p w14:paraId="66D04DB7">
            <w:pPr>
              <w:rPr>
                <w:rFonts w:ascii="宋体" w:hAnsi="宋体"/>
                <w:color w:val="auto"/>
                <w:highlight w:val="none"/>
              </w:rPr>
            </w:pPr>
            <w:r>
              <w:rPr>
                <w:rFonts w:hint="eastAsia" w:ascii="宋体" w:hAnsi="宋体"/>
                <w:color w:val="auto"/>
                <w:highlight w:val="none"/>
              </w:rPr>
              <w:t>电子保函扫描件</w:t>
            </w:r>
          </w:p>
        </w:tc>
      </w:tr>
      <w:tr w14:paraId="7EA7C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7661D7DB">
            <w:pPr>
              <w:widowControl/>
              <w:rPr>
                <w:rFonts w:ascii="宋体" w:hAnsi="宋体"/>
                <w:color w:val="auto"/>
                <w:highlight w:val="none"/>
              </w:rPr>
            </w:pPr>
          </w:p>
        </w:tc>
        <w:tc>
          <w:tcPr>
            <w:tcW w:w="7106" w:type="dxa"/>
            <w:tcBorders>
              <w:top w:val="single" w:color="auto" w:sz="4" w:space="0"/>
              <w:left w:val="single" w:color="auto" w:sz="4" w:space="0"/>
              <w:bottom w:val="single" w:color="auto" w:sz="4" w:space="0"/>
              <w:right w:val="single" w:color="auto" w:sz="4" w:space="0"/>
            </w:tcBorders>
            <w:noWrap w:val="0"/>
            <w:vAlign w:val="center"/>
          </w:tcPr>
          <w:p w14:paraId="4AE2B19B">
            <w:pPr>
              <w:rPr>
                <w:rFonts w:ascii="宋体" w:hAnsi="宋体"/>
                <w:color w:val="auto"/>
                <w:highlight w:val="none"/>
              </w:rPr>
            </w:pPr>
          </w:p>
        </w:tc>
      </w:tr>
    </w:tbl>
    <w:p w14:paraId="33F23DCD">
      <w:pPr>
        <w:spacing w:line="400" w:lineRule="atLeast"/>
        <w:ind w:firstLine="390"/>
        <w:rPr>
          <w:rFonts w:ascii="宋体" w:hAnsi="宋体"/>
          <w:color w:val="auto"/>
          <w:szCs w:val="21"/>
          <w:highlight w:val="none"/>
        </w:rPr>
      </w:pPr>
    </w:p>
    <w:p w14:paraId="457622F1">
      <w:pPr>
        <w:spacing w:line="400" w:lineRule="atLeast"/>
        <w:ind w:firstLine="390"/>
        <w:rPr>
          <w:rFonts w:ascii="宋体" w:hAnsi="宋体"/>
          <w:b/>
          <w:bCs/>
          <w:color w:val="auto"/>
          <w:highlight w:val="none"/>
        </w:rPr>
      </w:pPr>
      <w:r>
        <w:rPr>
          <w:rFonts w:hint="eastAsia" w:ascii="宋体" w:hAnsi="宋体"/>
          <w:b/>
          <w:bCs/>
          <w:color w:val="auto"/>
          <w:szCs w:val="21"/>
          <w:highlight w:val="none"/>
        </w:rPr>
        <w:t>（三）</w:t>
      </w:r>
      <w:r>
        <w:rPr>
          <w:rFonts w:ascii="宋体" w:hAnsi="宋体"/>
          <w:b/>
          <w:bCs/>
          <w:color w:val="auto"/>
          <w:szCs w:val="21"/>
          <w:highlight w:val="none"/>
        </w:rPr>
        <w:t>若</w:t>
      </w:r>
      <w:r>
        <w:rPr>
          <w:rFonts w:hint="eastAsia" w:ascii="宋体" w:hAnsi="宋体"/>
          <w:b/>
          <w:bCs/>
          <w:color w:val="auto"/>
          <w:szCs w:val="21"/>
          <w:highlight w:val="none"/>
        </w:rPr>
        <w:t>采用纸质保函或其他平台电子保函</w:t>
      </w:r>
      <w:r>
        <w:rPr>
          <w:rFonts w:ascii="宋体" w:hAnsi="宋体"/>
          <w:b/>
          <w:bCs/>
          <w:color w:val="auto"/>
          <w:szCs w:val="21"/>
          <w:highlight w:val="none"/>
        </w:rPr>
        <w:t>，投标人应</w:t>
      </w:r>
      <w:r>
        <w:rPr>
          <w:rFonts w:hint="eastAsia" w:ascii="宋体" w:hAnsi="宋体"/>
          <w:b/>
          <w:bCs/>
          <w:color w:val="auto"/>
          <w:szCs w:val="21"/>
          <w:highlight w:val="none"/>
        </w:rPr>
        <w:t>填写以下表格信息，并</w:t>
      </w:r>
      <w:r>
        <w:rPr>
          <w:rFonts w:ascii="宋体" w:hAnsi="宋体"/>
          <w:b/>
          <w:bCs/>
          <w:color w:val="auto"/>
          <w:szCs w:val="21"/>
          <w:highlight w:val="none"/>
        </w:rPr>
        <w:t>提供</w:t>
      </w:r>
      <w:r>
        <w:rPr>
          <w:rFonts w:hint="eastAsia" w:ascii="宋体" w:hAnsi="宋体"/>
          <w:b/>
          <w:bCs/>
          <w:color w:val="auto"/>
          <w:szCs w:val="21"/>
          <w:highlight w:val="none"/>
        </w:rPr>
        <w:t>相关材料扫描件信息。</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1606"/>
        <w:gridCol w:w="3091"/>
        <w:gridCol w:w="1608"/>
        <w:gridCol w:w="2335"/>
      </w:tblGrid>
      <w:tr w14:paraId="6EB5E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23" w:hRule="atLeast"/>
          <w:jc w:val="center"/>
        </w:trPr>
        <w:tc>
          <w:tcPr>
            <w:tcW w:w="8640" w:type="dxa"/>
            <w:gridSpan w:val="4"/>
            <w:tcBorders>
              <w:top w:val="single" w:color="auto" w:sz="4" w:space="0"/>
              <w:left w:val="single" w:color="auto" w:sz="4" w:space="0"/>
              <w:bottom w:val="single" w:color="auto" w:sz="4" w:space="0"/>
              <w:right w:val="single" w:color="auto" w:sz="4" w:space="0"/>
            </w:tcBorders>
            <w:shd w:val="clear" w:color="auto" w:fill="FFFFFF"/>
            <w:noWrap w:val="0"/>
            <w:vAlign w:val="center"/>
          </w:tcPr>
          <w:p w14:paraId="33DE29EA">
            <w:pPr>
              <w:jc w:val="center"/>
              <w:rPr>
                <w:rFonts w:ascii="宋体" w:hAnsi="宋体"/>
                <w:b/>
                <w:color w:val="auto"/>
                <w:highlight w:val="none"/>
              </w:rPr>
            </w:pPr>
            <w:r>
              <w:rPr>
                <w:rFonts w:hint="eastAsia" w:ascii="宋体" w:hAnsi="宋体"/>
                <w:b/>
                <w:color w:val="auto"/>
                <w:highlight w:val="none"/>
              </w:rPr>
              <w:t>非</w:t>
            </w:r>
            <w:r>
              <w:rPr>
                <w:rFonts w:hint="eastAsia" w:ascii="宋体" w:hAnsi="宋体"/>
                <w:b/>
                <w:bCs/>
                <w:color w:val="auto"/>
                <w:szCs w:val="21"/>
                <w:highlight w:val="none"/>
              </w:rPr>
              <w:t>辽宁省工程建设项目电子保函保险基础服务平台电子保函</w:t>
            </w:r>
            <w:r>
              <w:rPr>
                <w:rFonts w:hint="eastAsia" w:ascii="宋体" w:hAnsi="宋体"/>
                <w:b/>
                <w:color w:val="auto"/>
                <w:highlight w:val="none"/>
              </w:rPr>
              <w:t>或纸质保函信息</w:t>
            </w:r>
          </w:p>
        </w:tc>
      </w:tr>
      <w:tr w14:paraId="4AD49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23" w:hRule="atLeast"/>
          <w:jc w:val="center"/>
        </w:trPr>
        <w:tc>
          <w:tcPr>
            <w:tcW w:w="160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F7029FC">
            <w:pPr>
              <w:jc w:val="center"/>
              <w:rPr>
                <w:rFonts w:ascii="宋体" w:hAnsi="宋体"/>
                <w:color w:val="auto"/>
                <w:highlight w:val="none"/>
              </w:rPr>
            </w:pPr>
            <w:r>
              <w:rPr>
                <w:rFonts w:hint="eastAsia" w:ascii="宋体" w:hAnsi="宋体"/>
                <w:color w:val="auto"/>
                <w:highlight w:val="none"/>
              </w:rPr>
              <w:t>保函承保单位</w:t>
            </w:r>
          </w:p>
        </w:tc>
        <w:tc>
          <w:tcPr>
            <w:tcW w:w="309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156818E">
            <w:pPr>
              <w:rPr>
                <w:rFonts w:ascii="宋体" w:hAnsi="宋体"/>
                <w:color w:val="auto"/>
                <w:highlight w:val="none"/>
              </w:rPr>
            </w:pPr>
          </w:p>
        </w:tc>
        <w:tc>
          <w:tcPr>
            <w:tcW w:w="160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239F1DC">
            <w:pPr>
              <w:jc w:val="center"/>
              <w:rPr>
                <w:rFonts w:ascii="宋体" w:hAnsi="宋体"/>
                <w:color w:val="auto"/>
                <w:highlight w:val="none"/>
              </w:rPr>
            </w:pPr>
            <w:r>
              <w:rPr>
                <w:rFonts w:hint="eastAsia" w:ascii="宋体" w:hAnsi="宋体"/>
                <w:color w:val="auto"/>
                <w:highlight w:val="none"/>
              </w:rPr>
              <w:t>保函额度</w:t>
            </w:r>
          </w:p>
        </w:tc>
        <w:tc>
          <w:tcPr>
            <w:tcW w:w="23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3657FDA">
            <w:pPr>
              <w:rPr>
                <w:rFonts w:ascii="宋体" w:hAnsi="宋体"/>
                <w:color w:val="auto"/>
                <w:highlight w:val="none"/>
              </w:rPr>
            </w:pPr>
          </w:p>
        </w:tc>
      </w:tr>
      <w:tr w14:paraId="505DC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23" w:hRule="atLeast"/>
          <w:jc w:val="center"/>
        </w:trPr>
        <w:tc>
          <w:tcPr>
            <w:tcW w:w="160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2C21675">
            <w:pPr>
              <w:jc w:val="center"/>
              <w:rPr>
                <w:rFonts w:ascii="宋体" w:hAnsi="宋体"/>
                <w:color w:val="auto"/>
                <w:highlight w:val="none"/>
              </w:rPr>
            </w:pPr>
            <w:r>
              <w:rPr>
                <w:rFonts w:hint="eastAsia" w:ascii="宋体" w:hAnsi="宋体"/>
                <w:color w:val="auto"/>
                <w:highlight w:val="none"/>
              </w:rPr>
              <w:t>缴费账户名称</w:t>
            </w:r>
          </w:p>
        </w:tc>
        <w:tc>
          <w:tcPr>
            <w:tcW w:w="309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FA7AF85">
            <w:pPr>
              <w:rPr>
                <w:rFonts w:ascii="宋体" w:hAnsi="宋体"/>
                <w:color w:val="auto"/>
                <w:highlight w:val="none"/>
              </w:rPr>
            </w:pPr>
          </w:p>
        </w:tc>
        <w:tc>
          <w:tcPr>
            <w:tcW w:w="160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F56DC92">
            <w:pPr>
              <w:jc w:val="center"/>
              <w:rPr>
                <w:rFonts w:ascii="宋体" w:hAnsi="宋体"/>
                <w:color w:val="auto"/>
                <w:highlight w:val="none"/>
              </w:rPr>
            </w:pPr>
            <w:r>
              <w:rPr>
                <w:rFonts w:hint="eastAsia" w:ascii="宋体" w:hAnsi="宋体"/>
                <w:color w:val="auto"/>
                <w:highlight w:val="none"/>
              </w:rPr>
              <w:t>保函办理时间</w:t>
            </w:r>
          </w:p>
        </w:tc>
        <w:tc>
          <w:tcPr>
            <w:tcW w:w="23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CA80F96">
            <w:pPr>
              <w:rPr>
                <w:rFonts w:ascii="宋体" w:hAnsi="宋体"/>
                <w:color w:val="auto"/>
                <w:highlight w:val="none"/>
              </w:rPr>
            </w:pPr>
          </w:p>
        </w:tc>
      </w:tr>
      <w:tr w14:paraId="42E2F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23" w:hRule="atLeast"/>
          <w:jc w:val="center"/>
        </w:trPr>
        <w:tc>
          <w:tcPr>
            <w:tcW w:w="160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B5F2D0D">
            <w:pPr>
              <w:jc w:val="center"/>
              <w:rPr>
                <w:rFonts w:ascii="宋体" w:hAnsi="宋体"/>
                <w:color w:val="auto"/>
                <w:highlight w:val="none"/>
              </w:rPr>
            </w:pPr>
            <w:r>
              <w:rPr>
                <w:rFonts w:hint="eastAsia" w:ascii="宋体" w:hAnsi="宋体"/>
                <w:color w:val="auto"/>
                <w:highlight w:val="none"/>
              </w:rPr>
              <w:t>缴费账号</w:t>
            </w:r>
          </w:p>
        </w:tc>
        <w:tc>
          <w:tcPr>
            <w:tcW w:w="309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27E652F">
            <w:pPr>
              <w:rPr>
                <w:rFonts w:ascii="宋体" w:hAnsi="宋体"/>
                <w:color w:val="auto"/>
                <w:highlight w:val="none"/>
              </w:rPr>
            </w:pPr>
          </w:p>
        </w:tc>
        <w:tc>
          <w:tcPr>
            <w:tcW w:w="160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88B3EBF">
            <w:pPr>
              <w:jc w:val="center"/>
              <w:rPr>
                <w:rFonts w:ascii="宋体" w:hAnsi="宋体"/>
                <w:color w:val="auto"/>
                <w:highlight w:val="none"/>
              </w:rPr>
            </w:pPr>
            <w:r>
              <w:rPr>
                <w:rFonts w:hint="eastAsia" w:ascii="宋体" w:hAnsi="宋体"/>
                <w:color w:val="auto"/>
                <w:highlight w:val="none"/>
              </w:rPr>
              <w:t>保函有效期</w:t>
            </w:r>
          </w:p>
        </w:tc>
        <w:tc>
          <w:tcPr>
            <w:tcW w:w="23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67B6F46">
            <w:pPr>
              <w:rPr>
                <w:rFonts w:ascii="宋体" w:hAnsi="宋体"/>
                <w:color w:val="auto"/>
                <w:highlight w:val="none"/>
              </w:rPr>
            </w:pPr>
          </w:p>
        </w:tc>
      </w:tr>
      <w:tr w14:paraId="304E3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36" w:hRule="atLeast"/>
          <w:jc w:val="center"/>
        </w:trPr>
        <w:tc>
          <w:tcPr>
            <w:tcW w:w="160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80C295A">
            <w:pPr>
              <w:jc w:val="center"/>
              <w:rPr>
                <w:rFonts w:ascii="宋体" w:hAnsi="宋体"/>
                <w:color w:val="auto"/>
                <w:highlight w:val="none"/>
              </w:rPr>
            </w:pPr>
            <w:r>
              <w:rPr>
                <w:rFonts w:hint="eastAsia" w:ascii="宋体" w:hAnsi="宋体"/>
                <w:color w:val="auto"/>
                <w:highlight w:val="none"/>
              </w:rPr>
              <w:t>保函验真平台网址</w:t>
            </w:r>
          </w:p>
        </w:tc>
        <w:tc>
          <w:tcPr>
            <w:tcW w:w="7034" w:type="dxa"/>
            <w:gridSpan w:val="3"/>
            <w:tcBorders>
              <w:top w:val="single" w:color="auto" w:sz="4" w:space="0"/>
              <w:left w:val="single" w:color="auto" w:sz="4" w:space="0"/>
              <w:bottom w:val="single" w:color="auto" w:sz="4" w:space="0"/>
              <w:right w:val="single" w:color="auto" w:sz="4" w:space="0"/>
            </w:tcBorders>
            <w:shd w:val="clear" w:color="auto" w:fill="FFFFFF"/>
            <w:noWrap w:val="0"/>
            <w:vAlign w:val="center"/>
          </w:tcPr>
          <w:p w14:paraId="2E534BF3">
            <w:pPr>
              <w:rPr>
                <w:rFonts w:ascii="宋体" w:hAnsi="宋体"/>
                <w:color w:val="auto"/>
                <w:highlight w:val="none"/>
              </w:rPr>
            </w:pPr>
          </w:p>
        </w:tc>
      </w:tr>
      <w:tr w14:paraId="144A6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23" w:hRule="atLeast"/>
          <w:jc w:val="center"/>
        </w:trPr>
        <w:tc>
          <w:tcPr>
            <w:tcW w:w="1606" w:type="dxa"/>
            <w:vMerge w:val="restart"/>
            <w:tcBorders>
              <w:top w:val="single" w:color="auto" w:sz="4" w:space="0"/>
              <w:left w:val="single" w:color="auto" w:sz="4" w:space="0"/>
              <w:right w:val="single" w:color="auto" w:sz="4" w:space="0"/>
            </w:tcBorders>
            <w:shd w:val="clear" w:color="auto" w:fill="FFFFFF"/>
            <w:noWrap w:val="0"/>
            <w:vAlign w:val="center"/>
          </w:tcPr>
          <w:p w14:paraId="7DDFC883">
            <w:pPr>
              <w:jc w:val="center"/>
              <w:rPr>
                <w:rFonts w:ascii="宋体" w:hAnsi="宋体"/>
                <w:color w:val="auto"/>
                <w:highlight w:val="none"/>
              </w:rPr>
            </w:pPr>
            <w:r>
              <w:rPr>
                <w:rFonts w:hint="eastAsia" w:ascii="宋体" w:hAnsi="宋体"/>
                <w:color w:val="auto"/>
                <w:highlight w:val="none"/>
              </w:rPr>
              <w:t>附件</w:t>
            </w:r>
          </w:p>
        </w:tc>
        <w:tc>
          <w:tcPr>
            <w:tcW w:w="7034" w:type="dxa"/>
            <w:gridSpan w:val="3"/>
            <w:tcBorders>
              <w:top w:val="single" w:color="auto" w:sz="4" w:space="0"/>
              <w:left w:val="single" w:color="auto" w:sz="4" w:space="0"/>
              <w:bottom w:val="single" w:color="auto" w:sz="4" w:space="0"/>
              <w:right w:val="single" w:color="auto" w:sz="4" w:space="0"/>
            </w:tcBorders>
            <w:shd w:val="clear" w:color="auto" w:fill="FFFFFF"/>
            <w:noWrap w:val="0"/>
            <w:vAlign w:val="center"/>
          </w:tcPr>
          <w:p w14:paraId="5BD4D200">
            <w:pPr>
              <w:rPr>
                <w:rFonts w:ascii="宋体" w:hAnsi="宋体"/>
                <w:color w:val="auto"/>
                <w:highlight w:val="none"/>
              </w:rPr>
            </w:pPr>
            <w:r>
              <w:rPr>
                <w:rFonts w:hint="eastAsia" w:ascii="宋体" w:hAnsi="宋体"/>
                <w:color w:val="auto"/>
                <w:highlight w:val="none"/>
              </w:rPr>
              <w:t>保函扫描件</w:t>
            </w:r>
          </w:p>
        </w:tc>
      </w:tr>
      <w:tr w14:paraId="762A6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23" w:hRule="atLeast"/>
          <w:jc w:val="center"/>
        </w:trPr>
        <w:tc>
          <w:tcPr>
            <w:tcW w:w="1606" w:type="dxa"/>
            <w:vMerge w:val="continue"/>
            <w:tcBorders>
              <w:left w:val="single" w:color="auto" w:sz="4" w:space="0"/>
              <w:right w:val="single" w:color="auto" w:sz="4" w:space="0"/>
            </w:tcBorders>
            <w:shd w:val="clear" w:color="auto" w:fill="FFFFFF"/>
            <w:noWrap w:val="0"/>
            <w:vAlign w:val="center"/>
          </w:tcPr>
          <w:p w14:paraId="68F4ED3C">
            <w:pPr>
              <w:widowControl/>
              <w:rPr>
                <w:rFonts w:ascii="宋体" w:hAnsi="宋体"/>
                <w:color w:val="auto"/>
                <w:highlight w:val="none"/>
              </w:rPr>
            </w:pPr>
          </w:p>
        </w:tc>
        <w:tc>
          <w:tcPr>
            <w:tcW w:w="7034" w:type="dxa"/>
            <w:gridSpan w:val="3"/>
            <w:tcBorders>
              <w:top w:val="single" w:color="auto" w:sz="4" w:space="0"/>
              <w:left w:val="single" w:color="auto" w:sz="4" w:space="0"/>
              <w:bottom w:val="single" w:color="auto" w:sz="4" w:space="0"/>
              <w:right w:val="single" w:color="auto" w:sz="4" w:space="0"/>
            </w:tcBorders>
            <w:shd w:val="clear" w:color="auto" w:fill="FFFFFF"/>
            <w:noWrap w:val="0"/>
            <w:vAlign w:val="center"/>
          </w:tcPr>
          <w:p w14:paraId="02AC4CE5">
            <w:pPr>
              <w:rPr>
                <w:rFonts w:ascii="宋体" w:hAnsi="宋体"/>
                <w:color w:val="auto"/>
                <w:highlight w:val="none"/>
              </w:rPr>
            </w:pPr>
          </w:p>
        </w:tc>
      </w:tr>
      <w:tr w14:paraId="7BF23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23" w:hRule="atLeast"/>
          <w:jc w:val="center"/>
        </w:trPr>
        <w:tc>
          <w:tcPr>
            <w:tcW w:w="1606" w:type="dxa"/>
            <w:vMerge w:val="continue"/>
            <w:tcBorders>
              <w:left w:val="single" w:color="auto" w:sz="4" w:space="0"/>
              <w:right w:val="single" w:color="auto" w:sz="4" w:space="0"/>
            </w:tcBorders>
            <w:shd w:val="clear" w:color="auto" w:fill="FFFFFF"/>
            <w:noWrap w:val="0"/>
            <w:vAlign w:val="center"/>
          </w:tcPr>
          <w:p w14:paraId="7D2D8130">
            <w:pPr>
              <w:widowControl/>
              <w:rPr>
                <w:rFonts w:ascii="宋体" w:hAnsi="宋体"/>
                <w:color w:val="auto"/>
                <w:highlight w:val="none"/>
              </w:rPr>
            </w:pPr>
          </w:p>
        </w:tc>
        <w:tc>
          <w:tcPr>
            <w:tcW w:w="7034" w:type="dxa"/>
            <w:gridSpan w:val="3"/>
            <w:tcBorders>
              <w:top w:val="single" w:color="auto" w:sz="4" w:space="0"/>
              <w:left w:val="single" w:color="auto" w:sz="4" w:space="0"/>
              <w:bottom w:val="single" w:color="auto" w:sz="4" w:space="0"/>
              <w:right w:val="single" w:color="auto" w:sz="4" w:space="0"/>
            </w:tcBorders>
            <w:shd w:val="clear" w:color="auto" w:fill="FFFFFF"/>
            <w:noWrap w:val="0"/>
            <w:vAlign w:val="center"/>
          </w:tcPr>
          <w:p w14:paraId="0EB951B7">
            <w:pPr>
              <w:rPr>
                <w:rFonts w:ascii="宋体" w:hAnsi="宋体"/>
                <w:color w:val="auto"/>
                <w:highlight w:val="none"/>
              </w:rPr>
            </w:pPr>
            <w:r>
              <w:rPr>
                <w:rFonts w:hint="eastAsia" w:ascii="宋体" w:hAnsi="宋体"/>
                <w:color w:val="auto"/>
                <w:highlight w:val="none"/>
              </w:rPr>
              <w:t>缴费凭证扫描件</w:t>
            </w:r>
          </w:p>
        </w:tc>
      </w:tr>
      <w:tr w14:paraId="46AF9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23" w:hRule="atLeast"/>
          <w:jc w:val="center"/>
        </w:trPr>
        <w:tc>
          <w:tcPr>
            <w:tcW w:w="1606" w:type="dxa"/>
            <w:vMerge w:val="continue"/>
            <w:tcBorders>
              <w:left w:val="single" w:color="auto" w:sz="4" w:space="0"/>
              <w:right w:val="single" w:color="auto" w:sz="4" w:space="0"/>
            </w:tcBorders>
            <w:shd w:val="clear" w:color="auto" w:fill="FFFFFF"/>
            <w:noWrap w:val="0"/>
            <w:vAlign w:val="center"/>
          </w:tcPr>
          <w:p w14:paraId="601BCBF8">
            <w:pPr>
              <w:widowControl/>
              <w:rPr>
                <w:rFonts w:ascii="宋体" w:hAnsi="宋体"/>
                <w:color w:val="auto"/>
                <w:highlight w:val="none"/>
              </w:rPr>
            </w:pPr>
          </w:p>
        </w:tc>
        <w:tc>
          <w:tcPr>
            <w:tcW w:w="7034" w:type="dxa"/>
            <w:gridSpan w:val="3"/>
            <w:tcBorders>
              <w:top w:val="single" w:color="auto" w:sz="4" w:space="0"/>
              <w:left w:val="single" w:color="auto" w:sz="4" w:space="0"/>
              <w:bottom w:val="single" w:color="auto" w:sz="4" w:space="0"/>
              <w:right w:val="single" w:color="auto" w:sz="4" w:space="0"/>
            </w:tcBorders>
            <w:shd w:val="clear" w:color="auto" w:fill="FFFFFF"/>
            <w:noWrap w:val="0"/>
            <w:vAlign w:val="center"/>
          </w:tcPr>
          <w:p w14:paraId="124BFE48">
            <w:pPr>
              <w:rPr>
                <w:rFonts w:ascii="宋体" w:hAnsi="宋体"/>
                <w:color w:val="auto"/>
                <w:highlight w:val="none"/>
              </w:rPr>
            </w:pPr>
          </w:p>
        </w:tc>
      </w:tr>
      <w:tr w14:paraId="0BD7B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23" w:hRule="atLeast"/>
          <w:jc w:val="center"/>
        </w:trPr>
        <w:tc>
          <w:tcPr>
            <w:tcW w:w="1606" w:type="dxa"/>
            <w:vMerge w:val="continue"/>
            <w:tcBorders>
              <w:left w:val="single" w:color="auto" w:sz="4" w:space="0"/>
              <w:right w:val="single" w:color="auto" w:sz="4" w:space="0"/>
            </w:tcBorders>
            <w:shd w:val="clear" w:color="auto" w:fill="FFFFFF"/>
            <w:noWrap w:val="0"/>
            <w:vAlign w:val="center"/>
          </w:tcPr>
          <w:p w14:paraId="7C9A3689">
            <w:pPr>
              <w:widowControl/>
              <w:rPr>
                <w:rFonts w:ascii="宋体" w:hAnsi="宋体"/>
                <w:color w:val="auto"/>
                <w:highlight w:val="none"/>
              </w:rPr>
            </w:pPr>
          </w:p>
        </w:tc>
        <w:tc>
          <w:tcPr>
            <w:tcW w:w="7034" w:type="dxa"/>
            <w:gridSpan w:val="3"/>
            <w:tcBorders>
              <w:top w:val="single" w:color="auto" w:sz="4" w:space="0"/>
              <w:left w:val="single" w:color="auto" w:sz="4" w:space="0"/>
              <w:bottom w:val="single" w:color="auto" w:sz="4" w:space="0"/>
              <w:right w:val="single" w:color="auto" w:sz="4" w:space="0"/>
            </w:tcBorders>
            <w:shd w:val="clear" w:color="auto" w:fill="FFFFFF"/>
            <w:noWrap w:val="0"/>
            <w:vAlign w:val="center"/>
          </w:tcPr>
          <w:p w14:paraId="38FC602C">
            <w:pPr>
              <w:rPr>
                <w:rFonts w:ascii="宋体" w:hAnsi="宋体"/>
                <w:color w:val="auto"/>
                <w:highlight w:val="none"/>
              </w:rPr>
            </w:pPr>
            <w:r>
              <w:rPr>
                <w:rFonts w:hint="eastAsia" w:ascii="宋体" w:hAnsi="宋体"/>
                <w:color w:val="auto"/>
                <w:highlight w:val="none"/>
              </w:rPr>
              <w:t>基本户开户许可证（基本存款账户信息）扫描件</w:t>
            </w:r>
          </w:p>
        </w:tc>
      </w:tr>
      <w:tr w14:paraId="37B40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23" w:hRule="atLeast"/>
          <w:jc w:val="center"/>
        </w:trPr>
        <w:tc>
          <w:tcPr>
            <w:tcW w:w="1606" w:type="dxa"/>
            <w:vMerge w:val="continue"/>
            <w:tcBorders>
              <w:left w:val="single" w:color="auto" w:sz="4" w:space="0"/>
              <w:right w:val="single" w:color="auto" w:sz="4" w:space="0"/>
            </w:tcBorders>
            <w:shd w:val="clear" w:color="auto" w:fill="FFFFFF"/>
            <w:noWrap w:val="0"/>
            <w:vAlign w:val="center"/>
          </w:tcPr>
          <w:p w14:paraId="07DFA96B">
            <w:pPr>
              <w:widowControl/>
              <w:rPr>
                <w:rFonts w:ascii="宋体" w:hAnsi="宋体"/>
                <w:color w:val="auto"/>
                <w:highlight w:val="none"/>
              </w:rPr>
            </w:pPr>
          </w:p>
        </w:tc>
        <w:tc>
          <w:tcPr>
            <w:tcW w:w="7034" w:type="dxa"/>
            <w:gridSpan w:val="3"/>
            <w:tcBorders>
              <w:top w:val="single" w:color="auto" w:sz="4" w:space="0"/>
              <w:left w:val="single" w:color="auto" w:sz="4" w:space="0"/>
              <w:bottom w:val="single" w:color="auto" w:sz="4" w:space="0"/>
              <w:right w:val="single" w:color="auto" w:sz="4" w:space="0"/>
            </w:tcBorders>
            <w:shd w:val="clear" w:color="auto" w:fill="FFFFFF"/>
            <w:noWrap w:val="0"/>
            <w:vAlign w:val="center"/>
          </w:tcPr>
          <w:p w14:paraId="05157293">
            <w:pPr>
              <w:rPr>
                <w:rFonts w:ascii="宋体" w:hAnsi="宋体"/>
                <w:color w:val="auto"/>
                <w:highlight w:val="none"/>
              </w:rPr>
            </w:pPr>
          </w:p>
        </w:tc>
      </w:tr>
      <w:tr w14:paraId="08208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23" w:hRule="atLeast"/>
          <w:jc w:val="center"/>
        </w:trPr>
        <w:tc>
          <w:tcPr>
            <w:tcW w:w="1606" w:type="dxa"/>
            <w:vMerge w:val="continue"/>
            <w:tcBorders>
              <w:left w:val="single" w:color="auto" w:sz="4" w:space="0"/>
              <w:right w:val="single" w:color="auto" w:sz="4" w:space="0"/>
            </w:tcBorders>
            <w:shd w:val="clear" w:color="auto" w:fill="FFFFFF"/>
            <w:noWrap w:val="0"/>
            <w:vAlign w:val="center"/>
          </w:tcPr>
          <w:p w14:paraId="65651393">
            <w:pPr>
              <w:widowControl/>
              <w:rPr>
                <w:rFonts w:ascii="宋体" w:hAnsi="宋体"/>
                <w:color w:val="auto"/>
                <w:highlight w:val="none"/>
              </w:rPr>
            </w:pPr>
          </w:p>
        </w:tc>
        <w:tc>
          <w:tcPr>
            <w:tcW w:w="7034" w:type="dxa"/>
            <w:gridSpan w:val="3"/>
            <w:tcBorders>
              <w:top w:val="single" w:color="auto" w:sz="4" w:space="0"/>
              <w:left w:val="single" w:color="auto" w:sz="4" w:space="0"/>
              <w:bottom w:val="single" w:color="auto" w:sz="4" w:space="0"/>
              <w:right w:val="single" w:color="auto" w:sz="4" w:space="0"/>
            </w:tcBorders>
            <w:shd w:val="clear" w:color="auto" w:fill="FFFFFF"/>
            <w:noWrap w:val="0"/>
            <w:vAlign w:val="center"/>
          </w:tcPr>
          <w:p w14:paraId="4FD3E6AA">
            <w:pPr>
              <w:rPr>
                <w:rFonts w:ascii="宋体" w:hAnsi="宋体"/>
                <w:color w:val="auto"/>
                <w:highlight w:val="none"/>
              </w:rPr>
            </w:pPr>
            <w:r>
              <w:rPr>
                <w:rFonts w:hint="eastAsia" w:ascii="宋体" w:hAnsi="宋体"/>
                <w:color w:val="auto"/>
                <w:highlight w:val="none"/>
              </w:rPr>
              <w:t>其他材料</w:t>
            </w:r>
          </w:p>
        </w:tc>
      </w:tr>
      <w:tr w14:paraId="11B0A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3" w:hRule="atLeast"/>
          <w:jc w:val="center"/>
        </w:trPr>
        <w:tc>
          <w:tcPr>
            <w:tcW w:w="1606" w:type="dxa"/>
            <w:vMerge w:val="continue"/>
            <w:tcBorders>
              <w:left w:val="single" w:color="auto" w:sz="4" w:space="0"/>
              <w:bottom w:val="single" w:color="auto" w:sz="4" w:space="0"/>
              <w:right w:val="single" w:color="auto" w:sz="4" w:space="0"/>
            </w:tcBorders>
            <w:shd w:val="clear" w:color="auto" w:fill="FFFFFF"/>
            <w:noWrap w:val="0"/>
            <w:vAlign w:val="center"/>
          </w:tcPr>
          <w:p w14:paraId="30011522">
            <w:pPr>
              <w:widowControl/>
              <w:rPr>
                <w:rFonts w:ascii="宋体" w:hAnsi="宋体"/>
                <w:color w:val="auto"/>
                <w:highlight w:val="none"/>
              </w:rPr>
            </w:pPr>
          </w:p>
        </w:tc>
        <w:tc>
          <w:tcPr>
            <w:tcW w:w="7034" w:type="dxa"/>
            <w:gridSpan w:val="3"/>
            <w:tcBorders>
              <w:top w:val="single" w:color="auto" w:sz="4" w:space="0"/>
              <w:left w:val="single" w:color="auto" w:sz="4" w:space="0"/>
              <w:bottom w:val="single" w:color="auto" w:sz="4" w:space="0"/>
              <w:right w:val="single" w:color="auto" w:sz="4" w:space="0"/>
            </w:tcBorders>
            <w:shd w:val="clear" w:color="auto" w:fill="FFFFFF"/>
            <w:noWrap w:val="0"/>
            <w:vAlign w:val="center"/>
          </w:tcPr>
          <w:p w14:paraId="7B442941">
            <w:pPr>
              <w:rPr>
                <w:rFonts w:ascii="宋体" w:hAnsi="宋体"/>
                <w:color w:val="auto"/>
                <w:highlight w:val="none"/>
              </w:rPr>
            </w:pPr>
          </w:p>
        </w:tc>
      </w:tr>
    </w:tbl>
    <w:p w14:paraId="04C32FC2">
      <w:pPr>
        <w:spacing w:line="440" w:lineRule="exact"/>
        <w:jc w:val="both"/>
        <w:rPr>
          <w:color w:val="auto"/>
          <w:szCs w:val="21"/>
          <w:highlight w:val="none"/>
        </w:rPr>
      </w:pPr>
    </w:p>
    <w:p w14:paraId="03C96C99">
      <w:pPr>
        <w:pStyle w:val="3"/>
        <w:jc w:val="center"/>
        <w:rPr>
          <w:color w:val="auto"/>
          <w:highlight w:val="none"/>
        </w:rPr>
      </w:pPr>
      <w:bookmarkStart w:id="1819" w:name="_Toc676"/>
      <w:bookmarkStart w:id="1820" w:name="_Toc15681"/>
      <w:bookmarkStart w:id="1821" w:name="_Toc247527833"/>
      <w:bookmarkStart w:id="1822" w:name="_Toc152045793"/>
      <w:bookmarkStart w:id="1823" w:name="_Toc247514285"/>
      <w:bookmarkStart w:id="1824" w:name="_Toc15425"/>
      <w:bookmarkStart w:id="1825" w:name="_Toc152042582"/>
      <w:bookmarkStart w:id="1826" w:name="_Toc300835215"/>
      <w:bookmarkStart w:id="1827" w:name="_Toc9604009"/>
      <w:bookmarkStart w:id="1828" w:name="_Toc4541"/>
      <w:r>
        <w:rPr>
          <w:rFonts w:hint="eastAsia"/>
          <w:color w:val="auto"/>
          <w:highlight w:val="none"/>
        </w:rPr>
        <w:t>四、联合体协议书</w:t>
      </w:r>
      <w:bookmarkEnd w:id="1819"/>
      <w:bookmarkEnd w:id="1820"/>
      <w:bookmarkEnd w:id="1821"/>
      <w:bookmarkEnd w:id="1822"/>
      <w:bookmarkEnd w:id="1823"/>
      <w:bookmarkEnd w:id="1824"/>
      <w:bookmarkEnd w:id="1825"/>
      <w:bookmarkEnd w:id="1826"/>
      <w:bookmarkEnd w:id="1827"/>
      <w:bookmarkEnd w:id="1828"/>
    </w:p>
    <w:p w14:paraId="5C3D0075">
      <w:pPr>
        <w:keepNext w:val="0"/>
        <w:keepLines w:val="0"/>
        <w:pageBreakBefore w:val="0"/>
        <w:kinsoku/>
        <w:wordWrap/>
        <w:overflowPunct/>
        <w:topLinePunct/>
        <w:autoSpaceDE/>
        <w:autoSpaceDN/>
        <w:bidi w:val="0"/>
        <w:adjustRightInd/>
        <w:snapToGrid/>
        <w:spacing w:line="360" w:lineRule="auto"/>
        <w:textAlignment w:val="auto"/>
        <w:rPr>
          <w:rFonts w:hint="default" w:eastAsia="宋体"/>
          <w:color w:val="auto"/>
          <w:szCs w:val="21"/>
          <w:highlight w:val="none"/>
          <w:u w:val="single"/>
          <w:lang w:val="en-US" w:eastAsia="zh-CN"/>
        </w:rPr>
      </w:pPr>
      <w:r>
        <w:rPr>
          <w:rFonts w:hint="eastAsia"/>
          <w:color w:val="auto"/>
          <w:szCs w:val="21"/>
          <w:highlight w:val="none"/>
        </w:rPr>
        <w:t>牵头人名称：</w:t>
      </w:r>
      <w:r>
        <w:rPr>
          <w:rFonts w:hint="eastAsia"/>
          <w:color w:val="auto"/>
          <w:szCs w:val="21"/>
          <w:highlight w:val="none"/>
          <w:u w:val="single"/>
          <w:lang w:val="en-US" w:eastAsia="zh-CN"/>
        </w:rPr>
        <w:t xml:space="preserve">                                                  </w:t>
      </w:r>
    </w:p>
    <w:p w14:paraId="0E47540B">
      <w:pPr>
        <w:keepNext w:val="0"/>
        <w:keepLines w:val="0"/>
        <w:pageBreakBefore w:val="0"/>
        <w:kinsoku/>
        <w:wordWrap/>
        <w:overflowPunct/>
        <w:topLinePunct/>
        <w:autoSpaceDE/>
        <w:autoSpaceDN/>
        <w:bidi w:val="0"/>
        <w:adjustRightInd/>
        <w:snapToGrid/>
        <w:spacing w:line="360" w:lineRule="auto"/>
        <w:textAlignment w:val="auto"/>
        <w:rPr>
          <w:rFonts w:hint="eastAsia"/>
          <w:color w:val="auto"/>
          <w:szCs w:val="21"/>
          <w:highlight w:val="none"/>
          <w:u w:val="single"/>
          <w:lang w:val="en-US" w:eastAsia="zh-CN"/>
        </w:rPr>
      </w:pPr>
      <w:r>
        <w:rPr>
          <w:rFonts w:hint="eastAsia"/>
          <w:color w:val="auto"/>
          <w:szCs w:val="21"/>
          <w:highlight w:val="none"/>
        </w:rPr>
        <w:t>法定代表人：</w:t>
      </w:r>
      <w:r>
        <w:rPr>
          <w:rFonts w:hint="eastAsia"/>
          <w:color w:val="auto"/>
          <w:szCs w:val="21"/>
          <w:highlight w:val="none"/>
          <w:u w:val="single"/>
          <w:lang w:val="en-US" w:eastAsia="zh-CN"/>
        </w:rPr>
        <w:t xml:space="preserve">                                                  </w:t>
      </w:r>
    </w:p>
    <w:p w14:paraId="37369B00">
      <w:pPr>
        <w:keepNext w:val="0"/>
        <w:keepLines w:val="0"/>
        <w:pageBreakBefore w:val="0"/>
        <w:kinsoku/>
        <w:wordWrap/>
        <w:overflowPunct/>
        <w:topLinePunct/>
        <w:autoSpaceDE/>
        <w:autoSpaceDN/>
        <w:bidi w:val="0"/>
        <w:adjustRightInd/>
        <w:snapToGrid/>
        <w:spacing w:line="360" w:lineRule="auto"/>
        <w:textAlignment w:val="auto"/>
        <w:rPr>
          <w:rFonts w:hint="default"/>
          <w:color w:val="auto"/>
          <w:szCs w:val="21"/>
          <w:highlight w:val="none"/>
          <w:u w:val="single"/>
          <w:lang w:val="en-US" w:eastAsia="zh-CN"/>
        </w:rPr>
      </w:pPr>
      <w:r>
        <w:rPr>
          <w:rFonts w:hint="eastAsia"/>
          <w:color w:val="auto"/>
          <w:szCs w:val="21"/>
          <w:highlight w:val="none"/>
          <w:u w:val="none"/>
          <w:lang w:val="en-US" w:eastAsia="zh-CN"/>
        </w:rPr>
        <w:t>法定住所：</w:t>
      </w:r>
      <w:r>
        <w:rPr>
          <w:rFonts w:hint="eastAsia"/>
          <w:color w:val="auto"/>
          <w:szCs w:val="21"/>
          <w:highlight w:val="none"/>
          <w:u w:val="single"/>
          <w:lang w:val="en-US" w:eastAsia="zh-CN"/>
        </w:rPr>
        <w:t xml:space="preserve">                                                    </w:t>
      </w:r>
    </w:p>
    <w:p w14:paraId="13EAD2F3">
      <w:pPr>
        <w:keepNext w:val="0"/>
        <w:keepLines w:val="0"/>
        <w:pageBreakBefore w:val="0"/>
        <w:kinsoku/>
        <w:wordWrap/>
        <w:overflowPunct/>
        <w:topLinePunct/>
        <w:autoSpaceDE/>
        <w:autoSpaceDN/>
        <w:bidi w:val="0"/>
        <w:adjustRightInd/>
        <w:snapToGrid/>
        <w:spacing w:line="360" w:lineRule="auto"/>
        <w:textAlignment w:val="auto"/>
        <w:rPr>
          <w:color w:val="auto"/>
          <w:szCs w:val="21"/>
          <w:highlight w:val="none"/>
        </w:rPr>
      </w:pPr>
    </w:p>
    <w:p w14:paraId="3ECB61A9">
      <w:pPr>
        <w:keepNext w:val="0"/>
        <w:keepLines w:val="0"/>
        <w:pageBreakBefore w:val="0"/>
        <w:kinsoku/>
        <w:wordWrap/>
        <w:overflowPunct/>
        <w:topLinePunct/>
        <w:autoSpaceDE/>
        <w:autoSpaceDN/>
        <w:bidi w:val="0"/>
        <w:adjustRightInd/>
        <w:snapToGrid/>
        <w:spacing w:line="360" w:lineRule="auto"/>
        <w:textAlignment w:val="auto"/>
        <w:rPr>
          <w:rFonts w:hint="default" w:eastAsia="宋体"/>
          <w:color w:val="auto"/>
          <w:szCs w:val="21"/>
          <w:highlight w:val="none"/>
          <w:u w:val="single"/>
          <w:lang w:val="en-US" w:eastAsia="zh-CN"/>
        </w:rPr>
      </w:pPr>
      <w:r>
        <w:rPr>
          <w:rFonts w:hint="eastAsia"/>
          <w:color w:val="auto"/>
          <w:szCs w:val="21"/>
          <w:highlight w:val="none"/>
          <w:lang w:val="en-US" w:eastAsia="zh-CN"/>
        </w:rPr>
        <w:t>成员二</w:t>
      </w:r>
      <w:r>
        <w:rPr>
          <w:rFonts w:hint="eastAsia"/>
          <w:color w:val="auto"/>
          <w:szCs w:val="21"/>
          <w:highlight w:val="none"/>
        </w:rPr>
        <w:t>名称：</w:t>
      </w:r>
      <w:r>
        <w:rPr>
          <w:rFonts w:hint="eastAsia"/>
          <w:color w:val="auto"/>
          <w:szCs w:val="21"/>
          <w:highlight w:val="none"/>
          <w:u w:val="single"/>
          <w:lang w:val="en-US" w:eastAsia="zh-CN"/>
        </w:rPr>
        <w:t xml:space="preserve">                                                  </w:t>
      </w:r>
    </w:p>
    <w:p w14:paraId="6A68ABE4">
      <w:pPr>
        <w:keepNext w:val="0"/>
        <w:keepLines w:val="0"/>
        <w:pageBreakBefore w:val="0"/>
        <w:kinsoku/>
        <w:wordWrap/>
        <w:overflowPunct/>
        <w:topLinePunct/>
        <w:autoSpaceDE/>
        <w:autoSpaceDN/>
        <w:bidi w:val="0"/>
        <w:adjustRightInd/>
        <w:snapToGrid/>
        <w:spacing w:line="360" w:lineRule="auto"/>
        <w:textAlignment w:val="auto"/>
        <w:rPr>
          <w:rFonts w:hint="eastAsia"/>
          <w:color w:val="auto"/>
          <w:szCs w:val="21"/>
          <w:highlight w:val="none"/>
          <w:u w:val="single"/>
          <w:lang w:val="en-US" w:eastAsia="zh-CN"/>
        </w:rPr>
      </w:pPr>
      <w:r>
        <w:rPr>
          <w:rFonts w:hint="eastAsia"/>
          <w:color w:val="auto"/>
          <w:szCs w:val="21"/>
          <w:highlight w:val="none"/>
        </w:rPr>
        <w:t>法定代表人：</w:t>
      </w:r>
      <w:r>
        <w:rPr>
          <w:rFonts w:hint="eastAsia"/>
          <w:color w:val="auto"/>
          <w:szCs w:val="21"/>
          <w:highlight w:val="none"/>
          <w:u w:val="single"/>
          <w:lang w:val="en-US" w:eastAsia="zh-CN"/>
        </w:rPr>
        <w:t xml:space="preserve">                                                  </w:t>
      </w:r>
    </w:p>
    <w:p w14:paraId="5040F783">
      <w:pPr>
        <w:keepNext w:val="0"/>
        <w:keepLines w:val="0"/>
        <w:pageBreakBefore w:val="0"/>
        <w:kinsoku/>
        <w:wordWrap/>
        <w:overflowPunct/>
        <w:topLinePunct/>
        <w:autoSpaceDE/>
        <w:autoSpaceDN/>
        <w:bidi w:val="0"/>
        <w:adjustRightInd/>
        <w:snapToGrid/>
        <w:spacing w:line="360" w:lineRule="auto"/>
        <w:textAlignment w:val="auto"/>
        <w:rPr>
          <w:rFonts w:hint="default"/>
          <w:color w:val="auto"/>
          <w:szCs w:val="21"/>
          <w:highlight w:val="none"/>
          <w:u w:val="single"/>
          <w:lang w:val="en-US" w:eastAsia="zh-CN"/>
        </w:rPr>
      </w:pPr>
      <w:r>
        <w:rPr>
          <w:rFonts w:hint="eastAsia"/>
          <w:color w:val="auto"/>
          <w:szCs w:val="21"/>
          <w:highlight w:val="none"/>
          <w:u w:val="none"/>
          <w:lang w:val="en-US" w:eastAsia="zh-CN"/>
        </w:rPr>
        <w:t>法定住所：</w:t>
      </w:r>
      <w:r>
        <w:rPr>
          <w:rFonts w:hint="eastAsia"/>
          <w:color w:val="auto"/>
          <w:szCs w:val="21"/>
          <w:highlight w:val="none"/>
          <w:u w:val="single"/>
          <w:lang w:val="en-US" w:eastAsia="zh-CN"/>
        </w:rPr>
        <w:t xml:space="preserve">                                                    </w:t>
      </w:r>
    </w:p>
    <w:p w14:paraId="2DB566A3">
      <w:pPr>
        <w:keepNext w:val="0"/>
        <w:keepLines w:val="0"/>
        <w:pageBreakBefore w:val="0"/>
        <w:kinsoku/>
        <w:wordWrap/>
        <w:overflowPunct/>
        <w:autoSpaceDE/>
        <w:autoSpaceDN/>
        <w:bidi w:val="0"/>
        <w:adjustRightInd/>
        <w:snapToGrid/>
        <w:spacing w:line="360" w:lineRule="auto"/>
        <w:ind w:firstLine="420" w:firstLineChars="200"/>
        <w:textAlignment w:val="auto"/>
        <w:rPr>
          <w:rFonts w:hint="default" w:eastAsia="宋体"/>
          <w:color w:val="auto"/>
          <w:szCs w:val="21"/>
          <w:highlight w:val="none"/>
          <w:lang w:val="en-US" w:eastAsia="zh-CN"/>
        </w:rPr>
      </w:pPr>
      <w:r>
        <w:rPr>
          <w:rFonts w:hint="eastAsia"/>
          <w:color w:val="auto"/>
          <w:szCs w:val="21"/>
          <w:highlight w:val="none"/>
          <w:lang w:val="en-US" w:eastAsia="zh-CN"/>
        </w:rPr>
        <w:t>......</w:t>
      </w:r>
    </w:p>
    <w:p w14:paraId="344AAB47">
      <w:pPr>
        <w:keepNext w:val="0"/>
        <w:keepLines w:val="0"/>
        <w:pageBreakBefore w:val="0"/>
        <w:kinsoku/>
        <w:wordWrap/>
        <w:overflowPunct/>
        <w:topLinePunct/>
        <w:autoSpaceDE/>
        <w:autoSpaceDN/>
        <w:bidi w:val="0"/>
        <w:adjustRightInd/>
        <w:snapToGrid/>
        <w:spacing w:line="360" w:lineRule="auto"/>
        <w:ind w:firstLine="420" w:firstLineChars="200"/>
        <w:textAlignment w:val="auto"/>
        <w:rPr>
          <w:color w:val="auto"/>
          <w:szCs w:val="21"/>
          <w:highlight w:val="none"/>
        </w:rPr>
      </w:pPr>
      <w:r>
        <w:rPr>
          <w:rFonts w:hint="eastAsia"/>
          <w:color w:val="auto"/>
          <w:szCs w:val="21"/>
          <w:highlight w:val="none"/>
          <w:lang w:val="en-US" w:eastAsia="zh-CN"/>
        </w:rPr>
        <w:t>鉴于上述各成员单位经过友好协商，自愿组成</w:t>
      </w:r>
      <w:r>
        <w:rPr>
          <w:rFonts w:hint="eastAsia"/>
          <w:color w:val="auto"/>
          <w:szCs w:val="21"/>
          <w:highlight w:val="none"/>
          <w:u w:val="single"/>
          <w:lang w:val="en-US" w:eastAsia="zh-CN"/>
        </w:rPr>
        <w:t xml:space="preserve">        </w:t>
      </w:r>
      <w:r>
        <w:rPr>
          <w:rFonts w:hint="eastAsia"/>
          <w:color w:val="auto"/>
          <w:szCs w:val="21"/>
          <w:highlight w:val="none"/>
          <w:lang w:val="en-US" w:eastAsia="zh-CN"/>
        </w:rPr>
        <w:t>（联合体名称）联合体，共同参加</w:t>
      </w:r>
      <w:r>
        <w:rPr>
          <w:rFonts w:hint="eastAsia"/>
          <w:color w:val="auto"/>
          <w:szCs w:val="21"/>
          <w:highlight w:val="none"/>
          <w:u w:val="single"/>
          <w:lang w:val="en-US" w:eastAsia="zh-CN"/>
        </w:rPr>
        <w:t xml:space="preserve">          </w:t>
      </w:r>
      <w:r>
        <w:rPr>
          <w:rFonts w:hint="eastAsia"/>
          <w:color w:val="auto"/>
          <w:szCs w:val="21"/>
          <w:highlight w:val="none"/>
          <w:lang w:val="en-US" w:eastAsia="zh-CN"/>
        </w:rPr>
        <w:t>（招标人名称）（以下简称招标人）</w:t>
      </w:r>
      <w:r>
        <w:rPr>
          <w:rFonts w:hint="eastAsia"/>
          <w:color w:val="auto"/>
          <w:szCs w:val="21"/>
          <w:highlight w:val="none"/>
          <w:u w:val="single"/>
          <w:lang w:val="en-US" w:eastAsia="zh-CN"/>
        </w:rPr>
        <w:t xml:space="preserve">          </w:t>
      </w:r>
      <w:r>
        <w:rPr>
          <w:rFonts w:hint="eastAsia"/>
          <w:color w:val="auto"/>
          <w:szCs w:val="21"/>
          <w:highlight w:val="none"/>
          <w:lang w:val="en-US" w:eastAsia="zh-CN"/>
        </w:rPr>
        <w:t>（标段名称）（以下简称本工程）的投标并争取赢得本工程设计施工总承包合同（以下简称合同）。现就联合体投标事宜订立如下协议：</w:t>
      </w:r>
    </w:p>
    <w:p w14:paraId="7005BD7E">
      <w:pPr>
        <w:keepNext w:val="0"/>
        <w:keepLines w:val="0"/>
        <w:pageBreakBefore w:val="0"/>
        <w:kinsoku/>
        <w:wordWrap/>
        <w:overflowPunct/>
        <w:topLinePunct/>
        <w:autoSpaceDE/>
        <w:autoSpaceDN/>
        <w:bidi w:val="0"/>
        <w:adjustRightInd/>
        <w:snapToGrid/>
        <w:spacing w:line="360" w:lineRule="auto"/>
        <w:ind w:firstLine="420" w:firstLineChars="200"/>
        <w:textAlignment w:val="auto"/>
        <w:rPr>
          <w:color w:val="auto"/>
          <w:szCs w:val="21"/>
          <w:highlight w:val="none"/>
        </w:rPr>
      </w:pPr>
      <w:r>
        <w:rPr>
          <w:color w:val="auto"/>
          <w:szCs w:val="21"/>
          <w:highlight w:val="none"/>
        </w:rPr>
        <w:t>1</w:t>
      </w:r>
      <w:r>
        <w:rPr>
          <w:rFonts w:hint="eastAsia"/>
          <w:color w:val="auto"/>
          <w:szCs w:val="21"/>
          <w:highlight w:val="none"/>
          <w:lang w:val="en-US" w:eastAsia="zh-CN"/>
        </w:rPr>
        <w:t>.</w:t>
      </w:r>
      <w:r>
        <w:rPr>
          <w:rFonts w:hint="eastAsia"/>
          <w:color w:val="auto"/>
          <w:szCs w:val="21"/>
          <w:highlight w:val="none"/>
          <w:u w:val="single"/>
          <w:lang w:val="en-US" w:eastAsia="zh-CN"/>
        </w:rPr>
        <w:t xml:space="preserve">          </w:t>
      </w:r>
      <w:r>
        <w:rPr>
          <w:rFonts w:hint="eastAsia"/>
          <w:color w:val="auto"/>
          <w:szCs w:val="21"/>
          <w:highlight w:val="none"/>
        </w:rPr>
        <w:t>（某成员单位名称）为</w:t>
      </w:r>
      <w:r>
        <w:rPr>
          <w:rFonts w:hint="eastAsia"/>
          <w:color w:val="auto"/>
          <w:szCs w:val="21"/>
          <w:highlight w:val="none"/>
          <w:u w:val="single"/>
          <w:lang w:val="en-US" w:eastAsia="zh-CN"/>
        </w:rPr>
        <w:t xml:space="preserve">          </w:t>
      </w:r>
      <w:r>
        <w:rPr>
          <w:rFonts w:hint="eastAsia"/>
          <w:color w:val="auto"/>
          <w:szCs w:val="21"/>
          <w:highlight w:val="none"/>
        </w:rPr>
        <w:t>（联合体名称）牵头人。</w:t>
      </w:r>
    </w:p>
    <w:p w14:paraId="5A72C0C5">
      <w:pPr>
        <w:keepNext w:val="0"/>
        <w:keepLines w:val="0"/>
        <w:pageBreakBefore w:val="0"/>
        <w:kinsoku/>
        <w:wordWrap/>
        <w:overflowPunct/>
        <w:topLinePunct/>
        <w:autoSpaceDE/>
        <w:autoSpaceDN/>
        <w:bidi w:val="0"/>
        <w:adjustRightInd/>
        <w:snapToGrid/>
        <w:spacing w:line="360" w:lineRule="auto"/>
        <w:ind w:firstLine="420" w:firstLineChars="200"/>
        <w:textAlignment w:val="auto"/>
        <w:rPr>
          <w:rFonts w:hint="eastAsia" w:eastAsia="宋体"/>
          <w:color w:val="auto"/>
          <w:szCs w:val="21"/>
          <w:highlight w:val="none"/>
          <w:lang w:eastAsia="zh-CN"/>
        </w:rPr>
      </w:pPr>
      <w:r>
        <w:rPr>
          <w:color w:val="auto"/>
          <w:szCs w:val="21"/>
          <w:highlight w:val="none"/>
        </w:rPr>
        <w:t>2</w:t>
      </w:r>
      <w:r>
        <w:rPr>
          <w:rFonts w:hint="eastAsia"/>
          <w:color w:val="auto"/>
          <w:szCs w:val="21"/>
          <w:highlight w:val="none"/>
          <w:lang w:val="en-US" w:eastAsia="zh-CN"/>
        </w:rPr>
        <w:t>.在本工程投标阶段，联合体牵头人合法代表联合体各成员负责本工程投标文件编制活动，代表联合体提交和接收相关的资料、信息及指示，并处理与投标和中标有关的一切事务；联合体中标后，联合体牵头人负责合同订立和合同实施阶段的主办、组织和协调工作。</w:t>
      </w:r>
    </w:p>
    <w:p w14:paraId="3A53A14C">
      <w:pPr>
        <w:keepNext w:val="0"/>
        <w:keepLines w:val="0"/>
        <w:pageBreakBefore w:val="0"/>
        <w:kinsoku/>
        <w:wordWrap/>
        <w:overflowPunct/>
        <w:topLinePunct/>
        <w:autoSpaceDE/>
        <w:autoSpaceDN/>
        <w:bidi w:val="0"/>
        <w:adjustRightInd/>
        <w:snapToGrid/>
        <w:spacing w:line="360" w:lineRule="auto"/>
        <w:ind w:firstLine="420" w:firstLineChars="200"/>
        <w:textAlignment w:val="auto"/>
        <w:rPr>
          <w:color w:val="auto"/>
          <w:szCs w:val="21"/>
          <w:highlight w:val="none"/>
        </w:rPr>
      </w:pPr>
      <w:r>
        <w:rPr>
          <w:rFonts w:hint="eastAsia"/>
          <w:color w:val="auto"/>
          <w:szCs w:val="21"/>
          <w:highlight w:val="none"/>
          <w:lang w:val="en-US" w:eastAsia="zh-CN"/>
        </w:rPr>
        <w:t>3.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14:paraId="3AFD45C6">
      <w:pPr>
        <w:keepNext w:val="0"/>
        <w:keepLines w:val="0"/>
        <w:pageBreakBefore w:val="0"/>
        <w:kinsoku/>
        <w:wordWrap/>
        <w:overflowPunct/>
        <w:topLinePunct/>
        <w:autoSpaceDE/>
        <w:autoSpaceDN/>
        <w:bidi w:val="0"/>
        <w:adjustRightInd/>
        <w:snapToGrid/>
        <w:spacing w:line="360" w:lineRule="auto"/>
        <w:ind w:firstLine="420" w:firstLineChars="200"/>
        <w:textAlignment w:val="auto"/>
        <w:rPr>
          <w:color w:val="auto"/>
          <w:szCs w:val="21"/>
          <w:highlight w:val="none"/>
        </w:rPr>
      </w:pPr>
      <w:r>
        <w:rPr>
          <w:color w:val="auto"/>
          <w:szCs w:val="21"/>
          <w:highlight w:val="none"/>
        </w:rPr>
        <w:t>4</w:t>
      </w:r>
      <w:r>
        <w:rPr>
          <w:rFonts w:hint="eastAsia"/>
          <w:color w:val="auto"/>
          <w:szCs w:val="21"/>
          <w:highlight w:val="none"/>
          <w:lang w:val="en-US" w:eastAsia="zh-CN"/>
        </w:rPr>
        <w:t>.</w:t>
      </w:r>
      <w:r>
        <w:rPr>
          <w:rFonts w:hint="eastAsia"/>
          <w:color w:val="auto"/>
          <w:szCs w:val="21"/>
          <w:highlight w:val="none"/>
        </w:rPr>
        <w:t>联合体各成员单位内部的职责分工如下：</w:t>
      </w:r>
      <w:r>
        <w:rPr>
          <w:rFonts w:hint="eastAsia"/>
          <w:color w:val="auto"/>
          <w:szCs w:val="21"/>
          <w:highlight w:val="none"/>
          <w:u w:val="single"/>
          <w:lang w:val="en-US" w:eastAsia="zh-CN"/>
        </w:rPr>
        <w:t xml:space="preserve">                                                  </w:t>
      </w:r>
      <w:r>
        <w:rPr>
          <w:rFonts w:hint="eastAsia"/>
          <w:color w:val="auto"/>
          <w:szCs w:val="21"/>
          <w:highlight w:val="none"/>
        </w:rPr>
        <w:t>。</w:t>
      </w:r>
    </w:p>
    <w:p w14:paraId="792BE53D">
      <w:pPr>
        <w:keepNext w:val="0"/>
        <w:keepLines w:val="0"/>
        <w:pageBreakBefore w:val="0"/>
        <w:kinsoku/>
        <w:wordWrap/>
        <w:overflowPunct/>
        <w:topLinePunct/>
        <w:autoSpaceDE/>
        <w:autoSpaceDN/>
        <w:bidi w:val="0"/>
        <w:adjustRightInd/>
        <w:snapToGrid/>
        <w:spacing w:line="360" w:lineRule="auto"/>
        <w:ind w:firstLine="420" w:firstLineChars="200"/>
        <w:textAlignment w:val="auto"/>
        <w:rPr>
          <w:color w:val="auto"/>
          <w:szCs w:val="21"/>
          <w:highlight w:val="none"/>
        </w:rPr>
      </w:pPr>
      <w:r>
        <w:rPr>
          <w:rFonts w:hint="eastAsia"/>
          <w:color w:val="auto"/>
          <w:szCs w:val="21"/>
          <w:highlight w:val="none"/>
          <w:lang w:val="en-US" w:eastAsia="zh-CN"/>
        </w:rPr>
        <w:t xml:space="preserve">5．投标工作和联合体在中标后工程实施过程中的有关费用按各自承担的工作量分摊。 </w:t>
      </w:r>
    </w:p>
    <w:p w14:paraId="5F7C49A3">
      <w:pPr>
        <w:keepNext w:val="0"/>
        <w:keepLines w:val="0"/>
        <w:pageBreakBefore w:val="0"/>
        <w:kinsoku/>
        <w:wordWrap/>
        <w:overflowPunct/>
        <w:topLinePunct/>
        <w:autoSpaceDE/>
        <w:autoSpaceDN/>
        <w:bidi w:val="0"/>
        <w:adjustRightInd/>
        <w:snapToGrid/>
        <w:spacing w:line="360" w:lineRule="auto"/>
        <w:ind w:firstLine="420" w:firstLineChars="200"/>
        <w:textAlignment w:val="auto"/>
        <w:rPr>
          <w:color w:val="auto"/>
          <w:szCs w:val="21"/>
          <w:highlight w:val="none"/>
        </w:rPr>
      </w:pPr>
      <w:r>
        <w:rPr>
          <w:rFonts w:hint="eastAsia"/>
          <w:color w:val="auto"/>
          <w:szCs w:val="21"/>
          <w:highlight w:val="none"/>
          <w:lang w:val="en-US" w:eastAsia="zh-CN"/>
        </w:rPr>
        <w:t xml:space="preserve">6．联合体中标后，本联合体协议是合同的附件，对联合体各成员单位有合同约束力。 </w:t>
      </w:r>
    </w:p>
    <w:p w14:paraId="63682768">
      <w:pPr>
        <w:keepNext w:val="0"/>
        <w:keepLines w:val="0"/>
        <w:pageBreakBefore w:val="0"/>
        <w:kinsoku/>
        <w:wordWrap/>
        <w:overflowPunct/>
        <w:topLinePunct/>
        <w:autoSpaceDE/>
        <w:autoSpaceDN/>
        <w:bidi w:val="0"/>
        <w:adjustRightInd/>
        <w:snapToGrid/>
        <w:spacing w:line="360" w:lineRule="auto"/>
        <w:ind w:firstLine="420" w:firstLineChars="200"/>
        <w:textAlignment w:val="auto"/>
        <w:rPr>
          <w:color w:val="auto"/>
          <w:szCs w:val="21"/>
          <w:highlight w:val="none"/>
        </w:rPr>
      </w:pPr>
      <w:r>
        <w:rPr>
          <w:rFonts w:hint="eastAsia"/>
          <w:color w:val="auto"/>
          <w:szCs w:val="21"/>
          <w:highlight w:val="none"/>
          <w:lang w:val="en-US" w:eastAsia="zh-CN"/>
        </w:rPr>
        <w:t>7．本协议书自签署之日起生效，联合体未中标或者中标合同履行完毕后自动失效。</w:t>
      </w:r>
    </w:p>
    <w:p w14:paraId="05FB1C11">
      <w:pPr>
        <w:keepNext w:val="0"/>
        <w:keepLines w:val="0"/>
        <w:pageBreakBefore w:val="0"/>
        <w:kinsoku/>
        <w:wordWrap/>
        <w:overflowPunct/>
        <w:topLinePunct/>
        <w:autoSpaceDE/>
        <w:autoSpaceDN/>
        <w:bidi w:val="0"/>
        <w:adjustRightInd/>
        <w:snapToGrid/>
        <w:spacing w:line="360" w:lineRule="auto"/>
        <w:ind w:firstLine="420" w:firstLineChars="200"/>
        <w:textAlignment w:val="auto"/>
        <w:rPr>
          <w:color w:val="auto"/>
          <w:szCs w:val="21"/>
          <w:highlight w:val="none"/>
        </w:rPr>
      </w:pPr>
      <w:r>
        <w:rPr>
          <w:rFonts w:hint="eastAsia"/>
          <w:color w:val="auto"/>
          <w:szCs w:val="21"/>
          <w:highlight w:val="none"/>
          <w:lang w:val="en-US" w:eastAsia="zh-CN"/>
        </w:rPr>
        <w:t>8.</w:t>
      </w:r>
      <w:r>
        <w:rPr>
          <w:rFonts w:hint="eastAsia"/>
          <w:color w:val="auto"/>
          <w:szCs w:val="21"/>
          <w:highlight w:val="none"/>
        </w:rPr>
        <w:t>本协议书一式</w:t>
      </w:r>
      <w:r>
        <w:rPr>
          <w:rFonts w:hint="eastAsia"/>
          <w:color w:val="auto"/>
          <w:szCs w:val="21"/>
          <w:highlight w:val="none"/>
          <w:u w:val="single"/>
          <w:lang w:val="en-US" w:eastAsia="zh-CN"/>
        </w:rPr>
        <w:t xml:space="preserve">           </w:t>
      </w:r>
      <w:r>
        <w:rPr>
          <w:rFonts w:hint="eastAsia"/>
          <w:color w:val="auto"/>
          <w:szCs w:val="21"/>
          <w:highlight w:val="none"/>
        </w:rPr>
        <w:t>份，联合体成员和招标人各执一份。</w:t>
      </w:r>
    </w:p>
    <w:p w14:paraId="035716E7">
      <w:pPr>
        <w:keepNext w:val="0"/>
        <w:keepLines w:val="0"/>
        <w:pageBreakBefore w:val="0"/>
        <w:kinsoku/>
        <w:wordWrap/>
        <w:overflowPunct/>
        <w:topLinePunct/>
        <w:autoSpaceDE/>
        <w:autoSpaceDN/>
        <w:bidi w:val="0"/>
        <w:adjustRightInd/>
        <w:snapToGrid/>
        <w:spacing w:line="360" w:lineRule="auto"/>
        <w:textAlignment w:val="auto"/>
        <w:rPr>
          <w:color w:val="auto"/>
          <w:szCs w:val="21"/>
          <w:highlight w:val="none"/>
        </w:rPr>
      </w:pPr>
    </w:p>
    <w:p w14:paraId="3834DECA">
      <w:pPr>
        <w:keepNext w:val="0"/>
        <w:keepLines w:val="0"/>
        <w:pageBreakBefore w:val="0"/>
        <w:widowControl/>
        <w:suppressLineNumbers w:val="0"/>
        <w:kinsoku/>
        <w:wordWrap/>
        <w:overflowPunct/>
        <w:topLinePunct w:val="0"/>
        <w:autoSpaceDE/>
        <w:autoSpaceDN/>
        <w:bidi w:val="0"/>
        <w:adjustRightInd/>
        <w:snapToGrid/>
        <w:spacing w:line="360" w:lineRule="auto"/>
        <w:ind w:firstLine="2100" w:firstLineChars="1000"/>
        <w:jc w:val="left"/>
        <w:textAlignment w:val="auto"/>
        <w:rPr>
          <w:rFonts w:hint="default" w:eastAsia="宋体"/>
          <w:color w:val="auto"/>
          <w:szCs w:val="21"/>
          <w:highlight w:val="none"/>
          <w:u w:val="single"/>
          <w:lang w:val="en-US" w:eastAsia="zh-CN"/>
        </w:rPr>
      </w:pPr>
      <w:r>
        <w:rPr>
          <w:rFonts w:hint="eastAsia"/>
          <w:color w:val="auto"/>
          <w:szCs w:val="21"/>
          <w:highlight w:val="none"/>
        </w:rPr>
        <w:t>牵头人名称：</w:t>
      </w:r>
      <w:r>
        <w:rPr>
          <w:rFonts w:hint="eastAsia"/>
          <w:color w:val="auto"/>
          <w:szCs w:val="21"/>
          <w:highlight w:val="none"/>
          <w:u w:val="single"/>
          <w:lang w:val="en-US" w:eastAsia="zh-CN"/>
        </w:rPr>
        <w:t xml:space="preserve">                                    </w:t>
      </w:r>
      <w:r>
        <w:rPr>
          <w:rFonts w:hint="eastAsia" w:ascii="宋体" w:hAnsi="宋体" w:eastAsia="宋体" w:cs="宋体"/>
          <w:color w:val="auto"/>
          <w:kern w:val="0"/>
          <w:sz w:val="21"/>
          <w:szCs w:val="21"/>
          <w:highlight w:val="none"/>
          <w:lang w:val="en-US" w:eastAsia="zh-CN" w:bidi="ar"/>
        </w:rPr>
        <w:t>（盖单位章）</w:t>
      </w:r>
    </w:p>
    <w:p w14:paraId="187DE47F">
      <w:pPr>
        <w:keepNext w:val="0"/>
        <w:keepLines w:val="0"/>
        <w:pageBreakBefore w:val="0"/>
        <w:widowControl/>
        <w:suppressLineNumbers w:val="0"/>
        <w:kinsoku/>
        <w:wordWrap/>
        <w:overflowPunct/>
        <w:topLinePunct w:val="0"/>
        <w:autoSpaceDE/>
        <w:autoSpaceDN/>
        <w:bidi w:val="0"/>
        <w:adjustRightInd/>
        <w:snapToGrid/>
        <w:spacing w:line="360" w:lineRule="auto"/>
        <w:ind w:firstLine="2100" w:firstLineChars="1000"/>
        <w:jc w:val="left"/>
        <w:textAlignment w:val="auto"/>
        <w:rPr>
          <w:color w:val="auto"/>
          <w:highlight w:val="none"/>
        </w:rPr>
      </w:pPr>
      <w:r>
        <w:rPr>
          <w:rFonts w:hint="eastAsia"/>
          <w:color w:val="auto"/>
          <w:szCs w:val="21"/>
          <w:highlight w:val="none"/>
        </w:rPr>
        <w:t>法定代表人</w:t>
      </w:r>
      <w:r>
        <w:rPr>
          <w:rFonts w:hint="eastAsia"/>
          <w:color w:val="auto"/>
          <w:szCs w:val="21"/>
          <w:highlight w:val="none"/>
          <w:lang w:val="en-US" w:eastAsia="zh-CN"/>
        </w:rPr>
        <w:t>或授权委托人</w:t>
      </w:r>
      <w:r>
        <w:rPr>
          <w:rFonts w:hint="eastAsia"/>
          <w:color w:val="auto"/>
          <w:szCs w:val="21"/>
          <w:highlight w:val="none"/>
        </w:rPr>
        <w:t>：</w:t>
      </w:r>
      <w:r>
        <w:rPr>
          <w:rFonts w:hint="eastAsia"/>
          <w:color w:val="auto"/>
          <w:szCs w:val="21"/>
          <w:highlight w:val="none"/>
          <w:u w:val="single"/>
          <w:lang w:val="en-US" w:eastAsia="zh-CN"/>
        </w:rPr>
        <w:t xml:space="preserve">                            </w:t>
      </w:r>
      <w:r>
        <w:rPr>
          <w:rFonts w:hint="eastAsia" w:ascii="宋体" w:hAnsi="宋体" w:eastAsia="宋体" w:cs="宋体"/>
          <w:color w:val="auto"/>
          <w:kern w:val="0"/>
          <w:sz w:val="21"/>
          <w:szCs w:val="21"/>
          <w:highlight w:val="none"/>
          <w:lang w:val="en-US" w:eastAsia="zh-CN" w:bidi="ar"/>
        </w:rPr>
        <w:t>（签章）</w:t>
      </w:r>
    </w:p>
    <w:p w14:paraId="5D4BE6F2">
      <w:pPr>
        <w:keepNext w:val="0"/>
        <w:keepLines w:val="0"/>
        <w:pageBreakBefore w:val="0"/>
        <w:widowControl/>
        <w:suppressLineNumbers w:val="0"/>
        <w:kinsoku/>
        <w:wordWrap/>
        <w:overflowPunct/>
        <w:topLinePunct w:val="0"/>
        <w:autoSpaceDE/>
        <w:autoSpaceDN/>
        <w:bidi w:val="0"/>
        <w:adjustRightInd/>
        <w:snapToGrid/>
        <w:ind w:firstLine="2100" w:firstLineChars="1000"/>
        <w:jc w:val="left"/>
        <w:textAlignment w:val="auto"/>
        <w:rPr>
          <w:rFonts w:hint="eastAsia"/>
          <w:color w:val="auto"/>
          <w:szCs w:val="21"/>
          <w:highlight w:val="none"/>
        </w:rPr>
      </w:pPr>
    </w:p>
    <w:p w14:paraId="409FDBD0">
      <w:pPr>
        <w:keepNext w:val="0"/>
        <w:keepLines w:val="0"/>
        <w:pageBreakBefore w:val="0"/>
        <w:widowControl/>
        <w:suppressLineNumbers w:val="0"/>
        <w:kinsoku/>
        <w:wordWrap/>
        <w:overflowPunct/>
        <w:topLinePunct w:val="0"/>
        <w:autoSpaceDE/>
        <w:autoSpaceDN/>
        <w:bidi w:val="0"/>
        <w:adjustRightInd/>
        <w:snapToGrid/>
        <w:ind w:firstLine="2100" w:firstLineChars="1000"/>
        <w:jc w:val="left"/>
        <w:textAlignment w:val="auto"/>
        <w:rPr>
          <w:rFonts w:hint="eastAsia"/>
          <w:color w:val="auto"/>
          <w:szCs w:val="21"/>
          <w:highlight w:val="none"/>
          <w:lang w:val="en-US" w:eastAsia="zh-CN"/>
        </w:rPr>
      </w:pPr>
    </w:p>
    <w:p w14:paraId="3202F68F">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color w:val="auto"/>
          <w:szCs w:val="21"/>
          <w:highlight w:val="none"/>
          <w:lang w:val="en-US" w:eastAsia="zh-CN"/>
        </w:rPr>
      </w:pPr>
    </w:p>
    <w:p w14:paraId="1C0E4DBC">
      <w:pPr>
        <w:keepNext w:val="0"/>
        <w:keepLines w:val="0"/>
        <w:pageBreakBefore w:val="0"/>
        <w:widowControl/>
        <w:suppressLineNumbers w:val="0"/>
        <w:kinsoku/>
        <w:wordWrap/>
        <w:overflowPunct/>
        <w:topLinePunct w:val="0"/>
        <w:autoSpaceDE/>
        <w:autoSpaceDN/>
        <w:bidi w:val="0"/>
        <w:adjustRightInd/>
        <w:snapToGrid/>
        <w:spacing w:line="360" w:lineRule="auto"/>
        <w:ind w:firstLine="2100" w:firstLineChars="1000"/>
        <w:jc w:val="left"/>
        <w:textAlignment w:val="auto"/>
        <w:rPr>
          <w:rFonts w:hint="default" w:eastAsia="宋体"/>
          <w:color w:val="auto"/>
          <w:szCs w:val="21"/>
          <w:highlight w:val="none"/>
          <w:u w:val="single"/>
          <w:lang w:val="en-US" w:eastAsia="zh-CN"/>
        </w:rPr>
      </w:pPr>
      <w:r>
        <w:rPr>
          <w:rFonts w:hint="eastAsia"/>
          <w:color w:val="auto"/>
          <w:szCs w:val="21"/>
          <w:highlight w:val="none"/>
          <w:lang w:val="en-US" w:eastAsia="zh-CN"/>
        </w:rPr>
        <w:t>成员二</w:t>
      </w:r>
      <w:r>
        <w:rPr>
          <w:rFonts w:hint="eastAsia"/>
          <w:color w:val="auto"/>
          <w:szCs w:val="21"/>
          <w:highlight w:val="none"/>
        </w:rPr>
        <w:t>名称：</w:t>
      </w:r>
      <w:r>
        <w:rPr>
          <w:rFonts w:hint="eastAsia"/>
          <w:color w:val="auto"/>
          <w:szCs w:val="21"/>
          <w:highlight w:val="none"/>
          <w:u w:val="single"/>
          <w:lang w:val="en-US" w:eastAsia="zh-CN"/>
        </w:rPr>
        <w:t xml:space="preserve">                                    </w:t>
      </w:r>
      <w:r>
        <w:rPr>
          <w:rFonts w:hint="eastAsia" w:ascii="宋体" w:hAnsi="宋体" w:eastAsia="宋体" w:cs="宋体"/>
          <w:color w:val="auto"/>
          <w:kern w:val="0"/>
          <w:sz w:val="21"/>
          <w:szCs w:val="21"/>
          <w:highlight w:val="none"/>
          <w:lang w:val="en-US" w:eastAsia="zh-CN" w:bidi="ar"/>
        </w:rPr>
        <w:t>（盖单位章）</w:t>
      </w:r>
    </w:p>
    <w:p w14:paraId="5B663E90">
      <w:pPr>
        <w:keepNext w:val="0"/>
        <w:keepLines w:val="0"/>
        <w:pageBreakBefore w:val="0"/>
        <w:widowControl/>
        <w:suppressLineNumbers w:val="0"/>
        <w:kinsoku/>
        <w:wordWrap/>
        <w:overflowPunct/>
        <w:topLinePunct w:val="0"/>
        <w:autoSpaceDE/>
        <w:autoSpaceDN/>
        <w:bidi w:val="0"/>
        <w:adjustRightInd/>
        <w:snapToGrid/>
        <w:spacing w:line="360" w:lineRule="auto"/>
        <w:ind w:firstLine="2100" w:firstLineChars="1000"/>
        <w:jc w:val="left"/>
        <w:textAlignment w:val="auto"/>
        <w:rPr>
          <w:color w:val="auto"/>
          <w:highlight w:val="none"/>
        </w:rPr>
      </w:pPr>
      <w:r>
        <w:rPr>
          <w:rFonts w:hint="eastAsia"/>
          <w:color w:val="auto"/>
          <w:szCs w:val="21"/>
          <w:highlight w:val="none"/>
        </w:rPr>
        <w:t>法定代表人</w:t>
      </w:r>
      <w:r>
        <w:rPr>
          <w:rFonts w:hint="eastAsia"/>
          <w:color w:val="auto"/>
          <w:szCs w:val="21"/>
          <w:highlight w:val="none"/>
          <w:lang w:val="en-US" w:eastAsia="zh-CN"/>
        </w:rPr>
        <w:t>或授权委托人</w:t>
      </w:r>
      <w:r>
        <w:rPr>
          <w:rFonts w:hint="eastAsia"/>
          <w:color w:val="auto"/>
          <w:szCs w:val="21"/>
          <w:highlight w:val="none"/>
        </w:rPr>
        <w:t>：</w:t>
      </w:r>
      <w:r>
        <w:rPr>
          <w:rFonts w:hint="eastAsia"/>
          <w:color w:val="auto"/>
          <w:szCs w:val="21"/>
          <w:highlight w:val="none"/>
          <w:u w:val="single"/>
          <w:lang w:val="en-US" w:eastAsia="zh-CN"/>
        </w:rPr>
        <w:t xml:space="preserve">                            </w:t>
      </w:r>
      <w:r>
        <w:rPr>
          <w:rFonts w:hint="eastAsia" w:ascii="宋体" w:hAnsi="宋体" w:eastAsia="宋体" w:cs="宋体"/>
          <w:color w:val="auto"/>
          <w:kern w:val="0"/>
          <w:sz w:val="21"/>
          <w:szCs w:val="21"/>
          <w:highlight w:val="none"/>
          <w:lang w:val="en-US" w:eastAsia="zh-CN" w:bidi="ar"/>
        </w:rPr>
        <w:t>（签章）</w:t>
      </w:r>
    </w:p>
    <w:p w14:paraId="2ED1EB80">
      <w:pPr>
        <w:keepNext w:val="0"/>
        <w:keepLines w:val="0"/>
        <w:pageBreakBefore w:val="0"/>
        <w:kinsoku/>
        <w:wordWrap/>
        <w:overflowPunct/>
        <w:topLinePunct/>
        <w:autoSpaceDE/>
        <w:autoSpaceDN/>
        <w:bidi w:val="0"/>
        <w:adjustRightInd/>
        <w:snapToGrid/>
        <w:spacing w:line="360" w:lineRule="auto"/>
        <w:ind w:firstLine="2100" w:firstLineChars="1000"/>
        <w:textAlignment w:val="auto"/>
        <w:rPr>
          <w:color w:val="auto"/>
          <w:szCs w:val="21"/>
          <w:highlight w:val="none"/>
        </w:rPr>
      </w:pPr>
      <w:r>
        <w:rPr>
          <w:color w:val="auto"/>
          <w:szCs w:val="21"/>
          <w:highlight w:val="none"/>
        </w:rPr>
        <w:t xml:space="preserve">…… </w:t>
      </w:r>
    </w:p>
    <w:p w14:paraId="46FAA5D6">
      <w:pPr>
        <w:spacing w:line="440" w:lineRule="exact"/>
        <w:ind w:firstLine="2879" w:firstLineChars="1371"/>
        <w:jc w:val="right"/>
        <w:rPr>
          <w:color w:val="auto"/>
          <w:highlight w:val="none"/>
        </w:rPr>
      </w:pPr>
      <w:r>
        <w:rPr>
          <w:rFonts w:hint="eastAsia"/>
          <w:color w:val="auto"/>
          <w:szCs w:val="21"/>
          <w:highlight w:val="none"/>
          <w:u w:val="single"/>
          <w:lang w:val="en-US" w:eastAsia="zh-CN"/>
        </w:rPr>
        <w:t xml:space="preserve">      </w:t>
      </w:r>
      <w:r>
        <w:rPr>
          <w:rFonts w:hint="eastAsia"/>
          <w:color w:val="auto"/>
          <w:highlight w:val="none"/>
        </w:rPr>
        <w:t>年</w:t>
      </w:r>
      <w:r>
        <w:rPr>
          <w:rFonts w:hint="eastAsia"/>
          <w:color w:val="auto"/>
          <w:szCs w:val="21"/>
          <w:highlight w:val="none"/>
          <w:u w:val="single"/>
          <w:lang w:val="en-US" w:eastAsia="zh-CN"/>
        </w:rPr>
        <w:t xml:space="preserve">      </w:t>
      </w:r>
      <w:r>
        <w:rPr>
          <w:rFonts w:hint="eastAsia"/>
          <w:color w:val="auto"/>
          <w:highlight w:val="none"/>
        </w:rPr>
        <w:t>月</w:t>
      </w:r>
      <w:r>
        <w:rPr>
          <w:rFonts w:hint="eastAsia"/>
          <w:color w:val="auto"/>
          <w:szCs w:val="21"/>
          <w:highlight w:val="none"/>
          <w:u w:val="single"/>
          <w:lang w:val="en-US" w:eastAsia="zh-CN"/>
        </w:rPr>
        <w:t xml:space="preserve">      </w:t>
      </w:r>
      <w:r>
        <w:rPr>
          <w:rFonts w:hint="eastAsia"/>
          <w:color w:val="auto"/>
          <w:highlight w:val="none"/>
        </w:rPr>
        <w:t>日</w:t>
      </w:r>
    </w:p>
    <w:p w14:paraId="29F9DBC2">
      <w:pPr>
        <w:spacing w:line="440" w:lineRule="exact"/>
        <w:ind w:firstLine="2879" w:firstLineChars="1371"/>
        <w:jc w:val="right"/>
        <w:rPr>
          <w:color w:val="auto"/>
          <w:highlight w:val="none"/>
        </w:rPr>
      </w:pPr>
    </w:p>
    <w:p w14:paraId="2E52ED86">
      <w:pPr>
        <w:spacing w:line="440" w:lineRule="exact"/>
        <w:ind w:firstLine="2879" w:firstLineChars="1371"/>
        <w:jc w:val="right"/>
        <w:rPr>
          <w:color w:val="auto"/>
          <w:highlight w:val="none"/>
        </w:rPr>
      </w:pPr>
    </w:p>
    <w:p w14:paraId="744529AB">
      <w:pPr>
        <w:spacing w:line="440" w:lineRule="exact"/>
        <w:ind w:firstLine="2879" w:firstLineChars="1371"/>
        <w:jc w:val="right"/>
        <w:rPr>
          <w:color w:val="auto"/>
          <w:highlight w:val="none"/>
        </w:rPr>
      </w:pPr>
    </w:p>
    <w:p w14:paraId="711321CF">
      <w:pPr>
        <w:keepNext w:val="0"/>
        <w:keepLines w:val="0"/>
        <w:pageBreakBefore w:val="0"/>
        <w:widowControl w:val="0"/>
        <w:kinsoku/>
        <w:wordWrap/>
        <w:overflowPunct/>
        <w:topLinePunct w:val="0"/>
        <w:autoSpaceDE/>
        <w:autoSpaceDN/>
        <w:bidi w:val="0"/>
        <w:adjustRightInd/>
        <w:snapToGrid/>
        <w:spacing w:line="440" w:lineRule="exact"/>
        <w:ind w:firstLine="1470" w:firstLineChars="700"/>
        <w:jc w:val="both"/>
        <w:textAlignment w:val="auto"/>
        <w:rPr>
          <w:rFonts w:ascii="宋体"/>
          <w:color w:val="auto"/>
          <w:sz w:val="21"/>
          <w:szCs w:val="21"/>
          <w:highlight w:val="none"/>
        </w:rPr>
      </w:pPr>
      <w:r>
        <w:rPr>
          <w:rFonts w:hint="eastAsia" w:ascii="宋体"/>
          <w:color w:val="auto"/>
          <w:sz w:val="21"/>
          <w:szCs w:val="21"/>
          <w:highlight w:val="none"/>
          <w:lang w:val="en-US" w:eastAsia="zh-CN"/>
        </w:rPr>
        <w:t xml:space="preserve">备注：1.本协议书由委托代理人签字的，应附法定代表人签字的授权委托书。 </w:t>
      </w:r>
    </w:p>
    <w:p w14:paraId="7B2F13C1">
      <w:pPr>
        <w:keepNext w:val="0"/>
        <w:keepLines w:val="0"/>
        <w:pageBreakBefore w:val="0"/>
        <w:widowControl w:val="0"/>
        <w:kinsoku/>
        <w:wordWrap/>
        <w:overflowPunct/>
        <w:topLinePunct w:val="0"/>
        <w:autoSpaceDE/>
        <w:autoSpaceDN/>
        <w:bidi w:val="0"/>
        <w:adjustRightInd/>
        <w:snapToGrid/>
        <w:spacing w:line="440" w:lineRule="exact"/>
        <w:ind w:left="718" w:leftChars="342" w:firstLine="210" w:firstLineChars="100"/>
        <w:jc w:val="left"/>
        <w:textAlignment w:val="auto"/>
        <w:rPr>
          <w:rFonts w:ascii="宋体"/>
          <w:color w:val="auto"/>
          <w:sz w:val="21"/>
          <w:szCs w:val="21"/>
          <w:highlight w:val="none"/>
        </w:rPr>
      </w:pPr>
      <w:r>
        <w:rPr>
          <w:rFonts w:hint="eastAsia" w:ascii="宋体"/>
          <w:color w:val="auto"/>
          <w:sz w:val="21"/>
          <w:szCs w:val="21"/>
          <w:highlight w:val="none"/>
          <w:lang w:val="en-US" w:eastAsia="zh-CN"/>
        </w:rPr>
        <w:t xml:space="preserve">           2.投标人未采用联合体投标的，投标文件中不需联合体协议书，也无须盖单位章和签字。</w:t>
      </w:r>
    </w:p>
    <w:p w14:paraId="1072BD98">
      <w:pPr>
        <w:spacing w:line="440" w:lineRule="exact"/>
        <w:ind w:firstLine="3290" w:firstLineChars="1371"/>
        <w:jc w:val="right"/>
        <w:rPr>
          <w:rFonts w:ascii="宋体"/>
          <w:color w:val="auto"/>
          <w:sz w:val="24"/>
          <w:highlight w:val="none"/>
        </w:rPr>
      </w:pPr>
    </w:p>
    <w:p w14:paraId="5B5FAA2A">
      <w:pPr>
        <w:spacing w:line="440" w:lineRule="exact"/>
        <w:ind w:firstLine="3290" w:firstLineChars="1371"/>
        <w:jc w:val="right"/>
        <w:rPr>
          <w:rFonts w:ascii="宋体"/>
          <w:color w:val="auto"/>
          <w:sz w:val="24"/>
          <w:highlight w:val="none"/>
        </w:rPr>
      </w:pPr>
    </w:p>
    <w:p w14:paraId="0CB06013">
      <w:pPr>
        <w:spacing w:line="440" w:lineRule="exact"/>
        <w:ind w:firstLine="3290" w:firstLineChars="1371"/>
        <w:jc w:val="right"/>
        <w:rPr>
          <w:rFonts w:ascii="宋体"/>
          <w:color w:val="auto"/>
          <w:sz w:val="24"/>
          <w:highlight w:val="none"/>
        </w:rPr>
      </w:pPr>
    </w:p>
    <w:p w14:paraId="74357D67">
      <w:pPr>
        <w:spacing w:line="440" w:lineRule="exact"/>
        <w:ind w:firstLine="3290" w:firstLineChars="1371"/>
        <w:jc w:val="right"/>
        <w:rPr>
          <w:rFonts w:ascii="宋体"/>
          <w:color w:val="auto"/>
          <w:sz w:val="24"/>
          <w:highlight w:val="none"/>
        </w:rPr>
      </w:pPr>
    </w:p>
    <w:p w14:paraId="6438A498">
      <w:pPr>
        <w:spacing w:line="440" w:lineRule="exact"/>
        <w:ind w:firstLine="3290" w:firstLineChars="1371"/>
        <w:jc w:val="right"/>
        <w:rPr>
          <w:rFonts w:ascii="宋体"/>
          <w:color w:val="auto"/>
          <w:sz w:val="24"/>
          <w:highlight w:val="none"/>
        </w:rPr>
      </w:pPr>
    </w:p>
    <w:p w14:paraId="70905F73">
      <w:pPr>
        <w:spacing w:line="440" w:lineRule="exact"/>
        <w:ind w:firstLine="3290" w:firstLineChars="1371"/>
        <w:jc w:val="right"/>
        <w:rPr>
          <w:rFonts w:ascii="宋体"/>
          <w:color w:val="auto"/>
          <w:sz w:val="24"/>
          <w:highlight w:val="none"/>
        </w:rPr>
      </w:pPr>
    </w:p>
    <w:p w14:paraId="358B803C">
      <w:pPr>
        <w:spacing w:line="440" w:lineRule="exact"/>
        <w:ind w:firstLine="3290" w:firstLineChars="1371"/>
        <w:jc w:val="right"/>
        <w:rPr>
          <w:rFonts w:ascii="宋体"/>
          <w:color w:val="auto"/>
          <w:sz w:val="24"/>
          <w:highlight w:val="none"/>
        </w:rPr>
      </w:pPr>
    </w:p>
    <w:p w14:paraId="60442F49">
      <w:pPr>
        <w:spacing w:line="440" w:lineRule="exact"/>
        <w:ind w:firstLine="3290" w:firstLineChars="1371"/>
        <w:jc w:val="right"/>
        <w:rPr>
          <w:rFonts w:ascii="宋体"/>
          <w:color w:val="auto"/>
          <w:sz w:val="24"/>
          <w:highlight w:val="none"/>
        </w:rPr>
      </w:pPr>
    </w:p>
    <w:p w14:paraId="789197CD">
      <w:pPr>
        <w:spacing w:line="440" w:lineRule="exact"/>
        <w:ind w:firstLine="3290" w:firstLineChars="1371"/>
        <w:jc w:val="right"/>
        <w:rPr>
          <w:rFonts w:ascii="宋体"/>
          <w:color w:val="auto"/>
          <w:sz w:val="24"/>
          <w:highlight w:val="none"/>
        </w:rPr>
      </w:pPr>
    </w:p>
    <w:p w14:paraId="340E9E37">
      <w:pPr>
        <w:spacing w:line="440" w:lineRule="exact"/>
        <w:ind w:firstLine="3290" w:firstLineChars="1371"/>
        <w:jc w:val="right"/>
        <w:rPr>
          <w:rFonts w:ascii="宋体"/>
          <w:color w:val="auto"/>
          <w:sz w:val="24"/>
          <w:highlight w:val="none"/>
        </w:rPr>
      </w:pPr>
    </w:p>
    <w:p w14:paraId="11E7AC33">
      <w:pPr>
        <w:spacing w:line="440" w:lineRule="exact"/>
        <w:ind w:firstLine="3290" w:firstLineChars="1371"/>
        <w:jc w:val="right"/>
        <w:rPr>
          <w:rFonts w:ascii="宋体"/>
          <w:color w:val="auto"/>
          <w:sz w:val="24"/>
          <w:highlight w:val="none"/>
        </w:rPr>
      </w:pPr>
    </w:p>
    <w:p w14:paraId="43B4C4EF">
      <w:pPr>
        <w:spacing w:line="440" w:lineRule="exact"/>
        <w:ind w:firstLine="3290" w:firstLineChars="1371"/>
        <w:jc w:val="right"/>
        <w:rPr>
          <w:rFonts w:ascii="宋体"/>
          <w:color w:val="auto"/>
          <w:sz w:val="24"/>
          <w:highlight w:val="none"/>
        </w:rPr>
      </w:pPr>
    </w:p>
    <w:p w14:paraId="1E564ADA">
      <w:pPr>
        <w:spacing w:line="440" w:lineRule="exact"/>
        <w:ind w:firstLine="3290" w:firstLineChars="1371"/>
        <w:jc w:val="right"/>
        <w:rPr>
          <w:rFonts w:ascii="宋体"/>
          <w:color w:val="auto"/>
          <w:sz w:val="24"/>
          <w:highlight w:val="none"/>
        </w:rPr>
      </w:pPr>
    </w:p>
    <w:p w14:paraId="281E09FF">
      <w:pPr>
        <w:spacing w:line="440" w:lineRule="exact"/>
        <w:ind w:firstLine="3290" w:firstLineChars="1371"/>
        <w:jc w:val="right"/>
        <w:rPr>
          <w:rFonts w:ascii="宋体"/>
          <w:color w:val="auto"/>
          <w:sz w:val="24"/>
          <w:highlight w:val="none"/>
        </w:rPr>
      </w:pPr>
    </w:p>
    <w:p w14:paraId="49797277">
      <w:pPr>
        <w:spacing w:line="440" w:lineRule="exact"/>
        <w:ind w:firstLine="3290" w:firstLineChars="1371"/>
        <w:jc w:val="right"/>
        <w:rPr>
          <w:rFonts w:ascii="宋体"/>
          <w:color w:val="auto"/>
          <w:sz w:val="24"/>
          <w:highlight w:val="none"/>
        </w:rPr>
      </w:pPr>
    </w:p>
    <w:p w14:paraId="193EB997">
      <w:pPr>
        <w:spacing w:line="440" w:lineRule="exact"/>
        <w:ind w:firstLine="3290" w:firstLineChars="1371"/>
        <w:jc w:val="right"/>
        <w:rPr>
          <w:rFonts w:ascii="宋体"/>
          <w:color w:val="auto"/>
          <w:sz w:val="24"/>
          <w:highlight w:val="none"/>
        </w:rPr>
      </w:pPr>
    </w:p>
    <w:p w14:paraId="6B8EF6EA">
      <w:pPr>
        <w:spacing w:line="440" w:lineRule="exact"/>
        <w:ind w:firstLine="3290" w:firstLineChars="1371"/>
        <w:jc w:val="right"/>
        <w:rPr>
          <w:rFonts w:ascii="宋体"/>
          <w:color w:val="auto"/>
          <w:sz w:val="24"/>
          <w:highlight w:val="none"/>
        </w:rPr>
      </w:pPr>
    </w:p>
    <w:p w14:paraId="67D06412">
      <w:pPr>
        <w:spacing w:line="440" w:lineRule="exact"/>
        <w:ind w:firstLine="3290" w:firstLineChars="1371"/>
        <w:jc w:val="right"/>
        <w:rPr>
          <w:rFonts w:ascii="宋体"/>
          <w:color w:val="auto"/>
          <w:sz w:val="24"/>
          <w:highlight w:val="none"/>
        </w:rPr>
      </w:pPr>
    </w:p>
    <w:p w14:paraId="33BBA2C6">
      <w:pPr>
        <w:spacing w:line="440" w:lineRule="exact"/>
        <w:ind w:firstLine="3290" w:firstLineChars="1371"/>
        <w:jc w:val="right"/>
        <w:rPr>
          <w:rFonts w:ascii="宋体"/>
          <w:color w:val="auto"/>
          <w:sz w:val="24"/>
          <w:highlight w:val="none"/>
        </w:rPr>
      </w:pPr>
    </w:p>
    <w:p w14:paraId="7EB05CAE">
      <w:pPr>
        <w:pStyle w:val="3"/>
        <w:jc w:val="center"/>
        <w:rPr>
          <w:rFonts w:hint="default" w:eastAsia="黑体"/>
          <w:color w:val="auto"/>
          <w:highlight w:val="none"/>
          <w:lang w:val="en-US" w:eastAsia="zh-CN"/>
        </w:rPr>
      </w:pPr>
      <w:bookmarkStart w:id="1829" w:name="_Toc9604012"/>
      <w:bookmarkStart w:id="1830" w:name="_Toc17527"/>
      <w:bookmarkStart w:id="1831" w:name="_Toc4815"/>
      <w:bookmarkStart w:id="1832" w:name="_Toc31904"/>
      <w:bookmarkStart w:id="1833" w:name="_Toc22487"/>
      <w:r>
        <w:rPr>
          <w:rFonts w:hint="eastAsia"/>
          <w:color w:val="auto"/>
          <w:highlight w:val="none"/>
        </w:rPr>
        <w:t>五、</w:t>
      </w:r>
      <w:bookmarkEnd w:id="1829"/>
      <w:r>
        <w:rPr>
          <w:rFonts w:hint="eastAsia"/>
          <w:color w:val="auto"/>
          <w:highlight w:val="none"/>
          <w:lang w:val="en-US" w:eastAsia="zh-CN"/>
        </w:rPr>
        <w:t>价格清单</w:t>
      </w:r>
      <w:bookmarkEnd w:id="1830"/>
    </w:p>
    <w:p w14:paraId="1082BF37">
      <w:pPr>
        <w:jc w:val="center"/>
        <w:outlineLvl w:val="9"/>
        <w:rPr>
          <w:rFonts w:hint="eastAsia"/>
          <w:b/>
          <w:bCs/>
          <w:color w:val="auto"/>
          <w:highlight w:val="none"/>
          <w:lang w:val="en-US" w:eastAsia="zh-CN"/>
        </w:rPr>
      </w:pPr>
      <w:r>
        <w:rPr>
          <w:rFonts w:hint="eastAsia"/>
          <w:b/>
          <w:bCs/>
          <w:color w:val="auto"/>
          <w:highlight w:val="none"/>
          <w:lang w:val="en-US" w:eastAsia="zh-CN"/>
        </w:rPr>
        <w:t>5-1投标报价汇总表</w:t>
      </w:r>
    </w:p>
    <w:p w14:paraId="3292DEA3">
      <w:pPr>
        <w:jc w:val="center"/>
        <w:outlineLvl w:val="9"/>
        <w:rPr>
          <w:rFonts w:hint="eastAsia"/>
          <w:b/>
          <w:bCs/>
          <w:color w:val="auto"/>
          <w:highlight w:val="none"/>
          <w:lang w:val="en-US" w:eastAsia="zh-CN"/>
        </w:rPr>
      </w:pPr>
    </w:p>
    <w:tbl>
      <w:tblPr>
        <w:tblStyle w:val="42"/>
        <w:tblW w:w="95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2"/>
        <w:gridCol w:w="3250"/>
        <w:gridCol w:w="3250"/>
        <w:gridCol w:w="1735"/>
      </w:tblGrid>
      <w:tr w14:paraId="4EED4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1322" w:type="dxa"/>
            <w:noWrap/>
            <w:vAlign w:val="center"/>
          </w:tcPr>
          <w:p w14:paraId="4861DB5E">
            <w:pPr>
              <w:jc w:val="center"/>
              <w:rPr>
                <w:rFonts w:ascii="宋体"/>
                <w:color w:val="auto"/>
                <w:szCs w:val="21"/>
                <w:highlight w:val="none"/>
              </w:rPr>
            </w:pPr>
            <w:r>
              <w:rPr>
                <w:rFonts w:hint="eastAsia" w:ascii="宋体" w:hAnsi="宋体"/>
                <w:b/>
                <w:bCs/>
                <w:color w:val="auto"/>
                <w:szCs w:val="21"/>
                <w:highlight w:val="none"/>
              </w:rPr>
              <w:t>序号</w:t>
            </w:r>
          </w:p>
        </w:tc>
        <w:tc>
          <w:tcPr>
            <w:tcW w:w="3250" w:type="dxa"/>
            <w:noWrap/>
            <w:vAlign w:val="center"/>
          </w:tcPr>
          <w:p w14:paraId="4F3ACDCC">
            <w:pPr>
              <w:jc w:val="center"/>
              <w:rPr>
                <w:rFonts w:hint="default" w:ascii="宋体" w:eastAsia="宋体"/>
                <w:color w:val="auto"/>
                <w:szCs w:val="21"/>
                <w:highlight w:val="none"/>
                <w:lang w:val="en-US" w:eastAsia="zh-CN"/>
              </w:rPr>
            </w:pPr>
            <w:r>
              <w:rPr>
                <w:rFonts w:hint="eastAsia" w:ascii="宋体" w:hAnsi="宋体" w:eastAsia="宋体" w:cs="Times New Roman"/>
                <w:b/>
                <w:bCs/>
                <w:color w:val="auto"/>
                <w:szCs w:val="21"/>
                <w:highlight w:val="none"/>
                <w:lang w:val="en-US" w:eastAsia="zh-CN"/>
              </w:rPr>
              <w:t>项目名称</w:t>
            </w:r>
          </w:p>
        </w:tc>
        <w:tc>
          <w:tcPr>
            <w:tcW w:w="3250" w:type="dxa"/>
            <w:noWrap/>
            <w:vAlign w:val="center"/>
          </w:tcPr>
          <w:p w14:paraId="0860BDF0">
            <w:pPr>
              <w:keepNext w:val="0"/>
              <w:keepLines w:val="0"/>
              <w:widowControl/>
              <w:suppressLineNumbers w:val="0"/>
              <w:jc w:val="center"/>
              <w:rPr>
                <w:rFonts w:hint="default" w:ascii="宋体" w:hAnsi="宋体" w:eastAsia="宋体"/>
                <w:color w:val="auto"/>
                <w:szCs w:val="21"/>
                <w:highlight w:val="none"/>
                <w:lang w:val="en-US" w:eastAsia="zh-CN"/>
              </w:rPr>
            </w:pPr>
            <w:r>
              <w:rPr>
                <w:rFonts w:hint="eastAsia" w:ascii="宋体" w:hAnsi="宋体" w:eastAsia="宋体" w:cs="宋体"/>
                <w:b/>
                <w:bCs/>
                <w:color w:val="auto"/>
                <w:kern w:val="0"/>
                <w:sz w:val="21"/>
                <w:szCs w:val="21"/>
                <w:highlight w:val="none"/>
                <w:lang w:val="en-US" w:eastAsia="zh-CN" w:bidi="ar"/>
              </w:rPr>
              <w:t>金额（元）</w:t>
            </w:r>
          </w:p>
        </w:tc>
        <w:tc>
          <w:tcPr>
            <w:tcW w:w="1735" w:type="dxa"/>
            <w:noWrap/>
            <w:vAlign w:val="center"/>
          </w:tcPr>
          <w:p w14:paraId="29A60B7A">
            <w:pPr>
              <w:spacing w:line="440" w:lineRule="exact"/>
              <w:jc w:val="center"/>
              <w:rPr>
                <w:rFonts w:ascii="宋体"/>
                <w:color w:val="auto"/>
                <w:szCs w:val="21"/>
                <w:highlight w:val="none"/>
              </w:rPr>
            </w:pPr>
            <w:r>
              <w:rPr>
                <w:rFonts w:hint="eastAsia" w:ascii="宋体" w:hAnsi="宋体"/>
                <w:b/>
                <w:bCs/>
                <w:color w:val="auto"/>
                <w:szCs w:val="21"/>
                <w:highlight w:val="none"/>
              </w:rPr>
              <w:t>备注</w:t>
            </w:r>
          </w:p>
        </w:tc>
      </w:tr>
      <w:tr w14:paraId="0E8C8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1322" w:type="dxa"/>
            <w:noWrap/>
            <w:vAlign w:val="center"/>
          </w:tcPr>
          <w:p w14:paraId="09C178FE">
            <w:pPr>
              <w:spacing w:line="440" w:lineRule="exact"/>
              <w:jc w:val="center"/>
              <w:rPr>
                <w:rFonts w:ascii="宋体"/>
                <w:color w:val="auto"/>
                <w:szCs w:val="21"/>
                <w:highlight w:val="none"/>
              </w:rPr>
            </w:pPr>
            <w:r>
              <w:rPr>
                <w:rFonts w:ascii="宋体" w:hAnsi="宋体"/>
                <w:color w:val="auto"/>
                <w:szCs w:val="21"/>
                <w:highlight w:val="none"/>
              </w:rPr>
              <w:t>1</w:t>
            </w:r>
          </w:p>
        </w:tc>
        <w:tc>
          <w:tcPr>
            <w:tcW w:w="3250" w:type="dxa"/>
            <w:noWrap/>
            <w:vAlign w:val="center"/>
          </w:tcPr>
          <w:p w14:paraId="59BF43CF">
            <w:pPr>
              <w:keepNext w:val="0"/>
              <w:keepLines w:val="0"/>
              <w:widowControl/>
              <w:suppressLineNumbers w:val="0"/>
              <w:jc w:val="center"/>
              <w:rPr>
                <w:rFonts w:ascii="宋体"/>
                <w:color w:val="auto"/>
                <w:szCs w:val="21"/>
                <w:highlight w:val="none"/>
              </w:rPr>
            </w:pPr>
            <w:r>
              <w:rPr>
                <w:rFonts w:hint="eastAsia" w:ascii="宋体" w:hAnsi="宋体" w:eastAsia="宋体" w:cs="宋体"/>
                <w:color w:val="auto"/>
                <w:kern w:val="0"/>
                <w:sz w:val="21"/>
                <w:szCs w:val="21"/>
                <w:highlight w:val="none"/>
                <w:lang w:val="en-US" w:eastAsia="zh-CN" w:bidi="ar"/>
              </w:rPr>
              <w:t>勘察设计费</w:t>
            </w:r>
          </w:p>
        </w:tc>
        <w:tc>
          <w:tcPr>
            <w:tcW w:w="3250" w:type="dxa"/>
            <w:noWrap/>
            <w:vAlign w:val="center"/>
          </w:tcPr>
          <w:p w14:paraId="74413210">
            <w:pPr>
              <w:spacing w:line="440" w:lineRule="exact"/>
              <w:rPr>
                <w:rFonts w:hint="default" w:ascii="宋体" w:hAnsi="宋体" w:eastAsia="宋体"/>
                <w:color w:val="auto"/>
                <w:szCs w:val="21"/>
                <w:highlight w:val="none"/>
                <w:lang w:val="en-US" w:eastAsia="zh-CN"/>
              </w:rPr>
            </w:pPr>
          </w:p>
        </w:tc>
        <w:tc>
          <w:tcPr>
            <w:tcW w:w="1735" w:type="dxa"/>
            <w:noWrap/>
            <w:vAlign w:val="center"/>
          </w:tcPr>
          <w:p w14:paraId="3543C3F7">
            <w:pPr>
              <w:spacing w:line="440" w:lineRule="exact"/>
              <w:rPr>
                <w:rFonts w:ascii="宋体"/>
                <w:color w:val="auto"/>
                <w:szCs w:val="21"/>
                <w:highlight w:val="none"/>
              </w:rPr>
            </w:pPr>
          </w:p>
        </w:tc>
      </w:tr>
      <w:tr w14:paraId="05558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1322" w:type="dxa"/>
            <w:shd w:val="clear" w:color="auto" w:fill="auto"/>
            <w:noWrap/>
            <w:vAlign w:val="center"/>
          </w:tcPr>
          <w:p w14:paraId="58B461EB">
            <w:pPr>
              <w:jc w:val="center"/>
              <w:rPr>
                <w:rFonts w:ascii="宋体" w:hAnsi="Times New Roman" w:eastAsia="宋体" w:cs="Times New Roman"/>
                <w:color w:val="auto"/>
                <w:kern w:val="2"/>
                <w:sz w:val="21"/>
                <w:szCs w:val="21"/>
                <w:highlight w:val="none"/>
                <w:lang w:val="en-US" w:eastAsia="zh-CN" w:bidi="ar-SA"/>
              </w:rPr>
            </w:pPr>
            <w:r>
              <w:rPr>
                <w:rFonts w:ascii="宋体" w:hAnsi="宋体"/>
                <w:color w:val="auto"/>
                <w:szCs w:val="21"/>
                <w:highlight w:val="none"/>
              </w:rPr>
              <w:t>2</w:t>
            </w:r>
          </w:p>
        </w:tc>
        <w:tc>
          <w:tcPr>
            <w:tcW w:w="3250" w:type="dxa"/>
            <w:noWrap/>
            <w:vAlign w:val="center"/>
          </w:tcPr>
          <w:p w14:paraId="5DA0929E">
            <w:pPr>
              <w:keepNext w:val="0"/>
              <w:keepLines w:val="0"/>
              <w:widowControl/>
              <w:suppressLineNumbers w:val="0"/>
              <w:jc w:val="center"/>
              <w:rPr>
                <w:rFonts w:hint="eastAsia" w:ascii="宋体" w:hAnsi="宋体" w:eastAsia="宋体"/>
                <w:color w:val="auto"/>
                <w:szCs w:val="21"/>
                <w:highlight w:val="none"/>
                <w:lang w:val="en-US" w:eastAsia="zh-CN"/>
              </w:rPr>
            </w:pPr>
            <w:r>
              <w:rPr>
                <w:rFonts w:hint="eastAsia" w:ascii="宋体" w:hAnsi="宋体" w:eastAsia="宋体" w:cs="宋体"/>
                <w:color w:val="auto"/>
                <w:kern w:val="0"/>
                <w:sz w:val="21"/>
                <w:szCs w:val="21"/>
                <w:highlight w:val="none"/>
                <w:lang w:val="en-US" w:eastAsia="zh-CN" w:bidi="ar"/>
              </w:rPr>
              <w:t>工程设备费</w:t>
            </w:r>
          </w:p>
        </w:tc>
        <w:tc>
          <w:tcPr>
            <w:tcW w:w="3250" w:type="dxa"/>
            <w:noWrap/>
            <w:vAlign w:val="center"/>
          </w:tcPr>
          <w:p w14:paraId="51DDE1D0">
            <w:pPr>
              <w:spacing w:line="440" w:lineRule="exact"/>
              <w:rPr>
                <w:rFonts w:hint="default" w:ascii="宋体" w:hAnsi="宋体" w:eastAsia="宋体"/>
                <w:color w:val="auto"/>
                <w:szCs w:val="21"/>
                <w:highlight w:val="none"/>
                <w:lang w:val="en-US" w:eastAsia="zh-CN"/>
              </w:rPr>
            </w:pPr>
          </w:p>
        </w:tc>
        <w:tc>
          <w:tcPr>
            <w:tcW w:w="1735" w:type="dxa"/>
            <w:noWrap/>
            <w:vAlign w:val="center"/>
          </w:tcPr>
          <w:p w14:paraId="75BB0428">
            <w:pPr>
              <w:spacing w:line="440" w:lineRule="exact"/>
              <w:rPr>
                <w:rFonts w:hint="eastAsia" w:ascii="宋体" w:hAnsi="宋体"/>
                <w:color w:val="auto"/>
                <w:szCs w:val="21"/>
                <w:highlight w:val="none"/>
              </w:rPr>
            </w:pPr>
          </w:p>
        </w:tc>
      </w:tr>
      <w:tr w14:paraId="6D3B1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1322" w:type="dxa"/>
            <w:shd w:val="clear" w:color="auto" w:fill="auto"/>
            <w:noWrap/>
            <w:vAlign w:val="center"/>
          </w:tcPr>
          <w:p w14:paraId="3F85B549">
            <w:pPr>
              <w:jc w:val="center"/>
              <w:rPr>
                <w:rFonts w:ascii="宋体" w:hAnsi="Times New Roman" w:eastAsia="宋体" w:cs="Times New Roman"/>
                <w:color w:val="auto"/>
                <w:kern w:val="2"/>
                <w:sz w:val="21"/>
                <w:szCs w:val="21"/>
                <w:highlight w:val="none"/>
                <w:lang w:val="en-US" w:eastAsia="zh-CN" w:bidi="ar-SA"/>
              </w:rPr>
            </w:pPr>
            <w:r>
              <w:rPr>
                <w:rFonts w:hint="eastAsia" w:ascii="宋体" w:hAnsi="宋体"/>
                <w:color w:val="auto"/>
                <w:szCs w:val="21"/>
                <w:highlight w:val="none"/>
              </w:rPr>
              <w:t>3</w:t>
            </w:r>
          </w:p>
        </w:tc>
        <w:tc>
          <w:tcPr>
            <w:tcW w:w="3250" w:type="dxa"/>
            <w:noWrap/>
            <w:vAlign w:val="center"/>
          </w:tcPr>
          <w:p w14:paraId="683F7FFD">
            <w:pPr>
              <w:keepNext w:val="0"/>
              <w:keepLines w:val="0"/>
              <w:widowControl/>
              <w:suppressLineNumbers w:val="0"/>
              <w:jc w:val="center"/>
              <w:rPr>
                <w:rFonts w:ascii="宋体"/>
                <w:color w:val="auto"/>
                <w:szCs w:val="21"/>
                <w:highlight w:val="none"/>
              </w:rPr>
            </w:pPr>
            <w:r>
              <w:rPr>
                <w:rFonts w:hint="eastAsia" w:ascii="宋体" w:hAnsi="宋体" w:eastAsia="宋体" w:cs="宋体"/>
                <w:color w:val="auto"/>
                <w:kern w:val="0"/>
                <w:sz w:val="21"/>
                <w:szCs w:val="21"/>
                <w:highlight w:val="none"/>
                <w:lang w:val="en-US" w:eastAsia="zh-CN" w:bidi="ar"/>
              </w:rPr>
              <w:t>必备的备品备件费</w:t>
            </w:r>
          </w:p>
        </w:tc>
        <w:tc>
          <w:tcPr>
            <w:tcW w:w="3250" w:type="dxa"/>
            <w:noWrap/>
            <w:vAlign w:val="center"/>
          </w:tcPr>
          <w:p w14:paraId="5F24F11B">
            <w:pPr>
              <w:spacing w:line="440" w:lineRule="exact"/>
              <w:rPr>
                <w:rFonts w:hint="default" w:ascii="宋体" w:hAnsi="宋体"/>
                <w:color w:val="auto"/>
                <w:szCs w:val="21"/>
                <w:highlight w:val="none"/>
                <w:lang w:val="en-US"/>
              </w:rPr>
            </w:pPr>
          </w:p>
        </w:tc>
        <w:tc>
          <w:tcPr>
            <w:tcW w:w="1735" w:type="dxa"/>
            <w:noWrap/>
            <w:vAlign w:val="center"/>
          </w:tcPr>
          <w:p w14:paraId="0FBF7E42">
            <w:pPr>
              <w:spacing w:line="440" w:lineRule="exact"/>
              <w:rPr>
                <w:rFonts w:ascii="宋体"/>
                <w:color w:val="auto"/>
                <w:szCs w:val="21"/>
                <w:highlight w:val="none"/>
              </w:rPr>
            </w:pPr>
          </w:p>
        </w:tc>
      </w:tr>
      <w:tr w14:paraId="1D3A0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1322" w:type="dxa"/>
            <w:shd w:val="clear" w:color="auto" w:fill="auto"/>
            <w:noWrap/>
            <w:vAlign w:val="center"/>
          </w:tcPr>
          <w:p w14:paraId="0BEEA4AA">
            <w:pPr>
              <w:jc w:val="center"/>
              <w:rPr>
                <w:rFonts w:ascii="宋体" w:hAnsi="Times New Roman" w:eastAsia="宋体" w:cs="Times New Roman"/>
                <w:color w:val="auto"/>
                <w:kern w:val="2"/>
                <w:sz w:val="21"/>
                <w:szCs w:val="21"/>
                <w:highlight w:val="none"/>
                <w:lang w:val="en-US" w:eastAsia="zh-CN" w:bidi="ar-SA"/>
              </w:rPr>
            </w:pPr>
            <w:r>
              <w:rPr>
                <w:rFonts w:hint="eastAsia" w:ascii="宋体" w:hAnsi="宋体"/>
                <w:color w:val="auto"/>
                <w:szCs w:val="21"/>
                <w:highlight w:val="none"/>
              </w:rPr>
              <w:t>4</w:t>
            </w:r>
          </w:p>
        </w:tc>
        <w:tc>
          <w:tcPr>
            <w:tcW w:w="3250" w:type="dxa"/>
            <w:noWrap/>
            <w:vAlign w:val="center"/>
          </w:tcPr>
          <w:p w14:paraId="631FFFC6">
            <w:pPr>
              <w:keepNext w:val="0"/>
              <w:keepLines w:val="0"/>
              <w:widowControl/>
              <w:suppressLineNumbers w:val="0"/>
              <w:jc w:val="center"/>
              <w:rPr>
                <w:rFonts w:ascii="宋体"/>
                <w:color w:val="auto"/>
                <w:szCs w:val="21"/>
                <w:highlight w:val="none"/>
              </w:rPr>
            </w:pPr>
            <w:r>
              <w:rPr>
                <w:rFonts w:hint="eastAsia" w:ascii="宋体" w:hAnsi="宋体" w:eastAsia="宋体" w:cs="宋体"/>
                <w:color w:val="auto"/>
                <w:kern w:val="0"/>
                <w:sz w:val="21"/>
                <w:szCs w:val="21"/>
                <w:highlight w:val="none"/>
                <w:lang w:val="en-US" w:eastAsia="zh-CN" w:bidi="ar"/>
              </w:rPr>
              <w:t>建筑安装工程费</w:t>
            </w:r>
          </w:p>
        </w:tc>
        <w:tc>
          <w:tcPr>
            <w:tcW w:w="3250" w:type="dxa"/>
            <w:noWrap/>
            <w:vAlign w:val="center"/>
          </w:tcPr>
          <w:p w14:paraId="210574BF">
            <w:pPr>
              <w:spacing w:line="440" w:lineRule="exact"/>
              <w:rPr>
                <w:rFonts w:hint="default" w:ascii="宋体" w:hAnsi="宋体" w:eastAsia="宋体"/>
                <w:color w:val="auto"/>
                <w:szCs w:val="21"/>
                <w:highlight w:val="none"/>
                <w:lang w:val="en-US" w:eastAsia="zh-CN"/>
              </w:rPr>
            </w:pPr>
          </w:p>
        </w:tc>
        <w:tc>
          <w:tcPr>
            <w:tcW w:w="1735" w:type="dxa"/>
            <w:noWrap/>
            <w:vAlign w:val="center"/>
          </w:tcPr>
          <w:p w14:paraId="77278908">
            <w:pPr>
              <w:spacing w:line="440" w:lineRule="exact"/>
              <w:rPr>
                <w:rFonts w:ascii="宋体"/>
                <w:color w:val="auto"/>
                <w:szCs w:val="21"/>
                <w:highlight w:val="none"/>
              </w:rPr>
            </w:pPr>
          </w:p>
        </w:tc>
      </w:tr>
      <w:tr w14:paraId="6A8B6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1322" w:type="dxa"/>
            <w:shd w:val="clear" w:color="auto" w:fill="auto"/>
            <w:noWrap/>
            <w:vAlign w:val="center"/>
          </w:tcPr>
          <w:p w14:paraId="120FD05D">
            <w:pPr>
              <w:jc w:val="center"/>
              <w:rPr>
                <w:rFonts w:ascii="宋体" w:hAnsi="Times New Roman" w:eastAsia="宋体" w:cs="Times New Roman"/>
                <w:color w:val="auto"/>
                <w:kern w:val="2"/>
                <w:sz w:val="21"/>
                <w:szCs w:val="21"/>
                <w:highlight w:val="none"/>
                <w:lang w:val="en-US" w:eastAsia="zh-CN" w:bidi="ar-SA"/>
              </w:rPr>
            </w:pPr>
            <w:r>
              <w:rPr>
                <w:rFonts w:hint="eastAsia" w:ascii="宋体"/>
                <w:color w:val="auto"/>
                <w:szCs w:val="21"/>
                <w:highlight w:val="none"/>
              </w:rPr>
              <w:t>5</w:t>
            </w:r>
          </w:p>
        </w:tc>
        <w:tc>
          <w:tcPr>
            <w:tcW w:w="3250" w:type="dxa"/>
            <w:noWrap/>
            <w:vAlign w:val="center"/>
          </w:tcPr>
          <w:p w14:paraId="60961F23">
            <w:pPr>
              <w:keepNext w:val="0"/>
              <w:keepLines w:val="0"/>
              <w:widowControl/>
              <w:suppressLineNumbers w:val="0"/>
              <w:jc w:val="center"/>
              <w:rPr>
                <w:rFonts w:ascii="宋体"/>
                <w:color w:val="auto"/>
                <w:szCs w:val="21"/>
                <w:highlight w:val="none"/>
              </w:rPr>
            </w:pPr>
            <w:r>
              <w:rPr>
                <w:rFonts w:hint="eastAsia" w:ascii="宋体" w:hAnsi="宋体" w:eastAsia="宋体" w:cs="宋体"/>
                <w:color w:val="auto"/>
                <w:kern w:val="0"/>
                <w:sz w:val="21"/>
                <w:szCs w:val="21"/>
                <w:highlight w:val="none"/>
                <w:lang w:val="en-US" w:eastAsia="zh-CN" w:bidi="ar"/>
              </w:rPr>
              <w:t>技术服务费</w:t>
            </w:r>
          </w:p>
        </w:tc>
        <w:tc>
          <w:tcPr>
            <w:tcW w:w="3250" w:type="dxa"/>
            <w:noWrap/>
            <w:vAlign w:val="center"/>
          </w:tcPr>
          <w:p w14:paraId="5AD4A1A3">
            <w:pPr>
              <w:spacing w:line="440" w:lineRule="exact"/>
              <w:rPr>
                <w:rFonts w:hint="eastAsia" w:ascii="宋体" w:hAnsi="宋体"/>
                <w:color w:val="auto"/>
                <w:szCs w:val="21"/>
                <w:highlight w:val="none"/>
              </w:rPr>
            </w:pPr>
          </w:p>
        </w:tc>
        <w:tc>
          <w:tcPr>
            <w:tcW w:w="1735" w:type="dxa"/>
            <w:noWrap/>
            <w:vAlign w:val="center"/>
          </w:tcPr>
          <w:p w14:paraId="32922D16">
            <w:pPr>
              <w:spacing w:line="440" w:lineRule="exact"/>
              <w:rPr>
                <w:rFonts w:ascii="宋体"/>
                <w:color w:val="auto"/>
                <w:szCs w:val="21"/>
                <w:highlight w:val="none"/>
              </w:rPr>
            </w:pPr>
          </w:p>
        </w:tc>
      </w:tr>
      <w:tr w14:paraId="2E53A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1322" w:type="dxa"/>
            <w:shd w:val="clear" w:color="auto" w:fill="auto"/>
            <w:noWrap/>
            <w:vAlign w:val="center"/>
          </w:tcPr>
          <w:p w14:paraId="511C6DF9">
            <w:pPr>
              <w:jc w:val="center"/>
              <w:rPr>
                <w:rFonts w:ascii="宋体" w:hAnsi="Times New Roman" w:eastAsia="宋体" w:cs="Times New Roman"/>
                <w:color w:val="auto"/>
                <w:kern w:val="2"/>
                <w:sz w:val="21"/>
                <w:szCs w:val="21"/>
                <w:highlight w:val="none"/>
                <w:lang w:val="en-US" w:eastAsia="zh-CN" w:bidi="ar-SA"/>
              </w:rPr>
            </w:pPr>
            <w:r>
              <w:rPr>
                <w:rFonts w:hint="eastAsia" w:ascii="宋体"/>
                <w:color w:val="auto"/>
                <w:szCs w:val="21"/>
                <w:highlight w:val="none"/>
              </w:rPr>
              <w:t>6</w:t>
            </w:r>
          </w:p>
        </w:tc>
        <w:tc>
          <w:tcPr>
            <w:tcW w:w="3250" w:type="dxa"/>
            <w:noWrap/>
            <w:vAlign w:val="center"/>
          </w:tcPr>
          <w:p w14:paraId="17A0283E">
            <w:pPr>
              <w:keepNext w:val="0"/>
              <w:keepLines w:val="0"/>
              <w:widowControl/>
              <w:suppressLineNumbers w:val="0"/>
              <w:jc w:val="center"/>
              <w:rPr>
                <w:rFonts w:ascii="宋体" w:hAnsi="宋体"/>
                <w:color w:val="auto"/>
                <w:szCs w:val="21"/>
                <w:highlight w:val="none"/>
              </w:rPr>
            </w:pPr>
            <w:r>
              <w:rPr>
                <w:rFonts w:hint="eastAsia" w:ascii="宋体" w:hAnsi="宋体" w:eastAsia="宋体" w:cs="宋体"/>
                <w:color w:val="auto"/>
                <w:kern w:val="0"/>
                <w:sz w:val="21"/>
                <w:szCs w:val="21"/>
                <w:highlight w:val="none"/>
                <w:lang w:val="en-US" w:eastAsia="zh-CN" w:bidi="ar"/>
              </w:rPr>
              <w:t>暂估价</w:t>
            </w:r>
          </w:p>
        </w:tc>
        <w:tc>
          <w:tcPr>
            <w:tcW w:w="3250" w:type="dxa"/>
            <w:noWrap/>
            <w:vAlign w:val="center"/>
          </w:tcPr>
          <w:p w14:paraId="3D27D06F">
            <w:pPr>
              <w:spacing w:line="440" w:lineRule="exact"/>
              <w:rPr>
                <w:rFonts w:hint="eastAsia" w:ascii="宋体" w:hAnsi="宋体"/>
                <w:color w:val="auto"/>
                <w:szCs w:val="21"/>
                <w:highlight w:val="none"/>
              </w:rPr>
            </w:pPr>
          </w:p>
        </w:tc>
        <w:tc>
          <w:tcPr>
            <w:tcW w:w="1735" w:type="dxa"/>
            <w:noWrap/>
            <w:vAlign w:val="center"/>
          </w:tcPr>
          <w:p w14:paraId="5AFDF6C5">
            <w:pPr>
              <w:spacing w:line="440" w:lineRule="exact"/>
              <w:rPr>
                <w:rFonts w:ascii="宋体" w:hAnsi="宋体"/>
                <w:color w:val="auto"/>
                <w:szCs w:val="21"/>
                <w:highlight w:val="none"/>
              </w:rPr>
            </w:pPr>
          </w:p>
        </w:tc>
      </w:tr>
      <w:tr w14:paraId="52EBB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1322" w:type="dxa"/>
            <w:shd w:val="clear" w:color="auto" w:fill="auto"/>
            <w:noWrap/>
            <w:vAlign w:val="center"/>
          </w:tcPr>
          <w:p w14:paraId="182539C5">
            <w:pPr>
              <w:jc w:val="center"/>
              <w:rPr>
                <w:rFonts w:ascii="宋体" w:hAnsi="Times New Roman" w:eastAsia="宋体" w:cs="Times New Roman"/>
                <w:color w:val="auto"/>
                <w:kern w:val="2"/>
                <w:sz w:val="21"/>
                <w:szCs w:val="21"/>
                <w:highlight w:val="none"/>
                <w:lang w:val="en-US" w:eastAsia="zh-CN" w:bidi="ar-SA"/>
              </w:rPr>
            </w:pPr>
            <w:r>
              <w:rPr>
                <w:rFonts w:hint="eastAsia" w:ascii="宋体"/>
                <w:color w:val="auto"/>
                <w:szCs w:val="21"/>
                <w:highlight w:val="none"/>
              </w:rPr>
              <w:t>7</w:t>
            </w:r>
          </w:p>
        </w:tc>
        <w:tc>
          <w:tcPr>
            <w:tcW w:w="3250" w:type="dxa"/>
            <w:noWrap/>
            <w:vAlign w:val="center"/>
          </w:tcPr>
          <w:p w14:paraId="39D8946A">
            <w:pPr>
              <w:keepNext w:val="0"/>
              <w:keepLines w:val="0"/>
              <w:widowControl/>
              <w:suppressLineNumbers w:val="0"/>
              <w:jc w:val="center"/>
              <w:rPr>
                <w:rFonts w:ascii="宋体"/>
                <w:color w:val="auto"/>
                <w:szCs w:val="21"/>
                <w:highlight w:val="none"/>
              </w:rPr>
            </w:pPr>
            <w:r>
              <w:rPr>
                <w:rFonts w:hint="eastAsia" w:ascii="宋体" w:hAnsi="宋体" w:eastAsia="宋体" w:cs="宋体"/>
                <w:color w:val="auto"/>
                <w:kern w:val="0"/>
                <w:sz w:val="21"/>
                <w:szCs w:val="21"/>
                <w:highlight w:val="none"/>
                <w:lang w:val="en-US" w:eastAsia="zh-CN" w:bidi="ar"/>
              </w:rPr>
              <w:t>暂列金额（如有）</w:t>
            </w:r>
          </w:p>
        </w:tc>
        <w:tc>
          <w:tcPr>
            <w:tcW w:w="3250" w:type="dxa"/>
            <w:noWrap/>
            <w:vAlign w:val="center"/>
          </w:tcPr>
          <w:p w14:paraId="181F4EB9">
            <w:pPr>
              <w:spacing w:line="440" w:lineRule="exact"/>
              <w:rPr>
                <w:rFonts w:hint="eastAsia" w:ascii="宋体" w:hAnsi="宋体"/>
                <w:color w:val="auto"/>
                <w:szCs w:val="21"/>
                <w:highlight w:val="none"/>
              </w:rPr>
            </w:pPr>
          </w:p>
        </w:tc>
        <w:tc>
          <w:tcPr>
            <w:tcW w:w="1735" w:type="dxa"/>
            <w:noWrap/>
            <w:vAlign w:val="center"/>
          </w:tcPr>
          <w:p w14:paraId="2A7E25AF">
            <w:pPr>
              <w:spacing w:line="440" w:lineRule="exact"/>
              <w:rPr>
                <w:rFonts w:ascii="宋体"/>
                <w:color w:val="auto"/>
                <w:szCs w:val="21"/>
                <w:highlight w:val="none"/>
              </w:rPr>
            </w:pPr>
          </w:p>
        </w:tc>
      </w:tr>
      <w:tr w14:paraId="484D6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1322" w:type="dxa"/>
            <w:shd w:val="clear" w:color="auto" w:fill="auto"/>
            <w:noWrap/>
            <w:vAlign w:val="center"/>
          </w:tcPr>
          <w:p w14:paraId="42ED7E8B">
            <w:pPr>
              <w:jc w:val="center"/>
              <w:rPr>
                <w:rFonts w:ascii="宋体" w:hAnsi="Times New Roman" w:eastAsia="宋体" w:cs="Times New Roman"/>
                <w:color w:val="auto"/>
                <w:kern w:val="2"/>
                <w:sz w:val="21"/>
                <w:szCs w:val="21"/>
                <w:highlight w:val="none"/>
                <w:lang w:val="en-US" w:eastAsia="zh-CN" w:bidi="ar-SA"/>
              </w:rPr>
            </w:pPr>
            <w:r>
              <w:rPr>
                <w:rFonts w:hint="eastAsia" w:ascii="宋体"/>
                <w:color w:val="auto"/>
                <w:szCs w:val="21"/>
                <w:highlight w:val="none"/>
              </w:rPr>
              <w:t>8</w:t>
            </w:r>
          </w:p>
        </w:tc>
        <w:tc>
          <w:tcPr>
            <w:tcW w:w="3250" w:type="dxa"/>
            <w:noWrap/>
            <w:vAlign w:val="center"/>
          </w:tcPr>
          <w:p w14:paraId="62DD3996">
            <w:pPr>
              <w:keepNext w:val="0"/>
              <w:keepLines w:val="0"/>
              <w:widowControl/>
              <w:suppressLineNumbers w:val="0"/>
              <w:jc w:val="center"/>
              <w:rPr>
                <w:rFonts w:ascii="宋体"/>
                <w:color w:val="auto"/>
                <w:szCs w:val="21"/>
                <w:highlight w:val="none"/>
              </w:rPr>
            </w:pPr>
            <w:r>
              <w:rPr>
                <w:rFonts w:hint="eastAsia" w:ascii="宋体" w:hAnsi="宋体" w:eastAsia="宋体" w:cs="宋体"/>
                <w:color w:val="auto"/>
                <w:kern w:val="0"/>
                <w:sz w:val="21"/>
                <w:szCs w:val="21"/>
                <w:highlight w:val="none"/>
                <w:lang w:val="en-US" w:eastAsia="zh-CN" w:bidi="ar"/>
              </w:rPr>
              <w:t>措施项目</w:t>
            </w:r>
          </w:p>
        </w:tc>
        <w:tc>
          <w:tcPr>
            <w:tcW w:w="3250" w:type="dxa"/>
            <w:noWrap/>
            <w:vAlign w:val="center"/>
          </w:tcPr>
          <w:p w14:paraId="43983A7C">
            <w:pPr>
              <w:spacing w:line="440" w:lineRule="exact"/>
              <w:rPr>
                <w:rFonts w:ascii="宋体"/>
                <w:color w:val="auto"/>
                <w:szCs w:val="21"/>
                <w:highlight w:val="none"/>
              </w:rPr>
            </w:pPr>
          </w:p>
        </w:tc>
        <w:tc>
          <w:tcPr>
            <w:tcW w:w="1735" w:type="dxa"/>
            <w:noWrap/>
            <w:vAlign w:val="center"/>
          </w:tcPr>
          <w:p w14:paraId="3EEAD752">
            <w:pPr>
              <w:spacing w:line="440" w:lineRule="exact"/>
              <w:rPr>
                <w:rFonts w:ascii="宋体"/>
                <w:color w:val="auto"/>
                <w:szCs w:val="21"/>
                <w:highlight w:val="none"/>
              </w:rPr>
            </w:pPr>
          </w:p>
        </w:tc>
      </w:tr>
      <w:tr w14:paraId="1C5A6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1322" w:type="dxa"/>
            <w:shd w:val="clear" w:color="auto" w:fill="auto"/>
            <w:noWrap/>
            <w:vAlign w:val="center"/>
          </w:tcPr>
          <w:p w14:paraId="2435F097">
            <w:pPr>
              <w:jc w:val="center"/>
              <w:rPr>
                <w:rFonts w:ascii="宋体" w:hAnsi="Times New Roman" w:eastAsia="宋体" w:cs="Times New Roman"/>
                <w:color w:val="auto"/>
                <w:kern w:val="2"/>
                <w:sz w:val="21"/>
                <w:szCs w:val="21"/>
                <w:highlight w:val="none"/>
                <w:lang w:val="en-US" w:eastAsia="zh-CN" w:bidi="ar-SA"/>
              </w:rPr>
            </w:pPr>
            <w:r>
              <w:rPr>
                <w:rFonts w:hint="eastAsia" w:ascii="宋体"/>
                <w:color w:val="auto"/>
                <w:szCs w:val="21"/>
                <w:highlight w:val="none"/>
              </w:rPr>
              <w:t>9</w:t>
            </w:r>
          </w:p>
        </w:tc>
        <w:tc>
          <w:tcPr>
            <w:tcW w:w="3250" w:type="dxa"/>
            <w:noWrap/>
            <w:vAlign w:val="center"/>
          </w:tcPr>
          <w:p w14:paraId="06812550">
            <w:pPr>
              <w:spacing w:line="440" w:lineRule="exact"/>
              <w:jc w:val="center"/>
              <w:rPr>
                <w:rFonts w:ascii="宋体"/>
                <w:color w:val="auto"/>
                <w:szCs w:val="21"/>
                <w:highlight w:val="none"/>
              </w:rPr>
            </w:pPr>
            <w:r>
              <w:rPr>
                <w:rFonts w:hint="eastAsia" w:ascii="宋体"/>
                <w:color w:val="auto"/>
                <w:szCs w:val="21"/>
                <w:highlight w:val="none"/>
                <w:lang w:val="en-US" w:eastAsia="zh-CN"/>
              </w:rPr>
              <w:t>其他费用</w:t>
            </w:r>
          </w:p>
        </w:tc>
        <w:tc>
          <w:tcPr>
            <w:tcW w:w="3250" w:type="dxa"/>
            <w:noWrap/>
            <w:vAlign w:val="center"/>
          </w:tcPr>
          <w:p w14:paraId="58C7B6C2">
            <w:pPr>
              <w:spacing w:line="440" w:lineRule="exact"/>
              <w:rPr>
                <w:rFonts w:ascii="宋体"/>
                <w:color w:val="auto"/>
                <w:szCs w:val="21"/>
                <w:highlight w:val="none"/>
              </w:rPr>
            </w:pPr>
          </w:p>
        </w:tc>
        <w:tc>
          <w:tcPr>
            <w:tcW w:w="1735" w:type="dxa"/>
            <w:noWrap/>
            <w:vAlign w:val="center"/>
          </w:tcPr>
          <w:p w14:paraId="16956BC0">
            <w:pPr>
              <w:spacing w:line="440" w:lineRule="exact"/>
              <w:rPr>
                <w:rFonts w:ascii="宋体"/>
                <w:color w:val="auto"/>
                <w:szCs w:val="21"/>
                <w:highlight w:val="none"/>
              </w:rPr>
            </w:pPr>
          </w:p>
        </w:tc>
      </w:tr>
      <w:tr w14:paraId="6BEB9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1322" w:type="dxa"/>
            <w:shd w:val="clear" w:color="auto" w:fill="auto"/>
            <w:noWrap/>
            <w:vAlign w:val="center"/>
          </w:tcPr>
          <w:p w14:paraId="7E5BEA97">
            <w:pPr>
              <w:jc w:val="center"/>
              <w:rPr>
                <w:rFonts w:hint="default" w:ascii="宋体" w:hAnsi="Times New Roman" w:eastAsia="宋体" w:cs="Times New Roman"/>
                <w:color w:val="auto"/>
                <w:kern w:val="2"/>
                <w:sz w:val="21"/>
                <w:szCs w:val="21"/>
                <w:highlight w:val="none"/>
                <w:lang w:val="en-US" w:eastAsia="zh-CN" w:bidi="ar-SA"/>
              </w:rPr>
            </w:pPr>
            <w:r>
              <w:rPr>
                <w:rFonts w:hint="eastAsia" w:ascii="宋体" w:hAnsi="Times New Roman" w:eastAsia="宋体" w:cs="Times New Roman"/>
                <w:color w:val="auto"/>
                <w:kern w:val="2"/>
                <w:sz w:val="21"/>
                <w:szCs w:val="21"/>
                <w:highlight w:val="none"/>
                <w:lang w:val="en-US" w:eastAsia="zh-CN" w:bidi="ar-SA"/>
              </w:rPr>
              <w:t>......</w:t>
            </w:r>
          </w:p>
        </w:tc>
        <w:tc>
          <w:tcPr>
            <w:tcW w:w="3250" w:type="dxa"/>
            <w:noWrap/>
            <w:vAlign w:val="center"/>
          </w:tcPr>
          <w:p w14:paraId="3209DD65">
            <w:pPr>
              <w:keepNext w:val="0"/>
              <w:keepLines w:val="0"/>
              <w:widowControl/>
              <w:suppressLineNumbers w:val="0"/>
              <w:jc w:val="center"/>
              <w:rPr>
                <w:rFonts w:ascii="宋体"/>
                <w:color w:val="auto"/>
                <w:szCs w:val="21"/>
                <w:highlight w:val="none"/>
              </w:rPr>
            </w:pPr>
            <w:r>
              <w:rPr>
                <w:rFonts w:hint="eastAsia" w:ascii="宋体" w:hAnsi="Times New Roman" w:eastAsia="宋体" w:cs="Times New Roman"/>
                <w:color w:val="auto"/>
                <w:kern w:val="2"/>
                <w:sz w:val="21"/>
                <w:szCs w:val="21"/>
                <w:highlight w:val="none"/>
                <w:lang w:val="en-US" w:eastAsia="zh-CN" w:bidi="ar-SA"/>
              </w:rPr>
              <w:t>......</w:t>
            </w:r>
          </w:p>
        </w:tc>
        <w:tc>
          <w:tcPr>
            <w:tcW w:w="3250" w:type="dxa"/>
            <w:noWrap/>
            <w:vAlign w:val="center"/>
          </w:tcPr>
          <w:p w14:paraId="2FCCF6CC">
            <w:pPr>
              <w:keepNext w:val="0"/>
              <w:keepLines w:val="0"/>
              <w:widowControl/>
              <w:suppressLineNumbers w:val="0"/>
              <w:jc w:val="center"/>
              <w:rPr>
                <w:rFonts w:ascii="宋体" w:hAnsi="宋体"/>
                <w:color w:val="auto"/>
                <w:szCs w:val="21"/>
                <w:highlight w:val="none"/>
              </w:rPr>
            </w:pPr>
          </w:p>
        </w:tc>
        <w:tc>
          <w:tcPr>
            <w:tcW w:w="1735" w:type="dxa"/>
            <w:noWrap/>
            <w:vAlign w:val="center"/>
          </w:tcPr>
          <w:p w14:paraId="0D49AB17">
            <w:pPr>
              <w:keepNext w:val="0"/>
              <w:keepLines w:val="0"/>
              <w:widowControl/>
              <w:suppressLineNumbers w:val="0"/>
              <w:jc w:val="left"/>
              <w:rPr>
                <w:rFonts w:ascii="宋体"/>
                <w:color w:val="auto"/>
                <w:szCs w:val="21"/>
                <w:highlight w:val="none"/>
              </w:rPr>
            </w:pPr>
          </w:p>
        </w:tc>
      </w:tr>
      <w:tr w14:paraId="15F7A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4572" w:type="dxa"/>
            <w:gridSpan w:val="2"/>
            <w:shd w:val="clear" w:color="auto" w:fill="auto"/>
            <w:noWrap/>
            <w:vAlign w:val="center"/>
          </w:tcPr>
          <w:p w14:paraId="06B32DE1">
            <w:pPr>
              <w:keepNext w:val="0"/>
              <w:keepLines w:val="0"/>
              <w:widowControl/>
              <w:suppressLineNumbers w:val="0"/>
              <w:jc w:val="center"/>
              <w:rPr>
                <w:rFonts w:hint="eastAsia" w:ascii="宋体" w:hAnsi="Times New Roman" w:eastAsia="宋体" w:cs="Times New Roman"/>
                <w:color w:val="auto"/>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
              </w:rPr>
              <w:t>投标报价（元）</w:t>
            </w:r>
          </w:p>
        </w:tc>
        <w:tc>
          <w:tcPr>
            <w:tcW w:w="4985" w:type="dxa"/>
            <w:gridSpan w:val="2"/>
            <w:noWrap/>
            <w:vAlign w:val="center"/>
          </w:tcPr>
          <w:p w14:paraId="32AE7173">
            <w:pPr>
              <w:keepNext w:val="0"/>
              <w:keepLines w:val="0"/>
              <w:widowControl/>
              <w:suppressLineNumbers w:val="0"/>
              <w:jc w:val="center"/>
              <w:rPr>
                <w:color w:val="auto"/>
                <w:highlight w:val="none"/>
              </w:rPr>
            </w:pPr>
            <w:r>
              <w:rPr>
                <w:rFonts w:hint="eastAsia" w:ascii="宋体" w:hAnsi="宋体" w:eastAsia="宋体" w:cs="宋体"/>
                <w:color w:val="auto"/>
                <w:kern w:val="0"/>
                <w:sz w:val="21"/>
                <w:szCs w:val="21"/>
                <w:highlight w:val="none"/>
                <w:lang w:val="en-US" w:eastAsia="zh-CN" w:bidi="ar"/>
              </w:rPr>
              <w:t>（大写）：</w:t>
            </w:r>
          </w:p>
          <w:p w14:paraId="7358A186">
            <w:pPr>
              <w:keepNext w:val="0"/>
              <w:keepLines w:val="0"/>
              <w:widowControl/>
              <w:suppressLineNumbers w:val="0"/>
              <w:jc w:val="center"/>
              <w:rPr>
                <w:rFonts w:ascii="宋体"/>
                <w:color w:val="auto"/>
                <w:szCs w:val="21"/>
                <w:highlight w:val="none"/>
              </w:rPr>
            </w:pPr>
            <w:r>
              <w:rPr>
                <w:rFonts w:hint="eastAsia" w:ascii="宋体" w:hAnsi="宋体" w:eastAsia="宋体" w:cs="宋体"/>
                <w:color w:val="auto"/>
                <w:kern w:val="0"/>
                <w:sz w:val="21"/>
                <w:szCs w:val="21"/>
                <w:highlight w:val="none"/>
                <w:lang w:val="en-US" w:eastAsia="zh-CN" w:bidi="ar"/>
              </w:rPr>
              <w:t>（小写）：</w:t>
            </w:r>
          </w:p>
        </w:tc>
      </w:tr>
    </w:tbl>
    <w:p w14:paraId="6483C11C">
      <w:pPr>
        <w:jc w:val="center"/>
        <w:outlineLvl w:val="9"/>
        <w:rPr>
          <w:rFonts w:hint="default" w:eastAsia="宋体"/>
          <w:color w:val="auto"/>
          <w:highlight w:val="none"/>
          <w:lang w:val="en-US" w:eastAsia="zh-CN"/>
        </w:rPr>
      </w:pPr>
    </w:p>
    <w:p w14:paraId="18220F96">
      <w:pPr>
        <w:jc w:val="center"/>
        <w:outlineLvl w:val="9"/>
        <w:rPr>
          <w:rFonts w:hint="eastAsia"/>
          <w:color w:val="auto"/>
          <w:highlight w:val="none"/>
        </w:rPr>
      </w:pPr>
    </w:p>
    <w:p w14:paraId="4BE1A97E">
      <w:pPr>
        <w:keepNext w:val="0"/>
        <w:keepLines w:val="0"/>
        <w:pageBreakBefore w:val="0"/>
        <w:widowControl w:val="0"/>
        <w:kinsoku/>
        <w:wordWrap/>
        <w:overflowPunct/>
        <w:topLinePunct w:val="0"/>
        <w:autoSpaceDE/>
        <w:autoSpaceDN/>
        <w:bidi w:val="0"/>
        <w:adjustRightInd/>
        <w:snapToGrid/>
        <w:spacing w:line="440" w:lineRule="exact"/>
        <w:ind w:firstLine="2940" w:firstLineChars="1400"/>
        <w:textAlignment w:val="auto"/>
        <w:rPr>
          <w:color w:val="auto"/>
          <w:szCs w:val="21"/>
          <w:highlight w:val="none"/>
        </w:rPr>
      </w:pPr>
      <w:r>
        <w:rPr>
          <w:rFonts w:hint="eastAsia"/>
          <w:color w:val="auto"/>
          <w:szCs w:val="21"/>
          <w:highlight w:val="none"/>
        </w:rPr>
        <w:t>投标人：</w:t>
      </w:r>
      <w:r>
        <w:rPr>
          <w:rFonts w:hint="eastAsia"/>
          <w:color w:val="auto"/>
          <w:szCs w:val="21"/>
          <w:highlight w:val="none"/>
          <w:u w:val="single"/>
          <w:lang w:val="en-US" w:eastAsia="zh-CN"/>
        </w:rPr>
        <w:t xml:space="preserve">                          </w:t>
      </w:r>
      <w:r>
        <w:rPr>
          <w:rFonts w:hint="eastAsia"/>
          <w:color w:val="auto"/>
          <w:szCs w:val="21"/>
          <w:highlight w:val="none"/>
        </w:rPr>
        <w:t>（盖单位</w:t>
      </w:r>
      <w:r>
        <w:rPr>
          <w:rFonts w:hint="eastAsia"/>
          <w:color w:val="auto"/>
          <w:szCs w:val="21"/>
          <w:highlight w:val="none"/>
          <w:lang w:val="en-US" w:eastAsia="zh-CN"/>
        </w:rPr>
        <w:t>公</w:t>
      </w:r>
      <w:r>
        <w:rPr>
          <w:rFonts w:hint="eastAsia"/>
          <w:color w:val="auto"/>
          <w:szCs w:val="21"/>
          <w:highlight w:val="none"/>
        </w:rPr>
        <w:t>章）</w:t>
      </w:r>
    </w:p>
    <w:p w14:paraId="02F2D861">
      <w:pPr>
        <w:keepNext w:val="0"/>
        <w:keepLines w:val="0"/>
        <w:pageBreakBefore w:val="0"/>
        <w:widowControl w:val="0"/>
        <w:kinsoku/>
        <w:wordWrap/>
        <w:overflowPunct/>
        <w:topLinePunct w:val="0"/>
        <w:autoSpaceDE/>
        <w:autoSpaceDN/>
        <w:bidi w:val="0"/>
        <w:adjustRightInd/>
        <w:snapToGrid/>
        <w:spacing w:line="440" w:lineRule="exact"/>
        <w:ind w:firstLine="2940" w:firstLineChars="1400"/>
        <w:textAlignment w:val="auto"/>
        <w:rPr>
          <w:color w:val="auto"/>
          <w:szCs w:val="21"/>
          <w:highlight w:val="none"/>
        </w:rPr>
      </w:pPr>
    </w:p>
    <w:p w14:paraId="0950F080">
      <w:pPr>
        <w:keepNext w:val="0"/>
        <w:keepLines w:val="0"/>
        <w:pageBreakBefore w:val="0"/>
        <w:widowControl w:val="0"/>
        <w:kinsoku/>
        <w:wordWrap/>
        <w:overflowPunct/>
        <w:topLinePunct w:val="0"/>
        <w:autoSpaceDE/>
        <w:autoSpaceDN/>
        <w:bidi w:val="0"/>
        <w:adjustRightInd/>
        <w:snapToGrid/>
        <w:spacing w:line="440" w:lineRule="exact"/>
        <w:ind w:firstLine="2940" w:firstLineChars="1400"/>
        <w:textAlignment w:val="auto"/>
        <w:rPr>
          <w:color w:val="auto"/>
          <w:szCs w:val="21"/>
          <w:highlight w:val="none"/>
        </w:rPr>
      </w:pPr>
      <w:r>
        <w:rPr>
          <w:rFonts w:hint="eastAsia"/>
          <w:color w:val="auto"/>
          <w:szCs w:val="21"/>
          <w:highlight w:val="none"/>
        </w:rPr>
        <w:t>法定代表人</w:t>
      </w:r>
      <w:r>
        <w:rPr>
          <w:rFonts w:hint="eastAsia"/>
          <w:color w:val="auto"/>
          <w:szCs w:val="21"/>
          <w:highlight w:val="none"/>
          <w:lang w:val="en-US" w:eastAsia="zh-CN"/>
        </w:rPr>
        <w:t>或授权委托人</w:t>
      </w:r>
      <w:r>
        <w:rPr>
          <w:rFonts w:hint="eastAsia"/>
          <w:color w:val="auto"/>
          <w:szCs w:val="21"/>
          <w:highlight w:val="none"/>
        </w:rPr>
        <w:t>：</w:t>
      </w:r>
      <w:r>
        <w:rPr>
          <w:rFonts w:hint="eastAsia"/>
          <w:color w:val="auto"/>
          <w:szCs w:val="21"/>
          <w:highlight w:val="none"/>
          <w:u w:val="single"/>
          <w:lang w:val="en-US" w:eastAsia="zh-CN"/>
        </w:rPr>
        <w:t xml:space="preserve">                </w:t>
      </w:r>
      <w:r>
        <w:rPr>
          <w:rFonts w:hint="eastAsia"/>
          <w:color w:val="auto"/>
          <w:szCs w:val="21"/>
          <w:highlight w:val="none"/>
        </w:rPr>
        <w:t>（签章）</w:t>
      </w:r>
    </w:p>
    <w:p w14:paraId="6E5D6CC6">
      <w:pPr>
        <w:spacing w:line="440" w:lineRule="exact"/>
        <w:rPr>
          <w:color w:val="auto"/>
          <w:szCs w:val="21"/>
          <w:highlight w:val="none"/>
        </w:rPr>
      </w:pPr>
    </w:p>
    <w:p w14:paraId="265CA1F0">
      <w:pPr>
        <w:spacing w:line="440" w:lineRule="exact"/>
        <w:ind w:firstLine="4305" w:firstLineChars="2050"/>
        <w:rPr>
          <w:rFonts w:hint="eastAsia"/>
          <w:color w:val="auto"/>
          <w:highlight w:val="none"/>
        </w:rPr>
      </w:pPr>
      <w:r>
        <w:rPr>
          <w:rFonts w:hint="eastAsia"/>
          <w:color w:val="auto"/>
          <w:szCs w:val="21"/>
          <w:highlight w:val="none"/>
          <w:u w:val="single"/>
          <w:lang w:val="en-US" w:eastAsia="zh-CN"/>
        </w:rPr>
        <w:t xml:space="preserve">       </w:t>
      </w:r>
      <w:r>
        <w:rPr>
          <w:rFonts w:hint="eastAsia"/>
          <w:color w:val="auto"/>
          <w:szCs w:val="21"/>
          <w:highlight w:val="none"/>
        </w:rPr>
        <w:t>年</w:t>
      </w:r>
      <w:r>
        <w:rPr>
          <w:rFonts w:hint="eastAsia"/>
          <w:color w:val="auto"/>
          <w:szCs w:val="21"/>
          <w:highlight w:val="none"/>
          <w:u w:val="single"/>
          <w:lang w:val="en-US" w:eastAsia="zh-CN"/>
        </w:rPr>
        <w:t xml:space="preserve">       </w:t>
      </w:r>
      <w:r>
        <w:rPr>
          <w:rFonts w:hint="eastAsia"/>
          <w:color w:val="auto"/>
          <w:szCs w:val="21"/>
          <w:highlight w:val="none"/>
        </w:rPr>
        <w:t>月</w:t>
      </w:r>
      <w:r>
        <w:rPr>
          <w:rFonts w:hint="eastAsia"/>
          <w:color w:val="auto"/>
          <w:szCs w:val="21"/>
          <w:highlight w:val="none"/>
          <w:u w:val="single"/>
          <w:lang w:val="en-US" w:eastAsia="zh-CN"/>
        </w:rPr>
        <w:t xml:space="preserve">       </w:t>
      </w:r>
      <w:r>
        <w:rPr>
          <w:rFonts w:hint="eastAsia"/>
          <w:color w:val="auto"/>
          <w:szCs w:val="21"/>
          <w:highlight w:val="none"/>
        </w:rPr>
        <w:t>日</w:t>
      </w:r>
    </w:p>
    <w:p w14:paraId="6EFF5AF1">
      <w:pPr>
        <w:jc w:val="center"/>
        <w:outlineLvl w:val="9"/>
        <w:rPr>
          <w:rFonts w:hint="eastAsia"/>
          <w:color w:val="auto"/>
          <w:highlight w:val="none"/>
        </w:rPr>
      </w:pPr>
    </w:p>
    <w:p w14:paraId="0E72015A">
      <w:pPr>
        <w:jc w:val="center"/>
        <w:outlineLvl w:val="9"/>
        <w:rPr>
          <w:rFonts w:hint="eastAsia"/>
          <w:color w:val="auto"/>
          <w:highlight w:val="none"/>
        </w:rPr>
      </w:pPr>
    </w:p>
    <w:p w14:paraId="4596F371">
      <w:pPr>
        <w:jc w:val="center"/>
        <w:outlineLvl w:val="9"/>
        <w:rPr>
          <w:rFonts w:hint="eastAsia"/>
          <w:color w:val="auto"/>
          <w:highlight w:val="none"/>
        </w:rPr>
      </w:pPr>
    </w:p>
    <w:p w14:paraId="16072692">
      <w:pPr>
        <w:jc w:val="center"/>
        <w:outlineLvl w:val="9"/>
        <w:rPr>
          <w:rFonts w:hint="eastAsia"/>
          <w:color w:val="auto"/>
          <w:highlight w:val="none"/>
        </w:rPr>
      </w:pPr>
    </w:p>
    <w:p w14:paraId="232F2DA7">
      <w:pPr>
        <w:jc w:val="center"/>
        <w:outlineLvl w:val="9"/>
        <w:rPr>
          <w:rFonts w:hint="eastAsia"/>
          <w:color w:val="auto"/>
          <w:highlight w:val="none"/>
        </w:rPr>
      </w:pPr>
    </w:p>
    <w:p w14:paraId="383C52CA">
      <w:pPr>
        <w:jc w:val="center"/>
        <w:outlineLvl w:val="9"/>
        <w:rPr>
          <w:rFonts w:hint="eastAsia"/>
          <w:b/>
          <w:bCs/>
          <w:color w:val="auto"/>
          <w:highlight w:val="none"/>
          <w:lang w:val="en-US" w:eastAsia="zh-CN"/>
        </w:rPr>
      </w:pPr>
      <w:r>
        <w:rPr>
          <w:rFonts w:hint="eastAsia"/>
          <w:b/>
          <w:bCs/>
          <w:color w:val="auto"/>
          <w:highlight w:val="none"/>
          <w:lang w:val="en-US" w:eastAsia="zh-CN"/>
        </w:rPr>
        <w:t>5-2勘察设计费清单</w:t>
      </w:r>
    </w:p>
    <w:p w14:paraId="2C133FD3">
      <w:pPr>
        <w:jc w:val="center"/>
        <w:outlineLvl w:val="9"/>
        <w:rPr>
          <w:rFonts w:hint="eastAsia"/>
          <w:b/>
          <w:bCs/>
          <w:color w:val="auto"/>
          <w:highlight w:val="none"/>
          <w:lang w:val="en-US" w:eastAsia="zh-CN"/>
        </w:rPr>
      </w:pPr>
    </w:p>
    <w:tbl>
      <w:tblPr>
        <w:tblStyle w:val="42"/>
        <w:tblW w:w="89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2312"/>
        <w:gridCol w:w="1910"/>
        <w:gridCol w:w="2111"/>
        <w:gridCol w:w="1662"/>
      </w:tblGrid>
      <w:tr w14:paraId="271B8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991" w:type="dxa"/>
            <w:noWrap/>
            <w:vAlign w:val="center"/>
          </w:tcPr>
          <w:p w14:paraId="58E9F1C3">
            <w:pPr>
              <w:jc w:val="center"/>
              <w:rPr>
                <w:rFonts w:ascii="宋体"/>
                <w:color w:val="auto"/>
                <w:szCs w:val="21"/>
                <w:highlight w:val="none"/>
              </w:rPr>
            </w:pPr>
            <w:r>
              <w:rPr>
                <w:rFonts w:hint="eastAsia" w:ascii="宋体" w:hAnsi="宋体"/>
                <w:b/>
                <w:bCs/>
                <w:color w:val="auto"/>
                <w:szCs w:val="21"/>
                <w:highlight w:val="none"/>
              </w:rPr>
              <w:t>序号</w:t>
            </w:r>
          </w:p>
        </w:tc>
        <w:tc>
          <w:tcPr>
            <w:tcW w:w="2312" w:type="dxa"/>
            <w:noWrap/>
            <w:vAlign w:val="center"/>
          </w:tcPr>
          <w:p w14:paraId="08C72436">
            <w:pPr>
              <w:jc w:val="center"/>
              <w:rPr>
                <w:rFonts w:hint="default" w:ascii="宋体" w:eastAsia="宋体"/>
                <w:b/>
                <w:bCs/>
                <w:color w:val="auto"/>
                <w:szCs w:val="21"/>
                <w:highlight w:val="none"/>
                <w:lang w:val="en-US" w:eastAsia="zh-CN"/>
              </w:rPr>
            </w:pPr>
            <w:r>
              <w:rPr>
                <w:rFonts w:hint="eastAsia" w:ascii="宋体" w:hAnsi="宋体" w:eastAsia="宋体" w:cs="Times New Roman"/>
                <w:b/>
                <w:bCs/>
                <w:color w:val="auto"/>
                <w:szCs w:val="21"/>
                <w:highlight w:val="none"/>
                <w:lang w:val="en-US" w:eastAsia="zh-CN"/>
              </w:rPr>
              <w:t>项目名称</w:t>
            </w:r>
          </w:p>
        </w:tc>
        <w:tc>
          <w:tcPr>
            <w:tcW w:w="1910" w:type="dxa"/>
            <w:noWrap/>
            <w:vAlign w:val="center"/>
          </w:tcPr>
          <w:p w14:paraId="1BD44EB2">
            <w:pPr>
              <w:keepNext w:val="0"/>
              <w:keepLines w:val="0"/>
              <w:widowControl/>
              <w:suppressLineNumbers w:val="0"/>
              <w:jc w:val="center"/>
              <w:rPr>
                <w:rFonts w:hint="default" w:ascii="宋体" w:hAnsi="宋体" w:eastAsia="宋体"/>
                <w:b/>
                <w:bCs/>
                <w:color w:val="auto"/>
                <w:szCs w:val="21"/>
                <w:highlight w:val="none"/>
                <w:lang w:val="en-US" w:eastAsia="zh-CN"/>
              </w:rPr>
            </w:pPr>
            <w:r>
              <w:rPr>
                <w:rFonts w:hint="eastAsia" w:ascii="宋体" w:hAnsi="宋体" w:eastAsia="宋体"/>
                <w:b/>
                <w:bCs/>
                <w:color w:val="auto"/>
                <w:szCs w:val="21"/>
                <w:highlight w:val="none"/>
                <w:lang w:val="en-US" w:eastAsia="zh-CN"/>
              </w:rPr>
              <w:t>工作内容</w:t>
            </w:r>
          </w:p>
        </w:tc>
        <w:tc>
          <w:tcPr>
            <w:tcW w:w="2111" w:type="dxa"/>
            <w:noWrap/>
            <w:vAlign w:val="center"/>
          </w:tcPr>
          <w:p w14:paraId="4CC5F675">
            <w:pPr>
              <w:spacing w:line="440" w:lineRule="exact"/>
              <w:jc w:val="center"/>
              <w:rPr>
                <w:rFonts w:ascii="宋体"/>
                <w:color w:val="auto"/>
                <w:szCs w:val="21"/>
                <w:highlight w:val="none"/>
              </w:rPr>
            </w:pPr>
            <w:r>
              <w:rPr>
                <w:rFonts w:hint="eastAsia" w:ascii="宋体" w:hAnsi="宋体" w:eastAsia="宋体" w:cs="宋体"/>
                <w:b/>
                <w:bCs/>
                <w:color w:val="auto"/>
                <w:kern w:val="0"/>
                <w:sz w:val="21"/>
                <w:szCs w:val="21"/>
                <w:highlight w:val="none"/>
                <w:lang w:val="en-US" w:eastAsia="zh-CN" w:bidi="ar"/>
              </w:rPr>
              <w:t>金额（元）</w:t>
            </w:r>
          </w:p>
        </w:tc>
        <w:tc>
          <w:tcPr>
            <w:tcW w:w="1662" w:type="dxa"/>
            <w:noWrap/>
            <w:vAlign w:val="center"/>
          </w:tcPr>
          <w:p w14:paraId="0B3E910A">
            <w:pPr>
              <w:jc w:val="center"/>
              <w:rPr>
                <w:rFonts w:ascii="宋体"/>
                <w:color w:val="auto"/>
                <w:szCs w:val="21"/>
                <w:highlight w:val="none"/>
              </w:rPr>
            </w:pPr>
            <w:r>
              <w:rPr>
                <w:rFonts w:hint="eastAsia" w:ascii="宋体" w:hAnsi="宋体"/>
                <w:b/>
                <w:bCs/>
                <w:color w:val="auto"/>
                <w:szCs w:val="21"/>
                <w:highlight w:val="none"/>
              </w:rPr>
              <w:t>备注</w:t>
            </w:r>
          </w:p>
        </w:tc>
      </w:tr>
      <w:tr w14:paraId="60E24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991" w:type="dxa"/>
            <w:noWrap/>
            <w:vAlign w:val="center"/>
          </w:tcPr>
          <w:p w14:paraId="24CB9B4A">
            <w:pPr>
              <w:spacing w:line="440" w:lineRule="exact"/>
              <w:rPr>
                <w:rFonts w:ascii="宋体"/>
                <w:color w:val="auto"/>
                <w:szCs w:val="21"/>
                <w:highlight w:val="none"/>
              </w:rPr>
            </w:pPr>
          </w:p>
        </w:tc>
        <w:tc>
          <w:tcPr>
            <w:tcW w:w="2312" w:type="dxa"/>
            <w:noWrap/>
            <w:vAlign w:val="center"/>
          </w:tcPr>
          <w:p w14:paraId="0106AAC6">
            <w:pPr>
              <w:spacing w:line="440" w:lineRule="exact"/>
              <w:rPr>
                <w:rFonts w:ascii="宋体"/>
                <w:color w:val="auto"/>
                <w:szCs w:val="21"/>
                <w:highlight w:val="none"/>
              </w:rPr>
            </w:pPr>
          </w:p>
        </w:tc>
        <w:tc>
          <w:tcPr>
            <w:tcW w:w="1910" w:type="dxa"/>
            <w:noWrap/>
            <w:vAlign w:val="center"/>
          </w:tcPr>
          <w:p w14:paraId="4FDE9591">
            <w:pPr>
              <w:spacing w:line="440" w:lineRule="exact"/>
              <w:rPr>
                <w:rFonts w:hint="default" w:ascii="宋体" w:hAnsi="宋体" w:eastAsia="宋体"/>
                <w:color w:val="auto"/>
                <w:szCs w:val="21"/>
                <w:highlight w:val="none"/>
                <w:lang w:val="en-US" w:eastAsia="zh-CN"/>
              </w:rPr>
            </w:pPr>
          </w:p>
        </w:tc>
        <w:tc>
          <w:tcPr>
            <w:tcW w:w="2111" w:type="dxa"/>
            <w:noWrap/>
            <w:vAlign w:val="center"/>
          </w:tcPr>
          <w:p w14:paraId="36B4867C">
            <w:pPr>
              <w:spacing w:line="440" w:lineRule="exact"/>
              <w:rPr>
                <w:rFonts w:ascii="宋体"/>
                <w:color w:val="auto"/>
                <w:szCs w:val="21"/>
                <w:highlight w:val="none"/>
              </w:rPr>
            </w:pPr>
          </w:p>
        </w:tc>
        <w:tc>
          <w:tcPr>
            <w:tcW w:w="1662" w:type="dxa"/>
            <w:noWrap/>
            <w:vAlign w:val="center"/>
          </w:tcPr>
          <w:p w14:paraId="7C6DE8DC">
            <w:pPr>
              <w:spacing w:line="440" w:lineRule="exact"/>
              <w:rPr>
                <w:rFonts w:ascii="宋体"/>
                <w:color w:val="auto"/>
                <w:szCs w:val="21"/>
                <w:highlight w:val="none"/>
              </w:rPr>
            </w:pPr>
          </w:p>
        </w:tc>
      </w:tr>
      <w:tr w14:paraId="7B61D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991" w:type="dxa"/>
            <w:shd w:val="clear" w:color="auto" w:fill="auto"/>
            <w:noWrap/>
            <w:vAlign w:val="center"/>
          </w:tcPr>
          <w:p w14:paraId="0F033F1D">
            <w:pPr>
              <w:spacing w:line="440" w:lineRule="exact"/>
              <w:rPr>
                <w:rFonts w:ascii="宋体" w:hAnsi="Times New Roman" w:eastAsia="宋体" w:cs="Times New Roman"/>
                <w:color w:val="auto"/>
                <w:kern w:val="2"/>
                <w:sz w:val="21"/>
                <w:szCs w:val="21"/>
                <w:highlight w:val="none"/>
                <w:lang w:val="en-US" w:eastAsia="zh-CN" w:bidi="ar-SA"/>
              </w:rPr>
            </w:pPr>
          </w:p>
        </w:tc>
        <w:tc>
          <w:tcPr>
            <w:tcW w:w="2312" w:type="dxa"/>
            <w:noWrap/>
            <w:vAlign w:val="center"/>
          </w:tcPr>
          <w:p w14:paraId="39AB99F4">
            <w:pPr>
              <w:spacing w:line="440" w:lineRule="exact"/>
              <w:rPr>
                <w:rFonts w:hint="eastAsia" w:ascii="宋体" w:hAnsi="宋体" w:eastAsia="宋体"/>
                <w:color w:val="auto"/>
                <w:szCs w:val="21"/>
                <w:highlight w:val="none"/>
                <w:lang w:val="en-US" w:eastAsia="zh-CN"/>
              </w:rPr>
            </w:pPr>
          </w:p>
        </w:tc>
        <w:tc>
          <w:tcPr>
            <w:tcW w:w="1910" w:type="dxa"/>
            <w:noWrap/>
            <w:vAlign w:val="center"/>
          </w:tcPr>
          <w:p w14:paraId="32C6D1D0">
            <w:pPr>
              <w:spacing w:line="440" w:lineRule="exact"/>
              <w:rPr>
                <w:rFonts w:hint="default" w:ascii="宋体" w:hAnsi="宋体" w:eastAsia="宋体"/>
                <w:color w:val="auto"/>
                <w:szCs w:val="21"/>
                <w:highlight w:val="none"/>
                <w:lang w:val="en-US" w:eastAsia="zh-CN"/>
              </w:rPr>
            </w:pPr>
          </w:p>
        </w:tc>
        <w:tc>
          <w:tcPr>
            <w:tcW w:w="2111" w:type="dxa"/>
            <w:noWrap/>
            <w:vAlign w:val="center"/>
          </w:tcPr>
          <w:p w14:paraId="51E5A49C">
            <w:pPr>
              <w:spacing w:line="440" w:lineRule="exact"/>
              <w:rPr>
                <w:rFonts w:hint="eastAsia" w:ascii="宋体" w:hAnsi="宋体"/>
                <w:color w:val="auto"/>
                <w:szCs w:val="21"/>
                <w:highlight w:val="none"/>
              </w:rPr>
            </w:pPr>
          </w:p>
        </w:tc>
        <w:tc>
          <w:tcPr>
            <w:tcW w:w="1662" w:type="dxa"/>
            <w:noWrap/>
            <w:vAlign w:val="center"/>
          </w:tcPr>
          <w:p w14:paraId="199FF1C0">
            <w:pPr>
              <w:spacing w:line="440" w:lineRule="exact"/>
              <w:rPr>
                <w:rFonts w:ascii="宋体"/>
                <w:color w:val="auto"/>
                <w:szCs w:val="21"/>
                <w:highlight w:val="none"/>
              </w:rPr>
            </w:pPr>
          </w:p>
        </w:tc>
      </w:tr>
      <w:tr w14:paraId="35680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991" w:type="dxa"/>
            <w:shd w:val="clear" w:color="auto" w:fill="auto"/>
            <w:noWrap/>
            <w:vAlign w:val="center"/>
          </w:tcPr>
          <w:p w14:paraId="09F055A1">
            <w:pPr>
              <w:spacing w:line="440" w:lineRule="exact"/>
              <w:rPr>
                <w:rFonts w:ascii="宋体" w:hAnsi="Times New Roman" w:eastAsia="宋体" w:cs="Times New Roman"/>
                <w:color w:val="auto"/>
                <w:kern w:val="2"/>
                <w:sz w:val="21"/>
                <w:szCs w:val="21"/>
                <w:highlight w:val="none"/>
                <w:lang w:val="en-US" w:eastAsia="zh-CN" w:bidi="ar-SA"/>
              </w:rPr>
            </w:pPr>
          </w:p>
        </w:tc>
        <w:tc>
          <w:tcPr>
            <w:tcW w:w="2312" w:type="dxa"/>
            <w:noWrap/>
            <w:vAlign w:val="center"/>
          </w:tcPr>
          <w:p w14:paraId="2C9F9CEF">
            <w:pPr>
              <w:spacing w:line="440" w:lineRule="exact"/>
              <w:rPr>
                <w:rFonts w:ascii="宋体"/>
                <w:color w:val="auto"/>
                <w:szCs w:val="21"/>
                <w:highlight w:val="none"/>
              </w:rPr>
            </w:pPr>
          </w:p>
        </w:tc>
        <w:tc>
          <w:tcPr>
            <w:tcW w:w="1910" w:type="dxa"/>
            <w:noWrap/>
            <w:vAlign w:val="center"/>
          </w:tcPr>
          <w:p w14:paraId="4446D225">
            <w:pPr>
              <w:spacing w:line="440" w:lineRule="exact"/>
              <w:rPr>
                <w:rFonts w:hint="default" w:ascii="宋体" w:hAnsi="宋体"/>
                <w:color w:val="auto"/>
                <w:szCs w:val="21"/>
                <w:highlight w:val="none"/>
                <w:lang w:val="en-US"/>
              </w:rPr>
            </w:pPr>
          </w:p>
        </w:tc>
        <w:tc>
          <w:tcPr>
            <w:tcW w:w="2111" w:type="dxa"/>
            <w:noWrap/>
            <w:vAlign w:val="center"/>
          </w:tcPr>
          <w:p w14:paraId="23D52E3B">
            <w:pPr>
              <w:spacing w:line="440" w:lineRule="exact"/>
              <w:rPr>
                <w:rFonts w:ascii="宋体"/>
                <w:color w:val="auto"/>
                <w:szCs w:val="21"/>
                <w:highlight w:val="none"/>
              </w:rPr>
            </w:pPr>
          </w:p>
        </w:tc>
        <w:tc>
          <w:tcPr>
            <w:tcW w:w="1662" w:type="dxa"/>
            <w:noWrap/>
            <w:vAlign w:val="center"/>
          </w:tcPr>
          <w:p w14:paraId="600B2717">
            <w:pPr>
              <w:spacing w:line="440" w:lineRule="exact"/>
              <w:rPr>
                <w:rFonts w:ascii="宋体"/>
                <w:color w:val="auto"/>
                <w:szCs w:val="21"/>
                <w:highlight w:val="none"/>
              </w:rPr>
            </w:pPr>
          </w:p>
        </w:tc>
      </w:tr>
      <w:tr w14:paraId="67B06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991" w:type="dxa"/>
            <w:shd w:val="clear" w:color="auto" w:fill="auto"/>
            <w:noWrap/>
            <w:vAlign w:val="center"/>
          </w:tcPr>
          <w:p w14:paraId="43D9D919">
            <w:pPr>
              <w:spacing w:line="440" w:lineRule="exact"/>
              <w:rPr>
                <w:rFonts w:ascii="宋体" w:hAnsi="Times New Roman" w:eastAsia="宋体" w:cs="Times New Roman"/>
                <w:color w:val="auto"/>
                <w:kern w:val="2"/>
                <w:sz w:val="21"/>
                <w:szCs w:val="21"/>
                <w:highlight w:val="none"/>
                <w:lang w:val="en-US" w:eastAsia="zh-CN" w:bidi="ar-SA"/>
              </w:rPr>
            </w:pPr>
          </w:p>
        </w:tc>
        <w:tc>
          <w:tcPr>
            <w:tcW w:w="2312" w:type="dxa"/>
            <w:noWrap/>
            <w:vAlign w:val="center"/>
          </w:tcPr>
          <w:p w14:paraId="579EE879">
            <w:pPr>
              <w:spacing w:line="440" w:lineRule="exact"/>
              <w:rPr>
                <w:rFonts w:ascii="宋体"/>
                <w:color w:val="auto"/>
                <w:szCs w:val="21"/>
                <w:highlight w:val="none"/>
              </w:rPr>
            </w:pPr>
          </w:p>
        </w:tc>
        <w:tc>
          <w:tcPr>
            <w:tcW w:w="1910" w:type="dxa"/>
            <w:noWrap/>
            <w:vAlign w:val="center"/>
          </w:tcPr>
          <w:p w14:paraId="72ECEFD2">
            <w:pPr>
              <w:spacing w:line="440" w:lineRule="exact"/>
              <w:rPr>
                <w:rFonts w:hint="default" w:ascii="宋体" w:hAnsi="宋体" w:eastAsia="宋体"/>
                <w:color w:val="auto"/>
                <w:szCs w:val="21"/>
                <w:highlight w:val="none"/>
                <w:lang w:val="en-US" w:eastAsia="zh-CN"/>
              </w:rPr>
            </w:pPr>
          </w:p>
        </w:tc>
        <w:tc>
          <w:tcPr>
            <w:tcW w:w="2111" w:type="dxa"/>
            <w:noWrap/>
            <w:vAlign w:val="center"/>
          </w:tcPr>
          <w:p w14:paraId="25607AAD">
            <w:pPr>
              <w:spacing w:line="440" w:lineRule="exact"/>
              <w:rPr>
                <w:rFonts w:ascii="宋体"/>
                <w:color w:val="auto"/>
                <w:szCs w:val="21"/>
                <w:highlight w:val="none"/>
              </w:rPr>
            </w:pPr>
          </w:p>
        </w:tc>
        <w:tc>
          <w:tcPr>
            <w:tcW w:w="1662" w:type="dxa"/>
            <w:noWrap/>
            <w:vAlign w:val="center"/>
          </w:tcPr>
          <w:p w14:paraId="54583B8D">
            <w:pPr>
              <w:spacing w:line="440" w:lineRule="exact"/>
              <w:rPr>
                <w:rFonts w:ascii="宋体"/>
                <w:color w:val="auto"/>
                <w:szCs w:val="21"/>
                <w:highlight w:val="none"/>
              </w:rPr>
            </w:pPr>
          </w:p>
        </w:tc>
      </w:tr>
      <w:tr w14:paraId="35F13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991" w:type="dxa"/>
            <w:shd w:val="clear" w:color="auto" w:fill="auto"/>
            <w:noWrap/>
            <w:vAlign w:val="center"/>
          </w:tcPr>
          <w:p w14:paraId="380C1543">
            <w:pPr>
              <w:spacing w:line="440" w:lineRule="exact"/>
              <w:rPr>
                <w:rFonts w:ascii="宋体" w:hAnsi="Times New Roman" w:eastAsia="宋体" w:cs="Times New Roman"/>
                <w:color w:val="auto"/>
                <w:kern w:val="2"/>
                <w:sz w:val="21"/>
                <w:szCs w:val="21"/>
                <w:highlight w:val="none"/>
                <w:lang w:val="en-US" w:eastAsia="zh-CN" w:bidi="ar-SA"/>
              </w:rPr>
            </w:pPr>
          </w:p>
        </w:tc>
        <w:tc>
          <w:tcPr>
            <w:tcW w:w="2312" w:type="dxa"/>
            <w:noWrap/>
            <w:vAlign w:val="center"/>
          </w:tcPr>
          <w:p w14:paraId="42C9330D">
            <w:pPr>
              <w:spacing w:line="440" w:lineRule="exact"/>
              <w:rPr>
                <w:rFonts w:ascii="宋体"/>
                <w:color w:val="auto"/>
                <w:szCs w:val="21"/>
                <w:highlight w:val="none"/>
              </w:rPr>
            </w:pPr>
          </w:p>
        </w:tc>
        <w:tc>
          <w:tcPr>
            <w:tcW w:w="1910" w:type="dxa"/>
            <w:noWrap/>
            <w:vAlign w:val="center"/>
          </w:tcPr>
          <w:p w14:paraId="3227CB83">
            <w:pPr>
              <w:spacing w:line="440" w:lineRule="exact"/>
              <w:rPr>
                <w:rFonts w:hint="eastAsia" w:ascii="宋体" w:hAnsi="宋体"/>
                <w:color w:val="auto"/>
                <w:szCs w:val="21"/>
                <w:highlight w:val="none"/>
              </w:rPr>
            </w:pPr>
          </w:p>
        </w:tc>
        <w:tc>
          <w:tcPr>
            <w:tcW w:w="2111" w:type="dxa"/>
            <w:noWrap/>
            <w:vAlign w:val="center"/>
          </w:tcPr>
          <w:p w14:paraId="1EB729D2">
            <w:pPr>
              <w:spacing w:line="440" w:lineRule="exact"/>
              <w:rPr>
                <w:rFonts w:ascii="宋体"/>
                <w:color w:val="auto"/>
                <w:szCs w:val="21"/>
                <w:highlight w:val="none"/>
              </w:rPr>
            </w:pPr>
          </w:p>
        </w:tc>
        <w:tc>
          <w:tcPr>
            <w:tcW w:w="1662" w:type="dxa"/>
            <w:noWrap/>
            <w:vAlign w:val="center"/>
          </w:tcPr>
          <w:p w14:paraId="1BAA7124">
            <w:pPr>
              <w:spacing w:line="440" w:lineRule="exact"/>
              <w:rPr>
                <w:rFonts w:ascii="宋体"/>
                <w:color w:val="auto"/>
                <w:szCs w:val="21"/>
                <w:highlight w:val="none"/>
              </w:rPr>
            </w:pPr>
          </w:p>
        </w:tc>
      </w:tr>
      <w:tr w14:paraId="437AD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991" w:type="dxa"/>
            <w:shd w:val="clear" w:color="auto" w:fill="auto"/>
            <w:noWrap/>
            <w:vAlign w:val="center"/>
          </w:tcPr>
          <w:p w14:paraId="23C8B209">
            <w:pPr>
              <w:spacing w:line="440" w:lineRule="exact"/>
              <w:rPr>
                <w:rFonts w:ascii="宋体" w:hAnsi="Times New Roman" w:eastAsia="宋体" w:cs="Times New Roman"/>
                <w:color w:val="auto"/>
                <w:kern w:val="2"/>
                <w:sz w:val="21"/>
                <w:szCs w:val="21"/>
                <w:highlight w:val="none"/>
                <w:lang w:val="en-US" w:eastAsia="zh-CN" w:bidi="ar-SA"/>
              </w:rPr>
            </w:pPr>
          </w:p>
        </w:tc>
        <w:tc>
          <w:tcPr>
            <w:tcW w:w="2312" w:type="dxa"/>
            <w:noWrap/>
            <w:vAlign w:val="center"/>
          </w:tcPr>
          <w:p w14:paraId="336623CB">
            <w:pPr>
              <w:spacing w:line="440" w:lineRule="exact"/>
              <w:rPr>
                <w:rFonts w:ascii="宋体" w:hAnsi="宋体"/>
                <w:color w:val="auto"/>
                <w:szCs w:val="21"/>
                <w:highlight w:val="none"/>
              </w:rPr>
            </w:pPr>
          </w:p>
        </w:tc>
        <w:tc>
          <w:tcPr>
            <w:tcW w:w="1910" w:type="dxa"/>
            <w:noWrap/>
            <w:vAlign w:val="center"/>
          </w:tcPr>
          <w:p w14:paraId="152BD934">
            <w:pPr>
              <w:spacing w:line="440" w:lineRule="exact"/>
              <w:rPr>
                <w:rFonts w:hint="eastAsia" w:ascii="宋体" w:hAnsi="宋体"/>
                <w:color w:val="auto"/>
                <w:szCs w:val="21"/>
                <w:highlight w:val="none"/>
              </w:rPr>
            </w:pPr>
          </w:p>
        </w:tc>
        <w:tc>
          <w:tcPr>
            <w:tcW w:w="2111" w:type="dxa"/>
            <w:noWrap/>
            <w:vAlign w:val="center"/>
          </w:tcPr>
          <w:p w14:paraId="1533DE69">
            <w:pPr>
              <w:spacing w:line="440" w:lineRule="exact"/>
              <w:rPr>
                <w:rFonts w:ascii="宋体" w:hAnsi="宋体"/>
                <w:color w:val="auto"/>
                <w:szCs w:val="21"/>
                <w:highlight w:val="none"/>
              </w:rPr>
            </w:pPr>
          </w:p>
        </w:tc>
        <w:tc>
          <w:tcPr>
            <w:tcW w:w="1662" w:type="dxa"/>
            <w:noWrap/>
            <w:vAlign w:val="center"/>
          </w:tcPr>
          <w:p w14:paraId="49490B10">
            <w:pPr>
              <w:spacing w:line="440" w:lineRule="exact"/>
              <w:rPr>
                <w:rFonts w:ascii="宋体"/>
                <w:color w:val="auto"/>
                <w:szCs w:val="21"/>
                <w:highlight w:val="none"/>
              </w:rPr>
            </w:pPr>
          </w:p>
        </w:tc>
      </w:tr>
      <w:tr w14:paraId="5BE5A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991" w:type="dxa"/>
            <w:shd w:val="clear" w:color="auto" w:fill="auto"/>
            <w:noWrap/>
            <w:vAlign w:val="center"/>
          </w:tcPr>
          <w:p w14:paraId="691A5FE2">
            <w:pPr>
              <w:spacing w:line="440" w:lineRule="exact"/>
              <w:rPr>
                <w:rFonts w:ascii="宋体" w:hAnsi="Times New Roman" w:eastAsia="宋体" w:cs="Times New Roman"/>
                <w:color w:val="auto"/>
                <w:kern w:val="2"/>
                <w:sz w:val="21"/>
                <w:szCs w:val="21"/>
                <w:highlight w:val="none"/>
                <w:lang w:val="en-US" w:eastAsia="zh-CN" w:bidi="ar-SA"/>
              </w:rPr>
            </w:pPr>
          </w:p>
        </w:tc>
        <w:tc>
          <w:tcPr>
            <w:tcW w:w="2312" w:type="dxa"/>
            <w:noWrap/>
            <w:vAlign w:val="center"/>
          </w:tcPr>
          <w:p w14:paraId="27D9093E">
            <w:pPr>
              <w:spacing w:line="440" w:lineRule="exact"/>
              <w:rPr>
                <w:rFonts w:ascii="宋体"/>
                <w:color w:val="auto"/>
                <w:szCs w:val="21"/>
                <w:highlight w:val="none"/>
              </w:rPr>
            </w:pPr>
          </w:p>
        </w:tc>
        <w:tc>
          <w:tcPr>
            <w:tcW w:w="1910" w:type="dxa"/>
            <w:noWrap/>
            <w:vAlign w:val="center"/>
          </w:tcPr>
          <w:p w14:paraId="082D7D22">
            <w:pPr>
              <w:spacing w:line="440" w:lineRule="exact"/>
              <w:rPr>
                <w:rFonts w:hint="eastAsia" w:ascii="宋体" w:hAnsi="宋体"/>
                <w:color w:val="auto"/>
                <w:szCs w:val="21"/>
                <w:highlight w:val="none"/>
              </w:rPr>
            </w:pPr>
          </w:p>
        </w:tc>
        <w:tc>
          <w:tcPr>
            <w:tcW w:w="2111" w:type="dxa"/>
            <w:noWrap/>
            <w:vAlign w:val="center"/>
          </w:tcPr>
          <w:p w14:paraId="6A99645D">
            <w:pPr>
              <w:spacing w:line="440" w:lineRule="exact"/>
              <w:rPr>
                <w:rFonts w:ascii="宋体"/>
                <w:color w:val="auto"/>
                <w:szCs w:val="21"/>
                <w:highlight w:val="none"/>
              </w:rPr>
            </w:pPr>
          </w:p>
        </w:tc>
        <w:tc>
          <w:tcPr>
            <w:tcW w:w="1662" w:type="dxa"/>
            <w:noWrap/>
            <w:vAlign w:val="center"/>
          </w:tcPr>
          <w:p w14:paraId="63F2979A">
            <w:pPr>
              <w:spacing w:line="440" w:lineRule="exact"/>
              <w:rPr>
                <w:rFonts w:ascii="宋体"/>
                <w:color w:val="auto"/>
                <w:szCs w:val="21"/>
                <w:highlight w:val="none"/>
              </w:rPr>
            </w:pPr>
          </w:p>
        </w:tc>
      </w:tr>
      <w:tr w14:paraId="5C934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991" w:type="dxa"/>
            <w:shd w:val="clear" w:color="auto" w:fill="auto"/>
            <w:noWrap/>
            <w:vAlign w:val="center"/>
          </w:tcPr>
          <w:p w14:paraId="608BCCD2">
            <w:pPr>
              <w:spacing w:line="440" w:lineRule="exact"/>
              <w:rPr>
                <w:rFonts w:ascii="宋体" w:hAnsi="Times New Roman" w:eastAsia="宋体" w:cs="Times New Roman"/>
                <w:color w:val="auto"/>
                <w:kern w:val="2"/>
                <w:sz w:val="21"/>
                <w:szCs w:val="21"/>
                <w:highlight w:val="none"/>
                <w:lang w:val="en-US" w:eastAsia="zh-CN" w:bidi="ar-SA"/>
              </w:rPr>
            </w:pPr>
          </w:p>
        </w:tc>
        <w:tc>
          <w:tcPr>
            <w:tcW w:w="2312" w:type="dxa"/>
            <w:noWrap/>
            <w:vAlign w:val="center"/>
          </w:tcPr>
          <w:p w14:paraId="6577159F">
            <w:pPr>
              <w:spacing w:line="440" w:lineRule="exact"/>
              <w:rPr>
                <w:rFonts w:ascii="宋体"/>
                <w:color w:val="auto"/>
                <w:szCs w:val="21"/>
                <w:highlight w:val="none"/>
              </w:rPr>
            </w:pPr>
          </w:p>
        </w:tc>
        <w:tc>
          <w:tcPr>
            <w:tcW w:w="1910" w:type="dxa"/>
            <w:noWrap/>
            <w:vAlign w:val="center"/>
          </w:tcPr>
          <w:p w14:paraId="6243E949">
            <w:pPr>
              <w:spacing w:line="440" w:lineRule="exact"/>
              <w:rPr>
                <w:rFonts w:ascii="宋体"/>
                <w:color w:val="auto"/>
                <w:szCs w:val="21"/>
                <w:highlight w:val="none"/>
              </w:rPr>
            </w:pPr>
          </w:p>
        </w:tc>
        <w:tc>
          <w:tcPr>
            <w:tcW w:w="2111" w:type="dxa"/>
            <w:noWrap/>
            <w:vAlign w:val="center"/>
          </w:tcPr>
          <w:p w14:paraId="065B2C97">
            <w:pPr>
              <w:spacing w:line="440" w:lineRule="exact"/>
              <w:rPr>
                <w:rFonts w:ascii="宋体"/>
                <w:color w:val="auto"/>
                <w:szCs w:val="21"/>
                <w:highlight w:val="none"/>
              </w:rPr>
            </w:pPr>
          </w:p>
        </w:tc>
        <w:tc>
          <w:tcPr>
            <w:tcW w:w="1662" w:type="dxa"/>
            <w:noWrap/>
            <w:vAlign w:val="center"/>
          </w:tcPr>
          <w:p w14:paraId="0AF35C98">
            <w:pPr>
              <w:spacing w:line="440" w:lineRule="exact"/>
              <w:rPr>
                <w:rFonts w:ascii="宋体"/>
                <w:color w:val="auto"/>
                <w:szCs w:val="21"/>
                <w:highlight w:val="none"/>
              </w:rPr>
            </w:pPr>
          </w:p>
        </w:tc>
      </w:tr>
      <w:tr w14:paraId="1D9BB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991" w:type="dxa"/>
            <w:shd w:val="clear" w:color="auto" w:fill="auto"/>
            <w:noWrap/>
            <w:vAlign w:val="center"/>
          </w:tcPr>
          <w:p w14:paraId="7122181B">
            <w:pPr>
              <w:spacing w:line="440" w:lineRule="exact"/>
              <w:rPr>
                <w:rFonts w:ascii="宋体" w:hAnsi="Times New Roman" w:eastAsia="宋体" w:cs="Times New Roman"/>
                <w:color w:val="auto"/>
                <w:kern w:val="2"/>
                <w:sz w:val="21"/>
                <w:szCs w:val="21"/>
                <w:highlight w:val="none"/>
                <w:lang w:val="en-US" w:eastAsia="zh-CN" w:bidi="ar-SA"/>
              </w:rPr>
            </w:pPr>
          </w:p>
        </w:tc>
        <w:tc>
          <w:tcPr>
            <w:tcW w:w="2312" w:type="dxa"/>
            <w:noWrap/>
            <w:vAlign w:val="center"/>
          </w:tcPr>
          <w:p w14:paraId="0C5DEE51">
            <w:pPr>
              <w:spacing w:line="440" w:lineRule="exact"/>
              <w:rPr>
                <w:rFonts w:ascii="宋体"/>
                <w:color w:val="auto"/>
                <w:szCs w:val="21"/>
                <w:highlight w:val="none"/>
              </w:rPr>
            </w:pPr>
          </w:p>
        </w:tc>
        <w:tc>
          <w:tcPr>
            <w:tcW w:w="1910" w:type="dxa"/>
            <w:noWrap/>
            <w:vAlign w:val="center"/>
          </w:tcPr>
          <w:p w14:paraId="54A6EC92">
            <w:pPr>
              <w:spacing w:line="440" w:lineRule="exact"/>
              <w:rPr>
                <w:rFonts w:ascii="宋体"/>
                <w:color w:val="auto"/>
                <w:szCs w:val="21"/>
                <w:highlight w:val="none"/>
              </w:rPr>
            </w:pPr>
          </w:p>
        </w:tc>
        <w:tc>
          <w:tcPr>
            <w:tcW w:w="2111" w:type="dxa"/>
            <w:noWrap/>
            <w:vAlign w:val="center"/>
          </w:tcPr>
          <w:p w14:paraId="2AC9918C">
            <w:pPr>
              <w:spacing w:line="440" w:lineRule="exact"/>
              <w:rPr>
                <w:rFonts w:ascii="宋体"/>
                <w:color w:val="auto"/>
                <w:szCs w:val="21"/>
                <w:highlight w:val="none"/>
              </w:rPr>
            </w:pPr>
          </w:p>
        </w:tc>
        <w:tc>
          <w:tcPr>
            <w:tcW w:w="1662" w:type="dxa"/>
            <w:noWrap/>
            <w:vAlign w:val="center"/>
          </w:tcPr>
          <w:p w14:paraId="3B788062">
            <w:pPr>
              <w:spacing w:line="440" w:lineRule="exact"/>
              <w:rPr>
                <w:rFonts w:ascii="宋体"/>
                <w:color w:val="auto"/>
                <w:szCs w:val="21"/>
                <w:highlight w:val="none"/>
              </w:rPr>
            </w:pPr>
          </w:p>
        </w:tc>
      </w:tr>
      <w:tr w14:paraId="481A9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991" w:type="dxa"/>
            <w:shd w:val="clear" w:color="auto" w:fill="auto"/>
            <w:noWrap/>
            <w:vAlign w:val="center"/>
          </w:tcPr>
          <w:p w14:paraId="3D200C38">
            <w:pPr>
              <w:spacing w:line="440" w:lineRule="exact"/>
              <w:rPr>
                <w:rFonts w:hint="default" w:ascii="宋体" w:hAnsi="Times New Roman" w:eastAsia="宋体" w:cs="Times New Roman"/>
                <w:color w:val="auto"/>
                <w:kern w:val="2"/>
                <w:sz w:val="21"/>
                <w:szCs w:val="21"/>
                <w:highlight w:val="none"/>
                <w:lang w:val="en-US" w:eastAsia="zh-CN" w:bidi="ar-SA"/>
              </w:rPr>
            </w:pPr>
          </w:p>
        </w:tc>
        <w:tc>
          <w:tcPr>
            <w:tcW w:w="2312" w:type="dxa"/>
            <w:noWrap/>
            <w:vAlign w:val="center"/>
          </w:tcPr>
          <w:p w14:paraId="28445EAE">
            <w:pPr>
              <w:spacing w:line="440" w:lineRule="exact"/>
              <w:rPr>
                <w:rFonts w:ascii="宋体"/>
                <w:color w:val="auto"/>
                <w:szCs w:val="21"/>
                <w:highlight w:val="none"/>
              </w:rPr>
            </w:pPr>
          </w:p>
        </w:tc>
        <w:tc>
          <w:tcPr>
            <w:tcW w:w="1910" w:type="dxa"/>
            <w:noWrap/>
            <w:vAlign w:val="center"/>
          </w:tcPr>
          <w:p w14:paraId="0E57C316">
            <w:pPr>
              <w:keepNext w:val="0"/>
              <w:keepLines w:val="0"/>
              <w:widowControl/>
              <w:suppressLineNumbers w:val="0"/>
              <w:jc w:val="center"/>
              <w:rPr>
                <w:rFonts w:ascii="宋体" w:hAnsi="宋体"/>
                <w:color w:val="auto"/>
                <w:szCs w:val="21"/>
                <w:highlight w:val="none"/>
              </w:rPr>
            </w:pPr>
          </w:p>
        </w:tc>
        <w:tc>
          <w:tcPr>
            <w:tcW w:w="2111" w:type="dxa"/>
            <w:noWrap/>
            <w:vAlign w:val="center"/>
          </w:tcPr>
          <w:p w14:paraId="3D019458">
            <w:pPr>
              <w:keepNext w:val="0"/>
              <w:keepLines w:val="0"/>
              <w:widowControl/>
              <w:suppressLineNumbers w:val="0"/>
              <w:jc w:val="left"/>
              <w:rPr>
                <w:rFonts w:ascii="宋体"/>
                <w:color w:val="auto"/>
                <w:szCs w:val="21"/>
                <w:highlight w:val="none"/>
              </w:rPr>
            </w:pPr>
          </w:p>
        </w:tc>
        <w:tc>
          <w:tcPr>
            <w:tcW w:w="1662" w:type="dxa"/>
            <w:noWrap/>
            <w:vAlign w:val="center"/>
          </w:tcPr>
          <w:p w14:paraId="43228CDD">
            <w:pPr>
              <w:spacing w:line="440" w:lineRule="exact"/>
              <w:rPr>
                <w:rFonts w:ascii="宋体"/>
                <w:color w:val="auto"/>
                <w:szCs w:val="21"/>
                <w:highlight w:val="none"/>
              </w:rPr>
            </w:pPr>
          </w:p>
        </w:tc>
      </w:tr>
      <w:tr w14:paraId="64566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3303" w:type="dxa"/>
            <w:gridSpan w:val="2"/>
            <w:shd w:val="clear" w:color="auto" w:fill="auto"/>
            <w:noWrap/>
            <w:vAlign w:val="center"/>
          </w:tcPr>
          <w:p w14:paraId="79FF5342">
            <w:pPr>
              <w:keepNext w:val="0"/>
              <w:keepLines w:val="0"/>
              <w:widowControl/>
              <w:suppressLineNumbers w:val="0"/>
              <w:jc w:val="center"/>
              <w:rPr>
                <w:rFonts w:hint="eastAsia" w:ascii="宋体" w:hAnsi="Times New Roman" w:eastAsia="宋体" w:cs="Times New Roman"/>
                <w:color w:val="auto"/>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
              </w:rPr>
              <w:t>小计</w:t>
            </w:r>
          </w:p>
        </w:tc>
        <w:tc>
          <w:tcPr>
            <w:tcW w:w="5683" w:type="dxa"/>
            <w:gridSpan w:val="3"/>
            <w:noWrap/>
            <w:vAlign w:val="center"/>
          </w:tcPr>
          <w:p w14:paraId="5D0CB32E">
            <w:pPr>
              <w:keepNext w:val="0"/>
              <w:keepLines w:val="0"/>
              <w:widowControl/>
              <w:suppressLineNumbers w:val="0"/>
              <w:jc w:val="left"/>
              <w:rPr>
                <w:rFonts w:hint="default" w:ascii="宋体" w:hAnsi="宋体" w:eastAsia="宋体" w:cs="宋体"/>
                <w:color w:val="auto"/>
                <w:kern w:val="0"/>
                <w:sz w:val="21"/>
                <w:szCs w:val="21"/>
                <w:highlight w:val="none"/>
                <w:u w:val="single"/>
                <w:lang w:val="en-US" w:eastAsia="zh-CN" w:bidi="ar"/>
              </w:rPr>
            </w:pP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none"/>
                <w:lang w:val="en-US" w:eastAsia="zh-CN" w:bidi="ar"/>
              </w:rPr>
              <w:t>元</w:t>
            </w:r>
          </w:p>
          <w:p w14:paraId="44805913">
            <w:pPr>
              <w:keepNext w:val="0"/>
              <w:keepLines w:val="0"/>
              <w:widowControl/>
              <w:suppressLineNumbers w:val="0"/>
              <w:ind w:firstLine="1890" w:firstLineChars="900"/>
              <w:jc w:val="left"/>
              <w:rPr>
                <w:rFonts w:ascii="宋体"/>
                <w:color w:val="auto"/>
                <w:szCs w:val="21"/>
                <w:highlight w:val="none"/>
              </w:rPr>
            </w:pPr>
            <w:r>
              <w:rPr>
                <w:rFonts w:hint="eastAsia" w:ascii="宋体" w:hAnsi="宋体" w:eastAsia="宋体" w:cs="宋体"/>
                <w:color w:val="auto"/>
                <w:kern w:val="0"/>
                <w:sz w:val="21"/>
                <w:szCs w:val="21"/>
                <w:highlight w:val="none"/>
                <w:lang w:val="en-US" w:eastAsia="zh-CN" w:bidi="ar"/>
              </w:rPr>
              <w:t>汇入投标报价汇总表</w:t>
            </w:r>
          </w:p>
        </w:tc>
      </w:tr>
    </w:tbl>
    <w:p w14:paraId="41BDDCA2">
      <w:pPr>
        <w:jc w:val="center"/>
        <w:outlineLvl w:val="9"/>
        <w:rPr>
          <w:rFonts w:hint="default" w:eastAsia="宋体"/>
          <w:color w:val="auto"/>
          <w:highlight w:val="none"/>
          <w:lang w:val="en-US" w:eastAsia="zh-CN"/>
        </w:rPr>
      </w:pPr>
    </w:p>
    <w:p w14:paraId="5D21B589">
      <w:pPr>
        <w:jc w:val="center"/>
        <w:outlineLvl w:val="9"/>
        <w:rPr>
          <w:rFonts w:hint="eastAsia"/>
          <w:color w:val="auto"/>
          <w:highlight w:val="none"/>
        </w:rPr>
      </w:pPr>
    </w:p>
    <w:p w14:paraId="228F1603">
      <w:pPr>
        <w:keepNext w:val="0"/>
        <w:keepLines w:val="0"/>
        <w:pageBreakBefore w:val="0"/>
        <w:widowControl w:val="0"/>
        <w:kinsoku/>
        <w:wordWrap/>
        <w:overflowPunct/>
        <w:topLinePunct w:val="0"/>
        <w:autoSpaceDE/>
        <w:autoSpaceDN/>
        <w:bidi w:val="0"/>
        <w:adjustRightInd/>
        <w:snapToGrid/>
        <w:spacing w:line="440" w:lineRule="exact"/>
        <w:ind w:firstLine="2940" w:firstLineChars="1400"/>
        <w:textAlignment w:val="auto"/>
        <w:rPr>
          <w:color w:val="auto"/>
          <w:szCs w:val="21"/>
          <w:highlight w:val="none"/>
        </w:rPr>
      </w:pPr>
      <w:r>
        <w:rPr>
          <w:rFonts w:hint="eastAsia"/>
          <w:color w:val="auto"/>
          <w:szCs w:val="21"/>
          <w:highlight w:val="none"/>
        </w:rPr>
        <w:t>投标人：</w:t>
      </w:r>
      <w:r>
        <w:rPr>
          <w:rFonts w:hint="eastAsia"/>
          <w:color w:val="auto"/>
          <w:szCs w:val="21"/>
          <w:highlight w:val="none"/>
          <w:u w:val="single"/>
          <w:lang w:val="en-US" w:eastAsia="zh-CN"/>
        </w:rPr>
        <w:t xml:space="preserve">                          </w:t>
      </w:r>
      <w:r>
        <w:rPr>
          <w:rFonts w:hint="eastAsia"/>
          <w:color w:val="auto"/>
          <w:szCs w:val="21"/>
          <w:highlight w:val="none"/>
        </w:rPr>
        <w:t>（盖单位</w:t>
      </w:r>
      <w:r>
        <w:rPr>
          <w:rFonts w:hint="eastAsia"/>
          <w:color w:val="auto"/>
          <w:szCs w:val="21"/>
          <w:highlight w:val="none"/>
          <w:lang w:val="en-US" w:eastAsia="zh-CN"/>
        </w:rPr>
        <w:t>公</w:t>
      </w:r>
      <w:r>
        <w:rPr>
          <w:rFonts w:hint="eastAsia"/>
          <w:color w:val="auto"/>
          <w:szCs w:val="21"/>
          <w:highlight w:val="none"/>
        </w:rPr>
        <w:t>章）</w:t>
      </w:r>
    </w:p>
    <w:p w14:paraId="04F5ADF0">
      <w:pPr>
        <w:keepNext w:val="0"/>
        <w:keepLines w:val="0"/>
        <w:pageBreakBefore w:val="0"/>
        <w:widowControl w:val="0"/>
        <w:kinsoku/>
        <w:wordWrap/>
        <w:overflowPunct/>
        <w:topLinePunct w:val="0"/>
        <w:autoSpaceDE/>
        <w:autoSpaceDN/>
        <w:bidi w:val="0"/>
        <w:adjustRightInd/>
        <w:snapToGrid/>
        <w:spacing w:line="440" w:lineRule="exact"/>
        <w:ind w:firstLine="2940" w:firstLineChars="1400"/>
        <w:textAlignment w:val="auto"/>
        <w:rPr>
          <w:color w:val="auto"/>
          <w:szCs w:val="21"/>
          <w:highlight w:val="none"/>
        </w:rPr>
      </w:pPr>
    </w:p>
    <w:p w14:paraId="24399030">
      <w:pPr>
        <w:keepNext w:val="0"/>
        <w:keepLines w:val="0"/>
        <w:pageBreakBefore w:val="0"/>
        <w:widowControl w:val="0"/>
        <w:kinsoku/>
        <w:wordWrap/>
        <w:overflowPunct/>
        <w:topLinePunct w:val="0"/>
        <w:autoSpaceDE/>
        <w:autoSpaceDN/>
        <w:bidi w:val="0"/>
        <w:adjustRightInd/>
        <w:snapToGrid/>
        <w:spacing w:line="440" w:lineRule="exact"/>
        <w:ind w:firstLine="2940" w:firstLineChars="1400"/>
        <w:textAlignment w:val="auto"/>
        <w:rPr>
          <w:color w:val="auto"/>
          <w:szCs w:val="21"/>
          <w:highlight w:val="none"/>
        </w:rPr>
      </w:pPr>
      <w:r>
        <w:rPr>
          <w:rFonts w:hint="eastAsia"/>
          <w:color w:val="auto"/>
          <w:szCs w:val="21"/>
          <w:highlight w:val="none"/>
        </w:rPr>
        <w:t>法定代表人</w:t>
      </w:r>
      <w:r>
        <w:rPr>
          <w:rFonts w:hint="eastAsia"/>
          <w:color w:val="auto"/>
          <w:szCs w:val="21"/>
          <w:highlight w:val="none"/>
          <w:lang w:val="en-US" w:eastAsia="zh-CN"/>
        </w:rPr>
        <w:t>或授权委托人</w:t>
      </w:r>
      <w:r>
        <w:rPr>
          <w:rFonts w:hint="eastAsia"/>
          <w:color w:val="auto"/>
          <w:szCs w:val="21"/>
          <w:highlight w:val="none"/>
        </w:rPr>
        <w:t>：</w:t>
      </w:r>
      <w:r>
        <w:rPr>
          <w:rFonts w:hint="eastAsia"/>
          <w:color w:val="auto"/>
          <w:szCs w:val="21"/>
          <w:highlight w:val="none"/>
          <w:u w:val="single"/>
          <w:lang w:val="en-US" w:eastAsia="zh-CN"/>
        </w:rPr>
        <w:t xml:space="preserve">                </w:t>
      </w:r>
      <w:r>
        <w:rPr>
          <w:rFonts w:hint="eastAsia"/>
          <w:color w:val="auto"/>
          <w:szCs w:val="21"/>
          <w:highlight w:val="none"/>
        </w:rPr>
        <w:t>（签章）</w:t>
      </w:r>
    </w:p>
    <w:p w14:paraId="4FF9AA3C">
      <w:pPr>
        <w:spacing w:line="440" w:lineRule="exact"/>
        <w:rPr>
          <w:color w:val="auto"/>
          <w:szCs w:val="21"/>
          <w:highlight w:val="none"/>
        </w:rPr>
      </w:pPr>
    </w:p>
    <w:p w14:paraId="5E3C276D">
      <w:pPr>
        <w:spacing w:line="440" w:lineRule="exact"/>
        <w:ind w:firstLine="4305" w:firstLineChars="2050"/>
        <w:rPr>
          <w:rFonts w:hint="eastAsia"/>
          <w:color w:val="auto"/>
          <w:highlight w:val="none"/>
        </w:rPr>
      </w:pPr>
      <w:r>
        <w:rPr>
          <w:rFonts w:hint="eastAsia"/>
          <w:color w:val="auto"/>
          <w:szCs w:val="21"/>
          <w:highlight w:val="none"/>
          <w:u w:val="single"/>
          <w:lang w:val="en-US" w:eastAsia="zh-CN"/>
        </w:rPr>
        <w:t xml:space="preserve">       </w:t>
      </w:r>
      <w:r>
        <w:rPr>
          <w:rFonts w:hint="eastAsia"/>
          <w:color w:val="auto"/>
          <w:szCs w:val="21"/>
          <w:highlight w:val="none"/>
        </w:rPr>
        <w:t>年</w:t>
      </w:r>
      <w:r>
        <w:rPr>
          <w:rFonts w:hint="eastAsia"/>
          <w:color w:val="auto"/>
          <w:szCs w:val="21"/>
          <w:highlight w:val="none"/>
          <w:u w:val="single"/>
          <w:lang w:val="en-US" w:eastAsia="zh-CN"/>
        </w:rPr>
        <w:t xml:space="preserve">       </w:t>
      </w:r>
      <w:r>
        <w:rPr>
          <w:rFonts w:hint="eastAsia"/>
          <w:color w:val="auto"/>
          <w:szCs w:val="21"/>
          <w:highlight w:val="none"/>
        </w:rPr>
        <w:t>月</w:t>
      </w:r>
      <w:r>
        <w:rPr>
          <w:rFonts w:hint="eastAsia"/>
          <w:color w:val="auto"/>
          <w:szCs w:val="21"/>
          <w:highlight w:val="none"/>
          <w:u w:val="single"/>
          <w:lang w:val="en-US" w:eastAsia="zh-CN"/>
        </w:rPr>
        <w:t xml:space="preserve">       </w:t>
      </w:r>
      <w:r>
        <w:rPr>
          <w:rFonts w:hint="eastAsia"/>
          <w:color w:val="auto"/>
          <w:szCs w:val="21"/>
          <w:highlight w:val="none"/>
        </w:rPr>
        <w:t>日</w:t>
      </w:r>
    </w:p>
    <w:p w14:paraId="07D92510">
      <w:pPr>
        <w:jc w:val="center"/>
        <w:outlineLvl w:val="9"/>
        <w:rPr>
          <w:rFonts w:hint="eastAsia"/>
          <w:color w:val="auto"/>
          <w:highlight w:val="none"/>
        </w:rPr>
      </w:pPr>
    </w:p>
    <w:p w14:paraId="5C6B5DCA">
      <w:pPr>
        <w:jc w:val="center"/>
        <w:outlineLvl w:val="9"/>
        <w:rPr>
          <w:rFonts w:hint="eastAsia"/>
          <w:color w:val="auto"/>
          <w:highlight w:val="none"/>
        </w:rPr>
      </w:pPr>
    </w:p>
    <w:p w14:paraId="7B84BEDB">
      <w:pPr>
        <w:jc w:val="center"/>
        <w:outlineLvl w:val="9"/>
        <w:rPr>
          <w:rFonts w:hint="eastAsia"/>
          <w:color w:val="auto"/>
          <w:highlight w:val="none"/>
        </w:rPr>
      </w:pPr>
    </w:p>
    <w:p w14:paraId="2D90309C">
      <w:pPr>
        <w:jc w:val="center"/>
        <w:outlineLvl w:val="9"/>
        <w:rPr>
          <w:rFonts w:hint="eastAsia"/>
          <w:color w:val="auto"/>
          <w:highlight w:val="none"/>
        </w:rPr>
      </w:pPr>
    </w:p>
    <w:p w14:paraId="60C8B308">
      <w:pPr>
        <w:jc w:val="center"/>
        <w:outlineLvl w:val="9"/>
        <w:rPr>
          <w:rFonts w:hint="eastAsia"/>
          <w:color w:val="auto"/>
          <w:highlight w:val="none"/>
        </w:rPr>
      </w:pPr>
    </w:p>
    <w:p w14:paraId="5CFAF471">
      <w:pPr>
        <w:jc w:val="center"/>
        <w:outlineLvl w:val="9"/>
        <w:rPr>
          <w:rFonts w:hint="eastAsia"/>
          <w:color w:val="auto"/>
          <w:highlight w:val="none"/>
        </w:rPr>
      </w:pPr>
    </w:p>
    <w:p w14:paraId="1F91C351">
      <w:pPr>
        <w:jc w:val="both"/>
        <w:outlineLvl w:val="9"/>
        <w:rPr>
          <w:rFonts w:hint="eastAsia"/>
          <w:color w:val="auto"/>
          <w:highlight w:val="none"/>
        </w:rPr>
      </w:pPr>
    </w:p>
    <w:p w14:paraId="68E7AAC3">
      <w:pPr>
        <w:jc w:val="center"/>
        <w:outlineLvl w:val="9"/>
        <w:rPr>
          <w:rFonts w:hint="eastAsia"/>
          <w:b/>
          <w:bCs/>
          <w:color w:val="auto"/>
          <w:highlight w:val="none"/>
          <w:lang w:val="en-US" w:eastAsia="zh-CN"/>
        </w:rPr>
      </w:pPr>
      <w:r>
        <w:rPr>
          <w:rFonts w:hint="eastAsia"/>
          <w:b/>
          <w:bCs/>
          <w:color w:val="auto"/>
          <w:highlight w:val="none"/>
          <w:lang w:val="en-US" w:eastAsia="zh-CN"/>
        </w:rPr>
        <w:t>5-3工程设备费清单</w:t>
      </w:r>
    </w:p>
    <w:p w14:paraId="74BA36CE">
      <w:pPr>
        <w:jc w:val="center"/>
        <w:outlineLvl w:val="9"/>
        <w:rPr>
          <w:rFonts w:hint="eastAsia"/>
          <w:b/>
          <w:bCs/>
          <w:color w:val="auto"/>
          <w:highlight w:val="none"/>
          <w:lang w:val="en-US" w:eastAsia="zh-CN"/>
        </w:rPr>
      </w:pPr>
    </w:p>
    <w:tbl>
      <w:tblPr>
        <w:tblStyle w:val="42"/>
        <w:tblW w:w="97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1077"/>
        <w:gridCol w:w="1077"/>
        <w:gridCol w:w="1077"/>
        <w:gridCol w:w="1077"/>
        <w:gridCol w:w="1077"/>
        <w:gridCol w:w="1077"/>
        <w:gridCol w:w="1077"/>
        <w:gridCol w:w="1084"/>
      </w:tblGrid>
      <w:tr w14:paraId="11128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1077" w:type="dxa"/>
            <w:noWrap/>
            <w:vAlign w:val="center"/>
          </w:tcPr>
          <w:p w14:paraId="4CA5CCBF">
            <w:pPr>
              <w:jc w:val="center"/>
              <w:rPr>
                <w:rFonts w:ascii="宋体"/>
                <w:color w:val="auto"/>
                <w:szCs w:val="21"/>
                <w:highlight w:val="none"/>
              </w:rPr>
            </w:pPr>
            <w:r>
              <w:rPr>
                <w:rFonts w:hint="eastAsia" w:ascii="宋体" w:hAnsi="宋体"/>
                <w:b/>
                <w:bCs/>
                <w:color w:val="auto"/>
                <w:szCs w:val="21"/>
                <w:highlight w:val="none"/>
              </w:rPr>
              <w:t>序号</w:t>
            </w:r>
          </w:p>
        </w:tc>
        <w:tc>
          <w:tcPr>
            <w:tcW w:w="1077" w:type="dxa"/>
            <w:noWrap/>
            <w:vAlign w:val="center"/>
          </w:tcPr>
          <w:p w14:paraId="757CF9F3">
            <w:pPr>
              <w:keepNext w:val="0"/>
              <w:keepLines w:val="0"/>
              <w:widowControl/>
              <w:suppressLineNumbers w:val="0"/>
              <w:jc w:val="center"/>
              <w:rPr>
                <w:rFonts w:hint="default" w:ascii="宋体" w:eastAsia="宋体"/>
                <w:b/>
                <w:bCs/>
                <w:color w:val="auto"/>
                <w:szCs w:val="21"/>
                <w:highlight w:val="none"/>
                <w:lang w:val="en-US" w:eastAsia="zh-CN"/>
              </w:rPr>
            </w:pPr>
            <w:r>
              <w:rPr>
                <w:rFonts w:hint="eastAsia" w:ascii="宋体" w:hAnsi="宋体" w:eastAsia="宋体" w:cs="宋体"/>
                <w:b/>
                <w:bCs/>
                <w:color w:val="auto"/>
                <w:kern w:val="0"/>
                <w:sz w:val="21"/>
                <w:szCs w:val="21"/>
                <w:highlight w:val="none"/>
                <w:lang w:val="en-US" w:eastAsia="zh-CN" w:bidi="ar"/>
              </w:rPr>
              <w:t>设备</w:t>
            </w:r>
            <w:r>
              <w:rPr>
                <w:rFonts w:hint="eastAsia" w:ascii="宋体" w:hAnsi="宋体" w:eastAsia="宋体" w:cs="Times New Roman"/>
                <w:b/>
                <w:bCs/>
                <w:color w:val="auto"/>
                <w:szCs w:val="21"/>
                <w:highlight w:val="none"/>
                <w:lang w:val="en-US" w:eastAsia="zh-CN"/>
              </w:rPr>
              <w:t>名称</w:t>
            </w:r>
          </w:p>
        </w:tc>
        <w:tc>
          <w:tcPr>
            <w:tcW w:w="1077" w:type="dxa"/>
            <w:noWrap/>
            <w:vAlign w:val="center"/>
          </w:tcPr>
          <w:p w14:paraId="40CF3125">
            <w:pPr>
              <w:keepNext w:val="0"/>
              <w:keepLines w:val="0"/>
              <w:widowControl/>
              <w:suppressLineNumbers w:val="0"/>
              <w:jc w:val="center"/>
              <w:rPr>
                <w:rFonts w:hint="default" w:ascii="宋体" w:hAnsi="宋体" w:eastAsia="宋体"/>
                <w:b/>
                <w:bCs/>
                <w:color w:val="auto"/>
                <w:szCs w:val="21"/>
                <w:highlight w:val="none"/>
                <w:lang w:val="en-US" w:eastAsia="zh-CN"/>
              </w:rPr>
            </w:pPr>
            <w:r>
              <w:rPr>
                <w:rFonts w:hint="eastAsia" w:ascii="宋体" w:hAnsi="宋体" w:eastAsia="宋体" w:cs="宋体"/>
                <w:b/>
                <w:bCs/>
                <w:color w:val="auto"/>
                <w:kern w:val="0"/>
                <w:sz w:val="21"/>
                <w:szCs w:val="21"/>
                <w:highlight w:val="none"/>
                <w:lang w:val="en-US" w:eastAsia="zh-CN" w:bidi="ar"/>
              </w:rPr>
              <w:t>规格型号</w:t>
            </w:r>
          </w:p>
        </w:tc>
        <w:tc>
          <w:tcPr>
            <w:tcW w:w="1077" w:type="dxa"/>
            <w:noWrap/>
            <w:vAlign w:val="center"/>
          </w:tcPr>
          <w:p w14:paraId="3C3EA283">
            <w:pPr>
              <w:keepNext w:val="0"/>
              <w:keepLines w:val="0"/>
              <w:widowControl/>
              <w:suppressLineNumbers w:val="0"/>
              <w:jc w:val="center"/>
              <w:rPr>
                <w:color w:val="auto"/>
                <w:highlight w:val="none"/>
              </w:rPr>
            </w:pPr>
            <w:r>
              <w:rPr>
                <w:rFonts w:hint="eastAsia" w:ascii="宋体" w:hAnsi="宋体" w:eastAsia="宋体" w:cs="宋体"/>
                <w:b/>
                <w:bCs/>
                <w:color w:val="auto"/>
                <w:kern w:val="0"/>
                <w:sz w:val="21"/>
                <w:szCs w:val="21"/>
                <w:highlight w:val="none"/>
                <w:lang w:val="en-US" w:eastAsia="zh-CN" w:bidi="ar"/>
              </w:rPr>
              <w:t>计量</w:t>
            </w:r>
          </w:p>
          <w:p w14:paraId="788AA94F">
            <w:pPr>
              <w:keepNext w:val="0"/>
              <w:keepLines w:val="0"/>
              <w:widowControl/>
              <w:suppressLineNumbers w:val="0"/>
              <w:jc w:val="center"/>
              <w:rPr>
                <w:rFonts w:ascii="宋体"/>
                <w:color w:val="auto"/>
                <w:szCs w:val="21"/>
                <w:highlight w:val="none"/>
              </w:rPr>
            </w:pPr>
            <w:r>
              <w:rPr>
                <w:rFonts w:hint="eastAsia" w:ascii="宋体" w:hAnsi="宋体" w:eastAsia="宋体" w:cs="宋体"/>
                <w:b/>
                <w:bCs/>
                <w:color w:val="auto"/>
                <w:kern w:val="0"/>
                <w:sz w:val="21"/>
                <w:szCs w:val="21"/>
                <w:highlight w:val="none"/>
                <w:lang w:val="en-US" w:eastAsia="zh-CN" w:bidi="ar"/>
              </w:rPr>
              <w:t>单位</w:t>
            </w:r>
          </w:p>
        </w:tc>
        <w:tc>
          <w:tcPr>
            <w:tcW w:w="1077" w:type="dxa"/>
            <w:noWrap/>
            <w:vAlign w:val="center"/>
          </w:tcPr>
          <w:p w14:paraId="2DF3C01C">
            <w:pPr>
              <w:keepNext w:val="0"/>
              <w:keepLines w:val="0"/>
              <w:widowControl/>
              <w:suppressLineNumbers w:val="0"/>
              <w:jc w:val="center"/>
              <w:rPr>
                <w:rFonts w:ascii="宋体"/>
                <w:color w:val="auto"/>
                <w:szCs w:val="21"/>
                <w:highlight w:val="none"/>
              </w:rPr>
            </w:pPr>
            <w:r>
              <w:rPr>
                <w:rFonts w:hint="eastAsia" w:ascii="宋体" w:hAnsi="宋体" w:eastAsia="宋体" w:cs="宋体"/>
                <w:b/>
                <w:bCs/>
                <w:color w:val="auto"/>
                <w:kern w:val="0"/>
                <w:sz w:val="21"/>
                <w:szCs w:val="21"/>
                <w:highlight w:val="none"/>
                <w:lang w:val="en-US" w:eastAsia="zh-CN" w:bidi="ar"/>
              </w:rPr>
              <w:t>数量</w:t>
            </w:r>
          </w:p>
        </w:tc>
        <w:tc>
          <w:tcPr>
            <w:tcW w:w="1077" w:type="dxa"/>
            <w:noWrap/>
            <w:vAlign w:val="center"/>
          </w:tcPr>
          <w:p w14:paraId="48FD5E45">
            <w:pPr>
              <w:keepNext w:val="0"/>
              <w:keepLines w:val="0"/>
              <w:widowControl/>
              <w:suppressLineNumbers w:val="0"/>
              <w:jc w:val="center"/>
              <w:rPr>
                <w:color w:val="auto"/>
                <w:highlight w:val="none"/>
              </w:rPr>
            </w:pPr>
            <w:r>
              <w:rPr>
                <w:rFonts w:hint="eastAsia" w:ascii="宋体" w:hAnsi="宋体" w:eastAsia="宋体" w:cs="宋体"/>
                <w:b/>
                <w:bCs/>
                <w:color w:val="auto"/>
                <w:kern w:val="0"/>
                <w:sz w:val="21"/>
                <w:szCs w:val="21"/>
                <w:highlight w:val="none"/>
                <w:lang w:val="en-US" w:eastAsia="zh-CN" w:bidi="ar"/>
              </w:rPr>
              <w:t>单价</w:t>
            </w:r>
          </w:p>
          <w:p w14:paraId="43DF50A7">
            <w:pPr>
              <w:keepNext w:val="0"/>
              <w:keepLines w:val="0"/>
              <w:widowControl/>
              <w:suppressLineNumbers w:val="0"/>
              <w:jc w:val="center"/>
              <w:rPr>
                <w:rFonts w:hint="eastAsia" w:ascii="宋体" w:hAnsi="宋体"/>
                <w:b/>
                <w:bCs/>
                <w:color w:val="auto"/>
                <w:szCs w:val="21"/>
                <w:highlight w:val="none"/>
              </w:rPr>
            </w:pPr>
            <w:r>
              <w:rPr>
                <w:rFonts w:hint="eastAsia" w:ascii="宋体" w:hAnsi="宋体" w:eastAsia="宋体" w:cs="宋体"/>
                <w:b/>
                <w:bCs/>
                <w:color w:val="auto"/>
                <w:kern w:val="0"/>
                <w:sz w:val="21"/>
                <w:szCs w:val="21"/>
                <w:highlight w:val="none"/>
                <w:lang w:val="en-US" w:eastAsia="zh-CN" w:bidi="ar"/>
              </w:rPr>
              <w:t>（元）</w:t>
            </w:r>
          </w:p>
        </w:tc>
        <w:tc>
          <w:tcPr>
            <w:tcW w:w="1077" w:type="dxa"/>
            <w:noWrap/>
            <w:vAlign w:val="center"/>
          </w:tcPr>
          <w:p w14:paraId="7B321C2A">
            <w:pPr>
              <w:keepNext w:val="0"/>
              <w:keepLines w:val="0"/>
              <w:widowControl/>
              <w:suppressLineNumbers w:val="0"/>
              <w:jc w:val="center"/>
              <w:rPr>
                <w:color w:val="auto"/>
                <w:highlight w:val="none"/>
              </w:rPr>
            </w:pPr>
            <w:r>
              <w:rPr>
                <w:rFonts w:hint="eastAsia" w:ascii="宋体" w:hAnsi="宋体" w:eastAsia="宋体" w:cs="宋体"/>
                <w:b/>
                <w:bCs/>
                <w:color w:val="auto"/>
                <w:kern w:val="0"/>
                <w:sz w:val="21"/>
                <w:szCs w:val="21"/>
                <w:highlight w:val="none"/>
                <w:lang w:val="en-US" w:eastAsia="zh-CN" w:bidi="ar"/>
              </w:rPr>
              <w:t>合价</w:t>
            </w:r>
          </w:p>
          <w:p w14:paraId="49715806">
            <w:pPr>
              <w:keepNext w:val="0"/>
              <w:keepLines w:val="0"/>
              <w:widowControl/>
              <w:suppressLineNumbers w:val="0"/>
              <w:jc w:val="center"/>
              <w:rPr>
                <w:rFonts w:hint="eastAsia" w:ascii="宋体" w:hAnsi="宋体"/>
                <w:b/>
                <w:bCs/>
                <w:color w:val="auto"/>
                <w:szCs w:val="21"/>
                <w:highlight w:val="none"/>
              </w:rPr>
            </w:pPr>
            <w:r>
              <w:rPr>
                <w:rFonts w:hint="eastAsia" w:ascii="宋体" w:hAnsi="宋体" w:eastAsia="宋体" w:cs="宋体"/>
                <w:b/>
                <w:bCs/>
                <w:color w:val="auto"/>
                <w:kern w:val="0"/>
                <w:sz w:val="21"/>
                <w:szCs w:val="21"/>
                <w:highlight w:val="none"/>
                <w:lang w:val="en-US" w:eastAsia="zh-CN" w:bidi="ar"/>
              </w:rPr>
              <w:t>（元）</w:t>
            </w:r>
          </w:p>
        </w:tc>
        <w:tc>
          <w:tcPr>
            <w:tcW w:w="1077" w:type="dxa"/>
            <w:noWrap/>
            <w:vAlign w:val="center"/>
          </w:tcPr>
          <w:p w14:paraId="3D7D9FE2">
            <w:pPr>
              <w:keepNext w:val="0"/>
              <w:keepLines w:val="0"/>
              <w:widowControl/>
              <w:suppressLineNumbers w:val="0"/>
              <w:jc w:val="center"/>
              <w:rPr>
                <w:color w:val="auto"/>
                <w:highlight w:val="none"/>
              </w:rPr>
            </w:pPr>
            <w:r>
              <w:rPr>
                <w:rFonts w:hint="eastAsia" w:ascii="宋体" w:hAnsi="宋体" w:eastAsia="宋体" w:cs="宋体"/>
                <w:b/>
                <w:bCs/>
                <w:color w:val="auto"/>
                <w:kern w:val="0"/>
                <w:sz w:val="21"/>
                <w:szCs w:val="21"/>
                <w:highlight w:val="none"/>
                <w:lang w:val="en-US" w:eastAsia="zh-CN" w:bidi="ar"/>
              </w:rPr>
              <w:t>制造商</w:t>
            </w:r>
          </w:p>
          <w:p w14:paraId="61E1A892">
            <w:pPr>
              <w:keepNext w:val="0"/>
              <w:keepLines w:val="0"/>
              <w:widowControl/>
              <w:suppressLineNumbers w:val="0"/>
              <w:jc w:val="center"/>
              <w:rPr>
                <w:rFonts w:hint="eastAsia" w:ascii="宋体" w:hAnsi="宋体"/>
                <w:b/>
                <w:bCs/>
                <w:color w:val="auto"/>
                <w:szCs w:val="21"/>
                <w:highlight w:val="none"/>
              </w:rPr>
            </w:pPr>
            <w:r>
              <w:rPr>
                <w:rFonts w:hint="eastAsia" w:ascii="宋体" w:hAnsi="宋体" w:eastAsia="宋体" w:cs="宋体"/>
                <w:b/>
                <w:bCs/>
                <w:color w:val="auto"/>
                <w:kern w:val="0"/>
                <w:sz w:val="21"/>
                <w:szCs w:val="21"/>
                <w:highlight w:val="none"/>
                <w:lang w:val="en-US" w:eastAsia="zh-CN" w:bidi="ar"/>
              </w:rPr>
              <w:t>名称</w:t>
            </w:r>
          </w:p>
        </w:tc>
        <w:tc>
          <w:tcPr>
            <w:tcW w:w="1084" w:type="dxa"/>
            <w:noWrap/>
            <w:vAlign w:val="center"/>
          </w:tcPr>
          <w:p w14:paraId="208AFF75">
            <w:pPr>
              <w:keepNext w:val="0"/>
              <w:keepLines w:val="0"/>
              <w:widowControl/>
              <w:suppressLineNumbers w:val="0"/>
              <w:jc w:val="center"/>
              <w:rPr>
                <w:rFonts w:hint="eastAsia" w:ascii="宋体" w:hAnsi="宋体"/>
                <w:b/>
                <w:bCs/>
                <w:color w:val="auto"/>
                <w:szCs w:val="21"/>
                <w:highlight w:val="none"/>
              </w:rPr>
            </w:pPr>
            <w:r>
              <w:rPr>
                <w:rFonts w:hint="eastAsia" w:ascii="宋体" w:hAnsi="宋体" w:eastAsia="宋体" w:cs="宋体"/>
                <w:b/>
                <w:bCs/>
                <w:color w:val="auto"/>
                <w:kern w:val="0"/>
                <w:sz w:val="21"/>
                <w:szCs w:val="21"/>
                <w:highlight w:val="none"/>
                <w:lang w:val="en-US" w:eastAsia="zh-CN" w:bidi="ar"/>
              </w:rPr>
              <w:t>备注</w:t>
            </w:r>
          </w:p>
        </w:tc>
      </w:tr>
      <w:tr w14:paraId="7656C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1077" w:type="dxa"/>
            <w:noWrap/>
            <w:vAlign w:val="center"/>
          </w:tcPr>
          <w:p w14:paraId="48C20677">
            <w:pPr>
              <w:spacing w:line="440" w:lineRule="exact"/>
              <w:rPr>
                <w:rFonts w:ascii="宋体"/>
                <w:color w:val="auto"/>
                <w:szCs w:val="21"/>
                <w:highlight w:val="none"/>
              </w:rPr>
            </w:pPr>
          </w:p>
        </w:tc>
        <w:tc>
          <w:tcPr>
            <w:tcW w:w="1077" w:type="dxa"/>
            <w:noWrap/>
            <w:vAlign w:val="center"/>
          </w:tcPr>
          <w:p w14:paraId="0C1E35DD">
            <w:pPr>
              <w:spacing w:line="440" w:lineRule="exact"/>
              <w:rPr>
                <w:rFonts w:ascii="宋体"/>
                <w:color w:val="auto"/>
                <w:szCs w:val="21"/>
                <w:highlight w:val="none"/>
              </w:rPr>
            </w:pPr>
          </w:p>
        </w:tc>
        <w:tc>
          <w:tcPr>
            <w:tcW w:w="1077" w:type="dxa"/>
            <w:noWrap/>
            <w:vAlign w:val="center"/>
          </w:tcPr>
          <w:p w14:paraId="560A9A6D">
            <w:pPr>
              <w:spacing w:line="440" w:lineRule="exact"/>
              <w:rPr>
                <w:rFonts w:hint="default" w:ascii="宋体" w:hAnsi="宋体" w:eastAsia="宋体"/>
                <w:color w:val="auto"/>
                <w:szCs w:val="21"/>
                <w:highlight w:val="none"/>
                <w:lang w:val="en-US" w:eastAsia="zh-CN"/>
              </w:rPr>
            </w:pPr>
          </w:p>
        </w:tc>
        <w:tc>
          <w:tcPr>
            <w:tcW w:w="1077" w:type="dxa"/>
            <w:noWrap/>
            <w:vAlign w:val="center"/>
          </w:tcPr>
          <w:p w14:paraId="1D6BC2D8">
            <w:pPr>
              <w:spacing w:line="440" w:lineRule="exact"/>
              <w:rPr>
                <w:rFonts w:ascii="宋体"/>
                <w:color w:val="auto"/>
                <w:szCs w:val="21"/>
                <w:highlight w:val="none"/>
              </w:rPr>
            </w:pPr>
          </w:p>
        </w:tc>
        <w:tc>
          <w:tcPr>
            <w:tcW w:w="1077" w:type="dxa"/>
            <w:noWrap/>
            <w:vAlign w:val="center"/>
          </w:tcPr>
          <w:p w14:paraId="531D2E3C">
            <w:pPr>
              <w:spacing w:line="440" w:lineRule="exact"/>
              <w:rPr>
                <w:rFonts w:ascii="宋体"/>
                <w:color w:val="auto"/>
                <w:szCs w:val="21"/>
                <w:highlight w:val="none"/>
              </w:rPr>
            </w:pPr>
          </w:p>
        </w:tc>
        <w:tc>
          <w:tcPr>
            <w:tcW w:w="1077" w:type="dxa"/>
            <w:noWrap/>
            <w:vAlign w:val="center"/>
          </w:tcPr>
          <w:p w14:paraId="46D97DE4">
            <w:pPr>
              <w:spacing w:line="440" w:lineRule="exact"/>
              <w:rPr>
                <w:rFonts w:ascii="宋体"/>
                <w:color w:val="auto"/>
                <w:szCs w:val="21"/>
                <w:highlight w:val="none"/>
              </w:rPr>
            </w:pPr>
          </w:p>
        </w:tc>
        <w:tc>
          <w:tcPr>
            <w:tcW w:w="1077" w:type="dxa"/>
            <w:noWrap/>
            <w:vAlign w:val="center"/>
          </w:tcPr>
          <w:p w14:paraId="553F5B3B">
            <w:pPr>
              <w:spacing w:line="440" w:lineRule="exact"/>
              <w:rPr>
                <w:rFonts w:ascii="宋体"/>
                <w:color w:val="auto"/>
                <w:szCs w:val="21"/>
                <w:highlight w:val="none"/>
              </w:rPr>
            </w:pPr>
          </w:p>
        </w:tc>
        <w:tc>
          <w:tcPr>
            <w:tcW w:w="1077" w:type="dxa"/>
            <w:noWrap/>
            <w:vAlign w:val="center"/>
          </w:tcPr>
          <w:p w14:paraId="5222D90C">
            <w:pPr>
              <w:spacing w:line="440" w:lineRule="exact"/>
              <w:rPr>
                <w:rFonts w:ascii="宋体"/>
                <w:color w:val="auto"/>
                <w:szCs w:val="21"/>
                <w:highlight w:val="none"/>
              </w:rPr>
            </w:pPr>
          </w:p>
        </w:tc>
        <w:tc>
          <w:tcPr>
            <w:tcW w:w="1084" w:type="dxa"/>
            <w:noWrap/>
            <w:vAlign w:val="center"/>
          </w:tcPr>
          <w:p w14:paraId="2896E5A6">
            <w:pPr>
              <w:spacing w:line="440" w:lineRule="exact"/>
              <w:rPr>
                <w:rFonts w:ascii="宋体"/>
                <w:color w:val="auto"/>
                <w:szCs w:val="21"/>
                <w:highlight w:val="none"/>
              </w:rPr>
            </w:pPr>
          </w:p>
        </w:tc>
      </w:tr>
      <w:tr w14:paraId="0038D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1077" w:type="dxa"/>
            <w:shd w:val="clear" w:color="auto" w:fill="auto"/>
            <w:noWrap/>
            <w:vAlign w:val="center"/>
          </w:tcPr>
          <w:p w14:paraId="3EC79B65">
            <w:pPr>
              <w:spacing w:line="440" w:lineRule="exact"/>
              <w:rPr>
                <w:rFonts w:ascii="宋体" w:hAnsi="Times New Roman" w:eastAsia="宋体" w:cs="Times New Roman"/>
                <w:color w:val="auto"/>
                <w:kern w:val="2"/>
                <w:sz w:val="21"/>
                <w:szCs w:val="21"/>
                <w:highlight w:val="none"/>
                <w:lang w:val="en-US" w:eastAsia="zh-CN" w:bidi="ar-SA"/>
              </w:rPr>
            </w:pPr>
          </w:p>
        </w:tc>
        <w:tc>
          <w:tcPr>
            <w:tcW w:w="1077" w:type="dxa"/>
            <w:noWrap/>
            <w:vAlign w:val="center"/>
          </w:tcPr>
          <w:p w14:paraId="2E5D0264">
            <w:pPr>
              <w:spacing w:line="440" w:lineRule="exact"/>
              <w:rPr>
                <w:rFonts w:hint="eastAsia" w:ascii="宋体" w:hAnsi="宋体" w:eastAsia="宋体"/>
                <w:color w:val="auto"/>
                <w:szCs w:val="21"/>
                <w:highlight w:val="none"/>
                <w:lang w:val="en-US" w:eastAsia="zh-CN"/>
              </w:rPr>
            </w:pPr>
          </w:p>
        </w:tc>
        <w:tc>
          <w:tcPr>
            <w:tcW w:w="1077" w:type="dxa"/>
            <w:noWrap/>
            <w:vAlign w:val="center"/>
          </w:tcPr>
          <w:p w14:paraId="4F0259BA">
            <w:pPr>
              <w:spacing w:line="440" w:lineRule="exact"/>
              <w:rPr>
                <w:rFonts w:hint="default" w:ascii="宋体" w:hAnsi="宋体" w:eastAsia="宋体"/>
                <w:color w:val="auto"/>
                <w:szCs w:val="21"/>
                <w:highlight w:val="none"/>
                <w:lang w:val="en-US" w:eastAsia="zh-CN"/>
              </w:rPr>
            </w:pPr>
          </w:p>
        </w:tc>
        <w:tc>
          <w:tcPr>
            <w:tcW w:w="1077" w:type="dxa"/>
            <w:noWrap/>
            <w:vAlign w:val="center"/>
          </w:tcPr>
          <w:p w14:paraId="580BE1B9">
            <w:pPr>
              <w:spacing w:line="440" w:lineRule="exact"/>
              <w:rPr>
                <w:rFonts w:hint="eastAsia" w:ascii="宋体" w:hAnsi="宋体"/>
                <w:color w:val="auto"/>
                <w:szCs w:val="21"/>
                <w:highlight w:val="none"/>
              </w:rPr>
            </w:pPr>
          </w:p>
        </w:tc>
        <w:tc>
          <w:tcPr>
            <w:tcW w:w="1077" w:type="dxa"/>
            <w:noWrap/>
            <w:vAlign w:val="center"/>
          </w:tcPr>
          <w:p w14:paraId="7CA91627">
            <w:pPr>
              <w:spacing w:line="440" w:lineRule="exact"/>
              <w:rPr>
                <w:rFonts w:ascii="宋体"/>
                <w:color w:val="auto"/>
                <w:szCs w:val="21"/>
                <w:highlight w:val="none"/>
              </w:rPr>
            </w:pPr>
          </w:p>
        </w:tc>
        <w:tc>
          <w:tcPr>
            <w:tcW w:w="1077" w:type="dxa"/>
            <w:noWrap/>
            <w:vAlign w:val="center"/>
          </w:tcPr>
          <w:p w14:paraId="6A377EA5">
            <w:pPr>
              <w:spacing w:line="440" w:lineRule="exact"/>
              <w:rPr>
                <w:rFonts w:ascii="宋体"/>
                <w:color w:val="auto"/>
                <w:szCs w:val="21"/>
                <w:highlight w:val="none"/>
              </w:rPr>
            </w:pPr>
          </w:p>
        </w:tc>
        <w:tc>
          <w:tcPr>
            <w:tcW w:w="1077" w:type="dxa"/>
            <w:noWrap/>
            <w:vAlign w:val="center"/>
          </w:tcPr>
          <w:p w14:paraId="6B33DEC0">
            <w:pPr>
              <w:spacing w:line="440" w:lineRule="exact"/>
              <w:rPr>
                <w:rFonts w:ascii="宋体"/>
                <w:color w:val="auto"/>
                <w:szCs w:val="21"/>
                <w:highlight w:val="none"/>
              </w:rPr>
            </w:pPr>
          </w:p>
        </w:tc>
        <w:tc>
          <w:tcPr>
            <w:tcW w:w="1077" w:type="dxa"/>
            <w:noWrap/>
            <w:vAlign w:val="center"/>
          </w:tcPr>
          <w:p w14:paraId="447D3E57">
            <w:pPr>
              <w:spacing w:line="440" w:lineRule="exact"/>
              <w:rPr>
                <w:rFonts w:ascii="宋体"/>
                <w:color w:val="auto"/>
                <w:szCs w:val="21"/>
                <w:highlight w:val="none"/>
              </w:rPr>
            </w:pPr>
          </w:p>
        </w:tc>
        <w:tc>
          <w:tcPr>
            <w:tcW w:w="1084" w:type="dxa"/>
            <w:noWrap/>
            <w:vAlign w:val="center"/>
          </w:tcPr>
          <w:p w14:paraId="09D701C2">
            <w:pPr>
              <w:spacing w:line="440" w:lineRule="exact"/>
              <w:rPr>
                <w:rFonts w:ascii="宋体"/>
                <w:color w:val="auto"/>
                <w:szCs w:val="21"/>
                <w:highlight w:val="none"/>
              </w:rPr>
            </w:pPr>
          </w:p>
        </w:tc>
      </w:tr>
      <w:tr w14:paraId="5F645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1077" w:type="dxa"/>
            <w:shd w:val="clear" w:color="auto" w:fill="auto"/>
            <w:noWrap/>
            <w:vAlign w:val="center"/>
          </w:tcPr>
          <w:p w14:paraId="3845E51E">
            <w:pPr>
              <w:spacing w:line="440" w:lineRule="exact"/>
              <w:rPr>
                <w:rFonts w:ascii="宋体" w:hAnsi="Times New Roman" w:eastAsia="宋体" w:cs="Times New Roman"/>
                <w:color w:val="auto"/>
                <w:kern w:val="2"/>
                <w:sz w:val="21"/>
                <w:szCs w:val="21"/>
                <w:highlight w:val="none"/>
                <w:lang w:val="en-US" w:eastAsia="zh-CN" w:bidi="ar-SA"/>
              </w:rPr>
            </w:pPr>
          </w:p>
        </w:tc>
        <w:tc>
          <w:tcPr>
            <w:tcW w:w="1077" w:type="dxa"/>
            <w:noWrap/>
            <w:vAlign w:val="center"/>
          </w:tcPr>
          <w:p w14:paraId="33201BE5">
            <w:pPr>
              <w:spacing w:line="440" w:lineRule="exact"/>
              <w:rPr>
                <w:rFonts w:ascii="宋体"/>
                <w:color w:val="auto"/>
                <w:szCs w:val="21"/>
                <w:highlight w:val="none"/>
              </w:rPr>
            </w:pPr>
          </w:p>
        </w:tc>
        <w:tc>
          <w:tcPr>
            <w:tcW w:w="1077" w:type="dxa"/>
            <w:noWrap/>
            <w:vAlign w:val="center"/>
          </w:tcPr>
          <w:p w14:paraId="73ABB93C">
            <w:pPr>
              <w:spacing w:line="440" w:lineRule="exact"/>
              <w:rPr>
                <w:rFonts w:hint="default" w:ascii="宋体" w:hAnsi="宋体"/>
                <w:color w:val="auto"/>
                <w:szCs w:val="21"/>
                <w:highlight w:val="none"/>
                <w:lang w:val="en-US"/>
              </w:rPr>
            </w:pPr>
          </w:p>
        </w:tc>
        <w:tc>
          <w:tcPr>
            <w:tcW w:w="1077" w:type="dxa"/>
            <w:noWrap/>
            <w:vAlign w:val="center"/>
          </w:tcPr>
          <w:p w14:paraId="1091B928">
            <w:pPr>
              <w:spacing w:line="440" w:lineRule="exact"/>
              <w:rPr>
                <w:rFonts w:ascii="宋体"/>
                <w:color w:val="auto"/>
                <w:szCs w:val="21"/>
                <w:highlight w:val="none"/>
              </w:rPr>
            </w:pPr>
          </w:p>
        </w:tc>
        <w:tc>
          <w:tcPr>
            <w:tcW w:w="1077" w:type="dxa"/>
            <w:noWrap/>
            <w:vAlign w:val="center"/>
          </w:tcPr>
          <w:p w14:paraId="2DD3C681">
            <w:pPr>
              <w:spacing w:line="440" w:lineRule="exact"/>
              <w:rPr>
                <w:rFonts w:ascii="宋体"/>
                <w:color w:val="auto"/>
                <w:szCs w:val="21"/>
                <w:highlight w:val="none"/>
              </w:rPr>
            </w:pPr>
          </w:p>
        </w:tc>
        <w:tc>
          <w:tcPr>
            <w:tcW w:w="1077" w:type="dxa"/>
            <w:noWrap/>
            <w:vAlign w:val="center"/>
          </w:tcPr>
          <w:p w14:paraId="238E06A6">
            <w:pPr>
              <w:spacing w:line="440" w:lineRule="exact"/>
              <w:rPr>
                <w:rFonts w:ascii="宋体"/>
                <w:color w:val="auto"/>
                <w:szCs w:val="21"/>
                <w:highlight w:val="none"/>
              </w:rPr>
            </w:pPr>
          </w:p>
        </w:tc>
        <w:tc>
          <w:tcPr>
            <w:tcW w:w="1077" w:type="dxa"/>
            <w:noWrap/>
            <w:vAlign w:val="center"/>
          </w:tcPr>
          <w:p w14:paraId="5B4A30AD">
            <w:pPr>
              <w:spacing w:line="440" w:lineRule="exact"/>
              <w:rPr>
                <w:rFonts w:ascii="宋体"/>
                <w:color w:val="auto"/>
                <w:szCs w:val="21"/>
                <w:highlight w:val="none"/>
              </w:rPr>
            </w:pPr>
          </w:p>
        </w:tc>
        <w:tc>
          <w:tcPr>
            <w:tcW w:w="1077" w:type="dxa"/>
            <w:noWrap/>
            <w:vAlign w:val="center"/>
          </w:tcPr>
          <w:p w14:paraId="455C7AFE">
            <w:pPr>
              <w:spacing w:line="440" w:lineRule="exact"/>
              <w:rPr>
                <w:rFonts w:ascii="宋体"/>
                <w:color w:val="auto"/>
                <w:szCs w:val="21"/>
                <w:highlight w:val="none"/>
              </w:rPr>
            </w:pPr>
          </w:p>
        </w:tc>
        <w:tc>
          <w:tcPr>
            <w:tcW w:w="1084" w:type="dxa"/>
            <w:noWrap/>
            <w:vAlign w:val="center"/>
          </w:tcPr>
          <w:p w14:paraId="4CF2126E">
            <w:pPr>
              <w:spacing w:line="440" w:lineRule="exact"/>
              <w:rPr>
                <w:rFonts w:ascii="宋体"/>
                <w:color w:val="auto"/>
                <w:szCs w:val="21"/>
                <w:highlight w:val="none"/>
              </w:rPr>
            </w:pPr>
          </w:p>
        </w:tc>
      </w:tr>
      <w:tr w14:paraId="394B1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1077" w:type="dxa"/>
            <w:shd w:val="clear" w:color="auto" w:fill="auto"/>
            <w:noWrap/>
            <w:vAlign w:val="center"/>
          </w:tcPr>
          <w:p w14:paraId="78E7776C">
            <w:pPr>
              <w:spacing w:line="440" w:lineRule="exact"/>
              <w:rPr>
                <w:rFonts w:ascii="宋体" w:hAnsi="Times New Roman" w:eastAsia="宋体" w:cs="Times New Roman"/>
                <w:color w:val="auto"/>
                <w:kern w:val="2"/>
                <w:sz w:val="21"/>
                <w:szCs w:val="21"/>
                <w:highlight w:val="none"/>
                <w:lang w:val="en-US" w:eastAsia="zh-CN" w:bidi="ar-SA"/>
              </w:rPr>
            </w:pPr>
          </w:p>
        </w:tc>
        <w:tc>
          <w:tcPr>
            <w:tcW w:w="1077" w:type="dxa"/>
            <w:noWrap/>
            <w:vAlign w:val="center"/>
          </w:tcPr>
          <w:p w14:paraId="70CDCD81">
            <w:pPr>
              <w:spacing w:line="440" w:lineRule="exact"/>
              <w:rPr>
                <w:rFonts w:ascii="宋体"/>
                <w:color w:val="auto"/>
                <w:szCs w:val="21"/>
                <w:highlight w:val="none"/>
              </w:rPr>
            </w:pPr>
          </w:p>
        </w:tc>
        <w:tc>
          <w:tcPr>
            <w:tcW w:w="1077" w:type="dxa"/>
            <w:noWrap/>
            <w:vAlign w:val="center"/>
          </w:tcPr>
          <w:p w14:paraId="64130540">
            <w:pPr>
              <w:spacing w:line="440" w:lineRule="exact"/>
              <w:rPr>
                <w:rFonts w:hint="default" w:ascii="宋体" w:hAnsi="宋体" w:eastAsia="宋体"/>
                <w:color w:val="auto"/>
                <w:szCs w:val="21"/>
                <w:highlight w:val="none"/>
                <w:lang w:val="en-US" w:eastAsia="zh-CN"/>
              </w:rPr>
            </w:pPr>
          </w:p>
        </w:tc>
        <w:tc>
          <w:tcPr>
            <w:tcW w:w="1077" w:type="dxa"/>
            <w:noWrap/>
            <w:vAlign w:val="center"/>
          </w:tcPr>
          <w:p w14:paraId="314A3199">
            <w:pPr>
              <w:spacing w:line="440" w:lineRule="exact"/>
              <w:rPr>
                <w:rFonts w:ascii="宋体"/>
                <w:color w:val="auto"/>
                <w:szCs w:val="21"/>
                <w:highlight w:val="none"/>
              </w:rPr>
            </w:pPr>
          </w:p>
        </w:tc>
        <w:tc>
          <w:tcPr>
            <w:tcW w:w="1077" w:type="dxa"/>
            <w:noWrap/>
            <w:vAlign w:val="center"/>
          </w:tcPr>
          <w:p w14:paraId="4BFE26D0">
            <w:pPr>
              <w:spacing w:line="440" w:lineRule="exact"/>
              <w:rPr>
                <w:rFonts w:ascii="宋体"/>
                <w:color w:val="auto"/>
                <w:szCs w:val="21"/>
                <w:highlight w:val="none"/>
              </w:rPr>
            </w:pPr>
          </w:p>
        </w:tc>
        <w:tc>
          <w:tcPr>
            <w:tcW w:w="1077" w:type="dxa"/>
            <w:noWrap/>
            <w:vAlign w:val="center"/>
          </w:tcPr>
          <w:p w14:paraId="7CD0094B">
            <w:pPr>
              <w:spacing w:line="440" w:lineRule="exact"/>
              <w:rPr>
                <w:rFonts w:ascii="宋体"/>
                <w:color w:val="auto"/>
                <w:szCs w:val="21"/>
                <w:highlight w:val="none"/>
              </w:rPr>
            </w:pPr>
          </w:p>
        </w:tc>
        <w:tc>
          <w:tcPr>
            <w:tcW w:w="1077" w:type="dxa"/>
            <w:noWrap/>
            <w:vAlign w:val="center"/>
          </w:tcPr>
          <w:p w14:paraId="449578BF">
            <w:pPr>
              <w:spacing w:line="440" w:lineRule="exact"/>
              <w:rPr>
                <w:rFonts w:ascii="宋体"/>
                <w:color w:val="auto"/>
                <w:szCs w:val="21"/>
                <w:highlight w:val="none"/>
              </w:rPr>
            </w:pPr>
          </w:p>
        </w:tc>
        <w:tc>
          <w:tcPr>
            <w:tcW w:w="1077" w:type="dxa"/>
            <w:noWrap/>
            <w:vAlign w:val="center"/>
          </w:tcPr>
          <w:p w14:paraId="28321DC9">
            <w:pPr>
              <w:spacing w:line="440" w:lineRule="exact"/>
              <w:rPr>
                <w:rFonts w:ascii="宋体"/>
                <w:color w:val="auto"/>
                <w:szCs w:val="21"/>
                <w:highlight w:val="none"/>
              </w:rPr>
            </w:pPr>
          </w:p>
        </w:tc>
        <w:tc>
          <w:tcPr>
            <w:tcW w:w="1084" w:type="dxa"/>
            <w:noWrap/>
            <w:vAlign w:val="center"/>
          </w:tcPr>
          <w:p w14:paraId="58C5D095">
            <w:pPr>
              <w:spacing w:line="440" w:lineRule="exact"/>
              <w:rPr>
                <w:rFonts w:ascii="宋体"/>
                <w:color w:val="auto"/>
                <w:szCs w:val="21"/>
                <w:highlight w:val="none"/>
              </w:rPr>
            </w:pPr>
          </w:p>
        </w:tc>
      </w:tr>
      <w:tr w14:paraId="4547B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1077" w:type="dxa"/>
            <w:shd w:val="clear" w:color="auto" w:fill="auto"/>
            <w:noWrap/>
            <w:vAlign w:val="center"/>
          </w:tcPr>
          <w:p w14:paraId="0C500B19">
            <w:pPr>
              <w:spacing w:line="440" w:lineRule="exact"/>
              <w:rPr>
                <w:rFonts w:ascii="宋体" w:hAnsi="Times New Roman" w:eastAsia="宋体" w:cs="Times New Roman"/>
                <w:color w:val="auto"/>
                <w:kern w:val="2"/>
                <w:sz w:val="21"/>
                <w:szCs w:val="21"/>
                <w:highlight w:val="none"/>
                <w:lang w:val="en-US" w:eastAsia="zh-CN" w:bidi="ar-SA"/>
              </w:rPr>
            </w:pPr>
          </w:p>
        </w:tc>
        <w:tc>
          <w:tcPr>
            <w:tcW w:w="1077" w:type="dxa"/>
            <w:noWrap/>
            <w:vAlign w:val="center"/>
          </w:tcPr>
          <w:p w14:paraId="37D2E457">
            <w:pPr>
              <w:spacing w:line="440" w:lineRule="exact"/>
              <w:rPr>
                <w:rFonts w:ascii="宋体"/>
                <w:color w:val="auto"/>
                <w:szCs w:val="21"/>
                <w:highlight w:val="none"/>
              </w:rPr>
            </w:pPr>
          </w:p>
        </w:tc>
        <w:tc>
          <w:tcPr>
            <w:tcW w:w="1077" w:type="dxa"/>
            <w:noWrap/>
            <w:vAlign w:val="center"/>
          </w:tcPr>
          <w:p w14:paraId="63B3383F">
            <w:pPr>
              <w:spacing w:line="440" w:lineRule="exact"/>
              <w:rPr>
                <w:rFonts w:hint="eastAsia" w:ascii="宋体" w:hAnsi="宋体"/>
                <w:color w:val="auto"/>
                <w:szCs w:val="21"/>
                <w:highlight w:val="none"/>
              </w:rPr>
            </w:pPr>
          </w:p>
        </w:tc>
        <w:tc>
          <w:tcPr>
            <w:tcW w:w="1077" w:type="dxa"/>
            <w:noWrap/>
            <w:vAlign w:val="center"/>
          </w:tcPr>
          <w:p w14:paraId="7D8E1A59">
            <w:pPr>
              <w:spacing w:line="440" w:lineRule="exact"/>
              <w:rPr>
                <w:rFonts w:ascii="宋体"/>
                <w:color w:val="auto"/>
                <w:szCs w:val="21"/>
                <w:highlight w:val="none"/>
              </w:rPr>
            </w:pPr>
          </w:p>
        </w:tc>
        <w:tc>
          <w:tcPr>
            <w:tcW w:w="1077" w:type="dxa"/>
            <w:noWrap/>
            <w:vAlign w:val="center"/>
          </w:tcPr>
          <w:p w14:paraId="265F18AD">
            <w:pPr>
              <w:spacing w:line="440" w:lineRule="exact"/>
              <w:rPr>
                <w:rFonts w:ascii="宋体"/>
                <w:color w:val="auto"/>
                <w:szCs w:val="21"/>
                <w:highlight w:val="none"/>
              </w:rPr>
            </w:pPr>
          </w:p>
        </w:tc>
        <w:tc>
          <w:tcPr>
            <w:tcW w:w="1077" w:type="dxa"/>
            <w:noWrap/>
            <w:vAlign w:val="center"/>
          </w:tcPr>
          <w:p w14:paraId="2AD8C096">
            <w:pPr>
              <w:spacing w:line="440" w:lineRule="exact"/>
              <w:rPr>
                <w:rFonts w:ascii="宋体"/>
                <w:color w:val="auto"/>
                <w:szCs w:val="21"/>
                <w:highlight w:val="none"/>
              </w:rPr>
            </w:pPr>
          </w:p>
        </w:tc>
        <w:tc>
          <w:tcPr>
            <w:tcW w:w="1077" w:type="dxa"/>
            <w:noWrap/>
            <w:vAlign w:val="center"/>
          </w:tcPr>
          <w:p w14:paraId="74CC179B">
            <w:pPr>
              <w:spacing w:line="440" w:lineRule="exact"/>
              <w:rPr>
                <w:rFonts w:ascii="宋体"/>
                <w:color w:val="auto"/>
                <w:szCs w:val="21"/>
                <w:highlight w:val="none"/>
              </w:rPr>
            </w:pPr>
          </w:p>
        </w:tc>
        <w:tc>
          <w:tcPr>
            <w:tcW w:w="1077" w:type="dxa"/>
            <w:noWrap/>
            <w:vAlign w:val="center"/>
          </w:tcPr>
          <w:p w14:paraId="6B6B451D">
            <w:pPr>
              <w:spacing w:line="440" w:lineRule="exact"/>
              <w:rPr>
                <w:rFonts w:ascii="宋体"/>
                <w:color w:val="auto"/>
                <w:szCs w:val="21"/>
                <w:highlight w:val="none"/>
              </w:rPr>
            </w:pPr>
          </w:p>
        </w:tc>
        <w:tc>
          <w:tcPr>
            <w:tcW w:w="1084" w:type="dxa"/>
            <w:noWrap/>
            <w:vAlign w:val="center"/>
          </w:tcPr>
          <w:p w14:paraId="3CA753D7">
            <w:pPr>
              <w:spacing w:line="440" w:lineRule="exact"/>
              <w:rPr>
                <w:rFonts w:ascii="宋体"/>
                <w:color w:val="auto"/>
                <w:szCs w:val="21"/>
                <w:highlight w:val="none"/>
              </w:rPr>
            </w:pPr>
          </w:p>
        </w:tc>
      </w:tr>
      <w:tr w14:paraId="5C9DE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1077" w:type="dxa"/>
            <w:shd w:val="clear" w:color="auto" w:fill="auto"/>
            <w:noWrap/>
            <w:vAlign w:val="center"/>
          </w:tcPr>
          <w:p w14:paraId="33CF9A3B">
            <w:pPr>
              <w:spacing w:line="440" w:lineRule="exact"/>
              <w:rPr>
                <w:rFonts w:ascii="宋体" w:hAnsi="Times New Roman" w:eastAsia="宋体" w:cs="Times New Roman"/>
                <w:color w:val="auto"/>
                <w:kern w:val="2"/>
                <w:sz w:val="21"/>
                <w:szCs w:val="21"/>
                <w:highlight w:val="none"/>
                <w:lang w:val="en-US" w:eastAsia="zh-CN" w:bidi="ar-SA"/>
              </w:rPr>
            </w:pPr>
          </w:p>
        </w:tc>
        <w:tc>
          <w:tcPr>
            <w:tcW w:w="1077" w:type="dxa"/>
            <w:noWrap/>
            <w:vAlign w:val="center"/>
          </w:tcPr>
          <w:p w14:paraId="18DB22A0">
            <w:pPr>
              <w:spacing w:line="440" w:lineRule="exact"/>
              <w:rPr>
                <w:rFonts w:ascii="宋体" w:hAnsi="宋体"/>
                <w:color w:val="auto"/>
                <w:szCs w:val="21"/>
                <w:highlight w:val="none"/>
              </w:rPr>
            </w:pPr>
          </w:p>
        </w:tc>
        <w:tc>
          <w:tcPr>
            <w:tcW w:w="1077" w:type="dxa"/>
            <w:noWrap/>
            <w:vAlign w:val="center"/>
          </w:tcPr>
          <w:p w14:paraId="6105D449">
            <w:pPr>
              <w:spacing w:line="440" w:lineRule="exact"/>
              <w:rPr>
                <w:rFonts w:hint="eastAsia" w:ascii="宋体" w:hAnsi="宋体"/>
                <w:color w:val="auto"/>
                <w:szCs w:val="21"/>
                <w:highlight w:val="none"/>
              </w:rPr>
            </w:pPr>
          </w:p>
        </w:tc>
        <w:tc>
          <w:tcPr>
            <w:tcW w:w="1077" w:type="dxa"/>
            <w:noWrap/>
            <w:vAlign w:val="center"/>
          </w:tcPr>
          <w:p w14:paraId="59E8EF4A">
            <w:pPr>
              <w:spacing w:line="440" w:lineRule="exact"/>
              <w:rPr>
                <w:rFonts w:ascii="宋体" w:hAnsi="宋体"/>
                <w:color w:val="auto"/>
                <w:szCs w:val="21"/>
                <w:highlight w:val="none"/>
              </w:rPr>
            </w:pPr>
          </w:p>
        </w:tc>
        <w:tc>
          <w:tcPr>
            <w:tcW w:w="1077" w:type="dxa"/>
            <w:noWrap/>
            <w:vAlign w:val="center"/>
          </w:tcPr>
          <w:p w14:paraId="69299A9F">
            <w:pPr>
              <w:spacing w:line="440" w:lineRule="exact"/>
              <w:rPr>
                <w:rFonts w:ascii="宋体"/>
                <w:color w:val="auto"/>
                <w:szCs w:val="21"/>
                <w:highlight w:val="none"/>
              </w:rPr>
            </w:pPr>
          </w:p>
        </w:tc>
        <w:tc>
          <w:tcPr>
            <w:tcW w:w="1077" w:type="dxa"/>
            <w:noWrap/>
            <w:vAlign w:val="center"/>
          </w:tcPr>
          <w:p w14:paraId="64530DD1">
            <w:pPr>
              <w:spacing w:line="440" w:lineRule="exact"/>
              <w:rPr>
                <w:rFonts w:ascii="宋体"/>
                <w:color w:val="auto"/>
                <w:szCs w:val="21"/>
                <w:highlight w:val="none"/>
              </w:rPr>
            </w:pPr>
          </w:p>
        </w:tc>
        <w:tc>
          <w:tcPr>
            <w:tcW w:w="1077" w:type="dxa"/>
            <w:noWrap/>
            <w:vAlign w:val="center"/>
          </w:tcPr>
          <w:p w14:paraId="5212192A">
            <w:pPr>
              <w:spacing w:line="440" w:lineRule="exact"/>
              <w:rPr>
                <w:rFonts w:ascii="宋体"/>
                <w:color w:val="auto"/>
                <w:szCs w:val="21"/>
                <w:highlight w:val="none"/>
              </w:rPr>
            </w:pPr>
          </w:p>
        </w:tc>
        <w:tc>
          <w:tcPr>
            <w:tcW w:w="1077" w:type="dxa"/>
            <w:noWrap/>
            <w:vAlign w:val="center"/>
          </w:tcPr>
          <w:p w14:paraId="0B1B4E42">
            <w:pPr>
              <w:spacing w:line="440" w:lineRule="exact"/>
              <w:rPr>
                <w:rFonts w:ascii="宋体"/>
                <w:color w:val="auto"/>
                <w:szCs w:val="21"/>
                <w:highlight w:val="none"/>
              </w:rPr>
            </w:pPr>
          </w:p>
        </w:tc>
        <w:tc>
          <w:tcPr>
            <w:tcW w:w="1084" w:type="dxa"/>
            <w:noWrap/>
            <w:vAlign w:val="center"/>
          </w:tcPr>
          <w:p w14:paraId="5E79A2DC">
            <w:pPr>
              <w:spacing w:line="440" w:lineRule="exact"/>
              <w:rPr>
                <w:rFonts w:ascii="宋体"/>
                <w:color w:val="auto"/>
                <w:szCs w:val="21"/>
                <w:highlight w:val="none"/>
              </w:rPr>
            </w:pPr>
          </w:p>
        </w:tc>
      </w:tr>
      <w:tr w14:paraId="0D519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1077" w:type="dxa"/>
            <w:shd w:val="clear" w:color="auto" w:fill="auto"/>
            <w:noWrap/>
            <w:vAlign w:val="center"/>
          </w:tcPr>
          <w:p w14:paraId="702C5F4C">
            <w:pPr>
              <w:spacing w:line="440" w:lineRule="exact"/>
              <w:rPr>
                <w:rFonts w:ascii="宋体" w:hAnsi="Times New Roman" w:eastAsia="宋体" w:cs="Times New Roman"/>
                <w:color w:val="auto"/>
                <w:kern w:val="2"/>
                <w:sz w:val="21"/>
                <w:szCs w:val="21"/>
                <w:highlight w:val="none"/>
                <w:lang w:val="en-US" w:eastAsia="zh-CN" w:bidi="ar-SA"/>
              </w:rPr>
            </w:pPr>
          </w:p>
        </w:tc>
        <w:tc>
          <w:tcPr>
            <w:tcW w:w="1077" w:type="dxa"/>
            <w:noWrap/>
            <w:vAlign w:val="center"/>
          </w:tcPr>
          <w:p w14:paraId="08D8E56C">
            <w:pPr>
              <w:spacing w:line="440" w:lineRule="exact"/>
              <w:rPr>
                <w:rFonts w:ascii="宋体"/>
                <w:color w:val="auto"/>
                <w:szCs w:val="21"/>
                <w:highlight w:val="none"/>
              </w:rPr>
            </w:pPr>
          </w:p>
        </w:tc>
        <w:tc>
          <w:tcPr>
            <w:tcW w:w="1077" w:type="dxa"/>
            <w:noWrap/>
            <w:vAlign w:val="center"/>
          </w:tcPr>
          <w:p w14:paraId="08976D11">
            <w:pPr>
              <w:spacing w:line="440" w:lineRule="exact"/>
              <w:rPr>
                <w:rFonts w:hint="eastAsia" w:ascii="宋体" w:hAnsi="宋体"/>
                <w:color w:val="auto"/>
                <w:szCs w:val="21"/>
                <w:highlight w:val="none"/>
              </w:rPr>
            </w:pPr>
          </w:p>
        </w:tc>
        <w:tc>
          <w:tcPr>
            <w:tcW w:w="1077" w:type="dxa"/>
            <w:noWrap/>
            <w:vAlign w:val="center"/>
          </w:tcPr>
          <w:p w14:paraId="3277BA13">
            <w:pPr>
              <w:spacing w:line="440" w:lineRule="exact"/>
              <w:rPr>
                <w:rFonts w:ascii="宋体"/>
                <w:color w:val="auto"/>
                <w:szCs w:val="21"/>
                <w:highlight w:val="none"/>
              </w:rPr>
            </w:pPr>
          </w:p>
        </w:tc>
        <w:tc>
          <w:tcPr>
            <w:tcW w:w="1077" w:type="dxa"/>
            <w:noWrap/>
            <w:vAlign w:val="center"/>
          </w:tcPr>
          <w:p w14:paraId="35844C86">
            <w:pPr>
              <w:spacing w:line="440" w:lineRule="exact"/>
              <w:rPr>
                <w:rFonts w:ascii="宋体"/>
                <w:color w:val="auto"/>
                <w:szCs w:val="21"/>
                <w:highlight w:val="none"/>
              </w:rPr>
            </w:pPr>
          </w:p>
        </w:tc>
        <w:tc>
          <w:tcPr>
            <w:tcW w:w="1077" w:type="dxa"/>
            <w:noWrap/>
            <w:vAlign w:val="center"/>
          </w:tcPr>
          <w:p w14:paraId="7E34CCC3">
            <w:pPr>
              <w:spacing w:line="440" w:lineRule="exact"/>
              <w:rPr>
                <w:rFonts w:ascii="宋体"/>
                <w:color w:val="auto"/>
                <w:szCs w:val="21"/>
                <w:highlight w:val="none"/>
              </w:rPr>
            </w:pPr>
          </w:p>
        </w:tc>
        <w:tc>
          <w:tcPr>
            <w:tcW w:w="1077" w:type="dxa"/>
            <w:noWrap/>
            <w:vAlign w:val="center"/>
          </w:tcPr>
          <w:p w14:paraId="2B9D5970">
            <w:pPr>
              <w:spacing w:line="440" w:lineRule="exact"/>
              <w:rPr>
                <w:rFonts w:ascii="宋体"/>
                <w:color w:val="auto"/>
                <w:szCs w:val="21"/>
                <w:highlight w:val="none"/>
              </w:rPr>
            </w:pPr>
          </w:p>
        </w:tc>
        <w:tc>
          <w:tcPr>
            <w:tcW w:w="1077" w:type="dxa"/>
            <w:noWrap/>
            <w:vAlign w:val="center"/>
          </w:tcPr>
          <w:p w14:paraId="6A8BF2B5">
            <w:pPr>
              <w:spacing w:line="440" w:lineRule="exact"/>
              <w:rPr>
                <w:rFonts w:ascii="宋体"/>
                <w:color w:val="auto"/>
                <w:szCs w:val="21"/>
                <w:highlight w:val="none"/>
              </w:rPr>
            </w:pPr>
          </w:p>
        </w:tc>
        <w:tc>
          <w:tcPr>
            <w:tcW w:w="1084" w:type="dxa"/>
            <w:noWrap/>
            <w:vAlign w:val="center"/>
          </w:tcPr>
          <w:p w14:paraId="56ED42EF">
            <w:pPr>
              <w:spacing w:line="440" w:lineRule="exact"/>
              <w:rPr>
                <w:rFonts w:ascii="宋体"/>
                <w:color w:val="auto"/>
                <w:szCs w:val="21"/>
                <w:highlight w:val="none"/>
              </w:rPr>
            </w:pPr>
          </w:p>
        </w:tc>
      </w:tr>
      <w:tr w14:paraId="72381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1077" w:type="dxa"/>
            <w:shd w:val="clear" w:color="auto" w:fill="auto"/>
            <w:noWrap/>
            <w:vAlign w:val="center"/>
          </w:tcPr>
          <w:p w14:paraId="54FA371F">
            <w:pPr>
              <w:spacing w:line="440" w:lineRule="exact"/>
              <w:rPr>
                <w:rFonts w:ascii="宋体" w:hAnsi="Times New Roman" w:eastAsia="宋体" w:cs="Times New Roman"/>
                <w:color w:val="auto"/>
                <w:kern w:val="2"/>
                <w:sz w:val="21"/>
                <w:szCs w:val="21"/>
                <w:highlight w:val="none"/>
                <w:lang w:val="en-US" w:eastAsia="zh-CN" w:bidi="ar-SA"/>
              </w:rPr>
            </w:pPr>
          </w:p>
        </w:tc>
        <w:tc>
          <w:tcPr>
            <w:tcW w:w="1077" w:type="dxa"/>
            <w:noWrap/>
            <w:vAlign w:val="center"/>
          </w:tcPr>
          <w:p w14:paraId="2640AD75">
            <w:pPr>
              <w:spacing w:line="440" w:lineRule="exact"/>
              <w:rPr>
                <w:rFonts w:ascii="宋体"/>
                <w:color w:val="auto"/>
                <w:szCs w:val="21"/>
                <w:highlight w:val="none"/>
              </w:rPr>
            </w:pPr>
          </w:p>
        </w:tc>
        <w:tc>
          <w:tcPr>
            <w:tcW w:w="1077" w:type="dxa"/>
            <w:noWrap/>
            <w:vAlign w:val="center"/>
          </w:tcPr>
          <w:p w14:paraId="23788F09">
            <w:pPr>
              <w:spacing w:line="440" w:lineRule="exact"/>
              <w:rPr>
                <w:rFonts w:ascii="宋体"/>
                <w:color w:val="auto"/>
                <w:szCs w:val="21"/>
                <w:highlight w:val="none"/>
              </w:rPr>
            </w:pPr>
          </w:p>
        </w:tc>
        <w:tc>
          <w:tcPr>
            <w:tcW w:w="1077" w:type="dxa"/>
            <w:noWrap/>
            <w:vAlign w:val="center"/>
          </w:tcPr>
          <w:p w14:paraId="030D5F3D">
            <w:pPr>
              <w:spacing w:line="440" w:lineRule="exact"/>
              <w:rPr>
                <w:rFonts w:ascii="宋体"/>
                <w:color w:val="auto"/>
                <w:szCs w:val="21"/>
                <w:highlight w:val="none"/>
              </w:rPr>
            </w:pPr>
          </w:p>
        </w:tc>
        <w:tc>
          <w:tcPr>
            <w:tcW w:w="1077" w:type="dxa"/>
            <w:noWrap/>
            <w:vAlign w:val="center"/>
          </w:tcPr>
          <w:p w14:paraId="62203A39">
            <w:pPr>
              <w:spacing w:line="440" w:lineRule="exact"/>
              <w:rPr>
                <w:rFonts w:ascii="宋体"/>
                <w:color w:val="auto"/>
                <w:szCs w:val="21"/>
                <w:highlight w:val="none"/>
              </w:rPr>
            </w:pPr>
          </w:p>
        </w:tc>
        <w:tc>
          <w:tcPr>
            <w:tcW w:w="1077" w:type="dxa"/>
            <w:noWrap/>
            <w:vAlign w:val="center"/>
          </w:tcPr>
          <w:p w14:paraId="52A733FF">
            <w:pPr>
              <w:spacing w:line="440" w:lineRule="exact"/>
              <w:rPr>
                <w:rFonts w:ascii="宋体"/>
                <w:color w:val="auto"/>
                <w:szCs w:val="21"/>
                <w:highlight w:val="none"/>
              </w:rPr>
            </w:pPr>
          </w:p>
        </w:tc>
        <w:tc>
          <w:tcPr>
            <w:tcW w:w="1077" w:type="dxa"/>
            <w:noWrap/>
            <w:vAlign w:val="center"/>
          </w:tcPr>
          <w:p w14:paraId="69CE6EE2">
            <w:pPr>
              <w:spacing w:line="440" w:lineRule="exact"/>
              <w:rPr>
                <w:rFonts w:ascii="宋体"/>
                <w:color w:val="auto"/>
                <w:szCs w:val="21"/>
                <w:highlight w:val="none"/>
              </w:rPr>
            </w:pPr>
          </w:p>
        </w:tc>
        <w:tc>
          <w:tcPr>
            <w:tcW w:w="1077" w:type="dxa"/>
            <w:noWrap/>
            <w:vAlign w:val="center"/>
          </w:tcPr>
          <w:p w14:paraId="48FA644C">
            <w:pPr>
              <w:spacing w:line="440" w:lineRule="exact"/>
              <w:rPr>
                <w:rFonts w:ascii="宋体"/>
                <w:color w:val="auto"/>
                <w:szCs w:val="21"/>
                <w:highlight w:val="none"/>
              </w:rPr>
            </w:pPr>
          </w:p>
        </w:tc>
        <w:tc>
          <w:tcPr>
            <w:tcW w:w="1084" w:type="dxa"/>
            <w:noWrap/>
            <w:vAlign w:val="center"/>
          </w:tcPr>
          <w:p w14:paraId="15BCBBF0">
            <w:pPr>
              <w:spacing w:line="440" w:lineRule="exact"/>
              <w:rPr>
                <w:rFonts w:ascii="宋体"/>
                <w:color w:val="auto"/>
                <w:szCs w:val="21"/>
                <w:highlight w:val="none"/>
              </w:rPr>
            </w:pPr>
          </w:p>
        </w:tc>
      </w:tr>
      <w:tr w14:paraId="55535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1077" w:type="dxa"/>
            <w:shd w:val="clear" w:color="auto" w:fill="auto"/>
            <w:noWrap/>
            <w:vAlign w:val="center"/>
          </w:tcPr>
          <w:p w14:paraId="25D1611C">
            <w:pPr>
              <w:spacing w:line="440" w:lineRule="exact"/>
              <w:rPr>
                <w:rFonts w:ascii="宋体" w:hAnsi="Times New Roman" w:eastAsia="宋体" w:cs="Times New Roman"/>
                <w:color w:val="auto"/>
                <w:kern w:val="2"/>
                <w:sz w:val="21"/>
                <w:szCs w:val="21"/>
                <w:highlight w:val="none"/>
                <w:lang w:val="en-US" w:eastAsia="zh-CN" w:bidi="ar-SA"/>
              </w:rPr>
            </w:pPr>
          </w:p>
        </w:tc>
        <w:tc>
          <w:tcPr>
            <w:tcW w:w="1077" w:type="dxa"/>
            <w:noWrap/>
            <w:vAlign w:val="center"/>
          </w:tcPr>
          <w:p w14:paraId="0AF0BAE9">
            <w:pPr>
              <w:spacing w:line="440" w:lineRule="exact"/>
              <w:rPr>
                <w:rFonts w:ascii="宋体"/>
                <w:color w:val="auto"/>
                <w:szCs w:val="21"/>
                <w:highlight w:val="none"/>
              </w:rPr>
            </w:pPr>
          </w:p>
        </w:tc>
        <w:tc>
          <w:tcPr>
            <w:tcW w:w="1077" w:type="dxa"/>
            <w:noWrap/>
            <w:vAlign w:val="center"/>
          </w:tcPr>
          <w:p w14:paraId="71B5A8EA">
            <w:pPr>
              <w:spacing w:line="440" w:lineRule="exact"/>
              <w:rPr>
                <w:rFonts w:ascii="宋体"/>
                <w:color w:val="auto"/>
                <w:szCs w:val="21"/>
                <w:highlight w:val="none"/>
              </w:rPr>
            </w:pPr>
          </w:p>
        </w:tc>
        <w:tc>
          <w:tcPr>
            <w:tcW w:w="1077" w:type="dxa"/>
            <w:noWrap/>
            <w:vAlign w:val="center"/>
          </w:tcPr>
          <w:p w14:paraId="20B1DE46">
            <w:pPr>
              <w:spacing w:line="440" w:lineRule="exact"/>
              <w:rPr>
                <w:rFonts w:ascii="宋体"/>
                <w:color w:val="auto"/>
                <w:szCs w:val="21"/>
                <w:highlight w:val="none"/>
              </w:rPr>
            </w:pPr>
          </w:p>
        </w:tc>
        <w:tc>
          <w:tcPr>
            <w:tcW w:w="1077" w:type="dxa"/>
            <w:noWrap/>
            <w:vAlign w:val="center"/>
          </w:tcPr>
          <w:p w14:paraId="343A161A">
            <w:pPr>
              <w:spacing w:line="440" w:lineRule="exact"/>
              <w:rPr>
                <w:rFonts w:ascii="宋体"/>
                <w:color w:val="auto"/>
                <w:szCs w:val="21"/>
                <w:highlight w:val="none"/>
              </w:rPr>
            </w:pPr>
          </w:p>
        </w:tc>
        <w:tc>
          <w:tcPr>
            <w:tcW w:w="1077" w:type="dxa"/>
            <w:noWrap/>
            <w:vAlign w:val="center"/>
          </w:tcPr>
          <w:p w14:paraId="2199B280">
            <w:pPr>
              <w:spacing w:line="440" w:lineRule="exact"/>
              <w:rPr>
                <w:rFonts w:ascii="宋体"/>
                <w:color w:val="auto"/>
                <w:szCs w:val="21"/>
                <w:highlight w:val="none"/>
              </w:rPr>
            </w:pPr>
          </w:p>
        </w:tc>
        <w:tc>
          <w:tcPr>
            <w:tcW w:w="1077" w:type="dxa"/>
            <w:noWrap/>
            <w:vAlign w:val="center"/>
          </w:tcPr>
          <w:p w14:paraId="647D83ED">
            <w:pPr>
              <w:spacing w:line="440" w:lineRule="exact"/>
              <w:rPr>
                <w:rFonts w:ascii="宋体"/>
                <w:color w:val="auto"/>
                <w:szCs w:val="21"/>
                <w:highlight w:val="none"/>
              </w:rPr>
            </w:pPr>
          </w:p>
        </w:tc>
        <w:tc>
          <w:tcPr>
            <w:tcW w:w="1077" w:type="dxa"/>
            <w:noWrap/>
            <w:vAlign w:val="center"/>
          </w:tcPr>
          <w:p w14:paraId="45905723">
            <w:pPr>
              <w:spacing w:line="440" w:lineRule="exact"/>
              <w:rPr>
                <w:rFonts w:ascii="宋体"/>
                <w:color w:val="auto"/>
                <w:szCs w:val="21"/>
                <w:highlight w:val="none"/>
              </w:rPr>
            </w:pPr>
          </w:p>
        </w:tc>
        <w:tc>
          <w:tcPr>
            <w:tcW w:w="1084" w:type="dxa"/>
            <w:noWrap/>
            <w:vAlign w:val="center"/>
          </w:tcPr>
          <w:p w14:paraId="03EAD0BA">
            <w:pPr>
              <w:spacing w:line="440" w:lineRule="exact"/>
              <w:rPr>
                <w:rFonts w:ascii="宋体"/>
                <w:color w:val="auto"/>
                <w:szCs w:val="21"/>
                <w:highlight w:val="none"/>
              </w:rPr>
            </w:pPr>
          </w:p>
        </w:tc>
      </w:tr>
      <w:tr w14:paraId="2470E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3231" w:type="dxa"/>
            <w:gridSpan w:val="3"/>
            <w:shd w:val="clear" w:color="auto" w:fill="auto"/>
            <w:noWrap/>
            <w:vAlign w:val="center"/>
          </w:tcPr>
          <w:p w14:paraId="13A2A3AC">
            <w:pPr>
              <w:keepNext w:val="0"/>
              <w:keepLines w:val="0"/>
              <w:widowControl/>
              <w:suppressLineNumbers w:val="0"/>
              <w:jc w:val="center"/>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小计</w:t>
            </w:r>
          </w:p>
        </w:tc>
        <w:tc>
          <w:tcPr>
            <w:tcW w:w="6469" w:type="dxa"/>
            <w:gridSpan w:val="6"/>
            <w:noWrap/>
            <w:vAlign w:val="center"/>
          </w:tcPr>
          <w:p w14:paraId="6676277E">
            <w:pPr>
              <w:keepNext w:val="0"/>
              <w:keepLines w:val="0"/>
              <w:widowControl/>
              <w:suppressLineNumbers w:val="0"/>
              <w:jc w:val="left"/>
              <w:rPr>
                <w:rFonts w:hint="default" w:ascii="宋体" w:hAnsi="宋体" w:eastAsia="宋体" w:cs="宋体"/>
                <w:color w:val="auto"/>
                <w:kern w:val="0"/>
                <w:sz w:val="21"/>
                <w:szCs w:val="21"/>
                <w:highlight w:val="none"/>
                <w:u w:val="single"/>
                <w:lang w:val="en-US" w:eastAsia="zh-CN" w:bidi="ar"/>
              </w:rPr>
            </w:pP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none"/>
                <w:lang w:val="en-US" w:eastAsia="zh-CN" w:bidi="ar"/>
              </w:rPr>
              <w:t>元</w:t>
            </w:r>
          </w:p>
          <w:p w14:paraId="1BE81BA4">
            <w:pPr>
              <w:spacing w:line="440" w:lineRule="exact"/>
              <w:ind w:firstLine="1680" w:firstLineChars="800"/>
              <w:jc w:val="both"/>
              <w:rPr>
                <w:rFonts w:ascii="宋体"/>
                <w:color w:val="auto"/>
                <w:szCs w:val="21"/>
                <w:highlight w:val="none"/>
              </w:rPr>
            </w:pPr>
            <w:r>
              <w:rPr>
                <w:rFonts w:hint="eastAsia" w:ascii="宋体" w:hAnsi="宋体" w:eastAsia="宋体" w:cs="宋体"/>
                <w:color w:val="auto"/>
                <w:kern w:val="0"/>
                <w:sz w:val="21"/>
                <w:szCs w:val="21"/>
                <w:highlight w:val="none"/>
                <w:lang w:val="en-US" w:eastAsia="zh-CN" w:bidi="ar"/>
              </w:rPr>
              <w:t>汇入投标报价汇总表</w:t>
            </w:r>
          </w:p>
        </w:tc>
      </w:tr>
    </w:tbl>
    <w:p w14:paraId="6FF42CC2">
      <w:pPr>
        <w:jc w:val="center"/>
        <w:outlineLvl w:val="9"/>
        <w:rPr>
          <w:rFonts w:hint="default" w:eastAsia="宋体"/>
          <w:color w:val="auto"/>
          <w:highlight w:val="none"/>
          <w:lang w:val="en-US" w:eastAsia="zh-CN"/>
        </w:rPr>
      </w:pPr>
    </w:p>
    <w:p w14:paraId="6EBF4993">
      <w:pPr>
        <w:jc w:val="center"/>
        <w:outlineLvl w:val="9"/>
        <w:rPr>
          <w:rFonts w:hint="eastAsia"/>
          <w:color w:val="auto"/>
          <w:highlight w:val="none"/>
        </w:rPr>
      </w:pPr>
    </w:p>
    <w:p w14:paraId="6AFE8907">
      <w:pPr>
        <w:keepNext w:val="0"/>
        <w:keepLines w:val="0"/>
        <w:pageBreakBefore w:val="0"/>
        <w:widowControl w:val="0"/>
        <w:kinsoku/>
        <w:wordWrap/>
        <w:overflowPunct/>
        <w:topLinePunct w:val="0"/>
        <w:autoSpaceDE/>
        <w:autoSpaceDN/>
        <w:bidi w:val="0"/>
        <w:adjustRightInd/>
        <w:snapToGrid/>
        <w:spacing w:line="440" w:lineRule="exact"/>
        <w:ind w:firstLine="2940" w:firstLineChars="1400"/>
        <w:textAlignment w:val="auto"/>
        <w:rPr>
          <w:color w:val="auto"/>
          <w:szCs w:val="21"/>
          <w:highlight w:val="none"/>
        </w:rPr>
      </w:pPr>
      <w:r>
        <w:rPr>
          <w:rFonts w:hint="eastAsia"/>
          <w:color w:val="auto"/>
          <w:szCs w:val="21"/>
          <w:highlight w:val="none"/>
        </w:rPr>
        <w:t>投标人：</w:t>
      </w:r>
      <w:r>
        <w:rPr>
          <w:rFonts w:hint="eastAsia"/>
          <w:color w:val="auto"/>
          <w:szCs w:val="21"/>
          <w:highlight w:val="none"/>
          <w:u w:val="single"/>
          <w:lang w:val="en-US" w:eastAsia="zh-CN"/>
        </w:rPr>
        <w:t xml:space="preserve">                          </w:t>
      </w:r>
      <w:r>
        <w:rPr>
          <w:rFonts w:hint="eastAsia"/>
          <w:color w:val="auto"/>
          <w:szCs w:val="21"/>
          <w:highlight w:val="none"/>
        </w:rPr>
        <w:t>（盖单位</w:t>
      </w:r>
      <w:r>
        <w:rPr>
          <w:rFonts w:hint="eastAsia"/>
          <w:color w:val="auto"/>
          <w:szCs w:val="21"/>
          <w:highlight w:val="none"/>
          <w:lang w:val="en-US" w:eastAsia="zh-CN"/>
        </w:rPr>
        <w:t>公</w:t>
      </w:r>
      <w:r>
        <w:rPr>
          <w:rFonts w:hint="eastAsia"/>
          <w:color w:val="auto"/>
          <w:szCs w:val="21"/>
          <w:highlight w:val="none"/>
        </w:rPr>
        <w:t>章）</w:t>
      </w:r>
    </w:p>
    <w:p w14:paraId="17417F2E">
      <w:pPr>
        <w:keepNext w:val="0"/>
        <w:keepLines w:val="0"/>
        <w:pageBreakBefore w:val="0"/>
        <w:widowControl w:val="0"/>
        <w:kinsoku/>
        <w:wordWrap/>
        <w:overflowPunct/>
        <w:topLinePunct w:val="0"/>
        <w:autoSpaceDE/>
        <w:autoSpaceDN/>
        <w:bidi w:val="0"/>
        <w:adjustRightInd/>
        <w:snapToGrid/>
        <w:spacing w:line="440" w:lineRule="exact"/>
        <w:ind w:firstLine="2940" w:firstLineChars="1400"/>
        <w:textAlignment w:val="auto"/>
        <w:rPr>
          <w:color w:val="auto"/>
          <w:szCs w:val="21"/>
          <w:highlight w:val="none"/>
        </w:rPr>
      </w:pPr>
    </w:p>
    <w:p w14:paraId="2901628E">
      <w:pPr>
        <w:keepNext w:val="0"/>
        <w:keepLines w:val="0"/>
        <w:pageBreakBefore w:val="0"/>
        <w:widowControl w:val="0"/>
        <w:kinsoku/>
        <w:wordWrap/>
        <w:overflowPunct/>
        <w:topLinePunct w:val="0"/>
        <w:autoSpaceDE/>
        <w:autoSpaceDN/>
        <w:bidi w:val="0"/>
        <w:adjustRightInd/>
        <w:snapToGrid/>
        <w:spacing w:line="440" w:lineRule="exact"/>
        <w:ind w:firstLine="2940" w:firstLineChars="1400"/>
        <w:textAlignment w:val="auto"/>
        <w:rPr>
          <w:color w:val="auto"/>
          <w:szCs w:val="21"/>
          <w:highlight w:val="none"/>
        </w:rPr>
      </w:pPr>
      <w:r>
        <w:rPr>
          <w:rFonts w:hint="eastAsia"/>
          <w:color w:val="auto"/>
          <w:szCs w:val="21"/>
          <w:highlight w:val="none"/>
        </w:rPr>
        <w:t>法定代表人</w:t>
      </w:r>
      <w:r>
        <w:rPr>
          <w:rFonts w:hint="eastAsia"/>
          <w:color w:val="auto"/>
          <w:szCs w:val="21"/>
          <w:highlight w:val="none"/>
          <w:lang w:val="en-US" w:eastAsia="zh-CN"/>
        </w:rPr>
        <w:t>或授权委托人</w:t>
      </w:r>
      <w:r>
        <w:rPr>
          <w:rFonts w:hint="eastAsia"/>
          <w:color w:val="auto"/>
          <w:szCs w:val="21"/>
          <w:highlight w:val="none"/>
        </w:rPr>
        <w:t>：</w:t>
      </w:r>
      <w:r>
        <w:rPr>
          <w:rFonts w:hint="eastAsia"/>
          <w:color w:val="auto"/>
          <w:szCs w:val="21"/>
          <w:highlight w:val="none"/>
          <w:u w:val="single"/>
          <w:lang w:val="en-US" w:eastAsia="zh-CN"/>
        </w:rPr>
        <w:t xml:space="preserve">                </w:t>
      </w:r>
      <w:r>
        <w:rPr>
          <w:rFonts w:hint="eastAsia"/>
          <w:color w:val="auto"/>
          <w:szCs w:val="21"/>
          <w:highlight w:val="none"/>
        </w:rPr>
        <w:t>（签章）</w:t>
      </w:r>
    </w:p>
    <w:p w14:paraId="61E06F78">
      <w:pPr>
        <w:spacing w:line="440" w:lineRule="exact"/>
        <w:rPr>
          <w:color w:val="auto"/>
          <w:szCs w:val="21"/>
          <w:highlight w:val="none"/>
        </w:rPr>
      </w:pPr>
    </w:p>
    <w:p w14:paraId="10F533E0">
      <w:pPr>
        <w:spacing w:line="440" w:lineRule="exact"/>
        <w:ind w:firstLine="4305" w:firstLineChars="2050"/>
        <w:rPr>
          <w:rFonts w:hint="eastAsia"/>
          <w:color w:val="auto"/>
          <w:szCs w:val="21"/>
          <w:highlight w:val="none"/>
        </w:rPr>
      </w:pPr>
      <w:r>
        <w:rPr>
          <w:rFonts w:hint="eastAsia"/>
          <w:color w:val="auto"/>
          <w:szCs w:val="21"/>
          <w:highlight w:val="none"/>
          <w:u w:val="single"/>
          <w:lang w:val="en-US" w:eastAsia="zh-CN"/>
        </w:rPr>
        <w:t xml:space="preserve">       </w:t>
      </w:r>
      <w:r>
        <w:rPr>
          <w:rFonts w:hint="eastAsia"/>
          <w:color w:val="auto"/>
          <w:szCs w:val="21"/>
          <w:highlight w:val="none"/>
        </w:rPr>
        <w:t>年</w:t>
      </w:r>
      <w:r>
        <w:rPr>
          <w:rFonts w:hint="eastAsia"/>
          <w:color w:val="auto"/>
          <w:szCs w:val="21"/>
          <w:highlight w:val="none"/>
          <w:u w:val="single"/>
          <w:lang w:val="en-US" w:eastAsia="zh-CN"/>
        </w:rPr>
        <w:t xml:space="preserve">       </w:t>
      </w:r>
      <w:r>
        <w:rPr>
          <w:rFonts w:hint="eastAsia"/>
          <w:color w:val="auto"/>
          <w:szCs w:val="21"/>
          <w:highlight w:val="none"/>
        </w:rPr>
        <w:t>月</w:t>
      </w:r>
      <w:r>
        <w:rPr>
          <w:rFonts w:hint="eastAsia"/>
          <w:color w:val="auto"/>
          <w:szCs w:val="21"/>
          <w:highlight w:val="none"/>
          <w:u w:val="single"/>
          <w:lang w:val="en-US" w:eastAsia="zh-CN"/>
        </w:rPr>
        <w:t xml:space="preserve">       </w:t>
      </w:r>
      <w:r>
        <w:rPr>
          <w:rFonts w:hint="eastAsia"/>
          <w:color w:val="auto"/>
          <w:szCs w:val="21"/>
          <w:highlight w:val="none"/>
        </w:rPr>
        <w:t>日</w:t>
      </w:r>
    </w:p>
    <w:p w14:paraId="78C53BE0">
      <w:pPr>
        <w:spacing w:line="440" w:lineRule="exact"/>
        <w:ind w:firstLine="4305" w:firstLineChars="2050"/>
        <w:rPr>
          <w:rFonts w:hint="eastAsia"/>
          <w:color w:val="auto"/>
          <w:szCs w:val="21"/>
          <w:highlight w:val="none"/>
        </w:rPr>
      </w:pPr>
    </w:p>
    <w:p w14:paraId="0EDE1B27">
      <w:pPr>
        <w:spacing w:line="440" w:lineRule="exact"/>
        <w:ind w:firstLine="4305" w:firstLineChars="2050"/>
        <w:rPr>
          <w:rFonts w:hint="eastAsia"/>
          <w:color w:val="auto"/>
          <w:szCs w:val="21"/>
          <w:highlight w:val="none"/>
        </w:rPr>
      </w:pPr>
    </w:p>
    <w:p w14:paraId="7EAC7C15">
      <w:pPr>
        <w:spacing w:line="440" w:lineRule="exact"/>
        <w:ind w:firstLine="4305" w:firstLineChars="2050"/>
        <w:rPr>
          <w:rFonts w:hint="eastAsia"/>
          <w:color w:val="auto"/>
          <w:szCs w:val="21"/>
          <w:highlight w:val="none"/>
        </w:rPr>
      </w:pPr>
    </w:p>
    <w:p w14:paraId="584DDD44">
      <w:pPr>
        <w:spacing w:line="440" w:lineRule="exact"/>
        <w:ind w:firstLine="4305" w:firstLineChars="2050"/>
        <w:rPr>
          <w:rFonts w:hint="eastAsia"/>
          <w:color w:val="auto"/>
          <w:szCs w:val="21"/>
          <w:highlight w:val="none"/>
        </w:rPr>
      </w:pPr>
    </w:p>
    <w:p w14:paraId="07330A35">
      <w:pPr>
        <w:spacing w:line="440" w:lineRule="exact"/>
        <w:ind w:firstLine="4305" w:firstLineChars="2050"/>
        <w:rPr>
          <w:rFonts w:hint="eastAsia"/>
          <w:color w:val="auto"/>
          <w:szCs w:val="21"/>
          <w:highlight w:val="none"/>
        </w:rPr>
      </w:pPr>
    </w:p>
    <w:p w14:paraId="32635A49">
      <w:pPr>
        <w:spacing w:line="440" w:lineRule="exact"/>
        <w:rPr>
          <w:rFonts w:hint="eastAsia"/>
          <w:color w:val="auto"/>
          <w:szCs w:val="21"/>
          <w:highlight w:val="none"/>
        </w:rPr>
      </w:pPr>
    </w:p>
    <w:p w14:paraId="5416E217">
      <w:pPr>
        <w:jc w:val="center"/>
        <w:outlineLvl w:val="9"/>
        <w:rPr>
          <w:rFonts w:hint="eastAsia"/>
          <w:b/>
          <w:bCs/>
          <w:color w:val="auto"/>
          <w:highlight w:val="none"/>
          <w:lang w:val="en-US" w:eastAsia="zh-CN"/>
        </w:rPr>
      </w:pPr>
      <w:r>
        <w:rPr>
          <w:rFonts w:hint="eastAsia"/>
          <w:b/>
          <w:bCs/>
          <w:color w:val="auto"/>
          <w:highlight w:val="none"/>
          <w:lang w:val="en-US" w:eastAsia="zh-CN"/>
        </w:rPr>
        <w:t>5-4必备的备品备件费清单</w:t>
      </w:r>
    </w:p>
    <w:p w14:paraId="6E91E942">
      <w:pPr>
        <w:jc w:val="center"/>
        <w:outlineLvl w:val="9"/>
        <w:rPr>
          <w:rFonts w:hint="eastAsia"/>
          <w:b/>
          <w:bCs/>
          <w:color w:val="auto"/>
          <w:highlight w:val="none"/>
          <w:lang w:val="en-US" w:eastAsia="zh-CN"/>
        </w:rPr>
      </w:pPr>
    </w:p>
    <w:tbl>
      <w:tblPr>
        <w:tblStyle w:val="42"/>
        <w:tblW w:w="97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1077"/>
        <w:gridCol w:w="1077"/>
        <w:gridCol w:w="1077"/>
        <w:gridCol w:w="1077"/>
        <w:gridCol w:w="1077"/>
        <w:gridCol w:w="1077"/>
        <w:gridCol w:w="1077"/>
        <w:gridCol w:w="1084"/>
      </w:tblGrid>
      <w:tr w14:paraId="5CD4E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1077" w:type="dxa"/>
            <w:noWrap/>
            <w:vAlign w:val="center"/>
          </w:tcPr>
          <w:p w14:paraId="3C7268E5">
            <w:pPr>
              <w:jc w:val="center"/>
              <w:rPr>
                <w:rFonts w:ascii="宋体"/>
                <w:color w:val="auto"/>
                <w:szCs w:val="21"/>
                <w:highlight w:val="none"/>
              </w:rPr>
            </w:pPr>
            <w:r>
              <w:rPr>
                <w:rFonts w:hint="eastAsia" w:ascii="宋体" w:hAnsi="宋体"/>
                <w:b/>
                <w:bCs/>
                <w:color w:val="auto"/>
                <w:szCs w:val="21"/>
                <w:highlight w:val="none"/>
              </w:rPr>
              <w:t>序号</w:t>
            </w:r>
          </w:p>
        </w:tc>
        <w:tc>
          <w:tcPr>
            <w:tcW w:w="1077" w:type="dxa"/>
            <w:noWrap/>
            <w:vAlign w:val="center"/>
          </w:tcPr>
          <w:p w14:paraId="7F1D2BAD">
            <w:pPr>
              <w:keepNext w:val="0"/>
              <w:keepLines w:val="0"/>
              <w:widowControl/>
              <w:suppressLineNumbers w:val="0"/>
              <w:jc w:val="center"/>
              <w:rPr>
                <w:color w:val="auto"/>
                <w:highlight w:val="none"/>
              </w:rPr>
            </w:pPr>
            <w:r>
              <w:rPr>
                <w:rFonts w:hint="eastAsia" w:ascii="宋体" w:hAnsi="宋体" w:eastAsia="宋体" w:cs="宋体"/>
                <w:b/>
                <w:bCs/>
                <w:color w:val="auto"/>
                <w:kern w:val="0"/>
                <w:sz w:val="21"/>
                <w:szCs w:val="21"/>
                <w:highlight w:val="none"/>
                <w:lang w:val="en-US" w:eastAsia="zh-CN" w:bidi="ar"/>
              </w:rPr>
              <w:t>备品备件</w:t>
            </w:r>
          </w:p>
          <w:p w14:paraId="2299462F">
            <w:pPr>
              <w:keepNext w:val="0"/>
              <w:keepLines w:val="0"/>
              <w:widowControl/>
              <w:suppressLineNumbers w:val="0"/>
              <w:jc w:val="center"/>
              <w:rPr>
                <w:rFonts w:hint="default" w:ascii="宋体" w:eastAsia="宋体"/>
                <w:b/>
                <w:bCs/>
                <w:color w:val="auto"/>
                <w:szCs w:val="21"/>
                <w:highlight w:val="none"/>
                <w:lang w:val="en-US" w:eastAsia="zh-CN"/>
              </w:rPr>
            </w:pPr>
            <w:r>
              <w:rPr>
                <w:rFonts w:hint="eastAsia" w:ascii="宋体" w:hAnsi="宋体" w:eastAsia="宋体" w:cs="宋体"/>
                <w:b/>
                <w:bCs/>
                <w:color w:val="auto"/>
                <w:kern w:val="0"/>
                <w:sz w:val="21"/>
                <w:szCs w:val="21"/>
                <w:highlight w:val="none"/>
                <w:lang w:val="en-US" w:eastAsia="zh-CN" w:bidi="ar"/>
              </w:rPr>
              <w:t>名称</w:t>
            </w:r>
          </w:p>
        </w:tc>
        <w:tc>
          <w:tcPr>
            <w:tcW w:w="1077" w:type="dxa"/>
            <w:noWrap/>
            <w:vAlign w:val="center"/>
          </w:tcPr>
          <w:p w14:paraId="0719BB50">
            <w:pPr>
              <w:keepNext w:val="0"/>
              <w:keepLines w:val="0"/>
              <w:widowControl/>
              <w:suppressLineNumbers w:val="0"/>
              <w:jc w:val="center"/>
              <w:rPr>
                <w:rFonts w:hint="default" w:ascii="宋体" w:hAnsi="宋体" w:eastAsia="宋体"/>
                <w:b/>
                <w:bCs/>
                <w:color w:val="auto"/>
                <w:szCs w:val="21"/>
                <w:highlight w:val="none"/>
                <w:lang w:val="en-US" w:eastAsia="zh-CN"/>
              </w:rPr>
            </w:pPr>
            <w:r>
              <w:rPr>
                <w:rFonts w:hint="eastAsia" w:ascii="宋体" w:hAnsi="宋体" w:eastAsia="宋体" w:cs="宋体"/>
                <w:b/>
                <w:bCs/>
                <w:color w:val="auto"/>
                <w:kern w:val="0"/>
                <w:sz w:val="21"/>
                <w:szCs w:val="21"/>
                <w:highlight w:val="none"/>
                <w:lang w:val="en-US" w:eastAsia="zh-CN" w:bidi="ar"/>
              </w:rPr>
              <w:t>规格型号</w:t>
            </w:r>
          </w:p>
        </w:tc>
        <w:tc>
          <w:tcPr>
            <w:tcW w:w="1077" w:type="dxa"/>
            <w:noWrap/>
            <w:vAlign w:val="center"/>
          </w:tcPr>
          <w:p w14:paraId="3AFCF8E8">
            <w:pPr>
              <w:keepNext w:val="0"/>
              <w:keepLines w:val="0"/>
              <w:widowControl/>
              <w:suppressLineNumbers w:val="0"/>
              <w:jc w:val="center"/>
              <w:rPr>
                <w:color w:val="auto"/>
                <w:highlight w:val="none"/>
              </w:rPr>
            </w:pPr>
            <w:r>
              <w:rPr>
                <w:rFonts w:hint="eastAsia" w:ascii="宋体" w:hAnsi="宋体" w:eastAsia="宋体" w:cs="宋体"/>
                <w:b/>
                <w:bCs/>
                <w:color w:val="auto"/>
                <w:kern w:val="0"/>
                <w:sz w:val="21"/>
                <w:szCs w:val="21"/>
                <w:highlight w:val="none"/>
                <w:lang w:val="en-US" w:eastAsia="zh-CN" w:bidi="ar"/>
              </w:rPr>
              <w:t>计量</w:t>
            </w:r>
          </w:p>
          <w:p w14:paraId="4E35FC3B">
            <w:pPr>
              <w:keepNext w:val="0"/>
              <w:keepLines w:val="0"/>
              <w:widowControl/>
              <w:suppressLineNumbers w:val="0"/>
              <w:jc w:val="center"/>
              <w:rPr>
                <w:rFonts w:ascii="宋体"/>
                <w:color w:val="auto"/>
                <w:szCs w:val="21"/>
                <w:highlight w:val="none"/>
              </w:rPr>
            </w:pPr>
            <w:r>
              <w:rPr>
                <w:rFonts w:hint="eastAsia" w:ascii="宋体" w:hAnsi="宋体" w:eastAsia="宋体" w:cs="宋体"/>
                <w:b/>
                <w:bCs/>
                <w:color w:val="auto"/>
                <w:kern w:val="0"/>
                <w:sz w:val="21"/>
                <w:szCs w:val="21"/>
                <w:highlight w:val="none"/>
                <w:lang w:val="en-US" w:eastAsia="zh-CN" w:bidi="ar"/>
              </w:rPr>
              <w:t>单位</w:t>
            </w:r>
          </w:p>
        </w:tc>
        <w:tc>
          <w:tcPr>
            <w:tcW w:w="1077" w:type="dxa"/>
            <w:noWrap/>
            <w:vAlign w:val="center"/>
          </w:tcPr>
          <w:p w14:paraId="0C6EF35F">
            <w:pPr>
              <w:keepNext w:val="0"/>
              <w:keepLines w:val="0"/>
              <w:widowControl/>
              <w:suppressLineNumbers w:val="0"/>
              <w:jc w:val="center"/>
              <w:rPr>
                <w:rFonts w:ascii="宋体"/>
                <w:color w:val="auto"/>
                <w:szCs w:val="21"/>
                <w:highlight w:val="none"/>
              </w:rPr>
            </w:pPr>
            <w:r>
              <w:rPr>
                <w:rFonts w:hint="eastAsia" w:ascii="宋体" w:hAnsi="宋体" w:eastAsia="宋体" w:cs="宋体"/>
                <w:b/>
                <w:bCs/>
                <w:color w:val="auto"/>
                <w:kern w:val="0"/>
                <w:sz w:val="21"/>
                <w:szCs w:val="21"/>
                <w:highlight w:val="none"/>
                <w:lang w:val="en-US" w:eastAsia="zh-CN" w:bidi="ar"/>
              </w:rPr>
              <w:t>数量</w:t>
            </w:r>
          </w:p>
        </w:tc>
        <w:tc>
          <w:tcPr>
            <w:tcW w:w="1077" w:type="dxa"/>
            <w:noWrap/>
            <w:vAlign w:val="center"/>
          </w:tcPr>
          <w:p w14:paraId="6A12E9CA">
            <w:pPr>
              <w:keepNext w:val="0"/>
              <w:keepLines w:val="0"/>
              <w:widowControl/>
              <w:suppressLineNumbers w:val="0"/>
              <w:jc w:val="center"/>
              <w:rPr>
                <w:color w:val="auto"/>
                <w:highlight w:val="none"/>
              </w:rPr>
            </w:pPr>
            <w:r>
              <w:rPr>
                <w:rFonts w:hint="eastAsia" w:ascii="宋体" w:hAnsi="宋体" w:eastAsia="宋体" w:cs="宋体"/>
                <w:b/>
                <w:bCs/>
                <w:color w:val="auto"/>
                <w:kern w:val="0"/>
                <w:sz w:val="21"/>
                <w:szCs w:val="21"/>
                <w:highlight w:val="none"/>
                <w:lang w:val="en-US" w:eastAsia="zh-CN" w:bidi="ar"/>
              </w:rPr>
              <w:t>单价</w:t>
            </w:r>
          </w:p>
          <w:p w14:paraId="5ED03A71">
            <w:pPr>
              <w:keepNext w:val="0"/>
              <w:keepLines w:val="0"/>
              <w:widowControl/>
              <w:suppressLineNumbers w:val="0"/>
              <w:jc w:val="center"/>
              <w:rPr>
                <w:rFonts w:hint="eastAsia" w:ascii="宋体" w:hAnsi="宋体"/>
                <w:b/>
                <w:bCs/>
                <w:color w:val="auto"/>
                <w:szCs w:val="21"/>
                <w:highlight w:val="none"/>
              </w:rPr>
            </w:pPr>
            <w:r>
              <w:rPr>
                <w:rFonts w:hint="eastAsia" w:ascii="宋体" w:hAnsi="宋体" w:eastAsia="宋体" w:cs="宋体"/>
                <w:b/>
                <w:bCs/>
                <w:color w:val="auto"/>
                <w:kern w:val="0"/>
                <w:sz w:val="21"/>
                <w:szCs w:val="21"/>
                <w:highlight w:val="none"/>
                <w:lang w:val="en-US" w:eastAsia="zh-CN" w:bidi="ar"/>
              </w:rPr>
              <w:t>（元）</w:t>
            </w:r>
          </w:p>
        </w:tc>
        <w:tc>
          <w:tcPr>
            <w:tcW w:w="1077" w:type="dxa"/>
            <w:noWrap/>
            <w:vAlign w:val="center"/>
          </w:tcPr>
          <w:p w14:paraId="45B67F67">
            <w:pPr>
              <w:keepNext w:val="0"/>
              <w:keepLines w:val="0"/>
              <w:widowControl/>
              <w:suppressLineNumbers w:val="0"/>
              <w:jc w:val="center"/>
              <w:rPr>
                <w:color w:val="auto"/>
                <w:highlight w:val="none"/>
              </w:rPr>
            </w:pPr>
            <w:r>
              <w:rPr>
                <w:rFonts w:hint="eastAsia" w:ascii="宋体" w:hAnsi="宋体" w:eastAsia="宋体" w:cs="宋体"/>
                <w:b/>
                <w:bCs/>
                <w:color w:val="auto"/>
                <w:kern w:val="0"/>
                <w:sz w:val="21"/>
                <w:szCs w:val="21"/>
                <w:highlight w:val="none"/>
                <w:lang w:val="en-US" w:eastAsia="zh-CN" w:bidi="ar"/>
              </w:rPr>
              <w:t>合价</w:t>
            </w:r>
          </w:p>
          <w:p w14:paraId="65E45A01">
            <w:pPr>
              <w:keepNext w:val="0"/>
              <w:keepLines w:val="0"/>
              <w:widowControl/>
              <w:suppressLineNumbers w:val="0"/>
              <w:jc w:val="center"/>
              <w:rPr>
                <w:rFonts w:hint="eastAsia" w:ascii="宋体" w:hAnsi="宋体"/>
                <w:b/>
                <w:bCs/>
                <w:color w:val="auto"/>
                <w:szCs w:val="21"/>
                <w:highlight w:val="none"/>
              </w:rPr>
            </w:pPr>
            <w:r>
              <w:rPr>
                <w:rFonts w:hint="eastAsia" w:ascii="宋体" w:hAnsi="宋体" w:eastAsia="宋体" w:cs="宋体"/>
                <w:b/>
                <w:bCs/>
                <w:color w:val="auto"/>
                <w:kern w:val="0"/>
                <w:sz w:val="21"/>
                <w:szCs w:val="21"/>
                <w:highlight w:val="none"/>
                <w:lang w:val="en-US" w:eastAsia="zh-CN" w:bidi="ar"/>
              </w:rPr>
              <w:t>（元）</w:t>
            </w:r>
          </w:p>
        </w:tc>
        <w:tc>
          <w:tcPr>
            <w:tcW w:w="1077" w:type="dxa"/>
            <w:noWrap/>
            <w:vAlign w:val="center"/>
          </w:tcPr>
          <w:p w14:paraId="49D63CB7">
            <w:pPr>
              <w:keepNext w:val="0"/>
              <w:keepLines w:val="0"/>
              <w:widowControl/>
              <w:suppressLineNumbers w:val="0"/>
              <w:jc w:val="center"/>
              <w:rPr>
                <w:color w:val="auto"/>
                <w:highlight w:val="none"/>
              </w:rPr>
            </w:pPr>
            <w:r>
              <w:rPr>
                <w:rFonts w:hint="eastAsia" w:ascii="宋体" w:hAnsi="宋体" w:eastAsia="宋体" w:cs="宋体"/>
                <w:b/>
                <w:bCs/>
                <w:color w:val="auto"/>
                <w:kern w:val="0"/>
                <w:sz w:val="21"/>
                <w:szCs w:val="21"/>
                <w:highlight w:val="none"/>
                <w:lang w:val="en-US" w:eastAsia="zh-CN" w:bidi="ar"/>
              </w:rPr>
              <w:t>制造商</w:t>
            </w:r>
          </w:p>
          <w:p w14:paraId="53B8FB0A">
            <w:pPr>
              <w:keepNext w:val="0"/>
              <w:keepLines w:val="0"/>
              <w:widowControl/>
              <w:suppressLineNumbers w:val="0"/>
              <w:jc w:val="center"/>
              <w:rPr>
                <w:rFonts w:hint="eastAsia" w:ascii="宋体" w:hAnsi="宋体"/>
                <w:b/>
                <w:bCs/>
                <w:color w:val="auto"/>
                <w:szCs w:val="21"/>
                <w:highlight w:val="none"/>
              </w:rPr>
            </w:pPr>
            <w:r>
              <w:rPr>
                <w:rFonts w:hint="eastAsia" w:ascii="宋体" w:hAnsi="宋体" w:eastAsia="宋体" w:cs="宋体"/>
                <w:b/>
                <w:bCs/>
                <w:color w:val="auto"/>
                <w:kern w:val="0"/>
                <w:sz w:val="21"/>
                <w:szCs w:val="21"/>
                <w:highlight w:val="none"/>
                <w:lang w:val="en-US" w:eastAsia="zh-CN" w:bidi="ar"/>
              </w:rPr>
              <w:t>名称</w:t>
            </w:r>
          </w:p>
        </w:tc>
        <w:tc>
          <w:tcPr>
            <w:tcW w:w="1084" w:type="dxa"/>
            <w:noWrap/>
            <w:vAlign w:val="center"/>
          </w:tcPr>
          <w:p w14:paraId="62C8D8AB">
            <w:pPr>
              <w:keepNext w:val="0"/>
              <w:keepLines w:val="0"/>
              <w:widowControl/>
              <w:suppressLineNumbers w:val="0"/>
              <w:jc w:val="center"/>
              <w:rPr>
                <w:rFonts w:hint="eastAsia" w:ascii="宋体" w:hAnsi="宋体"/>
                <w:b/>
                <w:bCs/>
                <w:color w:val="auto"/>
                <w:szCs w:val="21"/>
                <w:highlight w:val="none"/>
              </w:rPr>
            </w:pPr>
            <w:r>
              <w:rPr>
                <w:rFonts w:hint="eastAsia" w:ascii="宋体" w:hAnsi="宋体" w:eastAsia="宋体" w:cs="宋体"/>
                <w:b/>
                <w:bCs/>
                <w:color w:val="auto"/>
                <w:kern w:val="0"/>
                <w:sz w:val="21"/>
                <w:szCs w:val="21"/>
                <w:highlight w:val="none"/>
                <w:lang w:val="en-US" w:eastAsia="zh-CN" w:bidi="ar"/>
              </w:rPr>
              <w:t>备注</w:t>
            </w:r>
          </w:p>
        </w:tc>
      </w:tr>
      <w:tr w14:paraId="1E0D1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1077" w:type="dxa"/>
            <w:noWrap/>
            <w:vAlign w:val="center"/>
          </w:tcPr>
          <w:p w14:paraId="6D24BABD">
            <w:pPr>
              <w:spacing w:line="440" w:lineRule="exact"/>
              <w:rPr>
                <w:rFonts w:ascii="宋体"/>
                <w:color w:val="auto"/>
                <w:szCs w:val="21"/>
                <w:highlight w:val="none"/>
              </w:rPr>
            </w:pPr>
          </w:p>
        </w:tc>
        <w:tc>
          <w:tcPr>
            <w:tcW w:w="1077" w:type="dxa"/>
            <w:noWrap/>
            <w:vAlign w:val="center"/>
          </w:tcPr>
          <w:p w14:paraId="35C8D83A">
            <w:pPr>
              <w:spacing w:line="440" w:lineRule="exact"/>
              <w:rPr>
                <w:rFonts w:ascii="宋体"/>
                <w:color w:val="auto"/>
                <w:szCs w:val="21"/>
                <w:highlight w:val="none"/>
              </w:rPr>
            </w:pPr>
          </w:p>
        </w:tc>
        <w:tc>
          <w:tcPr>
            <w:tcW w:w="1077" w:type="dxa"/>
            <w:noWrap/>
            <w:vAlign w:val="center"/>
          </w:tcPr>
          <w:p w14:paraId="2A72734B">
            <w:pPr>
              <w:spacing w:line="440" w:lineRule="exact"/>
              <w:rPr>
                <w:rFonts w:hint="default" w:ascii="宋体" w:hAnsi="宋体" w:eastAsia="宋体"/>
                <w:color w:val="auto"/>
                <w:szCs w:val="21"/>
                <w:highlight w:val="none"/>
                <w:lang w:val="en-US" w:eastAsia="zh-CN"/>
              </w:rPr>
            </w:pPr>
          </w:p>
        </w:tc>
        <w:tc>
          <w:tcPr>
            <w:tcW w:w="1077" w:type="dxa"/>
            <w:noWrap/>
            <w:vAlign w:val="center"/>
          </w:tcPr>
          <w:p w14:paraId="1964EE4C">
            <w:pPr>
              <w:spacing w:line="440" w:lineRule="exact"/>
              <w:rPr>
                <w:rFonts w:ascii="宋体"/>
                <w:color w:val="auto"/>
                <w:szCs w:val="21"/>
                <w:highlight w:val="none"/>
              </w:rPr>
            </w:pPr>
          </w:p>
        </w:tc>
        <w:tc>
          <w:tcPr>
            <w:tcW w:w="1077" w:type="dxa"/>
            <w:noWrap/>
            <w:vAlign w:val="center"/>
          </w:tcPr>
          <w:p w14:paraId="46249DA4">
            <w:pPr>
              <w:spacing w:line="440" w:lineRule="exact"/>
              <w:rPr>
                <w:rFonts w:ascii="宋体"/>
                <w:color w:val="auto"/>
                <w:szCs w:val="21"/>
                <w:highlight w:val="none"/>
              </w:rPr>
            </w:pPr>
          </w:p>
        </w:tc>
        <w:tc>
          <w:tcPr>
            <w:tcW w:w="1077" w:type="dxa"/>
            <w:noWrap/>
            <w:vAlign w:val="center"/>
          </w:tcPr>
          <w:p w14:paraId="590F3E76">
            <w:pPr>
              <w:spacing w:line="440" w:lineRule="exact"/>
              <w:rPr>
                <w:rFonts w:ascii="宋体"/>
                <w:color w:val="auto"/>
                <w:szCs w:val="21"/>
                <w:highlight w:val="none"/>
              </w:rPr>
            </w:pPr>
          </w:p>
        </w:tc>
        <w:tc>
          <w:tcPr>
            <w:tcW w:w="1077" w:type="dxa"/>
            <w:noWrap/>
            <w:vAlign w:val="center"/>
          </w:tcPr>
          <w:p w14:paraId="4E2C6B85">
            <w:pPr>
              <w:spacing w:line="440" w:lineRule="exact"/>
              <w:rPr>
                <w:rFonts w:ascii="宋体"/>
                <w:color w:val="auto"/>
                <w:szCs w:val="21"/>
                <w:highlight w:val="none"/>
              </w:rPr>
            </w:pPr>
          </w:p>
        </w:tc>
        <w:tc>
          <w:tcPr>
            <w:tcW w:w="1077" w:type="dxa"/>
            <w:noWrap/>
            <w:vAlign w:val="center"/>
          </w:tcPr>
          <w:p w14:paraId="42AB3691">
            <w:pPr>
              <w:spacing w:line="440" w:lineRule="exact"/>
              <w:rPr>
                <w:rFonts w:ascii="宋体"/>
                <w:color w:val="auto"/>
                <w:szCs w:val="21"/>
                <w:highlight w:val="none"/>
              </w:rPr>
            </w:pPr>
          </w:p>
        </w:tc>
        <w:tc>
          <w:tcPr>
            <w:tcW w:w="1084" w:type="dxa"/>
            <w:noWrap/>
            <w:vAlign w:val="center"/>
          </w:tcPr>
          <w:p w14:paraId="23F0AEA7">
            <w:pPr>
              <w:spacing w:line="440" w:lineRule="exact"/>
              <w:rPr>
                <w:rFonts w:ascii="宋体"/>
                <w:color w:val="auto"/>
                <w:szCs w:val="21"/>
                <w:highlight w:val="none"/>
              </w:rPr>
            </w:pPr>
          </w:p>
        </w:tc>
      </w:tr>
      <w:tr w14:paraId="321B6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1077" w:type="dxa"/>
            <w:shd w:val="clear" w:color="auto" w:fill="auto"/>
            <w:noWrap/>
            <w:vAlign w:val="center"/>
          </w:tcPr>
          <w:p w14:paraId="475232BB">
            <w:pPr>
              <w:spacing w:line="440" w:lineRule="exact"/>
              <w:rPr>
                <w:rFonts w:ascii="宋体" w:hAnsi="Times New Roman" w:eastAsia="宋体" w:cs="Times New Roman"/>
                <w:color w:val="auto"/>
                <w:kern w:val="2"/>
                <w:sz w:val="21"/>
                <w:szCs w:val="21"/>
                <w:highlight w:val="none"/>
                <w:lang w:val="en-US" w:eastAsia="zh-CN" w:bidi="ar-SA"/>
              </w:rPr>
            </w:pPr>
          </w:p>
        </w:tc>
        <w:tc>
          <w:tcPr>
            <w:tcW w:w="1077" w:type="dxa"/>
            <w:noWrap/>
            <w:vAlign w:val="center"/>
          </w:tcPr>
          <w:p w14:paraId="1AA31621">
            <w:pPr>
              <w:spacing w:line="440" w:lineRule="exact"/>
              <w:rPr>
                <w:rFonts w:hint="eastAsia" w:ascii="宋体" w:hAnsi="宋体" w:eastAsia="宋体"/>
                <w:color w:val="auto"/>
                <w:szCs w:val="21"/>
                <w:highlight w:val="none"/>
                <w:lang w:val="en-US" w:eastAsia="zh-CN"/>
              </w:rPr>
            </w:pPr>
          </w:p>
        </w:tc>
        <w:tc>
          <w:tcPr>
            <w:tcW w:w="1077" w:type="dxa"/>
            <w:noWrap/>
            <w:vAlign w:val="center"/>
          </w:tcPr>
          <w:p w14:paraId="7761E70F">
            <w:pPr>
              <w:spacing w:line="440" w:lineRule="exact"/>
              <w:rPr>
                <w:rFonts w:hint="default" w:ascii="宋体" w:hAnsi="宋体" w:eastAsia="宋体"/>
                <w:color w:val="auto"/>
                <w:szCs w:val="21"/>
                <w:highlight w:val="none"/>
                <w:lang w:val="en-US" w:eastAsia="zh-CN"/>
              </w:rPr>
            </w:pPr>
          </w:p>
        </w:tc>
        <w:tc>
          <w:tcPr>
            <w:tcW w:w="1077" w:type="dxa"/>
            <w:noWrap/>
            <w:vAlign w:val="center"/>
          </w:tcPr>
          <w:p w14:paraId="7A420DAD">
            <w:pPr>
              <w:spacing w:line="440" w:lineRule="exact"/>
              <w:rPr>
                <w:rFonts w:hint="eastAsia" w:ascii="宋体" w:hAnsi="宋体"/>
                <w:color w:val="auto"/>
                <w:szCs w:val="21"/>
                <w:highlight w:val="none"/>
              </w:rPr>
            </w:pPr>
          </w:p>
        </w:tc>
        <w:tc>
          <w:tcPr>
            <w:tcW w:w="1077" w:type="dxa"/>
            <w:noWrap/>
            <w:vAlign w:val="center"/>
          </w:tcPr>
          <w:p w14:paraId="360DABEC">
            <w:pPr>
              <w:spacing w:line="440" w:lineRule="exact"/>
              <w:rPr>
                <w:rFonts w:ascii="宋体"/>
                <w:color w:val="auto"/>
                <w:szCs w:val="21"/>
                <w:highlight w:val="none"/>
              </w:rPr>
            </w:pPr>
          </w:p>
        </w:tc>
        <w:tc>
          <w:tcPr>
            <w:tcW w:w="1077" w:type="dxa"/>
            <w:noWrap/>
            <w:vAlign w:val="center"/>
          </w:tcPr>
          <w:p w14:paraId="07F3C105">
            <w:pPr>
              <w:spacing w:line="440" w:lineRule="exact"/>
              <w:rPr>
                <w:rFonts w:ascii="宋体"/>
                <w:color w:val="auto"/>
                <w:szCs w:val="21"/>
                <w:highlight w:val="none"/>
              </w:rPr>
            </w:pPr>
          </w:p>
        </w:tc>
        <w:tc>
          <w:tcPr>
            <w:tcW w:w="1077" w:type="dxa"/>
            <w:noWrap/>
            <w:vAlign w:val="center"/>
          </w:tcPr>
          <w:p w14:paraId="5DE6C912">
            <w:pPr>
              <w:spacing w:line="440" w:lineRule="exact"/>
              <w:rPr>
                <w:rFonts w:ascii="宋体"/>
                <w:color w:val="auto"/>
                <w:szCs w:val="21"/>
                <w:highlight w:val="none"/>
              </w:rPr>
            </w:pPr>
          </w:p>
        </w:tc>
        <w:tc>
          <w:tcPr>
            <w:tcW w:w="1077" w:type="dxa"/>
            <w:noWrap/>
            <w:vAlign w:val="center"/>
          </w:tcPr>
          <w:p w14:paraId="4DCE184C">
            <w:pPr>
              <w:spacing w:line="440" w:lineRule="exact"/>
              <w:rPr>
                <w:rFonts w:ascii="宋体"/>
                <w:color w:val="auto"/>
                <w:szCs w:val="21"/>
                <w:highlight w:val="none"/>
              </w:rPr>
            </w:pPr>
          </w:p>
        </w:tc>
        <w:tc>
          <w:tcPr>
            <w:tcW w:w="1084" w:type="dxa"/>
            <w:noWrap/>
            <w:vAlign w:val="center"/>
          </w:tcPr>
          <w:p w14:paraId="0AE93EF5">
            <w:pPr>
              <w:spacing w:line="440" w:lineRule="exact"/>
              <w:rPr>
                <w:rFonts w:ascii="宋体"/>
                <w:color w:val="auto"/>
                <w:szCs w:val="21"/>
                <w:highlight w:val="none"/>
              </w:rPr>
            </w:pPr>
          </w:p>
        </w:tc>
      </w:tr>
      <w:tr w14:paraId="4BDE4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1077" w:type="dxa"/>
            <w:shd w:val="clear" w:color="auto" w:fill="auto"/>
            <w:noWrap/>
            <w:vAlign w:val="center"/>
          </w:tcPr>
          <w:p w14:paraId="72BB6D82">
            <w:pPr>
              <w:spacing w:line="440" w:lineRule="exact"/>
              <w:rPr>
                <w:rFonts w:ascii="宋体" w:hAnsi="Times New Roman" w:eastAsia="宋体" w:cs="Times New Roman"/>
                <w:color w:val="auto"/>
                <w:kern w:val="2"/>
                <w:sz w:val="21"/>
                <w:szCs w:val="21"/>
                <w:highlight w:val="none"/>
                <w:lang w:val="en-US" w:eastAsia="zh-CN" w:bidi="ar-SA"/>
              </w:rPr>
            </w:pPr>
          </w:p>
        </w:tc>
        <w:tc>
          <w:tcPr>
            <w:tcW w:w="1077" w:type="dxa"/>
            <w:noWrap/>
            <w:vAlign w:val="center"/>
          </w:tcPr>
          <w:p w14:paraId="36741CC6">
            <w:pPr>
              <w:spacing w:line="440" w:lineRule="exact"/>
              <w:rPr>
                <w:rFonts w:ascii="宋体"/>
                <w:color w:val="auto"/>
                <w:szCs w:val="21"/>
                <w:highlight w:val="none"/>
              </w:rPr>
            </w:pPr>
          </w:p>
        </w:tc>
        <w:tc>
          <w:tcPr>
            <w:tcW w:w="1077" w:type="dxa"/>
            <w:noWrap/>
            <w:vAlign w:val="center"/>
          </w:tcPr>
          <w:p w14:paraId="2169E8F1">
            <w:pPr>
              <w:spacing w:line="440" w:lineRule="exact"/>
              <w:rPr>
                <w:rFonts w:hint="default" w:ascii="宋体" w:hAnsi="宋体"/>
                <w:color w:val="auto"/>
                <w:szCs w:val="21"/>
                <w:highlight w:val="none"/>
                <w:lang w:val="en-US"/>
              </w:rPr>
            </w:pPr>
          </w:p>
        </w:tc>
        <w:tc>
          <w:tcPr>
            <w:tcW w:w="1077" w:type="dxa"/>
            <w:noWrap/>
            <w:vAlign w:val="center"/>
          </w:tcPr>
          <w:p w14:paraId="7440DCCC">
            <w:pPr>
              <w:spacing w:line="440" w:lineRule="exact"/>
              <w:rPr>
                <w:rFonts w:ascii="宋体"/>
                <w:color w:val="auto"/>
                <w:szCs w:val="21"/>
                <w:highlight w:val="none"/>
              </w:rPr>
            </w:pPr>
          </w:p>
        </w:tc>
        <w:tc>
          <w:tcPr>
            <w:tcW w:w="1077" w:type="dxa"/>
            <w:noWrap/>
            <w:vAlign w:val="center"/>
          </w:tcPr>
          <w:p w14:paraId="1B85EB74">
            <w:pPr>
              <w:spacing w:line="440" w:lineRule="exact"/>
              <w:rPr>
                <w:rFonts w:ascii="宋体"/>
                <w:color w:val="auto"/>
                <w:szCs w:val="21"/>
                <w:highlight w:val="none"/>
              </w:rPr>
            </w:pPr>
          </w:p>
        </w:tc>
        <w:tc>
          <w:tcPr>
            <w:tcW w:w="1077" w:type="dxa"/>
            <w:noWrap/>
            <w:vAlign w:val="center"/>
          </w:tcPr>
          <w:p w14:paraId="7CA64228">
            <w:pPr>
              <w:spacing w:line="440" w:lineRule="exact"/>
              <w:rPr>
                <w:rFonts w:ascii="宋体"/>
                <w:color w:val="auto"/>
                <w:szCs w:val="21"/>
                <w:highlight w:val="none"/>
              </w:rPr>
            </w:pPr>
          </w:p>
        </w:tc>
        <w:tc>
          <w:tcPr>
            <w:tcW w:w="1077" w:type="dxa"/>
            <w:noWrap/>
            <w:vAlign w:val="center"/>
          </w:tcPr>
          <w:p w14:paraId="4A00CE2C">
            <w:pPr>
              <w:spacing w:line="440" w:lineRule="exact"/>
              <w:rPr>
                <w:rFonts w:ascii="宋体"/>
                <w:color w:val="auto"/>
                <w:szCs w:val="21"/>
                <w:highlight w:val="none"/>
              </w:rPr>
            </w:pPr>
          </w:p>
        </w:tc>
        <w:tc>
          <w:tcPr>
            <w:tcW w:w="1077" w:type="dxa"/>
            <w:noWrap/>
            <w:vAlign w:val="center"/>
          </w:tcPr>
          <w:p w14:paraId="094CBC82">
            <w:pPr>
              <w:spacing w:line="440" w:lineRule="exact"/>
              <w:rPr>
                <w:rFonts w:ascii="宋体"/>
                <w:color w:val="auto"/>
                <w:szCs w:val="21"/>
                <w:highlight w:val="none"/>
              </w:rPr>
            </w:pPr>
          </w:p>
        </w:tc>
        <w:tc>
          <w:tcPr>
            <w:tcW w:w="1084" w:type="dxa"/>
            <w:noWrap/>
            <w:vAlign w:val="center"/>
          </w:tcPr>
          <w:p w14:paraId="3B3FDFF5">
            <w:pPr>
              <w:spacing w:line="440" w:lineRule="exact"/>
              <w:rPr>
                <w:rFonts w:ascii="宋体"/>
                <w:color w:val="auto"/>
                <w:szCs w:val="21"/>
                <w:highlight w:val="none"/>
              </w:rPr>
            </w:pPr>
          </w:p>
        </w:tc>
      </w:tr>
      <w:tr w14:paraId="5210F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1077" w:type="dxa"/>
            <w:shd w:val="clear" w:color="auto" w:fill="auto"/>
            <w:noWrap/>
            <w:vAlign w:val="center"/>
          </w:tcPr>
          <w:p w14:paraId="1FE4867A">
            <w:pPr>
              <w:spacing w:line="440" w:lineRule="exact"/>
              <w:rPr>
                <w:rFonts w:ascii="宋体" w:hAnsi="Times New Roman" w:eastAsia="宋体" w:cs="Times New Roman"/>
                <w:color w:val="auto"/>
                <w:kern w:val="2"/>
                <w:sz w:val="21"/>
                <w:szCs w:val="21"/>
                <w:highlight w:val="none"/>
                <w:lang w:val="en-US" w:eastAsia="zh-CN" w:bidi="ar-SA"/>
              </w:rPr>
            </w:pPr>
          </w:p>
        </w:tc>
        <w:tc>
          <w:tcPr>
            <w:tcW w:w="1077" w:type="dxa"/>
            <w:noWrap/>
            <w:vAlign w:val="center"/>
          </w:tcPr>
          <w:p w14:paraId="5B1EBCC1">
            <w:pPr>
              <w:spacing w:line="440" w:lineRule="exact"/>
              <w:rPr>
                <w:rFonts w:ascii="宋体"/>
                <w:color w:val="auto"/>
                <w:szCs w:val="21"/>
                <w:highlight w:val="none"/>
              </w:rPr>
            </w:pPr>
          </w:p>
        </w:tc>
        <w:tc>
          <w:tcPr>
            <w:tcW w:w="1077" w:type="dxa"/>
            <w:noWrap/>
            <w:vAlign w:val="center"/>
          </w:tcPr>
          <w:p w14:paraId="40C9F3DD">
            <w:pPr>
              <w:spacing w:line="440" w:lineRule="exact"/>
              <w:rPr>
                <w:rFonts w:hint="default" w:ascii="宋体" w:hAnsi="宋体" w:eastAsia="宋体"/>
                <w:color w:val="auto"/>
                <w:szCs w:val="21"/>
                <w:highlight w:val="none"/>
                <w:lang w:val="en-US" w:eastAsia="zh-CN"/>
              </w:rPr>
            </w:pPr>
          </w:p>
        </w:tc>
        <w:tc>
          <w:tcPr>
            <w:tcW w:w="1077" w:type="dxa"/>
            <w:noWrap/>
            <w:vAlign w:val="center"/>
          </w:tcPr>
          <w:p w14:paraId="36D1263B">
            <w:pPr>
              <w:spacing w:line="440" w:lineRule="exact"/>
              <w:rPr>
                <w:rFonts w:ascii="宋体"/>
                <w:color w:val="auto"/>
                <w:szCs w:val="21"/>
                <w:highlight w:val="none"/>
              </w:rPr>
            </w:pPr>
          </w:p>
        </w:tc>
        <w:tc>
          <w:tcPr>
            <w:tcW w:w="1077" w:type="dxa"/>
            <w:noWrap/>
            <w:vAlign w:val="center"/>
          </w:tcPr>
          <w:p w14:paraId="1531F7E8">
            <w:pPr>
              <w:spacing w:line="440" w:lineRule="exact"/>
              <w:rPr>
                <w:rFonts w:ascii="宋体"/>
                <w:color w:val="auto"/>
                <w:szCs w:val="21"/>
                <w:highlight w:val="none"/>
              </w:rPr>
            </w:pPr>
          </w:p>
        </w:tc>
        <w:tc>
          <w:tcPr>
            <w:tcW w:w="1077" w:type="dxa"/>
            <w:noWrap/>
            <w:vAlign w:val="center"/>
          </w:tcPr>
          <w:p w14:paraId="2B3F3A40">
            <w:pPr>
              <w:spacing w:line="440" w:lineRule="exact"/>
              <w:rPr>
                <w:rFonts w:ascii="宋体"/>
                <w:color w:val="auto"/>
                <w:szCs w:val="21"/>
                <w:highlight w:val="none"/>
              </w:rPr>
            </w:pPr>
          </w:p>
        </w:tc>
        <w:tc>
          <w:tcPr>
            <w:tcW w:w="1077" w:type="dxa"/>
            <w:noWrap/>
            <w:vAlign w:val="center"/>
          </w:tcPr>
          <w:p w14:paraId="402A5282">
            <w:pPr>
              <w:spacing w:line="440" w:lineRule="exact"/>
              <w:rPr>
                <w:rFonts w:ascii="宋体"/>
                <w:color w:val="auto"/>
                <w:szCs w:val="21"/>
                <w:highlight w:val="none"/>
              </w:rPr>
            </w:pPr>
          </w:p>
        </w:tc>
        <w:tc>
          <w:tcPr>
            <w:tcW w:w="1077" w:type="dxa"/>
            <w:noWrap/>
            <w:vAlign w:val="center"/>
          </w:tcPr>
          <w:p w14:paraId="001350F8">
            <w:pPr>
              <w:spacing w:line="440" w:lineRule="exact"/>
              <w:rPr>
                <w:rFonts w:ascii="宋体"/>
                <w:color w:val="auto"/>
                <w:szCs w:val="21"/>
                <w:highlight w:val="none"/>
              </w:rPr>
            </w:pPr>
          </w:p>
        </w:tc>
        <w:tc>
          <w:tcPr>
            <w:tcW w:w="1084" w:type="dxa"/>
            <w:noWrap/>
            <w:vAlign w:val="center"/>
          </w:tcPr>
          <w:p w14:paraId="09AAC102">
            <w:pPr>
              <w:spacing w:line="440" w:lineRule="exact"/>
              <w:rPr>
                <w:rFonts w:ascii="宋体"/>
                <w:color w:val="auto"/>
                <w:szCs w:val="21"/>
                <w:highlight w:val="none"/>
              </w:rPr>
            </w:pPr>
          </w:p>
        </w:tc>
      </w:tr>
      <w:tr w14:paraId="526EC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1077" w:type="dxa"/>
            <w:shd w:val="clear" w:color="auto" w:fill="auto"/>
            <w:noWrap/>
            <w:vAlign w:val="center"/>
          </w:tcPr>
          <w:p w14:paraId="3C2F9919">
            <w:pPr>
              <w:spacing w:line="440" w:lineRule="exact"/>
              <w:rPr>
                <w:rFonts w:ascii="宋体" w:hAnsi="Times New Roman" w:eastAsia="宋体" w:cs="Times New Roman"/>
                <w:color w:val="auto"/>
                <w:kern w:val="2"/>
                <w:sz w:val="21"/>
                <w:szCs w:val="21"/>
                <w:highlight w:val="none"/>
                <w:lang w:val="en-US" w:eastAsia="zh-CN" w:bidi="ar-SA"/>
              </w:rPr>
            </w:pPr>
          </w:p>
        </w:tc>
        <w:tc>
          <w:tcPr>
            <w:tcW w:w="1077" w:type="dxa"/>
            <w:noWrap/>
            <w:vAlign w:val="center"/>
          </w:tcPr>
          <w:p w14:paraId="26910421">
            <w:pPr>
              <w:spacing w:line="440" w:lineRule="exact"/>
              <w:rPr>
                <w:rFonts w:ascii="宋体"/>
                <w:color w:val="auto"/>
                <w:szCs w:val="21"/>
                <w:highlight w:val="none"/>
              </w:rPr>
            </w:pPr>
          </w:p>
        </w:tc>
        <w:tc>
          <w:tcPr>
            <w:tcW w:w="1077" w:type="dxa"/>
            <w:noWrap/>
            <w:vAlign w:val="center"/>
          </w:tcPr>
          <w:p w14:paraId="1D80081B">
            <w:pPr>
              <w:spacing w:line="440" w:lineRule="exact"/>
              <w:rPr>
                <w:rFonts w:hint="eastAsia" w:ascii="宋体" w:hAnsi="宋体"/>
                <w:color w:val="auto"/>
                <w:szCs w:val="21"/>
                <w:highlight w:val="none"/>
              </w:rPr>
            </w:pPr>
          </w:p>
        </w:tc>
        <w:tc>
          <w:tcPr>
            <w:tcW w:w="1077" w:type="dxa"/>
            <w:noWrap/>
            <w:vAlign w:val="center"/>
          </w:tcPr>
          <w:p w14:paraId="2316D1A3">
            <w:pPr>
              <w:spacing w:line="440" w:lineRule="exact"/>
              <w:rPr>
                <w:rFonts w:ascii="宋体"/>
                <w:color w:val="auto"/>
                <w:szCs w:val="21"/>
                <w:highlight w:val="none"/>
              </w:rPr>
            </w:pPr>
          </w:p>
        </w:tc>
        <w:tc>
          <w:tcPr>
            <w:tcW w:w="1077" w:type="dxa"/>
            <w:noWrap/>
            <w:vAlign w:val="center"/>
          </w:tcPr>
          <w:p w14:paraId="28975451">
            <w:pPr>
              <w:spacing w:line="440" w:lineRule="exact"/>
              <w:rPr>
                <w:rFonts w:ascii="宋体"/>
                <w:color w:val="auto"/>
                <w:szCs w:val="21"/>
                <w:highlight w:val="none"/>
              </w:rPr>
            </w:pPr>
          </w:p>
        </w:tc>
        <w:tc>
          <w:tcPr>
            <w:tcW w:w="1077" w:type="dxa"/>
            <w:noWrap/>
            <w:vAlign w:val="center"/>
          </w:tcPr>
          <w:p w14:paraId="5639AABF">
            <w:pPr>
              <w:spacing w:line="440" w:lineRule="exact"/>
              <w:rPr>
                <w:rFonts w:ascii="宋体"/>
                <w:color w:val="auto"/>
                <w:szCs w:val="21"/>
                <w:highlight w:val="none"/>
              </w:rPr>
            </w:pPr>
          </w:p>
        </w:tc>
        <w:tc>
          <w:tcPr>
            <w:tcW w:w="1077" w:type="dxa"/>
            <w:noWrap/>
            <w:vAlign w:val="center"/>
          </w:tcPr>
          <w:p w14:paraId="2BD50510">
            <w:pPr>
              <w:spacing w:line="440" w:lineRule="exact"/>
              <w:rPr>
                <w:rFonts w:ascii="宋体"/>
                <w:color w:val="auto"/>
                <w:szCs w:val="21"/>
                <w:highlight w:val="none"/>
              </w:rPr>
            </w:pPr>
          </w:p>
        </w:tc>
        <w:tc>
          <w:tcPr>
            <w:tcW w:w="1077" w:type="dxa"/>
            <w:noWrap/>
            <w:vAlign w:val="center"/>
          </w:tcPr>
          <w:p w14:paraId="345DE193">
            <w:pPr>
              <w:spacing w:line="440" w:lineRule="exact"/>
              <w:rPr>
                <w:rFonts w:ascii="宋体"/>
                <w:color w:val="auto"/>
                <w:szCs w:val="21"/>
                <w:highlight w:val="none"/>
              </w:rPr>
            </w:pPr>
          </w:p>
        </w:tc>
        <w:tc>
          <w:tcPr>
            <w:tcW w:w="1084" w:type="dxa"/>
            <w:noWrap/>
            <w:vAlign w:val="center"/>
          </w:tcPr>
          <w:p w14:paraId="3951DE59">
            <w:pPr>
              <w:spacing w:line="440" w:lineRule="exact"/>
              <w:rPr>
                <w:rFonts w:ascii="宋体"/>
                <w:color w:val="auto"/>
                <w:szCs w:val="21"/>
                <w:highlight w:val="none"/>
              </w:rPr>
            </w:pPr>
          </w:p>
        </w:tc>
      </w:tr>
      <w:tr w14:paraId="6C069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1077" w:type="dxa"/>
            <w:shd w:val="clear" w:color="auto" w:fill="auto"/>
            <w:noWrap/>
            <w:vAlign w:val="center"/>
          </w:tcPr>
          <w:p w14:paraId="3FC3E128">
            <w:pPr>
              <w:spacing w:line="440" w:lineRule="exact"/>
              <w:rPr>
                <w:rFonts w:ascii="宋体" w:hAnsi="Times New Roman" w:eastAsia="宋体" w:cs="Times New Roman"/>
                <w:color w:val="auto"/>
                <w:kern w:val="2"/>
                <w:sz w:val="21"/>
                <w:szCs w:val="21"/>
                <w:highlight w:val="none"/>
                <w:lang w:val="en-US" w:eastAsia="zh-CN" w:bidi="ar-SA"/>
              </w:rPr>
            </w:pPr>
          </w:p>
        </w:tc>
        <w:tc>
          <w:tcPr>
            <w:tcW w:w="1077" w:type="dxa"/>
            <w:noWrap/>
            <w:vAlign w:val="center"/>
          </w:tcPr>
          <w:p w14:paraId="6D4D7EBD">
            <w:pPr>
              <w:spacing w:line="440" w:lineRule="exact"/>
              <w:rPr>
                <w:rFonts w:ascii="宋体" w:hAnsi="宋体"/>
                <w:color w:val="auto"/>
                <w:szCs w:val="21"/>
                <w:highlight w:val="none"/>
              </w:rPr>
            </w:pPr>
          </w:p>
        </w:tc>
        <w:tc>
          <w:tcPr>
            <w:tcW w:w="1077" w:type="dxa"/>
            <w:noWrap/>
            <w:vAlign w:val="center"/>
          </w:tcPr>
          <w:p w14:paraId="0527BDF3">
            <w:pPr>
              <w:spacing w:line="440" w:lineRule="exact"/>
              <w:rPr>
                <w:rFonts w:hint="eastAsia" w:ascii="宋体" w:hAnsi="宋体"/>
                <w:color w:val="auto"/>
                <w:szCs w:val="21"/>
                <w:highlight w:val="none"/>
              </w:rPr>
            </w:pPr>
          </w:p>
        </w:tc>
        <w:tc>
          <w:tcPr>
            <w:tcW w:w="1077" w:type="dxa"/>
            <w:noWrap/>
            <w:vAlign w:val="center"/>
          </w:tcPr>
          <w:p w14:paraId="0EE3B479">
            <w:pPr>
              <w:spacing w:line="440" w:lineRule="exact"/>
              <w:rPr>
                <w:rFonts w:ascii="宋体" w:hAnsi="宋体"/>
                <w:color w:val="auto"/>
                <w:szCs w:val="21"/>
                <w:highlight w:val="none"/>
              </w:rPr>
            </w:pPr>
          </w:p>
        </w:tc>
        <w:tc>
          <w:tcPr>
            <w:tcW w:w="1077" w:type="dxa"/>
            <w:noWrap/>
            <w:vAlign w:val="center"/>
          </w:tcPr>
          <w:p w14:paraId="7CD8ADAB">
            <w:pPr>
              <w:spacing w:line="440" w:lineRule="exact"/>
              <w:rPr>
                <w:rFonts w:ascii="宋体"/>
                <w:color w:val="auto"/>
                <w:szCs w:val="21"/>
                <w:highlight w:val="none"/>
              </w:rPr>
            </w:pPr>
          </w:p>
        </w:tc>
        <w:tc>
          <w:tcPr>
            <w:tcW w:w="1077" w:type="dxa"/>
            <w:noWrap/>
            <w:vAlign w:val="center"/>
          </w:tcPr>
          <w:p w14:paraId="5946E371">
            <w:pPr>
              <w:spacing w:line="440" w:lineRule="exact"/>
              <w:rPr>
                <w:rFonts w:ascii="宋体"/>
                <w:color w:val="auto"/>
                <w:szCs w:val="21"/>
                <w:highlight w:val="none"/>
              </w:rPr>
            </w:pPr>
          </w:p>
        </w:tc>
        <w:tc>
          <w:tcPr>
            <w:tcW w:w="1077" w:type="dxa"/>
            <w:noWrap/>
            <w:vAlign w:val="center"/>
          </w:tcPr>
          <w:p w14:paraId="6A1D0210">
            <w:pPr>
              <w:spacing w:line="440" w:lineRule="exact"/>
              <w:rPr>
                <w:rFonts w:ascii="宋体"/>
                <w:color w:val="auto"/>
                <w:szCs w:val="21"/>
                <w:highlight w:val="none"/>
              </w:rPr>
            </w:pPr>
          </w:p>
        </w:tc>
        <w:tc>
          <w:tcPr>
            <w:tcW w:w="1077" w:type="dxa"/>
            <w:noWrap/>
            <w:vAlign w:val="center"/>
          </w:tcPr>
          <w:p w14:paraId="4391A0A2">
            <w:pPr>
              <w:spacing w:line="440" w:lineRule="exact"/>
              <w:rPr>
                <w:rFonts w:ascii="宋体"/>
                <w:color w:val="auto"/>
                <w:szCs w:val="21"/>
                <w:highlight w:val="none"/>
              </w:rPr>
            </w:pPr>
          </w:p>
        </w:tc>
        <w:tc>
          <w:tcPr>
            <w:tcW w:w="1084" w:type="dxa"/>
            <w:noWrap/>
            <w:vAlign w:val="center"/>
          </w:tcPr>
          <w:p w14:paraId="3D7C5E29">
            <w:pPr>
              <w:spacing w:line="440" w:lineRule="exact"/>
              <w:rPr>
                <w:rFonts w:ascii="宋体"/>
                <w:color w:val="auto"/>
                <w:szCs w:val="21"/>
                <w:highlight w:val="none"/>
              </w:rPr>
            </w:pPr>
          </w:p>
        </w:tc>
      </w:tr>
      <w:tr w14:paraId="773DF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1077" w:type="dxa"/>
            <w:shd w:val="clear" w:color="auto" w:fill="auto"/>
            <w:noWrap/>
            <w:vAlign w:val="center"/>
          </w:tcPr>
          <w:p w14:paraId="524B51B2">
            <w:pPr>
              <w:spacing w:line="440" w:lineRule="exact"/>
              <w:rPr>
                <w:rFonts w:ascii="宋体" w:hAnsi="Times New Roman" w:eastAsia="宋体" w:cs="Times New Roman"/>
                <w:color w:val="auto"/>
                <w:kern w:val="2"/>
                <w:sz w:val="21"/>
                <w:szCs w:val="21"/>
                <w:highlight w:val="none"/>
                <w:lang w:val="en-US" w:eastAsia="zh-CN" w:bidi="ar-SA"/>
              </w:rPr>
            </w:pPr>
          </w:p>
        </w:tc>
        <w:tc>
          <w:tcPr>
            <w:tcW w:w="1077" w:type="dxa"/>
            <w:noWrap/>
            <w:vAlign w:val="center"/>
          </w:tcPr>
          <w:p w14:paraId="69653ECF">
            <w:pPr>
              <w:spacing w:line="440" w:lineRule="exact"/>
              <w:rPr>
                <w:rFonts w:ascii="宋体"/>
                <w:color w:val="auto"/>
                <w:szCs w:val="21"/>
                <w:highlight w:val="none"/>
              </w:rPr>
            </w:pPr>
          </w:p>
        </w:tc>
        <w:tc>
          <w:tcPr>
            <w:tcW w:w="1077" w:type="dxa"/>
            <w:noWrap/>
            <w:vAlign w:val="center"/>
          </w:tcPr>
          <w:p w14:paraId="7239E7AE">
            <w:pPr>
              <w:spacing w:line="440" w:lineRule="exact"/>
              <w:rPr>
                <w:rFonts w:hint="eastAsia" w:ascii="宋体" w:hAnsi="宋体"/>
                <w:color w:val="auto"/>
                <w:szCs w:val="21"/>
                <w:highlight w:val="none"/>
              </w:rPr>
            </w:pPr>
          </w:p>
        </w:tc>
        <w:tc>
          <w:tcPr>
            <w:tcW w:w="1077" w:type="dxa"/>
            <w:noWrap/>
            <w:vAlign w:val="center"/>
          </w:tcPr>
          <w:p w14:paraId="4639FE84">
            <w:pPr>
              <w:spacing w:line="440" w:lineRule="exact"/>
              <w:rPr>
                <w:rFonts w:ascii="宋体"/>
                <w:color w:val="auto"/>
                <w:szCs w:val="21"/>
                <w:highlight w:val="none"/>
              </w:rPr>
            </w:pPr>
          </w:p>
        </w:tc>
        <w:tc>
          <w:tcPr>
            <w:tcW w:w="1077" w:type="dxa"/>
            <w:noWrap/>
            <w:vAlign w:val="center"/>
          </w:tcPr>
          <w:p w14:paraId="4FC5F21A">
            <w:pPr>
              <w:spacing w:line="440" w:lineRule="exact"/>
              <w:rPr>
                <w:rFonts w:ascii="宋体"/>
                <w:color w:val="auto"/>
                <w:szCs w:val="21"/>
                <w:highlight w:val="none"/>
              </w:rPr>
            </w:pPr>
          </w:p>
        </w:tc>
        <w:tc>
          <w:tcPr>
            <w:tcW w:w="1077" w:type="dxa"/>
            <w:noWrap/>
            <w:vAlign w:val="center"/>
          </w:tcPr>
          <w:p w14:paraId="7A68A7F0">
            <w:pPr>
              <w:spacing w:line="440" w:lineRule="exact"/>
              <w:rPr>
                <w:rFonts w:ascii="宋体"/>
                <w:color w:val="auto"/>
                <w:szCs w:val="21"/>
                <w:highlight w:val="none"/>
              </w:rPr>
            </w:pPr>
          </w:p>
        </w:tc>
        <w:tc>
          <w:tcPr>
            <w:tcW w:w="1077" w:type="dxa"/>
            <w:noWrap/>
            <w:vAlign w:val="center"/>
          </w:tcPr>
          <w:p w14:paraId="593DA84A">
            <w:pPr>
              <w:spacing w:line="440" w:lineRule="exact"/>
              <w:rPr>
                <w:rFonts w:ascii="宋体"/>
                <w:color w:val="auto"/>
                <w:szCs w:val="21"/>
                <w:highlight w:val="none"/>
              </w:rPr>
            </w:pPr>
          </w:p>
        </w:tc>
        <w:tc>
          <w:tcPr>
            <w:tcW w:w="1077" w:type="dxa"/>
            <w:noWrap/>
            <w:vAlign w:val="center"/>
          </w:tcPr>
          <w:p w14:paraId="297226DB">
            <w:pPr>
              <w:spacing w:line="440" w:lineRule="exact"/>
              <w:rPr>
                <w:rFonts w:ascii="宋体"/>
                <w:color w:val="auto"/>
                <w:szCs w:val="21"/>
                <w:highlight w:val="none"/>
              </w:rPr>
            </w:pPr>
          </w:p>
        </w:tc>
        <w:tc>
          <w:tcPr>
            <w:tcW w:w="1084" w:type="dxa"/>
            <w:noWrap/>
            <w:vAlign w:val="center"/>
          </w:tcPr>
          <w:p w14:paraId="6D7E4B0A">
            <w:pPr>
              <w:spacing w:line="440" w:lineRule="exact"/>
              <w:rPr>
                <w:rFonts w:ascii="宋体"/>
                <w:color w:val="auto"/>
                <w:szCs w:val="21"/>
                <w:highlight w:val="none"/>
              </w:rPr>
            </w:pPr>
          </w:p>
        </w:tc>
      </w:tr>
      <w:tr w14:paraId="1BA8C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1077" w:type="dxa"/>
            <w:shd w:val="clear" w:color="auto" w:fill="auto"/>
            <w:noWrap/>
            <w:vAlign w:val="center"/>
          </w:tcPr>
          <w:p w14:paraId="485F1E7C">
            <w:pPr>
              <w:spacing w:line="440" w:lineRule="exact"/>
              <w:rPr>
                <w:rFonts w:ascii="宋体" w:hAnsi="Times New Roman" w:eastAsia="宋体" w:cs="Times New Roman"/>
                <w:color w:val="auto"/>
                <w:kern w:val="2"/>
                <w:sz w:val="21"/>
                <w:szCs w:val="21"/>
                <w:highlight w:val="none"/>
                <w:lang w:val="en-US" w:eastAsia="zh-CN" w:bidi="ar-SA"/>
              </w:rPr>
            </w:pPr>
          </w:p>
        </w:tc>
        <w:tc>
          <w:tcPr>
            <w:tcW w:w="1077" w:type="dxa"/>
            <w:noWrap/>
            <w:vAlign w:val="center"/>
          </w:tcPr>
          <w:p w14:paraId="2E08A5C7">
            <w:pPr>
              <w:spacing w:line="440" w:lineRule="exact"/>
              <w:rPr>
                <w:rFonts w:ascii="宋体"/>
                <w:color w:val="auto"/>
                <w:szCs w:val="21"/>
                <w:highlight w:val="none"/>
              </w:rPr>
            </w:pPr>
          </w:p>
        </w:tc>
        <w:tc>
          <w:tcPr>
            <w:tcW w:w="1077" w:type="dxa"/>
            <w:noWrap/>
            <w:vAlign w:val="center"/>
          </w:tcPr>
          <w:p w14:paraId="2F1B1A6C">
            <w:pPr>
              <w:spacing w:line="440" w:lineRule="exact"/>
              <w:rPr>
                <w:rFonts w:ascii="宋体"/>
                <w:color w:val="auto"/>
                <w:szCs w:val="21"/>
                <w:highlight w:val="none"/>
              </w:rPr>
            </w:pPr>
          </w:p>
        </w:tc>
        <w:tc>
          <w:tcPr>
            <w:tcW w:w="1077" w:type="dxa"/>
            <w:noWrap/>
            <w:vAlign w:val="center"/>
          </w:tcPr>
          <w:p w14:paraId="4C0169E4">
            <w:pPr>
              <w:spacing w:line="440" w:lineRule="exact"/>
              <w:rPr>
                <w:rFonts w:ascii="宋体"/>
                <w:color w:val="auto"/>
                <w:szCs w:val="21"/>
                <w:highlight w:val="none"/>
              </w:rPr>
            </w:pPr>
          </w:p>
        </w:tc>
        <w:tc>
          <w:tcPr>
            <w:tcW w:w="1077" w:type="dxa"/>
            <w:noWrap/>
            <w:vAlign w:val="center"/>
          </w:tcPr>
          <w:p w14:paraId="493CDE7D">
            <w:pPr>
              <w:spacing w:line="440" w:lineRule="exact"/>
              <w:rPr>
                <w:rFonts w:ascii="宋体"/>
                <w:color w:val="auto"/>
                <w:szCs w:val="21"/>
                <w:highlight w:val="none"/>
              </w:rPr>
            </w:pPr>
          </w:p>
        </w:tc>
        <w:tc>
          <w:tcPr>
            <w:tcW w:w="1077" w:type="dxa"/>
            <w:noWrap/>
            <w:vAlign w:val="center"/>
          </w:tcPr>
          <w:p w14:paraId="730406C7">
            <w:pPr>
              <w:spacing w:line="440" w:lineRule="exact"/>
              <w:rPr>
                <w:rFonts w:ascii="宋体"/>
                <w:color w:val="auto"/>
                <w:szCs w:val="21"/>
                <w:highlight w:val="none"/>
              </w:rPr>
            </w:pPr>
          </w:p>
        </w:tc>
        <w:tc>
          <w:tcPr>
            <w:tcW w:w="1077" w:type="dxa"/>
            <w:noWrap/>
            <w:vAlign w:val="center"/>
          </w:tcPr>
          <w:p w14:paraId="3CFDA30E">
            <w:pPr>
              <w:spacing w:line="440" w:lineRule="exact"/>
              <w:rPr>
                <w:rFonts w:ascii="宋体"/>
                <w:color w:val="auto"/>
                <w:szCs w:val="21"/>
                <w:highlight w:val="none"/>
              </w:rPr>
            </w:pPr>
          </w:p>
        </w:tc>
        <w:tc>
          <w:tcPr>
            <w:tcW w:w="1077" w:type="dxa"/>
            <w:noWrap/>
            <w:vAlign w:val="center"/>
          </w:tcPr>
          <w:p w14:paraId="1E8D3B4A">
            <w:pPr>
              <w:spacing w:line="440" w:lineRule="exact"/>
              <w:rPr>
                <w:rFonts w:ascii="宋体"/>
                <w:color w:val="auto"/>
                <w:szCs w:val="21"/>
                <w:highlight w:val="none"/>
              </w:rPr>
            </w:pPr>
          </w:p>
        </w:tc>
        <w:tc>
          <w:tcPr>
            <w:tcW w:w="1084" w:type="dxa"/>
            <w:noWrap/>
            <w:vAlign w:val="center"/>
          </w:tcPr>
          <w:p w14:paraId="248FF6D1">
            <w:pPr>
              <w:spacing w:line="440" w:lineRule="exact"/>
              <w:rPr>
                <w:rFonts w:ascii="宋体"/>
                <w:color w:val="auto"/>
                <w:szCs w:val="21"/>
                <w:highlight w:val="none"/>
              </w:rPr>
            </w:pPr>
          </w:p>
        </w:tc>
      </w:tr>
      <w:tr w14:paraId="6A5C3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1077" w:type="dxa"/>
            <w:shd w:val="clear" w:color="auto" w:fill="auto"/>
            <w:noWrap/>
            <w:vAlign w:val="center"/>
          </w:tcPr>
          <w:p w14:paraId="3BC30CE6">
            <w:pPr>
              <w:spacing w:line="440" w:lineRule="exact"/>
              <w:rPr>
                <w:rFonts w:ascii="宋体" w:hAnsi="Times New Roman" w:eastAsia="宋体" w:cs="Times New Roman"/>
                <w:color w:val="auto"/>
                <w:kern w:val="2"/>
                <w:sz w:val="21"/>
                <w:szCs w:val="21"/>
                <w:highlight w:val="none"/>
                <w:lang w:val="en-US" w:eastAsia="zh-CN" w:bidi="ar-SA"/>
              </w:rPr>
            </w:pPr>
          </w:p>
        </w:tc>
        <w:tc>
          <w:tcPr>
            <w:tcW w:w="1077" w:type="dxa"/>
            <w:noWrap/>
            <w:vAlign w:val="center"/>
          </w:tcPr>
          <w:p w14:paraId="6FE9F062">
            <w:pPr>
              <w:spacing w:line="440" w:lineRule="exact"/>
              <w:rPr>
                <w:rFonts w:ascii="宋体"/>
                <w:color w:val="auto"/>
                <w:szCs w:val="21"/>
                <w:highlight w:val="none"/>
              </w:rPr>
            </w:pPr>
          </w:p>
        </w:tc>
        <w:tc>
          <w:tcPr>
            <w:tcW w:w="1077" w:type="dxa"/>
            <w:noWrap/>
            <w:vAlign w:val="center"/>
          </w:tcPr>
          <w:p w14:paraId="7732B764">
            <w:pPr>
              <w:spacing w:line="440" w:lineRule="exact"/>
              <w:rPr>
                <w:rFonts w:ascii="宋体"/>
                <w:color w:val="auto"/>
                <w:szCs w:val="21"/>
                <w:highlight w:val="none"/>
              </w:rPr>
            </w:pPr>
          </w:p>
        </w:tc>
        <w:tc>
          <w:tcPr>
            <w:tcW w:w="1077" w:type="dxa"/>
            <w:noWrap/>
            <w:vAlign w:val="center"/>
          </w:tcPr>
          <w:p w14:paraId="66218673">
            <w:pPr>
              <w:spacing w:line="440" w:lineRule="exact"/>
              <w:rPr>
                <w:rFonts w:ascii="宋体"/>
                <w:color w:val="auto"/>
                <w:szCs w:val="21"/>
                <w:highlight w:val="none"/>
              </w:rPr>
            </w:pPr>
          </w:p>
        </w:tc>
        <w:tc>
          <w:tcPr>
            <w:tcW w:w="1077" w:type="dxa"/>
            <w:noWrap/>
            <w:vAlign w:val="center"/>
          </w:tcPr>
          <w:p w14:paraId="6AF821D4">
            <w:pPr>
              <w:spacing w:line="440" w:lineRule="exact"/>
              <w:rPr>
                <w:rFonts w:ascii="宋体"/>
                <w:color w:val="auto"/>
                <w:szCs w:val="21"/>
                <w:highlight w:val="none"/>
              </w:rPr>
            </w:pPr>
          </w:p>
        </w:tc>
        <w:tc>
          <w:tcPr>
            <w:tcW w:w="1077" w:type="dxa"/>
            <w:noWrap/>
            <w:vAlign w:val="center"/>
          </w:tcPr>
          <w:p w14:paraId="2EB6B770">
            <w:pPr>
              <w:spacing w:line="440" w:lineRule="exact"/>
              <w:rPr>
                <w:rFonts w:ascii="宋体"/>
                <w:color w:val="auto"/>
                <w:szCs w:val="21"/>
                <w:highlight w:val="none"/>
              </w:rPr>
            </w:pPr>
          </w:p>
        </w:tc>
        <w:tc>
          <w:tcPr>
            <w:tcW w:w="1077" w:type="dxa"/>
            <w:noWrap/>
            <w:vAlign w:val="center"/>
          </w:tcPr>
          <w:p w14:paraId="101EB275">
            <w:pPr>
              <w:spacing w:line="440" w:lineRule="exact"/>
              <w:rPr>
                <w:rFonts w:ascii="宋体"/>
                <w:color w:val="auto"/>
                <w:szCs w:val="21"/>
                <w:highlight w:val="none"/>
              </w:rPr>
            </w:pPr>
          </w:p>
        </w:tc>
        <w:tc>
          <w:tcPr>
            <w:tcW w:w="1077" w:type="dxa"/>
            <w:noWrap/>
            <w:vAlign w:val="center"/>
          </w:tcPr>
          <w:p w14:paraId="5A533F84">
            <w:pPr>
              <w:spacing w:line="440" w:lineRule="exact"/>
              <w:rPr>
                <w:rFonts w:ascii="宋体"/>
                <w:color w:val="auto"/>
                <w:szCs w:val="21"/>
                <w:highlight w:val="none"/>
              </w:rPr>
            </w:pPr>
          </w:p>
        </w:tc>
        <w:tc>
          <w:tcPr>
            <w:tcW w:w="1084" w:type="dxa"/>
            <w:noWrap/>
            <w:vAlign w:val="center"/>
          </w:tcPr>
          <w:p w14:paraId="6EC8D335">
            <w:pPr>
              <w:spacing w:line="440" w:lineRule="exact"/>
              <w:rPr>
                <w:rFonts w:ascii="宋体"/>
                <w:color w:val="auto"/>
                <w:szCs w:val="21"/>
                <w:highlight w:val="none"/>
              </w:rPr>
            </w:pPr>
          </w:p>
        </w:tc>
      </w:tr>
      <w:tr w14:paraId="6D940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3231" w:type="dxa"/>
            <w:gridSpan w:val="3"/>
            <w:shd w:val="clear" w:color="auto" w:fill="auto"/>
            <w:noWrap/>
            <w:vAlign w:val="center"/>
          </w:tcPr>
          <w:p w14:paraId="283252C4">
            <w:pPr>
              <w:keepNext w:val="0"/>
              <w:keepLines w:val="0"/>
              <w:widowControl/>
              <w:suppressLineNumbers w:val="0"/>
              <w:jc w:val="center"/>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小计</w:t>
            </w:r>
          </w:p>
        </w:tc>
        <w:tc>
          <w:tcPr>
            <w:tcW w:w="6469" w:type="dxa"/>
            <w:gridSpan w:val="6"/>
            <w:noWrap/>
            <w:vAlign w:val="center"/>
          </w:tcPr>
          <w:p w14:paraId="4F8E26EE">
            <w:pPr>
              <w:keepNext w:val="0"/>
              <w:keepLines w:val="0"/>
              <w:widowControl/>
              <w:suppressLineNumbers w:val="0"/>
              <w:jc w:val="left"/>
              <w:rPr>
                <w:rFonts w:hint="default" w:ascii="宋体" w:hAnsi="宋体" w:eastAsia="宋体" w:cs="宋体"/>
                <w:color w:val="auto"/>
                <w:kern w:val="0"/>
                <w:sz w:val="21"/>
                <w:szCs w:val="21"/>
                <w:highlight w:val="none"/>
                <w:u w:val="single"/>
                <w:lang w:val="en-US" w:eastAsia="zh-CN" w:bidi="ar"/>
              </w:rPr>
            </w:pP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none"/>
                <w:lang w:val="en-US" w:eastAsia="zh-CN" w:bidi="ar"/>
              </w:rPr>
              <w:t>元</w:t>
            </w:r>
          </w:p>
          <w:p w14:paraId="567DC209">
            <w:pPr>
              <w:spacing w:line="440" w:lineRule="exact"/>
              <w:ind w:firstLine="1680" w:firstLineChars="800"/>
              <w:jc w:val="both"/>
              <w:rPr>
                <w:rFonts w:ascii="宋体"/>
                <w:color w:val="auto"/>
                <w:szCs w:val="21"/>
                <w:highlight w:val="none"/>
              </w:rPr>
            </w:pPr>
            <w:r>
              <w:rPr>
                <w:rFonts w:hint="eastAsia" w:ascii="宋体" w:hAnsi="宋体" w:eastAsia="宋体" w:cs="宋体"/>
                <w:color w:val="auto"/>
                <w:kern w:val="0"/>
                <w:sz w:val="21"/>
                <w:szCs w:val="21"/>
                <w:highlight w:val="none"/>
                <w:lang w:val="en-US" w:eastAsia="zh-CN" w:bidi="ar"/>
              </w:rPr>
              <w:t>汇入投标报价汇总表</w:t>
            </w:r>
          </w:p>
        </w:tc>
      </w:tr>
    </w:tbl>
    <w:p w14:paraId="3BB7D465">
      <w:pPr>
        <w:jc w:val="center"/>
        <w:outlineLvl w:val="9"/>
        <w:rPr>
          <w:rFonts w:hint="default" w:eastAsia="宋体"/>
          <w:color w:val="auto"/>
          <w:highlight w:val="none"/>
          <w:lang w:val="en-US" w:eastAsia="zh-CN"/>
        </w:rPr>
      </w:pPr>
    </w:p>
    <w:p w14:paraId="1111C344">
      <w:pPr>
        <w:jc w:val="center"/>
        <w:outlineLvl w:val="9"/>
        <w:rPr>
          <w:rFonts w:hint="eastAsia"/>
          <w:color w:val="auto"/>
          <w:highlight w:val="none"/>
        </w:rPr>
      </w:pPr>
    </w:p>
    <w:p w14:paraId="335676B0">
      <w:pPr>
        <w:keepNext w:val="0"/>
        <w:keepLines w:val="0"/>
        <w:pageBreakBefore w:val="0"/>
        <w:widowControl w:val="0"/>
        <w:kinsoku/>
        <w:wordWrap/>
        <w:overflowPunct/>
        <w:topLinePunct w:val="0"/>
        <w:autoSpaceDE/>
        <w:autoSpaceDN/>
        <w:bidi w:val="0"/>
        <w:adjustRightInd/>
        <w:snapToGrid/>
        <w:spacing w:line="440" w:lineRule="exact"/>
        <w:ind w:firstLine="2940" w:firstLineChars="1400"/>
        <w:textAlignment w:val="auto"/>
        <w:rPr>
          <w:color w:val="auto"/>
          <w:szCs w:val="21"/>
          <w:highlight w:val="none"/>
        </w:rPr>
      </w:pPr>
      <w:r>
        <w:rPr>
          <w:rFonts w:hint="eastAsia"/>
          <w:color w:val="auto"/>
          <w:szCs w:val="21"/>
          <w:highlight w:val="none"/>
        </w:rPr>
        <w:t>投标人：</w:t>
      </w:r>
      <w:r>
        <w:rPr>
          <w:rFonts w:hint="eastAsia"/>
          <w:color w:val="auto"/>
          <w:szCs w:val="21"/>
          <w:highlight w:val="none"/>
          <w:u w:val="single"/>
          <w:lang w:val="en-US" w:eastAsia="zh-CN"/>
        </w:rPr>
        <w:t xml:space="preserve">                          </w:t>
      </w:r>
      <w:r>
        <w:rPr>
          <w:rFonts w:hint="eastAsia"/>
          <w:color w:val="auto"/>
          <w:szCs w:val="21"/>
          <w:highlight w:val="none"/>
        </w:rPr>
        <w:t>（盖单位</w:t>
      </w:r>
      <w:r>
        <w:rPr>
          <w:rFonts w:hint="eastAsia"/>
          <w:color w:val="auto"/>
          <w:szCs w:val="21"/>
          <w:highlight w:val="none"/>
          <w:lang w:val="en-US" w:eastAsia="zh-CN"/>
        </w:rPr>
        <w:t>公</w:t>
      </w:r>
      <w:r>
        <w:rPr>
          <w:rFonts w:hint="eastAsia"/>
          <w:color w:val="auto"/>
          <w:szCs w:val="21"/>
          <w:highlight w:val="none"/>
        </w:rPr>
        <w:t>章）</w:t>
      </w:r>
    </w:p>
    <w:p w14:paraId="5092269B">
      <w:pPr>
        <w:keepNext w:val="0"/>
        <w:keepLines w:val="0"/>
        <w:pageBreakBefore w:val="0"/>
        <w:widowControl w:val="0"/>
        <w:kinsoku/>
        <w:wordWrap/>
        <w:overflowPunct/>
        <w:topLinePunct w:val="0"/>
        <w:autoSpaceDE/>
        <w:autoSpaceDN/>
        <w:bidi w:val="0"/>
        <w:adjustRightInd/>
        <w:snapToGrid/>
        <w:spacing w:line="440" w:lineRule="exact"/>
        <w:ind w:firstLine="2940" w:firstLineChars="1400"/>
        <w:textAlignment w:val="auto"/>
        <w:rPr>
          <w:color w:val="auto"/>
          <w:szCs w:val="21"/>
          <w:highlight w:val="none"/>
        </w:rPr>
      </w:pPr>
    </w:p>
    <w:p w14:paraId="389234E8">
      <w:pPr>
        <w:keepNext w:val="0"/>
        <w:keepLines w:val="0"/>
        <w:pageBreakBefore w:val="0"/>
        <w:widowControl w:val="0"/>
        <w:kinsoku/>
        <w:wordWrap/>
        <w:overflowPunct/>
        <w:topLinePunct w:val="0"/>
        <w:autoSpaceDE/>
        <w:autoSpaceDN/>
        <w:bidi w:val="0"/>
        <w:adjustRightInd/>
        <w:snapToGrid/>
        <w:spacing w:line="440" w:lineRule="exact"/>
        <w:ind w:firstLine="2940" w:firstLineChars="1400"/>
        <w:textAlignment w:val="auto"/>
        <w:rPr>
          <w:color w:val="auto"/>
          <w:szCs w:val="21"/>
          <w:highlight w:val="none"/>
        </w:rPr>
      </w:pPr>
      <w:r>
        <w:rPr>
          <w:rFonts w:hint="eastAsia"/>
          <w:color w:val="auto"/>
          <w:szCs w:val="21"/>
          <w:highlight w:val="none"/>
        </w:rPr>
        <w:t>法定代表人</w:t>
      </w:r>
      <w:r>
        <w:rPr>
          <w:rFonts w:hint="eastAsia"/>
          <w:color w:val="auto"/>
          <w:szCs w:val="21"/>
          <w:highlight w:val="none"/>
          <w:lang w:val="en-US" w:eastAsia="zh-CN"/>
        </w:rPr>
        <w:t>或授权委托人</w:t>
      </w:r>
      <w:r>
        <w:rPr>
          <w:rFonts w:hint="eastAsia"/>
          <w:color w:val="auto"/>
          <w:szCs w:val="21"/>
          <w:highlight w:val="none"/>
        </w:rPr>
        <w:t>：</w:t>
      </w:r>
      <w:r>
        <w:rPr>
          <w:rFonts w:hint="eastAsia"/>
          <w:color w:val="auto"/>
          <w:szCs w:val="21"/>
          <w:highlight w:val="none"/>
          <w:u w:val="single"/>
          <w:lang w:val="en-US" w:eastAsia="zh-CN"/>
        </w:rPr>
        <w:t xml:space="preserve">                </w:t>
      </w:r>
      <w:r>
        <w:rPr>
          <w:rFonts w:hint="eastAsia"/>
          <w:color w:val="auto"/>
          <w:szCs w:val="21"/>
          <w:highlight w:val="none"/>
        </w:rPr>
        <w:t>（签章）</w:t>
      </w:r>
    </w:p>
    <w:p w14:paraId="3F78028C">
      <w:pPr>
        <w:spacing w:line="440" w:lineRule="exact"/>
        <w:rPr>
          <w:color w:val="auto"/>
          <w:szCs w:val="21"/>
          <w:highlight w:val="none"/>
        </w:rPr>
      </w:pPr>
    </w:p>
    <w:p w14:paraId="37390A73">
      <w:pPr>
        <w:spacing w:line="440" w:lineRule="exact"/>
        <w:ind w:firstLine="4305" w:firstLineChars="2050"/>
        <w:rPr>
          <w:rFonts w:hint="eastAsia"/>
          <w:color w:val="auto"/>
          <w:szCs w:val="21"/>
          <w:highlight w:val="none"/>
        </w:rPr>
      </w:pPr>
      <w:r>
        <w:rPr>
          <w:rFonts w:hint="eastAsia"/>
          <w:color w:val="auto"/>
          <w:szCs w:val="21"/>
          <w:highlight w:val="none"/>
          <w:u w:val="single"/>
          <w:lang w:val="en-US" w:eastAsia="zh-CN"/>
        </w:rPr>
        <w:t xml:space="preserve">       </w:t>
      </w:r>
      <w:r>
        <w:rPr>
          <w:rFonts w:hint="eastAsia"/>
          <w:color w:val="auto"/>
          <w:szCs w:val="21"/>
          <w:highlight w:val="none"/>
        </w:rPr>
        <w:t>年</w:t>
      </w:r>
      <w:r>
        <w:rPr>
          <w:rFonts w:hint="eastAsia"/>
          <w:color w:val="auto"/>
          <w:szCs w:val="21"/>
          <w:highlight w:val="none"/>
          <w:u w:val="single"/>
          <w:lang w:val="en-US" w:eastAsia="zh-CN"/>
        </w:rPr>
        <w:t xml:space="preserve">       </w:t>
      </w:r>
      <w:r>
        <w:rPr>
          <w:rFonts w:hint="eastAsia"/>
          <w:color w:val="auto"/>
          <w:szCs w:val="21"/>
          <w:highlight w:val="none"/>
        </w:rPr>
        <w:t>月</w:t>
      </w:r>
      <w:r>
        <w:rPr>
          <w:rFonts w:hint="eastAsia"/>
          <w:color w:val="auto"/>
          <w:szCs w:val="21"/>
          <w:highlight w:val="none"/>
          <w:u w:val="single"/>
          <w:lang w:val="en-US" w:eastAsia="zh-CN"/>
        </w:rPr>
        <w:t xml:space="preserve">       </w:t>
      </w:r>
      <w:r>
        <w:rPr>
          <w:rFonts w:hint="eastAsia"/>
          <w:color w:val="auto"/>
          <w:szCs w:val="21"/>
          <w:highlight w:val="none"/>
        </w:rPr>
        <w:t>日</w:t>
      </w:r>
    </w:p>
    <w:p w14:paraId="748C61FD">
      <w:pPr>
        <w:spacing w:line="440" w:lineRule="exact"/>
        <w:ind w:firstLine="4305" w:firstLineChars="2050"/>
        <w:rPr>
          <w:rFonts w:hint="eastAsia"/>
          <w:color w:val="auto"/>
          <w:szCs w:val="21"/>
          <w:highlight w:val="none"/>
        </w:rPr>
      </w:pPr>
    </w:p>
    <w:p w14:paraId="2C07315C">
      <w:pPr>
        <w:spacing w:line="440" w:lineRule="exact"/>
        <w:ind w:firstLine="4305" w:firstLineChars="2050"/>
        <w:rPr>
          <w:rFonts w:hint="eastAsia"/>
          <w:color w:val="auto"/>
          <w:szCs w:val="21"/>
          <w:highlight w:val="none"/>
        </w:rPr>
      </w:pPr>
    </w:p>
    <w:p w14:paraId="5EC26A39">
      <w:pPr>
        <w:spacing w:line="440" w:lineRule="exact"/>
        <w:ind w:firstLine="4305" w:firstLineChars="2050"/>
        <w:rPr>
          <w:rFonts w:hint="eastAsia"/>
          <w:color w:val="auto"/>
          <w:szCs w:val="21"/>
          <w:highlight w:val="none"/>
        </w:rPr>
      </w:pPr>
    </w:p>
    <w:p w14:paraId="42066FD3">
      <w:pPr>
        <w:spacing w:line="440" w:lineRule="exact"/>
        <w:ind w:firstLine="4305" w:firstLineChars="2050"/>
        <w:rPr>
          <w:rFonts w:hint="eastAsia"/>
          <w:color w:val="auto"/>
          <w:szCs w:val="21"/>
          <w:highlight w:val="none"/>
        </w:rPr>
      </w:pPr>
    </w:p>
    <w:p w14:paraId="0F18808D">
      <w:pPr>
        <w:spacing w:line="440" w:lineRule="exact"/>
        <w:ind w:firstLine="4305" w:firstLineChars="2050"/>
        <w:rPr>
          <w:rFonts w:hint="eastAsia"/>
          <w:color w:val="auto"/>
          <w:szCs w:val="21"/>
          <w:highlight w:val="none"/>
        </w:rPr>
      </w:pPr>
    </w:p>
    <w:p w14:paraId="65E9454A">
      <w:pPr>
        <w:jc w:val="center"/>
        <w:outlineLvl w:val="9"/>
        <w:rPr>
          <w:rFonts w:hint="eastAsia"/>
          <w:b/>
          <w:bCs/>
          <w:color w:val="auto"/>
          <w:highlight w:val="none"/>
          <w:lang w:val="en-US" w:eastAsia="zh-CN"/>
        </w:rPr>
      </w:pPr>
      <w:r>
        <w:rPr>
          <w:rFonts w:hint="eastAsia"/>
          <w:b/>
          <w:bCs/>
          <w:color w:val="auto"/>
          <w:highlight w:val="none"/>
          <w:lang w:val="en-US" w:eastAsia="zh-CN"/>
        </w:rPr>
        <w:t>5-5建筑安装工程费清单</w:t>
      </w:r>
    </w:p>
    <w:p w14:paraId="6E50AB3C">
      <w:pPr>
        <w:jc w:val="center"/>
        <w:outlineLvl w:val="9"/>
        <w:rPr>
          <w:rFonts w:hint="eastAsia"/>
          <w:b/>
          <w:bCs/>
          <w:color w:val="auto"/>
          <w:highlight w:val="none"/>
          <w:lang w:val="en-US" w:eastAsia="zh-CN"/>
        </w:rPr>
      </w:pPr>
    </w:p>
    <w:tbl>
      <w:tblPr>
        <w:tblStyle w:val="42"/>
        <w:tblW w:w="94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1806"/>
        <w:gridCol w:w="1355"/>
        <w:gridCol w:w="1355"/>
        <w:gridCol w:w="1355"/>
        <w:gridCol w:w="1355"/>
        <w:gridCol w:w="1365"/>
      </w:tblGrid>
      <w:tr w14:paraId="34962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905" w:type="dxa"/>
            <w:noWrap/>
            <w:vAlign w:val="center"/>
          </w:tcPr>
          <w:p w14:paraId="058CE540">
            <w:pPr>
              <w:jc w:val="center"/>
              <w:rPr>
                <w:rFonts w:ascii="宋体"/>
                <w:color w:val="auto"/>
                <w:szCs w:val="21"/>
                <w:highlight w:val="none"/>
              </w:rPr>
            </w:pPr>
            <w:r>
              <w:rPr>
                <w:rFonts w:hint="eastAsia" w:ascii="宋体" w:hAnsi="宋体"/>
                <w:b/>
                <w:bCs/>
                <w:color w:val="auto"/>
                <w:szCs w:val="21"/>
                <w:highlight w:val="none"/>
              </w:rPr>
              <w:t>序号</w:t>
            </w:r>
          </w:p>
        </w:tc>
        <w:tc>
          <w:tcPr>
            <w:tcW w:w="1806" w:type="dxa"/>
            <w:noWrap/>
            <w:vAlign w:val="center"/>
          </w:tcPr>
          <w:p w14:paraId="281C8383">
            <w:pPr>
              <w:keepNext w:val="0"/>
              <w:keepLines w:val="0"/>
              <w:widowControl/>
              <w:suppressLineNumbers w:val="0"/>
              <w:jc w:val="center"/>
              <w:rPr>
                <w:rFonts w:hint="default" w:ascii="宋体" w:eastAsia="宋体"/>
                <w:b/>
                <w:bCs/>
                <w:color w:val="auto"/>
                <w:szCs w:val="21"/>
                <w:highlight w:val="none"/>
                <w:lang w:val="en-US" w:eastAsia="zh-CN"/>
              </w:rPr>
            </w:pPr>
            <w:r>
              <w:rPr>
                <w:rFonts w:hint="eastAsia" w:ascii="宋体" w:hAnsi="宋体" w:eastAsia="宋体" w:cs="宋体"/>
                <w:b/>
                <w:bCs/>
                <w:color w:val="auto"/>
                <w:kern w:val="0"/>
                <w:sz w:val="21"/>
                <w:szCs w:val="21"/>
                <w:highlight w:val="none"/>
                <w:lang w:val="en-US" w:eastAsia="zh-CN" w:bidi="ar"/>
              </w:rPr>
              <w:t>项目名称</w:t>
            </w:r>
          </w:p>
        </w:tc>
        <w:tc>
          <w:tcPr>
            <w:tcW w:w="1355" w:type="dxa"/>
            <w:noWrap/>
            <w:vAlign w:val="center"/>
          </w:tcPr>
          <w:p w14:paraId="0125ED95">
            <w:pPr>
              <w:keepNext w:val="0"/>
              <w:keepLines w:val="0"/>
              <w:widowControl/>
              <w:suppressLineNumbers w:val="0"/>
              <w:jc w:val="center"/>
              <w:rPr>
                <w:rFonts w:ascii="宋体"/>
                <w:color w:val="auto"/>
                <w:szCs w:val="21"/>
                <w:highlight w:val="none"/>
              </w:rPr>
            </w:pPr>
            <w:r>
              <w:rPr>
                <w:rFonts w:hint="eastAsia" w:ascii="宋体" w:hAnsi="宋体" w:eastAsia="宋体" w:cs="宋体"/>
                <w:b/>
                <w:bCs/>
                <w:color w:val="auto"/>
                <w:kern w:val="0"/>
                <w:sz w:val="21"/>
                <w:szCs w:val="21"/>
                <w:highlight w:val="none"/>
                <w:lang w:val="en-US" w:eastAsia="zh-CN" w:bidi="ar"/>
              </w:rPr>
              <w:t>计量单位</w:t>
            </w:r>
          </w:p>
        </w:tc>
        <w:tc>
          <w:tcPr>
            <w:tcW w:w="1355" w:type="dxa"/>
            <w:noWrap/>
            <w:vAlign w:val="center"/>
          </w:tcPr>
          <w:p w14:paraId="05B354D4">
            <w:pPr>
              <w:keepNext w:val="0"/>
              <w:keepLines w:val="0"/>
              <w:widowControl/>
              <w:suppressLineNumbers w:val="0"/>
              <w:jc w:val="center"/>
              <w:rPr>
                <w:rFonts w:ascii="宋体"/>
                <w:color w:val="auto"/>
                <w:szCs w:val="21"/>
                <w:highlight w:val="none"/>
              </w:rPr>
            </w:pPr>
            <w:r>
              <w:rPr>
                <w:rFonts w:hint="eastAsia" w:ascii="宋体" w:hAnsi="宋体" w:eastAsia="宋体" w:cs="宋体"/>
                <w:b/>
                <w:bCs/>
                <w:color w:val="auto"/>
                <w:kern w:val="0"/>
                <w:sz w:val="21"/>
                <w:szCs w:val="21"/>
                <w:highlight w:val="none"/>
                <w:lang w:val="en-US" w:eastAsia="zh-CN" w:bidi="ar"/>
              </w:rPr>
              <w:t>工程数量</w:t>
            </w:r>
          </w:p>
        </w:tc>
        <w:tc>
          <w:tcPr>
            <w:tcW w:w="1355" w:type="dxa"/>
            <w:noWrap/>
            <w:vAlign w:val="center"/>
          </w:tcPr>
          <w:p w14:paraId="22A5278A">
            <w:pPr>
              <w:keepNext w:val="0"/>
              <w:keepLines w:val="0"/>
              <w:widowControl/>
              <w:suppressLineNumbers w:val="0"/>
              <w:jc w:val="center"/>
              <w:rPr>
                <w:rFonts w:hint="eastAsia" w:ascii="宋体" w:hAnsi="宋体"/>
                <w:b/>
                <w:bCs/>
                <w:color w:val="auto"/>
                <w:szCs w:val="21"/>
                <w:highlight w:val="none"/>
              </w:rPr>
            </w:pPr>
            <w:r>
              <w:rPr>
                <w:rFonts w:hint="eastAsia" w:ascii="宋体" w:hAnsi="宋体" w:eastAsia="宋体" w:cs="宋体"/>
                <w:b/>
                <w:bCs/>
                <w:color w:val="auto"/>
                <w:kern w:val="0"/>
                <w:sz w:val="21"/>
                <w:szCs w:val="21"/>
                <w:highlight w:val="none"/>
                <w:lang w:val="en-US" w:eastAsia="zh-CN" w:bidi="ar"/>
              </w:rPr>
              <w:t>单价（元）</w:t>
            </w:r>
          </w:p>
        </w:tc>
        <w:tc>
          <w:tcPr>
            <w:tcW w:w="1355" w:type="dxa"/>
            <w:noWrap/>
            <w:vAlign w:val="center"/>
          </w:tcPr>
          <w:p w14:paraId="17F7CB18">
            <w:pPr>
              <w:keepNext w:val="0"/>
              <w:keepLines w:val="0"/>
              <w:widowControl/>
              <w:suppressLineNumbers w:val="0"/>
              <w:jc w:val="center"/>
              <w:rPr>
                <w:rFonts w:hint="eastAsia" w:ascii="宋体" w:hAnsi="宋体"/>
                <w:b/>
                <w:bCs/>
                <w:color w:val="auto"/>
                <w:szCs w:val="21"/>
                <w:highlight w:val="none"/>
              </w:rPr>
            </w:pPr>
            <w:r>
              <w:rPr>
                <w:rFonts w:hint="eastAsia" w:ascii="宋体" w:hAnsi="宋体" w:eastAsia="宋体" w:cs="宋体"/>
                <w:b/>
                <w:bCs/>
                <w:color w:val="auto"/>
                <w:kern w:val="0"/>
                <w:sz w:val="21"/>
                <w:szCs w:val="21"/>
                <w:highlight w:val="none"/>
                <w:lang w:val="en-US" w:eastAsia="zh-CN" w:bidi="ar"/>
              </w:rPr>
              <w:t>合价（元）</w:t>
            </w:r>
          </w:p>
        </w:tc>
        <w:tc>
          <w:tcPr>
            <w:tcW w:w="1365" w:type="dxa"/>
            <w:noWrap/>
            <w:vAlign w:val="center"/>
          </w:tcPr>
          <w:p w14:paraId="3051D4A1">
            <w:pPr>
              <w:keepNext w:val="0"/>
              <w:keepLines w:val="0"/>
              <w:widowControl/>
              <w:suppressLineNumbers w:val="0"/>
              <w:jc w:val="center"/>
              <w:rPr>
                <w:rFonts w:hint="eastAsia" w:ascii="宋体" w:hAnsi="宋体"/>
                <w:b/>
                <w:bCs/>
                <w:color w:val="auto"/>
                <w:szCs w:val="21"/>
                <w:highlight w:val="none"/>
              </w:rPr>
            </w:pPr>
            <w:r>
              <w:rPr>
                <w:rFonts w:hint="eastAsia" w:ascii="宋体" w:hAnsi="宋体" w:eastAsia="宋体" w:cs="宋体"/>
                <w:b/>
                <w:bCs/>
                <w:color w:val="auto"/>
                <w:kern w:val="0"/>
                <w:sz w:val="21"/>
                <w:szCs w:val="21"/>
                <w:highlight w:val="none"/>
                <w:lang w:val="en-US" w:eastAsia="zh-CN" w:bidi="ar"/>
              </w:rPr>
              <w:t>备注</w:t>
            </w:r>
          </w:p>
        </w:tc>
      </w:tr>
      <w:tr w14:paraId="37DCB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905" w:type="dxa"/>
            <w:noWrap/>
            <w:vAlign w:val="center"/>
          </w:tcPr>
          <w:p w14:paraId="23619CB6">
            <w:pPr>
              <w:spacing w:line="440" w:lineRule="exact"/>
              <w:rPr>
                <w:rFonts w:ascii="宋体"/>
                <w:color w:val="auto"/>
                <w:szCs w:val="21"/>
                <w:highlight w:val="none"/>
              </w:rPr>
            </w:pPr>
          </w:p>
        </w:tc>
        <w:tc>
          <w:tcPr>
            <w:tcW w:w="1806" w:type="dxa"/>
            <w:noWrap/>
            <w:vAlign w:val="center"/>
          </w:tcPr>
          <w:p w14:paraId="50052255">
            <w:pPr>
              <w:spacing w:line="440" w:lineRule="exact"/>
              <w:rPr>
                <w:rFonts w:ascii="宋体"/>
                <w:color w:val="auto"/>
                <w:szCs w:val="21"/>
                <w:highlight w:val="none"/>
              </w:rPr>
            </w:pPr>
          </w:p>
        </w:tc>
        <w:tc>
          <w:tcPr>
            <w:tcW w:w="1355" w:type="dxa"/>
            <w:noWrap/>
            <w:vAlign w:val="center"/>
          </w:tcPr>
          <w:p w14:paraId="5C99FA63">
            <w:pPr>
              <w:spacing w:line="440" w:lineRule="exact"/>
              <w:rPr>
                <w:rFonts w:ascii="宋体"/>
                <w:color w:val="auto"/>
                <w:szCs w:val="21"/>
                <w:highlight w:val="none"/>
              </w:rPr>
            </w:pPr>
          </w:p>
        </w:tc>
        <w:tc>
          <w:tcPr>
            <w:tcW w:w="1355" w:type="dxa"/>
            <w:noWrap/>
            <w:vAlign w:val="center"/>
          </w:tcPr>
          <w:p w14:paraId="7DB3C60D">
            <w:pPr>
              <w:spacing w:line="440" w:lineRule="exact"/>
              <w:rPr>
                <w:rFonts w:ascii="宋体"/>
                <w:color w:val="auto"/>
                <w:szCs w:val="21"/>
                <w:highlight w:val="none"/>
              </w:rPr>
            </w:pPr>
          </w:p>
        </w:tc>
        <w:tc>
          <w:tcPr>
            <w:tcW w:w="1355" w:type="dxa"/>
            <w:noWrap/>
            <w:vAlign w:val="center"/>
          </w:tcPr>
          <w:p w14:paraId="1909F7B0">
            <w:pPr>
              <w:spacing w:line="440" w:lineRule="exact"/>
              <w:rPr>
                <w:rFonts w:ascii="宋体"/>
                <w:color w:val="auto"/>
                <w:szCs w:val="21"/>
                <w:highlight w:val="none"/>
              </w:rPr>
            </w:pPr>
          </w:p>
        </w:tc>
        <w:tc>
          <w:tcPr>
            <w:tcW w:w="1355" w:type="dxa"/>
            <w:noWrap/>
            <w:vAlign w:val="center"/>
          </w:tcPr>
          <w:p w14:paraId="09AEA453">
            <w:pPr>
              <w:spacing w:line="440" w:lineRule="exact"/>
              <w:rPr>
                <w:rFonts w:ascii="宋体"/>
                <w:color w:val="auto"/>
                <w:szCs w:val="21"/>
                <w:highlight w:val="none"/>
              </w:rPr>
            </w:pPr>
          </w:p>
        </w:tc>
        <w:tc>
          <w:tcPr>
            <w:tcW w:w="1365" w:type="dxa"/>
            <w:noWrap/>
            <w:vAlign w:val="center"/>
          </w:tcPr>
          <w:p w14:paraId="6A6D634E">
            <w:pPr>
              <w:spacing w:line="440" w:lineRule="exact"/>
              <w:rPr>
                <w:rFonts w:ascii="宋体"/>
                <w:color w:val="auto"/>
                <w:szCs w:val="21"/>
                <w:highlight w:val="none"/>
              </w:rPr>
            </w:pPr>
          </w:p>
        </w:tc>
      </w:tr>
      <w:tr w14:paraId="2C402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905" w:type="dxa"/>
            <w:shd w:val="clear" w:color="auto" w:fill="auto"/>
            <w:noWrap/>
            <w:vAlign w:val="center"/>
          </w:tcPr>
          <w:p w14:paraId="672EDF50">
            <w:pPr>
              <w:spacing w:line="440" w:lineRule="exact"/>
              <w:rPr>
                <w:rFonts w:ascii="宋体" w:hAnsi="Times New Roman" w:eastAsia="宋体" w:cs="Times New Roman"/>
                <w:color w:val="auto"/>
                <w:kern w:val="2"/>
                <w:sz w:val="21"/>
                <w:szCs w:val="21"/>
                <w:highlight w:val="none"/>
                <w:lang w:val="en-US" w:eastAsia="zh-CN" w:bidi="ar-SA"/>
              </w:rPr>
            </w:pPr>
          </w:p>
        </w:tc>
        <w:tc>
          <w:tcPr>
            <w:tcW w:w="1806" w:type="dxa"/>
            <w:noWrap/>
            <w:vAlign w:val="center"/>
          </w:tcPr>
          <w:p w14:paraId="101AD7CB">
            <w:pPr>
              <w:spacing w:line="440" w:lineRule="exact"/>
              <w:rPr>
                <w:rFonts w:hint="eastAsia" w:ascii="宋体" w:hAnsi="宋体" w:eastAsia="宋体"/>
                <w:color w:val="auto"/>
                <w:szCs w:val="21"/>
                <w:highlight w:val="none"/>
                <w:lang w:val="en-US" w:eastAsia="zh-CN"/>
              </w:rPr>
            </w:pPr>
          </w:p>
        </w:tc>
        <w:tc>
          <w:tcPr>
            <w:tcW w:w="1355" w:type="dxa"/>
            <w:noWrap/>
            <w:vAlign w:val="center"/>
          </w:tcPr>
          <w:p w14:paraId="35390144">
            <w:pPr>
              <w:spacing w:line="440" w:lineRule="exact"/>
              <w:rPr>
                <w:rFonts w:hint="eastAsia" w:ascii="宋体" w:hAnsi="宋体"/>
                <w:color w:val="auto"/>
                <w:szCs w:val="21"/>
                <w:highlight w:val="none"/>
              </w:rPr>
            </w:pPr>
          </w:p>
        </w:tc>
        <w:tc>
          <w:tcPr>
            <w:tcW w:w="1355" w:type="dxa"/>
            <w:noWrap/>
            <w:vAlign w:val="center"/>
          </w:tcPr>
          <w:p w14:paraId="341005FA">
            <w:pPr>
              <w:spacing w:line="440" w:lineRule="exact"/>
              <w:rPr>
                <w:rFonts w:ascii="宋体"/>
                <w:color w:val="auto"/>
                <w:szCs w:val="21"/>
                <w:highlight w:val="none"/>
              </w:rPr>
            </w:pPr>
          </w:p>
        </w:tc>
        <w:tc>
          <w:tcPr>
            <w:tcW w:w="1355" w:type="dxa"/>
            <w:noWrap/>
            <w:vAlign w:val="center"/>
          </w:tcPr>
          <w:p w14:paraId="33C439AA">
            <w:pPr>
              <w:spacing w:line="440" w:lineRule="exact"/>
              <w:rPr>
                <w:rFonts w:ascii="宋体"/>
                <w:color w:val="auto"/>
                <w:szCs w:val="21"/>
                <w:highlight w:val="none"/>
              </w:rPr>
            </w:pPr>
          </w:p>
        </w:tc>
        <w:tc>
          <w:tcPr>
            <w:tcW w:w="1355" w:type="dxa"/>
            <w:noWrap/>
            <w:vAlign w:val="center"/>
          </w:tcPr>
          <w:p w14:paraId="7034FD26">
            <w:pPr>
              <w:spacing w:line="440" w:lineRule="exact"/>
              <w:rPr>
                <w:rFonts w:ascii="宋体"/>
                <w:color w:val="auto"/>
                <w:szCs w:val="21"/>
                <w:highlight w:val="none"/>
              </w:rPr>
            </w:pPr>
          </w:p>
        </w:tc>
        <w:tc>
          <w:tcPr>
            <w:tcW w:w="1365" w:type="dxa"/>
            <w:noWrap/>
            <w:vAlign w:val="center"/>
          </w:tcPr>
          <w:p w14:paraId="066E2E1A">
            <w:pPr>
              <w:spacing w:line="440" w:lineRule="exact"/>
              <w:rPr>
                <w:rFonts w:ascii="宋体"/>
                <w:color w:val="auto"/>
                <w:szCs w:val="21"/>
                <w:highlight w:val="none"/>
              </w:rPr>
            </w:pPr>
          </w:p>
        </w:tc>
      </w:tr>
      <w:tr w14:paraId="7C408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905" w:type="dxa"/>
            <w:shd w:val="clear" w:color="auto" w:fill="auto"/>
            <w:noWrap/>
            <w:vAlign w:val="center"/>
          </w:tcPr>
          <w:p w14:paraId="4C003FD4">
            <w:pPr>
              <w:spacing w:line="440" w:lineRule="exact"/>
              <w:rPr>
                <w:rFonts w:ascii="宋体" w:hAnsi="Times New Roman" w:eastAsia="宋体" w:cs="Times New Roman"/>
                <w:color w:val="auto"/>
                <w:kern w:val="2"/>
                <w:sz w:val="21"/>
                <w:szCs w:val="21"/>
                <w:highlight w:val="none"/>
                <w:lang w:val="en-US" w:eastAsia="zh-CN" w:bidi="ar-SA"/>
              </w:rPr>
            </w:pPr>
          </w:p>
        </w:tc>
        <w:tc>
          <w:tcPr>
            <w:tcW w:w="1806" w:type="dxa"/>
            <w:noWrap/>
            <w:vAlign w:val="center"/>
          </w:tcPr>
          <w:p w14:paraId="5D77B143">
            <w:pPr>
              <w:spacing w:line="440" w:lineRule="exact"/>
              <w:rPr>
                <w:rFonts w:ascii="宋体"/>
                <w:color w:val="auto"/>
                <w:szCs w:val="21"/>
                <w:highlight w:val="none"/>
              </w:rPr>
            </w:pPr>
          </w:p>
        </w:tc>
        <w:tc>
          <w:tcPr>
            <w:tcW w:w="1355" w:type="dxa"/>
            <w:noWrap/>
            <w:vAlign w:val="center"/>
          </w:tcPr>
          <w:p w14:paraId="3BF9AB87">
            <w:pPr>
              <w:spacing w:line="440" w:lineRule="exact"/>
              <w:rPr>
                <w:rFonts w:ascii="宋体"/>
                <w:color w:val="auto"/>
                <w:szCs w:val="21"/>
                <w:highlight w:val="none"/>
              </w:rPr>
            </w:pPr>
          </w:p>
        </w:tc>
        <w:tc>
          <w:tcPr>
            <w:tcW w:w="1355" w:type="dxa"/>
            <w:noWrap/>
            <w:vAlign w:val="center"/>
          </w:tcPr>
          <w:p w14:paraId="0147AA25">
            <w:pPr>
              <w:spacing w:line="440" w:lineRule="exact"/>
              <w:rPr>
                <w:rFonts w:ascii="宋体"/>
                <w:color w:val="auto"/>
                <w:szCs w:val="21"/>
                <w:highlight w:val="none"/>
              </w:rPr>
            </w:pPr>
          </w:p>
        </w:tc>
        <w:tc>
          <w:tcPr>
            <w:tcW w:w="1355" w:type="dxa"/>
            <w:noWrap/>
            <w:vAlign w:val="center"/>
          </w:tcPr>
          <w:p w14:paraId="1CA12F08">
            <w:pPr>
              <w:spacing w:line="440" w:lineRule="exact"/>
              <w:rPr>
                <w:rFonts w:ascii="宋体"/>
                <w:color w:val="auto"/>
                <w:szCs w:val="21"/>
                <w:highlight w:val="none"/>
              </w:rPr>
            </w:pPr>
          </w:p>
        </w:tc>
        <w:tc>
          <w:tcPr>
            <w:tcW w:w="1355" w:type="dxa"/>
            <w:noWrap/>
            <w:vAlign w:val="center"/>
          </w:tcPr>
          <w:p w14:paraId="7F24BB84">
            <w:pPr>
              <w:spacing w:line="440" w:lineRule="exact"/>
              <w:rPr>
                <w:rFonts w:ascii="宋体"/>
                <w:color w:val="auto"/>
                <w:szCs w:val="21"/>
                <w:highlight w:val="none"/>
              </w:rPr>
            </w:pPr>
          </w:p>
        </w:tc>
        <w:tc>
          <w:tcPr>
            <w:tcW w:w="1365" w:type="dxa"/>
            <w:noWrap/>
            <w:vAlign w:val="center"/>
          </w:tcPr>
          <w:p w14:paraId="10CE9E50">
            <w:pPr>
              <w:spacing w:line="440" w:lineRule="exact"/>
              <w:rPr>
                <w:rFonts w:ascii="宋体"/>
                <w:color w:val="auto"/>
                <w:szCs w:val="21"/>
                <w:highlight w:val="none"/>
              </w:rPr>
            </w:pPr>
          </w:p>
        </w:tc>
      </w:tr>
      <w:tr w14:paraId="41419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905" w:type="dxa"/>
            <w:shd w:val="clear" w:color="auto" w:fill="auto"/>
            <w:noWrap/>
            <w:vAlign w:val="center"/>
          </w:tcPr>
          <w:p w14:paraId="38952FB2">
            <w:pPr>
              <w:spacing w:line="440" w:lineRule="exact"/>
              <w:rPr>
                <w:rFonts w:ascii="宋体" w:hAnsi="Times New Roman" w:eastAsia="宋体" w:cs="Times New Roman"/>
                <w:color w:val="auto"/>
                <w:kern w:val="2"/>
                <w:sz w:val="21"/>
                <w:szCs w:val="21"/>
                <w:highlight w:val="none"/>
                <w:lang w:val="en-US" w:eastAsia="zh-CN" w:bidi="ar-SA"/>
              </w:rPr>
            </w:pPr>
          </w:p>
        </w:tc>
        <w:tc>
          <w:tcPr>
            <w:tcW w:w="1806" w:type="dxa"/>
            <w:noWrap/>
            <w:vAlign w:val="center"/>
          </w:tcPr>
          <w:p w14:paraId="6A746868">
            <w:pPr>
              <w:spacing w:line="440" w:lineRule="exact"/>
              <w:rPr>
                <w:rFonts w:ascii="宋体"/>
                <w:color w:val="auto"/>
                <w:szCs w:val="21"/>
                <w:highlight w:val="none"/>
              </w:rPr>
            </w:pPr>
          </w:p>
        </w:tc>
        <w:tc>
          <w:tcPr>
            <w:tcW w:w="1355" w:type="dxa"/>
            <w:noWrap/>
            <w:vAlign w:val="center"/>
          </w:tcPr>
          <w:p w14:paraId="1C3C1066">
            <w:pPr>
              <w:spacing w:line="440" w:lineRule="exact"/>
              <w:rPr>
                <w:rFonts w:ascii="宋体"/>
                <w:color w:val="auto"/>
                <w:szCs w:val="21"/>
                <w:highlight w:val="none"/>
              </w:rPr>
            </w:pPr>
          </w:p>
        </w:tc>
        <w:tc>
          <w:tcPr>
            <w:tcW w:w="1355" w:type="dxa"/>
            <w:noWrap/>
            <w:vAlign w:val="center"/>
          </w:tcPr>
          <w:p w14:paraId="718B1BF1">
            <w:pPr>
              <w:spacing w:line="440" w:lineRule="exact"/>
              <w:rPr>
                <w:rFonts w:ascii="宋体"/>
                <w:color w:val="auto"/>
                <w:szCs w:val="21"/>
                <w:highlight w:val="none"/>
              </w:rPr>
            </w:pPr>
          </w:p>
        </w:tc>
        <w:tc>
          <w:tcPr>
            <w:tcW w:w="1355" w:type="dxa"/>
            <w:noWrap/>
            <w:vAlign w:val="center"/>
          </w:tcPr>
          <w:p w14:paraId="07525E1B">
            <w:pPr>
              <w:spacing w:line="440" w:lineRule="exact"/>
              <w:rPr>
                <w:rFonts w:ascii="宋体"/>
                <w:color w:val="auto"/>
                <w:szCs w:val="21"/>
                <w:highlight w:val="none"/>
              </w:rPr>
            </w:pPr>
          </w:p>
        </w:tc>
        <w:tc>
          <w:tcPr>
            <w:tcW w:w="1355" w:type="dxa"/>
            <w:noWrap/>
            <w:vAlign w:val="center"/>
          </w:tcPr>
          <w:p w14:paraId="3C15C513">
            <w:pPr>
              <w:spacing w:line="440" w:lineRule="exact"/>
              <w:rPr>
                <w:rFonts w:ascii="宋体"/>
                <w:color w:val="auto"/>
                <w:szCs w:val="21"/>
                <w:highlight w:val="none"/>
              </w:rPr>
            </w:pPr>
          </w:p>
        </w:tc>
        <w:tc>
          <w:tcPr>
            <w:tcW w:w="1365" w:type="dxa"/>
            <w:noWrap/>
            <w:vAlign w:val="center"/>
          </w:tcPr>
          <w:p w14:paraId="037B5C26">
            <w:pPr>
              <w:spacing w:line="440" w:lineRule="exact"/>
              <w:rPr>
                <w:rFonts w:ascii="宋体"/>
                <w:color w:val="auto"/>
                <w:szCs w:val="21"/>
                <w:highlight w:val="none"/>
              </w:rPr>
            </w:pPr>
          </w:p>
        </w:tc>
      </w:tr>
      <w:tr w14:paraId="6E94B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905" w:type="dxa"/>
            <w:shd w:val="clear" w:color="auto" w:fill="auto"/>
            <w:noWrap/>
            <w:vAlign w:val="center"/>
          </w:tcPr>
          <w:p w14:paraId="7B1B2747">
            <w:pPr>
              <w:spacing w:line="440" w:lineRule="exact"/>
              <w:rPr>
                <w:rFonts w:ascii="宋体" w:hAnsi="Times New Roman" w:eastAsia="宋体" w:cs="Times New Roman"/>
                <w:color w:val="auto"/>
                <w:kern w:val="2"/>
                <w:sz w:val="21"/>
                <w:szCs w:val="21"/>
                <w:highlight w:val="none"/>
                <w:lang w:val="en-US" w:eastAsia="zh-CN" w:bidi="ar-SA"/>
              </w:rPr>
            </w:pPr>
          </w:p>
        </w:tc>
        <w:tc>
          <w:tcPr>
            <w:tcW w:w="1806" w:type="dxa"/>
            <w:noWrap/>
            <w:vAlign w:val="center"/>
          </w:tcPr>
          <w:p w14:paraId="788C76C4">
            <w:pPr>
              <w:spacing w:line="440" w:lineRule="exact"/>
              <w:rPr>
                <w:rFonts w:ascii="宋体"/>
                <w:color w:val="auto"/>
                <w:szCs w:val="21"/>
                <w:highlight w:val="none"/>
              </w:rPr>
            </w:pPr>
          </w:p>
        </w:tc>
        <w:tc>
          <w:tcPr>
            <w:tcW w:w="1355" w:type="dxa"/>
            <w:noWrap/>
            <w:vAlign w:val="center"/>
          </w:tcPr>
          <w:p w14:paraId="3216B881">
            <w:pPr>
              <w:spacing w:line="440" w:lineRule="exact"/>
              <w:rPr>
                <w:rFonts w:ascii="宋体"/>
                <w:color w:val="auto"/>
                <w:szCs w:val="21"/>
                <w:highlight w:val="none"/>
              </w:rPr>
            </w:pPr>
          </w:p>
        </w:tc>
        <w:tc>
          <w:tcPr>
            <w:tcW w:w="1355" w:type="dxa"/>
            <w:noWrap/>
            <w:vAlign w:val="center"/>
          </w:tcPr>
          <w:p w14:paraId="187C1429">
            <w:pPr>
              <w:spacing w:line="440" w:lineRule="exact"/>
              <w:rPr>
                <w:rFonts w:ascii="宋体"/>
                <w:color w:val="auto"/>
                <w:szCs w:val="21"/>
                <w:highlight w:val="none"/>
              </w:rPr>
            </w:pPr>
          </w:p>
        </w:tc>
        <w:tc>
          <w:tcPr>
            <w:tcW w:w="1355" w:type="dxa"/>
            <w:noWrap/>
            <w:vAlign w:val="center"/>
          </w:tcPr>
          <w:p w14:paraId="13B6EB93">
            <w:pPr>
              <w:spacing w:line="440" w:lineRule="exact"/>
              <w:rPr>
                <w:rFonts w:ascii="宋体"/>
                <w:color w:val="auto"/>
                <w:szCs w:val="21"/>
                <w:highlight w:val="none"/>
              </w:rPr>
            </w:pPr>
          </w:p>
        </w:tc>
        <w:tc>
          <w:tcPr>
            <w:tcW w:w="1355" w:type="dxa"/>
            <w:noWrap/>
            <w:vAlign w:val="center"/>
          </w:tcPr>
          <w:p w14:paraId="72A32E9F">
            <w:pPr>
              <w:spacing w:line="440" w:lineRule="exact"/>
              <w:rPr>
                <w:rFonts w:ascii="宋体"/>
                <w:color w:val="auto"/>
                <w:szCs w:val="21"/>
                <w:highlight w:val="none"/>
              </w:rPr>
            </w:pPr>
          </w:p>
        </w:tc>
        <w:tc>
          <w:tcPr>
            <w:tcW w:w="1365" w:type="dxa"/>
            <w:noWrap/>
            <w:vAlign w:val="center"/>
          </w:tcPr>
          <w:p w14:paraId="065D9A52">
            <w:pPr>
              <w:spacing w:line="440" w:lineRule="exact"/>
              <w:rPr>
                <w:rFonts w:ascii="宋体"/>
                <w:color w:val="auto"/>
                <w:szCs w:val="21"/>
                <w:highlight w:val="none"/>
              </w:rPr>
            </w:pPr>
          </w:p>
        </w:tc>
      </w:tr>
      <w:tr w14:paraId="3C474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905" w:type="dxa"/>
            <w:shd w:val="clear" w:color="auto" w:fill="auto"/>
            <w:noWrap/>
            <w:vAlign w:val="center"/>
          </w:tcPr>
          <w:p w14:paraId="6922D3D1">
            <w:pPr>
              <w:spacing w:line="440" w:lineRule="exact"/>
              <w:rPr>
                <w:rFonts w:ascii="宋体" w:hAnsi="Times New Roman" w:eastAsia="宋体" w:cs="Times New Roman"/>
                <w:color w:val="auto"/>
                <w:kern w:val="2"/>
                <w:sz w:val="21"/>
                <w:szCs w:val="21"/>
                <w:highlight w:val="none"/>
                <w:lang w:val="en-US" w:eastAsia="zh-CN" w:bidi="ar-SA"/>
              </w:rPr>
            </w:pPr>
          </w:p>
        </w:tc>
        <w:tc>
          <w:tcPr>
            <w:tcW w:w="1806" w:type="dxa"/>
            <w:noWrap/>
            <w:vAlign w:val="center"/>
          </w:tcPr>
          <w:p w14:paraId="5523FE3E">
            <w:pPr>
              <w:spacing w:line="440" w:lineRule="exact"/>
              <w:rPr>
                <w:rFonts w:ascii="宋体" w:hAnsi="宋体"/>
                <w:color w:val="auto"/>
                <w:szCs w:val="21"/>
                <w:highlight w:val="none"/>
              </w:rPr>
            </w:pPr>
          </w:p>
        </w:tc>
        <w:tc>
          <w:tcPr>
            <w:tcW w:w="1355" w:type="dxa"/>
            <w:noWrap/>
            <w:vAlign w:val="center"/>
          </w:tcPr>
          <w:p w14:paraId="424773DB">
            <w:pPr>
              <w:spacing w:line="440" w:lineRule="exact"/>
              <w:rPr>
                <w:rFonts w:ascii="宋体" w:hAnsi="宋体"/>
                <w:color w:val="auto"/>
                <w:szCs w:val="21"/>
                <w:highlight w:val="none"/>
              </w:rPr>
            </w:pPr>
          </w:p>
        </w:tc>
        <w:tc>
          <w:tcPr>
            <w:tcW w:w="1355" w:type="dxa"/>
            <w:noWrap/>
            <w:vAlign w:val="center"/>
          </w:tcPr>
          <w:p w14:paraId="3FB601D2">
            <w:pPr>
              <w:spacing w:line="440" w:lineRule="exact"/>
              <w:rPr>
                <w:rFonts w:ascii="宋体"/>
                <w:color w:val="auto"/>
                <w:szCs w:val="21"/>
                <w:highlight w:val="none"/>
              </w:rPr>
            </w:pPr>
          </w:p>
        </w:tc>
        <w:tc>
          <w:tcPr>
            <w:tcW w:w="1355" w:type="dxa"/>
            <w:noWrap/>
            <w:vAlign w:val="center"/>
          </w:tcPr>
          <w:p w14:paraId="288ECA90">
            <w:pPr>
              <w:spacing w:line="440" w:lineRule="exact"/>
              <w:rPr>
                <w:rFonts w:ascii="宋体"/>
                <w:color w:val="auto"/>
                <w:szCs w:val="21"/>
                <w:highlight w:val="none"/>
              </w:rPr>
            </w:pPr>
          </w:p>
        </w:tc>
        <w:tc>
          <w:tcPr>
            <w:tcW w:w="1355" w:type="dxa"/>
            <w:noWrap/>
            <w:vAlign w:val="center"/>
          </w:tcPr>
          <w:p w14:paraId="5074C32C">
            <w:pPr>
              <w:spacing w:line="440" w:lineRule="exact"/>
              <w:rPr>
                <w:rFonts w:ascii="宋体"/>
                <w:color w:val="auto"/>
                <w:szCs w:val="21"/>
                <w:highlight w:val="none"/>
              </w:rPr>
            </w:pPr>
          </w:p>
        </w:tc>
        <w:tc>
          <w:tcPr>
            <w:tcW w:w="1365" w:type="dxa"/>
            <w:noWrap/>
            <w:vAlign w:val="center"/>
          </w:tcPr>
          <w:p w14:paraId="2B5D489A">
            <w:pPr>
              <w:spacing w:line="440" w:lineRule="exact"/>
              <w:rPr>
                <w:rFonts w:ascii="宋体"/>
                <w:color w:val="auto"/>
                <w:szCs w:val="21"/>
                <w:highlight w:val="none"/>
              </w:rPr>
            </w:pPr>
          </w:p>
        </w:tc>
      </w:tr>
      <w:tr w14:paraId="39A7B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905" w:type="dxa"/>
            <w:shd w:val="clear" w:color="auto" w:fill="auto"/>
            <w:noWrap/>
            <w:vAlign w:val="center"/>
          </w:tcPr>
          <w:p w14:paraId="4283C910">
            <w:pPr>
              <w:spacing w:line="440" w:lineRule="exact"/>
              <w:rPr>
                <w:rFonts w:ascii="宋体" w:hAnsi="Times New Roman" w:eastAsia="宋体" w:cs="Times New Roman"/>
                <w:color w:val="auto"/>
                <w:kern w:val="2"/>
                <w:sz w:val="21"/>
                <w:szCs w:val="21"/>
                <w:highlight w:val="none"/>
                <w:lang w:val="en-US" w:eastAsia="zh-CN" w:bidi="ar-SA"/>
              </w:rPr>
            </w:pPr>
          </w:p>
        </w:tc>
        <w:tc>
          <w:tcPr>
            <w:tcW w:w="1806" w:type="dxa"/>
            <w:noWrap/>
            <w:vAlign w:val="center"/>
          </w:tcPr>
          <w:p w14:paraId="3F14ECF0">
            <w:pPr>
              <w:spacing w:line="440" w:lineRule="exact"/>
              <w:rPr>
                <w:rFonts w:ascii="宋体"/>
                <w:color w:val="auto"/>
                <w:szCs w:val="21"/>
                <w:highlight w:val="none"/>
              </w:rPr>
            </w:pPr>
          </w:p>
        </w:tc>
        <w:tc>
          <w:tcPr>
            <w:tcW w:w="1355" w:type="dxa"/>
            <w:noWrap/>
            <w:vAlign w:val="center"/>
          </w:tcPr>
          <w:p w14:paraId="00B3D86F">
            <w:pPr>
              <w:spacing w:line="440" w:lineRule="exact"/>
              <w:rPr>
                <w:rFonts w:ascii="宋体"/>
                <w:color w:val="auto"/>
                <w:szCs w:val="21"/>
                <w:highlight w:val="none"/>
              </w:rPr>
            </w:pPr>
          </w:p>
        </w:tc>
        <w:tc>
          <w:tcPr>
            <w:tcW w:w="1355" w:type="dxa"/>
            <w:noWrap/>
            <w:vAlign w:val="center"/>
          </w:tcPr>
          <w:p w14:paraId="67100484">
            <w:pPr>
              <w:spacing w:line="440" w:lineRule="exact"/>
              <w:rPr>
                <w:rFonts w:ascii="宋体"/>
                <w:color w:val="auto"/>
                <w:szCs w:val="21"/>
                <w:highlight w:val="none"/>
              </w:rPr>
            </w:pPr>
          </w:p>
        </w:tc>
        <w:tc>
          <w:tcPr>
            <w:tcW w:w="1355" w:type="dxa"/>
            <w:noWrap/>
            <w:vAlign w:val="center"/>
          </w:tcPr>
          <w:p w14:paraId="1F8138C2">
            <w:pPr>
              <w:spacing w:line="440" w:lineRule="exact"/>
              <w:rPr>
                <w:rFonts w:ascii="宋体"/>
                <w:color w:val="auto"/>
                <w:szCs w:val="21"/>
                <w:highlight w:val="none"/>
              </w:rPr>
            </w:pPr>
          </w:p>
        </w:tc>
        <w:tc>
          <w:tcPr>
            <w:tcW w:w="1355" w:type="dxa"/>
            <w:noWrap/>
            <w:vAlign w:val="center"/>
          </w:tcPr>
          <w:p w14:paraId="390F38AE">
            <w:pPr>
              <w:spacing w:line="440" w:lineRule="exact"/>
              <w:rPr>
                <w:rFonts w:ascii="宋体"/>
                <w:color w:val="auto"/>
                <w:szCs w:val="21"/>
                <w:highlight w:val="none"/>
              </w:rPr>
            </w:pPr>
          </w:p>
        </w:tc>
        <w:tc>
          <w:tcPr>
            <w:tcW w:w="1365" w:type="dxa"/>
            <w:noWrap/>
            <w:vAlign w:val="center"/>
          </w:tcPr>
          <w:p w14:paraId="613F8004">
            <w:pPr>
              <w:spacing w:line="440" w:lineRule="exact"/>
              <w:rPr>
                <w:rFonts w:ascii="宋体"/>
                <w:color w:val="auto"/>
                <w:szCs w:val="21"/>
                <w:highlight w:val="none"/>
              </w:rPr>
            </w:pPr>
          </w:p>
        </w:tc>
      </w:tr>
      <w:tr w14:paraId="55AB6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905" w:type="dxa"/>
            <w:shd w:val="clear" w:color="auto" w:fill="auto"/>
            <w:noWrap/>
            <w:vAlign w:val="center"/>
          </w:tcPr>
          <w:p w14:paraId="7E4B3D1B">
            <w:pPr>
              <w:spacing w:line="440" w:lineRule="exact"/>
              <w:rPr>
                <w:rFonts w:ascii="宋体" w:hAnsi="Times New Roman" w:eastAsia="宋体" w:cs="Times New Roman"/>
                <w:color w:val="auto"/>
                <w:kern w:val="2"/>
                <w:sz w:val="21"/>
                <w:szCs w:val="21"/>
                <w:highlight w:val="none"/>
                <w:lang w:val="en-US" w:eastAsia="zh-CN" w:bidi="ar-SA"/>
              </w:rPr>
            </w:pPr>
          </w:p>
        </w:tc>
        <w:tc>
          <w:tcPr>
            <w:tcW w:w="1806" w:type="dxa"/>
            <w:noWrap/>
            <w:vAlign w:val="center"/>
          </w:tcPr>
          <w:p w14:paraId="4A6FCF57">
            <w:pPr>
              <w:spacing w:line="440" w:lineRule="exact"/>
              <w:rPr>
                <w:rFonts w:ascii="宋体"/>
                <w:color w:val="auto"/>
                <w:szCs w:val="21"/>
                <w:highlight w:val="none"/>
              </w:rPr>
            </w:pPr>
          </w:p>
        </w:tc>
        <w:tc>
          <w:tcPr>
            <w:tcW w:w="1355" w:type="dxa"/>
            <w:noWrap/>
            <w:vAlign w:val="center"/>
          </w:tcPr>
          <w:p w14:paraId="2B60FBBD">
            <w:pPr>
              <w:spacing w:line="440" w:lineRule="exact"/>
              <w:rPr>
                <w:rFonts w:ascii="宋体"/>
                <w:color w:val="auto"/>
                <w:szCs w:val="21"/>
                <w:highlight w:val="none"/>
              </w:rPr>
            </w:pPr>
          </w:p>
        </w:tc>
        <w:tc>
          <w:tcPr>
            <w:tcW w:w="1355" w:type="dxa"/>
            <w:noWrap/>
            <w:vAlign w:val="center"/>
          </w:tcPr>
          <w:p w14:paraId="264F0C5A">
            <w:pPr>
              <w:spacing w:line="440" w:lineRule="exact"/>
              <w:rPr>
                <w:rFonts w:ascii="宋体"/>
                <w:color w:val="auto"/>
                <w:szCs w:val="21"/>
                <w:highlight w:val="none"/>
              </w:rPr>
            </w:pPr>
          </w:p>
        </w:tc>
        <w:tc>
          <w:tcPr>
            <w:tcW w:w="1355" w:type="dxa"/>
            <w:noWrap/>
            <w:vAlign w:val="center"/>
          </w:tcPr>
          <w:p w14:paraId="53F89A86">
            <w:pPr>
              <w:spacing w:line="440" w:lineRule="exact"/>
              <w:rPr>
                <w:rFonts w:ascii="宋体"/>
                <w:color w:val="auto"/>
                <w:szCs w:val="21"/>
                <w:highlight w:val="none"/>
              </w:rPr>
            </w:pPr>
          </w:p>
        </w:tc>
        <w:tc>
          <w:tcPr>
            <w:tcW w:w="1355" w:type="dxa"/>
            <w:noWrap/>
            <w:vAlign w:val="center"/>
          </w:tcPr>
          <w:p w14:paraId="3108F4E1">
            <w:pPr>
              <w:spacing w:line="440" w:lineRule="exact"/>
              <w:rPr>
                <w:rFonts w:ascii="宋体"/>
                <w:color w:val="auto"/>
                <w:szCs w:val="21"/>
                <w:highlight w:val="none"/>
              </w:rPr>
            </w:pPr>
          </w:p>
        </w:tc>
        <w:tc>
          <w:tcPr>
            <w:tcW w:w="1365" w:type="dxa"/>
            <w:noWrap/>
            <w:vAlign w:val="center"/>
          </w:tcPr>
          <w:p w14:paraId="2E643486">
            <w:pPr>
              <w:spacing w:line="440" w:lineRule="exact"/>
              <w:rPr>
                <w:rFonts w:ascii="宋体"/>
                <w:color w:val="auto"/>
                <w:szCs w:val="21"/>
                <w:highlight w:val="none"/>
              </w:rPr>
            </w:pPr>
          </w:p>
        </w:tc>
      </w:tr>
      <w:tr w14:paraId="1E4EA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905" w:type="dxa"/>
            <w:shd w:val="clear" w:color="auto" w:fill="auto"/>
            <w:noWrap/>
            <w:vAlign w:val="center"/>
          </w:tcPr>
          <w:p w14:paraId="61D242BE">
            <w:pPr>
              <w:spacing w:line="440" w:lineRule="exact"/>
              <w:rPr>
                <w:rFonts w:ascii="宋体" w:hAnsi="Times New Roman" w:eastAsia="宋体" w:cs="Times New Roman"/>
                <w:color w:val="auto"/>
                <w:kern w:val="2"/>
                <w:sz w:val="21"/>
                <w:szCs w:val="21"/>
                <w:highlight w:val="none"/>
                <w:lang w:val="en-US" w:eastAsia="zh-CN" w:bidi="ar-SA"/>
              </w:rPr>
            </w:pPr>
          </w:p>
        </w:tc>
        <w:tc>
          <w:tcPr>
            <w:tcW w:w="1806" w:type="dxa"/>
            <w:noWrap/>
            <w:vAlign w:val="center"/>
          </w:tcPr>
          <w:p w14:paraId="2A9030D3">
            <w:pPr>
              <w:spacing w:line="440" w:lineRule="exact"/>
              <w:rPr>
                <w:rFonts w:ascii="宋体"/>
                <w:color w:val="auto"/>
                <w:szCs w:val="21"/>
                <w:highlight w:val="none"/>
              </w:rPr>
            </w:pPr>
          </w:p>
        </w:tc>
        <w:tc>
          <w:tcPr>
            <w:tcW w:w="1355" w:type="dxa"/>
            <w:noWrap/>
            <w:vAlign w:val="center"/>
          </w:tcPr>
          <w:p w14:paraId="07313B4E">
            <w:pPr>
              <w:spacing w:line="440" w:lineRule="exact"/>
              <w:rPr>
                <w:rFonts w:ascii="宋体"/>
                <w:color w:val="auto"/>
                <w:szCs w:val="21"/>
                <w:highlight w:val="none"/>
              </w:rPr>
            </w:pPr>
          </w:p>
        </w:tc>
        <w:tc>
          <w:tcPr>
            <w:tcW w:w="1355" w:type="dxa"/>
            <w:noWrap/>
            <w:vAlign w:val="center"/>
          </w:tcPr>
          <w:p w14:paraId="44889F7C">
            <w:pPr>
              <w:spacing w:line="440" w:lineRule="exact"/>
              <w:rPr>
                <w:rFonts w:ascii="宋体"/>
                <w:color w:val="auto"/>
                <w:szCs w:val="21"/>
                <w:highlight w:val="none"/>
              </w:rPr>
            </w:pPr>
          </w:p>
        </w:tc>
        <w:tc>
          <w:tcPr>
            <w:tcW w:w="1355" w:type="dxa"/>
            <w:noWrap/>
            <w:vAlign w:val="center"/>
          </w:tcPr>
          <w:p w14:paraId="7B01917C">
            <w:pPr>
              <w:spacing w:line="440" w:lineRule="exact"/>
              <w:rPr>
                <w:rFonts w:ascii="宋体"/>
                <w:color w:val="auto"/>
                <w:szCs w:val="21"/>
                <w:highlight w:val="none"/>
              </w:rPr>
            </w:pPr>
          </w:p>
        </w:tc>
        <w:tc>
          <w:tcPr>
            <w:tcW w:w="1355" w:type="dxa"/>
            <w:noWrap/>
            <w:vAlign w:val="center"/>
          </w:tcPr>
          <w:p w14:paraId="068DA228">
            <w:pPr>
              <w:spacing w:line="440" w:lineRule="exact"/>
              <w:rPr>
                <w:rFonts w:ascii="宋体"/>
                <w:color w:val="auto"/>
                <w:szCs w:val="21"/>
                <w:highlight w:val="none"/>
              </w:rPr>
            </w:pPr>
          </w:p>
        </w:tc>
        <w:tc>
          <w:tcPr>
            <w:tcW w:w="1365" w:type="dxa"/>
            <w:noWrap/>
            <w:vAlign w:val="center"/>
          </w:tcPr>
          <w:p w14:paraId="2303668E">
            <w:pPr>
              <w:spacing w:line="440" w:lineRule="exact"/>
              <w:rPr>
                <w:rFonts w:ascii="宋体"/>
                <w:color w:val="auto"/>
                <w:szCs w:val="21"/>
                <w:highlight w:val="none"/>
              </w:rPr>
            </w:pPr>
          </w:p>
        </w:tc>
      </w:tr>
      <w:tr w14:paraId="4A6AA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905" w:type="dxa"/>
            <w:shd w:val="clear" w:color="auto" w:fill="auto"/>
            <w:noWrap/>
            <w:vAlign w:val="center"/>
          </w:tcPr>
          <w:p w14:paraId="09869639">
            <w:pPr>
              <w:spacing w:line="440" w:lineRule="exact"/>
              <w:rPr>
                <w:rFonts w:ascii="宋体" w:hAnsi="Times New Roman" w:eastAsia="宋体" w:cs="Times New Roman"/>
                <w:color w:val="auto"/>
                <w:kern w:val="2"/>
                <w:sz w:val="21"/>
                <w:szCs w:val="21"/>
                <w:highlight w:val="none"/>
                <w:lang w:val="en-US" w:eastAsia="zh-CN" w:bidi="ar-SA"/>
              </w:rPr>
            </w:pPr>
          </w:p>
        </w:tc>
        <w:tc>
          <w:tcPr>
            <w:tcW w:w="1806" w:type="dxa"/>
            <w:noWrap/>
            <w:vAlign w:val="center"/>
          </w:tcPr>
          <w:p w14:paraId="26701554">
            <w:pPr>
              <w:spacing w:line="440" w:lineRule="exact"/>
              <w:rPr>
                <w:rFonts w:ascii="宋体"/>
                <w:color w:val="auto"/>
                <w:szCs w:val="21"/>
                <w:highlight w:val="none"/>
              </w:rPr>
            </w:pPr>
          </w:p>
        </w:tc>
        <w:tc>
          <w:tcPr>
            <w:tcW w:w="1355" w:type="dxa"/>
            <w:noWrap/>
            <w:vAlign w:val="center"/>
          </w:tcPr>
          <w:p w14:paraId="4E133DC9">
            <w:pPr>
              <w:spacing w:line="440" w:lineRule="exact"/>
              <w:rPr>
                <w:rFonts w:ascii="宋体"/>
                <w:color w:val="auto"/>
                <w:szCs w:val="21"/>
                <w:highlight w:val="none"/>
              </w:rPr>
            </w:pPr>
          </w:p>
        </w:tc>
        <w:tc>
          <w:tcPr>
            <w:tcW w:w="1355" w:type="dxa"/>
            <w:noWrap/>
            <w:vAlign w:val="center"/>
          </w:tcPr>
          <w:p w14:paraId="25AF8895">
            <w:pPr>
              <w:spacing w:line="440" w:lineRule="exact"/>
              <w:rPr>
                <w:rFonts w:ascii="宋体"/>
                <w:color w:val="auto"/>
                <w:szCs w:val="21"/>
                <w:highlight w:val="none"/>
              </w:rPr>
            </w:pPr>
          </w:p>
        </w:tc>
        <w:tc>
          <w:tcPr>
            <w:tcW w:w="1355" w:type="dxa"/>
            <w:noWrap/>
            <w:vAlign w:val="center"/>
          </w:tcPr>
          <w:p w14:paraId="3660B842">
            <w:pPr>
              <w:spacing w:line="440" w:lineRule="exact"/>
              <w:rPr>
                <w:rFonts w:ascii="宋体"/>
                <w:color w:val="auto"/>
                <w:szCs w:val="21"/>
                <w:highlight w:val="none"/>
              </w:rPr>
            </w:pPr>
          </w:p>
        </w:tc>
        <w:tc>
          <w:tcPr>
            <w:tcW w:w="1355" w:type="dxa"/>
            <w:noWrap/>
            <w:vAlign w:val="center"/>
          </w:tcPr>
          <w:p w14:paraId="78AE839C">
            <w:pPr>
              <w:spacing w:line="440" w:lineRule="exact"/>
              <w:rPr>
                <w:rFonts w:ascii="宋体"/>
                <w:color w:val="auto"/>
                <w:szCs w:val="21"/>
                <w:highlight w:val="none"/>
              </w:rPr>
            </w:pPr>
          </w:p>
        </w:tc>
        <w:tc>
          <w:tcPr>
            <w:tcW w:w="1365" w:type="dxa"/>
            <w:noWrap/>
            <w:vAlign w:val="center"/>
          </w:tcPr>
          <w:p w14:paraId="1679D023">
            <w:pPr>
              <w:spacing w:line="440" w:lineRule="exact"/>
              <w:rPr>
                <w:rFonts w:ascii="宋体"/>
                <w:color w:val="auto"/>
                <w:szCs w:val="21"/>
                <w:highlight w:val="none"/>
              </w:rPr>
            </w:pPr>
          </w:p>
        </w:tc>
      </w:tr>
      <w:tr w14:paraId="735A8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905" w:type="dxa"/>
            <w:shd w:val="clear" w:color="auto" w:fill="auto"/>
            <w:noWrap/>
            <w:vAlign w:val="center"/>
          </w:tcPr>
          <w:p w14:paraId="3B085CF6">
            <w:pPr>
              <w:spacing w:line="440" w:lineRule="exact"/>
              <w:rPr>
                <w:rFonts w:ascii="宋体" w:hAnsi="Times New Roman" w:eastAsia="宋体" w:cs="Times New Roman"/>
                <w:color w:val="auto"/>
                <w:kern w:val="2"/>
                <w:sz w:val="21"/>
                <w:szCs w:val="21"/>
                <w:highlight w:val="none"/>
                <w:lang w:val="en-US" w:eastAsia="zh-CN" w:bidi="ar-SA"/>
              </w:rPr>
            </w:pPr>
          </w:p>
        </w:tc>
        <w:tc>
          <w:tcPr>
            <w:tcW w:w="1806" w:type="dxa"/>
            <w:noWrap/>
            <w:vAlign w:val="center"/>
          </w:tcPr>
          <w:p w14:paraId="672AB5BC">
            <w:pPr>
              <w:spacing w:line="440" w:lineRule="exact"/>
              <w:rPr>
                <w:rFonts w:ascii="宋体"/>
                <w:color w:val="auto"/>
                <w:szCs w:val="21"/>
                <w:highlight w:val="none"/>
              </w:rPr>
            </w:pPr>
          </w:p>
        </w:tc>
        <w:tc>
          <w:tcPr>
            <w:tcW w:w="1355" w:type="dxa"/>
            <w:noWrap/>
            <w:vAlign w:val="center"/>
          </w:tcPr>
          <w:p w14:paraId="0423CA6F">
            <w:pPr>
              <w:spacing w:line="440" w:lineRule="exact"/>
              <w:rPr>
                <w:rFonts w:ascii="宋体"/>
                <w:color w:val="auto"/>
                <w:szCs w:val="21"/>
                <w:highlight w:val="none"/>
              </w:rPr>
            </w:pPr>
          </w:p>
        </w:tc>
        <w:tc>
          <w:tcPr>
            <w:tcW w:w="1355" w:type="dxa"/>
            <w:noWrap/>
            <w:vAlign w:val="center"/>
          </w:tcPr>
          <w:p w14:paraId="06C7FAE9">
            <w:pPr>
              <w:spacing w:line="440" w:lineRule="exact"/>
              <w:rPr>
                <w:rFonts w:ascii="宋体"/>
                <w:color w:val="auto"/>
                <w:szCs w:val="21"/>
                <w:highlight w:val="none"/>
              </w:rPr>
            </w:pPr>
          </w:p>
        </w:tc>
        <w:tc>
          <w:tcPr>
            <w:tcW w:w="1355" w:type="dxa"/>
            <w:noWrap/>
            <w:vAlign w:val="center"/>
          </w:tcPr>
          <w:p w14:paraId="0433F629">
            <w:pPr>
              <w:spacing w:line="440" w:lineRule="exact"/>
              <w:rPr>
                <w:rFonts w:ascii="宋体"/>
                <w:color w:val="auto"/>
                <w:szCs w:val="21"/>
                <w:highlight w:val="none"/>
              </w:rPr>
            </w:pPr>
          </w:p>
        </w:tc>
        <w:tc>
          <w:tcPr>
            <w:tcW w:w="1355" w:type="dxa"/>
            <w:noWrap/>
            <w:vAlign w:val="center"/>
          </w:tcPr>
          <w:p w14:paraId="4D6C4E7B">
            <w:pPr>
              <w:spacing w:line="440" w:lineRule="exact"/>
              <w:rPr>
                <w:rFonts w:ascii="宋体"/>
                <w:color w:val="auto"/>
                <w:szCs w:val="21"/>
                <w:highlight w:val="none"/>
              </w:rPr>
            </w:pPr>
          </w:p>
        </w:tc>
        <w:tc>
          <w:tcPr>
            <w:tcW w:w="1365" w:type="dxa"/>
            <w:noWrap/>
            <w:vAlign w:val="center"/>
          </w:tcPr>
          <w:p w14:paraId="7520F048">
            <w:pPr>
              <w:spacing w:line="440" w:lineRule="exact"/>
              <w:rPr>
                <w:rFonts w:ascii="宋体"/>
                <w:color w:val="auto"/>
                <w:szCs w:val="21"/>
                <w:highlight w:val="none"/>
              </w:rPr>
            </w:pPr>
          </w:p>
        </w:tc>
      </w:tr>
      <w:tr w14:paraId="355EB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905" w:type="dxa"/>
            <w:shd w:val="clear" w:color="auto" w:fill="auto"/>
            <w:noWrap/>
            <w:vAlign w:val="center"/>
          </w:tcPr>
          <w:p w14:paraId="0141C408">
            <w:pPr>
              <w:spacing w:line="440" w:lineRule="exact"/>
              <w:rPr>
                <w:rFonts w:ascii="宋体" w:hAnsi="Times New Roman" w:eastAsia="宋体" w:cs="Times New Roman"/>
                <w:color w:val="auto"/>
                <w:kern w:val="2"/>
                <w:sz w:val="21"/>
                <w:szCs w:val="21"/>
                <w:highlight w:val="none"/>
                <w:lang w:val="en-US" w:eastAsia="zh-CN" w:bidi="ar-SA"/>
              </w:rPr>
            </w:pPr>
          </w:p>
        </w:tc>
        <w:tc>
          <w:tcPr>
            <w:tcW w:w="1806" w:type="dxa"/>
            <w:noWrap/>
            <w:vAlign w:val="center"/>
          </w:tcPr>
          <w:p w14:paraId="73ACB78A">
            <w:pPr>
              <w:spacing w:line="440" w:lineRule="exact"/>
              <w:rPr>
                <w:rFonts w:ascii="宋体"/>
                <w:color w:val="auto"/>
                <w:szCs w:val="21"/>
                <w:highlight w:val="none"/>
              </w:rPr>
            </w:pPr>
          </w:p>
        </w:tc>
        <w:tc>
          <w:tcPr>
            <w:tcW w:w="1355" w:type="dxa"/>
            <w:noWrap/>
            <w:vAlign w:val="center"/>
          </w:tcPr>
          <w:p w14:paraId="27C10553">
            <w:pPr>
              <w:spacing w:line="440" w:lineRule="exact"/>
              <w:rPr>
                <w:rFonts w:ascii="宋体"/>
                <w:color w:val="auto"/>
                <w:szCs w:val="21"/>
                <w:highlight w:val="none"/>
              </w:rPr>
            </w:pPr>
          </w:p>
        </w:tc>
        <w:tc>
          <w:tcPr>
            <w:tcW w:w="1355" w:type="dxa"/>
            <w:noWrap/>
            <w:vAlign w:val="center"/>
          </w:tcPr>
          <w:p w14:paraId="280F7C0E">
            <w:pPr>
              <w:spacing w:line="440" w:lineRule="exact"/>
              <w:rPr>
                <w:rFonts w:ascii="宋体"/>
                <w:color w:val="auto"/>
                <w:szCs w:val="21"/>
                <w:highlight w:val="none"/>
              </w:rPr>
            </w:pPr>
          </w:p>
        </w:tc>
        <w:tc>
          <w:tcPr>
            <w:tcW w:w="1355" w:type="dxa"/>
            <w:noWrap/>
            <w:vAlign w:val="center"/>
          </w:tcPr>
          <w:p w14:paraId="349852E5">
            <w:pPr>
              <w:spacing w:line="440" w:lineRule="exact"/>
              <w:rPr>
                <w:rFonts w:ascii="宋体"/>
                <w:color w:val="auto"/>
                <w:szCs w:val="21"/>
                <w:highlight w:val="none"/>
              </w:rPr>
            </w:pPr>
          </w:p>
        </w:tc>
        <w:tc>
          <w:tcPr>
            <w:tcW w:w="1355" w:type="dxa"/>
            <w:noWrap/>
            <w:vAlign w:val="center"/>
          </w:tcPr>
          <w:p w14:paraId="100E3401">
            <w:pPr>
              <w:spacing w:line="440" w:lineRule="exact"/>
              <w:rPr>
                <w:rFonts w:ascii="宋体"/>
                <w:color w:val="auto"/>
                <w:szCs w:val="21"/>
                <w:highlight w:val="none"/>
              </w:rPr>
            </w:pPr>
          </w:p>
        </w:tc>
        <w:tc>
          <w:tcPr>
            <w:tcW w:w="1365" w:type="dxa"/>
            <w:noWrap/>
            <w:vAlign w:val="center"/>
          </w:tcPr>
          <w:p w14:paraId="7875D610">
            <w:pPr>
              <w:spacing w:line="440" w:lineRule="exact"/>
              <w:rPr>
                <w:rFonts w:ascii="宋体"/>
                <w:color w:val="auto"/>
                <w:szCs w:val="21"/>
                <w:highlight w:val="none"/>
              </w:rPr>
            </w:pPr>
          </w:p>
        </w:tc>
      </w:tr>
      <w:tr w14:paraId="274DC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5421" w:type="dxa"/>
            <w:gridSpan w:val="4"/>
            <w:shd w:val="clear" w:color="auto" w:fill="auto"/>
            <w:noWrap/>
            <w:vAlign w:val="center"/>
          </w:tcPr>
          <w:p w14:paraId="065D7BB4">
            <w:pPr>
              <w:spacing w:line="440" w:lineRule="exact"/>
              <w:jc w:val="center"/>
              <w:rPr>
                <w:rFonts w:hint="eastAsia" w:ascii="宋体" w:eastAsia="宋体"/>
                <w:color w:val="auto"/>
                <w:szCs w:val="21"/>
                <w:highlight w:val="none"/>
                <w:lang w:val="en-US" w:eastAsia="zh-CN"/>
              </w:rPr>
            </w:pPr>
            <w:r>
              <w:rPr>
                <w:rFonts w:hint="eastAsia" w:ascii="宋体"/>
                <w:color w:val="auto"/>
                <w:szCs w:val="21"/>
                <w:highlight w:val="none"/>
                <w:lang w:val="en-US" w:eastAsia="zh-CN"/>
              </w:rPr>
              <w:t>小计</w:t>
            </w:r>
          </w:p>
        </w:tc>
        <w:tc>
          <w:tcPr>
            <w:tcW w:w="4075" w:type="dxa"/>
            <w:gridSpan w:val="3"/>
            <w:noWrap/>
            <w:vAlign w:val="center"/>
          </w:tcPr>
          <w:p w14:paraId="58C06E43">
            <w:pPr>
              <w:keepNext w:val="0"/>
              <w:keepLines w:val="0"/>
              <w:widowControl/>
              <w:suppressLineNumbers w:val="0"/>
              <w:jc w:val="left"/>
              <w:rPr>
                <w:rFonts w:hint="default" w:ascii="宋体" w:hAnsi="宋体" w:eastAsia="宋体" w:cs="宋体"/>
                <w:color w:val="auto"/>
                <w:kern w:val="0"/>
                <w:sz w:val="21"/>
                <w:szCs w:val="21"/>
                <w:highlight w:val="none"/>
                <w:u w:val="single"/>
                <w:lang w:val="en-US" w:eastAsia="zh-CN" w:bidi="ar"/>
              </w:rPr>
            </w:pP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none"/>
                <w:lang w:val="en-US" w:eastAsia="zh-CN" w:bidi="ar"/>
              </w:rPr>
              <w:t>元</w:t>
            </w:r>
          </w:p>
          <w:p w14:paraId="223D3AB6">
            <w:pPr>
              <w:keepNext w:val="0"/>
              <w:keepLines w:val="0"/>
              <w:widowControl/>
              <w:suppressLineNumbers w:val="0"/>
              <w:ind w:firstLine="1050" w:firstLineChars="500"/>
              <w:jc w:val="left"/>
              <w:rPr>
                <w:rFonts w:ascii="宋体"/>
                <w:color w:val="auto"/>
                <w:szCs w:val="21"/>
                <w:highlight w:val="none"/>
              </w:rPr>
            </w:pPr>
            <w:r>
              <w:rPr>
                <w:rFonts w:hint="eastAsia" w:ascii="宋体" w:hAnsi="宋体" w:eastAsia="宋体" w:cs="宋体"/>
                <w:color w:val="auto"/>
                <w:kern w:val="0"/>
                <w:sz w:val="21"/>
                <w:szCs w:val="21"/>
                <w:highlight w:val="none"/>
                <w:lang w:val="en-US" w:eastAsia="zh-CN" w:bidi="ar"/>
              </w:rPr>
              <w:t>汇入工程项目总价表</w:t>
            </w:r>
          </w:p>
        </w:tc>
      </w:tr>
    </w:tbl>
    <w:p w14:paraId="504A6EE3">
      <w:pPr>
        <w:jc w:val="center"/>
        <w:outlineLvl w:val="9"/>
        <w:rPr>
          <w:rFonts w:hint="default" w:eastAsia="宋体"/>
          <w:color w:val="auto"/>
          <w:highlight w:val="none"/>
          <w:lang w:val="en-US" w:eastAsia="zh-CN"/>
        </w:rPr>
      </w:pPr>
    </w:p>
    <w:p w14:paraId="13061BA5">
      <w:pPr>
        <w:jc w:val="center"/>
        <w:outlineLvl w:val="9"/>
        <w:rPr>
          <w:rFonts w:hint="eastAsia"/>
          <w:color w:val="auto"/>
          <w:highlight w:val="none"/>
        </w:rPr>
      </w:pPr>
    </w:p>
    <w:p w14:paraId="1C0C0F90">
      <w:pPr>
        <w:keepNext w:val="0"/>
        <w:keepLines w:val="0"/>
        <w:pageBreakBefore w:val="0"/>
        <w:widowControl w:val="0"/>
        <w:kinsoku/>
        <w:wordWrap/>
        <w:overflowPunct/>
        <w:topLinePunct w:val="0"/>
        <w:autoSpaceDE/>
        <w:autoSpaceDN/>
        <w:bidi w:val="0"/>
        <w:adjustRightInd/>
        <w:snapToGrid/>
        <w:spacing w:line="440" w:lineRule="exact"/>
        <w:ind w:firstLine="3990" w:firstLineChars="1900"/>
        <w:textAlignment w:val="auto"/>
        <w:rPr>
          <w:color w:val="auto"/>
          <w:szCs w:val="21"/>
          <w:highlight w:val="none"/>
        </w:rPr>
      </w:pPr>
      <w:r>
        <w:rPr>
          <w:rFonts w:hint="eastAsia"/>
          <w:color w:val="auto"/>
          <w:szCs w:val="21"/>
          <w:highlight w:val="none"/>
        </w:rPr>
        <w:t>投标人：</w:t>
      </w:r>
      <w:r>
        <w:rPr>
          <w:rFonts w:hint="eastAsia"/>
          <w:color w:val="auto"/>
          <w:szCs w:val="21"/>
          <w:highlight w:val="none"/>
          <w:u w:val="single"/>
          <w:lang w:val="en-US" w:eastAsia="zh-CN"/>
        </w:rPr>
        <w:t xml:space="preserve">                          </w:t>
      </w:r>
      <w:r>
        <w:rPr>
          <w:rFonts w:hint="eastAsia"/>
          <w:color w:val="auto"/>
          <w:szCs w:val="21"/>
          <w:highlight w:val="none"/>
        </w:rPr>
        <w:t>（盖单位</w:t>
      </w:r>
      <w:r>
        <w:rPr>
          <w:rFonts w:hint="eastAsia"/>
          <w:color w:val="auto"/>
          <w:szCs w:val="21"/>
          <w:highlight w:val="none"/>
          <w:lang w:val="en-US" w:eastAsia="zh-CN"/>
        </w:rPr>
        <w:t>公</w:t>
      </w:r>
      <w:r>
        <w:rPr>
          <w:rFonts w:hint="eastAsia"/>
          <w:color w:val="auto"/>
          <w:szCs w:val="21"/>
          <w:highlight w:val="none"/>
        </w:rPr>
        <w:t>章）</w:t>
      </w:r>
    </w:p>
    <w:p w14:paraId="6DD1FC0B">
      <w:pPr>
        <w:keepNext w:val="0"/>
        <w:keepLines w:val="0"/>
        <w:pageBreakBefore w:val="0"/>
        <w:widowControl w:val="0"/>
        <w:kinsoku/>
        <w:wordWrap/>
        <w:overflowPunct/>
        <w:topLinePunct w:val="0"/>
        <w:autoSpaceDE/>
        <w:autoSpaceDN/>
        <w:bidi w:val="0"/>
        <w:adjustRightInd/>
        <w:snapToGrid/>
        <w:spacing w:line="440" w:lineRule="exact"/>
        <w:ind w:firstLine="2940" w:firstLineChars="1400"/>
        <w:textAlignment w:val="auto"/>
        <w:rPr>
          <w:color w:val="auto"/>
          <w:szCs w:val="21"/>
          <w:highlight w:val="none"/>
        </w:rPr>
      </w:pPr>
    </w:p>
    <w:p w14:paraId="16B1295C">
      <w:pPr>
        <w:keepNext w:val="0"/>
        <w:keepLines w:val="0"/>
        <w:pageBreakBefore w:val="0"/>
        <w:widowControl w:val="0"/>
        <w:kinsoku/>
        <w:wordWrap/>
        <w:overflowPunct/>
        <w:topLinePunct w:val="0"/>
        <w:autoSpaceDE/>
        <w:autoSpaceDN/>
        <w:bidi w:val="0"/>
        <w:adjustRightInd/>
        <w:snapToGrid/>
        <w:spacing w:line="440" w:lineRule="exact"/>
        <w:ind w:firstLine="3990" w:firstLineChars="1900"/>
        <w:textAlignment w:val="auto"/>
        <w:rPr>
          <w:color w:val="auto"/>
          <w:szCs w:val="21"/>
          <w:highlight w:val="none"/>
        </w:rPr>
      </w:pPr>
      <w:r>
        <w:rPr>
          <w:rFonts w:hint="eastAsia"/>
          <w:color w:val="auto"/>
          <w:szCs w:val="21"/>
          <w:highlight w:val="none"/>
        </w:rPr>
        <w:t>法定代表人</w:t>
      </w:r>
      <w:r>
        <w:rPr>
          <w:rFonts w:hint="eastAsia"/>
          <w:color w:val="auto"/>
          <w:szCs w:val="21"/>
          <w:highlight w:val="none"/>
          <w:lang w:val="en-US" w:eastAsia="zh-CN"/>
        </w:rPr>
        <w:t>或授权委托人</w:t>
      </w:r>
      <w:r>
        <w:rPr>
          <w:rFonts w:hint="eastAsia"/>
          <w:color w:val="auto"/>
          <w:szCs w:val="21"/>
          <w:highlight w:val="none"/>
        </w:rPr>
        <w:t>：</w:t>
      </w:r>
      <w:r>
        <w:rPr>
          <w:rFonts w:hint="eastAsia"/>
          <w:color w:val="auto"/>
          <w:szCs w:val="21"/>
          <w:highlight w:val="none"/>
          <w:u w:val="single"/>
          <w:lang w:val="en-US" w:eastAsia="zh-CN"/>
        </w:rPr>
        <w:t xml:space="preserve">                </w:t>
      </w:r>
      <w:r>
        <w:rPr>
          <w:rFonts w:hint="eastAsia"/>
          <w:color w:val="auto"/>
          <w:szCs w:val="21"/>
          <w:highlight w:val="none"/>
        </w:rPr>
        <w:t>（签章）</w:t>
      </w:r>
    </w:p>
    <w:p w14:paraId="7DDC63F9">
      <w:pPr>
        <w:spacing w:line="440" w:lineRule="exact"/>
        <w:rPr>
          <w:color w:val="auto"/>
          <w:szCs w:val="21"/>
          <w:highlight w:val="none"/>
        </w:rPr>
      </w:pPr>
    </w:p>
    <w:p w14:paraId="2203A33E">
      <w:pPr>
        <w:spacing w:line="440" w:lineRule="exact"/>
        <w:ind w:firstLine="5145" w:firstLineChars="2450"/>
        <w:rPr>
          <w:rFonts w:hint="eastAsia"/>
          <w:color w:val="auto"/>
          <w:highlight w:val="none"/>
        </w:rPr>
      </w:pPr>
      <w:r>
        <w:rPr>
          <w:rFonts w:hint="eastAsia"/>
          <w:color w:val="auto"/>
          <w:szCs w:val="21"/>
          <w:highlight w:val="none"/>
          <w:u w:val="single"/>
          <w:lang w:val="en-US" w:eastAsia="zh-CN"/>
        </w:rPr>
        <w:t xml:space="preserve">       </w:t>
      </w:r>
      <w:r>
        <w:rPr>
          <w:rFonts w:hint="eastAsia"/>
          <w:color w:val="auto"/>
          <w:szCs w:val="21"/>
          <w:highlight w:val="none"/>
        </w:rPr>
        <w:t>年</w:t>
      </w:r>
      <w:r>
        <w:rPr>
          <w:rFonts w:hint="eastAsia"/>
          <w:color w:val="auto"/>
          <w:szCs w:val="21"/>
          <w:highlight w:val="none"/>
          <w:u w:val="single"/>
          <w:lang w:val="en-US" w:eastAsia="zh-CN"/>
        </w:rPr>
        <w:t xml:space="preserve">       </w:t>
      </w:r>
      <w:r>
        <w:rPr>
          <w:rFonts w:hint="eastAsia"/>
          <w:color w:val="auto"/>
          <w:szCs w:val="21"/>
          <w:highlight w:val="none"/>
        </w:rPr>
        <w:t>月</w:t>
      </w:r>
      <w:r>
        <w:rPr>
          <w:rFonts w:hint="eastAsia"/>
          <w:color w:val="auto"/>
          <w:szCs w:val="21"/>
          <w:highlight w:val="none"/>
          <w:u w:val="single"/>
          <w:lang w:val="en-US" w:eastAsia="zh-CN"/>
        </w:rPr>
        <w:t xml:space="preserve">       </w:t>
      </w:r>
      <w:r>
        <w:rPr>
          <w:rFonts w:hint="eastAsia"/>
          <w:color w:val="auto"/>
          <w:szCs w:val="21"/>
          <w:highlight w:val="none"/>
        </w:rPr>
        <w:t>日</w:t>
      </w:r>
    </w:p>
    <w:p w14:paraId="4337324D">
      <w:pPr>
        <w:jc w:val="center"/>
        <w:outlineLvl w:val="9"/>
        <w:rPr>
          <w:rFonts w:hint="eastAsia"/>
          <w:b/>
          <w:bCs/>
          <w:color w:val="auto"/>
          <w:highlight w:val="none"/>
          <w:lang w:val="en-US" w:eastAsia="zh-CN"/>
        </w:rPr>
      </w:pPr>
    </w:p>
    <w:p w14:paraId="6D3B93C0">
      <w:pPr>
        <w:jc w:val="center"/>
        <w:outlineLvl w:val="9"/>
        <w:rPr>
          <w:rFonts w:hint="eastAsia"/>
          <w:b/>
          <w:bCs/>
          <w:color w:val="auto"/>
          <w:highlight w:val="none"/>
          <w:lang w:val="en-US" w:eastAsia="zh-CN"/>
        </w:rPr>
      </w:pPr>
    </w:p>
    <w:p w14:paraId="5C5D7A41">
      <w:pPr>
        <w:jc w:val="center"/>
        <w:outlineLvl w:val="9"/>
        <w:rPr>
          <w:rFonts w:hint="eastAsia"/>
          <w:b/>
          <w:bCs/>
          <w:color w:val="auto"/>
          <w:highlight w:val="none"/>
          <w:lang w:val="en-US" w:eastAsia="zh-CN"/>
        </w:rPr>
      </w:pPr>
      <w:r>
        <w:rPr>
          <w:rFonts w:hint="eastAsia"/>
          <w:b/>
          <w:bCs/>
          <w:color w:val="auto"/>
          <w:highlight w:val="none"/>
          <w:lang w:val="en-US" w:eastAsia="zh-CN"/>
        </w:rPr>
        <w:t>5-6技术服务费清单</w:t>
      </w:r>
    </w:p>
    <w:p w14:paraId="79AB9B25">
      <w:pPr>
        <w:jc w:val="center"/>
        <w:outlineLvl w:val="9"/>
        <w:rPr>
          <w:rFonts w:hint="eastAsia"/>
          <w:b/>
          <w:bCs/>
          <w:color w:val="auto"/>
          <w:highlight w:val="none"/>
          <w:lang w:val="en-US" w:eastAsia="zh-CN"/>
        </w:rPr>
      </w:pPr>
    </w:p>
    <w:tbl>
      <w:tblPr>
        <w:tblStyle w:val="42"/>
        <w:tblW w:w="91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2430"/>
        <w:gridCol w:w="1823"/>
        <w:gridCol w:w="1823"/>
        <w:gridCol w:w="1823"/>
      </w:tblGrid>
      <w:tr w14:paraId="290B6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218" w:type="dxa"/>
            <w:noWrap/>
            <w:vAlign w:val="center"/>
          </w:tcPr>
          <w:p w14:paraId="06ECDBDD">
            <w:pPr>
              <w:jc w:val="center"/>
              <w:rPr>
                <w:rFonts w:ascii="宋体"/>
                <w:color w:val="auto"/>
                <w:szCs w:val="21"/>
                <w:highlight w:val="none"/>
              </w:rPr>
            </w:pPr>
            <w:r>
              <w:rPr>
                <w:rFonts w:hint="eastAsia" w:ascii="宋体" w:hAnsi="宋体"/>
                <w:b/>
                <w:bCs/>
                <w:color w:val="auto"/>
                <w:szCs w:val="21"/>
                <w:highlight w:val="none"/>
              </w:rPr>
              <w:t>序号</w:t>
            </w:r>
          </w:p>
        </w:tc>
        <w:tc>
          <w:tcPr>
            <w:tcW w:w="2430" w:type="dxa"/>
            <w:noWrap/>
            <w:vAlign w:val="center"/>
          </w:tcPr>
          <w:p w14:paraId="7F5511FB">
            <w:pPr>
              <w:keepNext w:val="0"/>
              <w:keepLines w:val="0"/>
              <w:widowControl/>
              <w:suppressLineNumbers w:val="0"/>
              <w:jc w:val="center"/>
              <w:rPr>
                <w:rFonts w:hint="default" w:ascii="宋体" w:eastAsia="宋体"/>
                <w:b/>
                <w:bCs/>
                <w:color w:val="auto"/>
                <w:szCs w:val="21"/>
                <w:highlight w:val="none"/>
                <w:lang w:val="en-US" w:eastAsia="zh-CN"/>
              </w:rPr>
            </w:pPr>
            <w:r>
              <w:rPr>
                <w:rFonts w:hint="eastAsia" w:ascii="宋体" w:hAnsi="宋体" w:eastAsia="宋体" w:cs="宋体"/>
                <w:b/>
                <w:bCs/>
                <w:color w:val="auto"/>
                <w:kern w:val="0"/>
                <w:sz w:val="21"/>
                <w:szCs w:val="21"/>
                <w:highlight w:val="none"/>
                <w:lang w:val="en-US" w:eastAsia="zh-CN" w:bidi="ar"/>
              </w:rPr>
              <w:t>项目名称</w:t>
            </w:r>
          </w:p>
        </w:tc>
        <w:tc>
          <w:tcPr>
            <w:tcW w:w="1823" w:type="dxa"/>
            <w:noWrap/>
            <w:vAlign w:val="center"/>
          </w:tcPr>
          <w:p w14:paraId="0D2028FF">
            <w:pPr>
              <w:keepNext w:val="0"/>
              <w:keepLines w:val="0"/>
              <w:widowControl/>
              <w:suppressLineNumbers w:val="0"/>
              <w:jc w:val="center"/>
              <w:rPr>
                <w:rFonts w:ascii="宋体"/>
                <w:color w:val="auto"/>
                <w:szCs w:val="21"/>
                <w:highlight w:val="none"/>
              </w:rPr>
            </w:pPr>
            <w:r>
              <w:rPr>
                <w:rFonts w:hint="eastAsia" w:ascii="宋体" w:hAnsi="宋体" w:eastAsia="宋体" w:cs="宋体"/>
                <w:b/>
                <w:bCs/>
                <w:color w:val="auto"/>
                <w:kern w:val="0"/>
                <w:sz w:val="21"/>
                <w:szCs w:val="21"/>
                <w:highlight w:val="none"/>
                <w:lang w:val="en-US" w:eastAsia="zh-CN" w:bidi="ar"/>
              </w:rPr>
              <w:t>工作内容</w:t>
            </w:r>
          </w:p>
        </w:tc>
        <w:tc>
          <w:tcPr>
            <w:tcW w:w="1823" w:type="dxa"/>
            <w:noWrap/>
            <w:vAlign w:val="center"/>
          </w:tcPr>
          <w:p w14:paraId="1C73BA62">
            <w:pPr>
              <w:keepNext w:val="0"/>
              <w:keepLines w:val="0"/>
              <w:widowControl/>
              <w:suppressLineNumbers w:val="0"/>
              <w:jc w:val="center"/>
              <w:rPr>
                <w:rFonts w:ascii="宋体"/>
                <w:color w:val="auto"/>
                <w:szCs w:val="21"/>
                <w:highlight w:val="none"/>
              </w:rPr>
            </w:pPr>
            <w:r>
              <w:rPr>
                <w:rFonts w:hint="eastAsia" w:ascii="宋体" w:hAnsi="宋体" w:eastAsia="宋体" w:cs="宋体"/>
                <w:b/>
                <w:bCs/>
                <w:color w:val="auto"/>
                <w:kern w:val="0"/>
                <w:sz w:val="21"/>
                <w:szCs w:val="21"/>
                <w:highlight w:val="none"/>
                <w:lang w:val="en-US" w:eastAsia="zh-CN" w:bidi="ar"/>
              </w:rPr>
              <w:t>金 额（元）</w:t>
            </w:r>
          </w:p>
        </w:tc>
        <w:tc>
          <w:tcPr>
            <w:tcW w:w="1823" w:type="dxa"/>
            <w:noWrap/>
            <w:vAlign w:val="center"/>
          </w:tcPr>
          <w:p w14:paraId="488CA833">
            <w:pPr>
              <w:keepNext w:val="0"/>
              <w:keepLines w:val="0"/>
              <w:widowControl/>
              <w:suppressLineNumbers w:val="0"/>
              <w:jc w:val="center"/>
              <w:rPr>
                <w:rFonts w:hint="eastAsia" w:ascii="宋体" w:hAnsi="宋体"/>
                <w:b/>
                <w:bCs/>
                <w:color w:val="auto"/>
                <w:szCs w:val="21"/>
                <w:highlight w:val="none"/>
              </w:rPr>
            </w:pPr>
            <w:r>
              <w:rPr>
                <w:rFonts w:hint="eastAsia" w:ascii="宋体" w:hAnsi="宋体" w:eastAsia="宋体" w:cs="宋体"/>
                <w:b/>
                <w:bCs/>
                <w:color w:val="auto"/>
                <w:kern w:val="0"/>
                <w:sz w:val="21"/>
                <w:szCs w:val="21"/>
                <w:highlight w:val="none"/>
                <w:lang w:val="en-US" w:eastAsia="zh-CN" w:bidi="ar"/>
              </w:rPr>
              <w:t>备注</w:t>
            </w:r>
          </w:p>
        </w:tc>
      </w:tr>
      <w:tr w14:paraId="56C32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218" w:type="dxa"/>
            <w:noWrap/>
            <w:vAlign w:val="center"/>
          </w:tcPr>
          <w:p w14:paraId="336BFF36">
            <w:pPr>
              <w:spacing w:line="440" w:lineRule="exact"/>
              <w:rPr>
                <w:rFonts w:ascii="宋体"/>
                <w:color w:val="auto"/>
                <w:szCs w:val="21"/>
                <w:highlight w:val="none"/>
              </w:rPr>
            </w:pPr>
          </w:p>
        </w:tc>
        <w:tc>
          <w:tcPr>
            <w:tcW w:w="2430" w:type="dxa"/>
            <w:noWrap/>
            <w:vAlign w:val="center"/>
          </w:tcPr>
          <w:p w14:paraId="021BBB5D">
            <w:pPr>
              <w:spacing w:line="440" w:lineRule="exact"/>
              <w:rPr>
                <w:rFonts w:ascii="宋体"/>
                <w:color w:val="auto"/>
                <w:szCs w:val="21"/>
                <w:highlight w:val="none"/>
              </w:rPr>
            </w:pPr>
          </w:p>
        </w:tc>
        <w:tc>
          <w:tcPr>
            <w:tcW w:w="1823" w:type="dxa"/>
            <w:noWrap/>
            <w:vAlign w:val="center"/>
          </w:tcPr>
          <w:p w14:paraId="15BD3458">
            <w:pPr>
              <w:spacing w:line="440" w:lineRule="exact"/>
              <w:rPr>
                <w:rFonts w:ascii="宋体"/>
                <w:color w:val="auto"/>
                <w:szCs w:val="21"/>
                <w:highlight w:val="none"/>
              </w:rPr>
            </w:pPr>
          </w:p>
        </w:tc>
        <w:tc>
          <w:tcPr>
            <w:tcW w:w="1823" w:type="dxa"/>
            <w:noWrap/>
            <w:vAlign w:val="center"/>
          </w:tcPr>
          <w:p w14:paraId="237B3427">
            <w:pPr>
              <w:spacing w:line="440" w:lineRule="exact"/>
              <w:rPr>
                <w:rFonts w:ascii="宋体"/>
                <w:color w:val="auto"/>
                <w:szCs w:val="21"/>
                <w:highlight w:val="none"/>
              </w:rPr>
            </w:pPr>
          </w:p>
        </w:tc>
        <w:tc>
          <w:tcPr>
            <w:tcW w:w="1823" w:type="dxa"/>
            <w:noWrap/>
            <w:vAlign w:val="center"/>
          </w:tcPr>
          <w:p w14:paraId="62AF3DC7">
            <w:pPr>
              <w:spacing w:line="440" w:lineRule="exact"/>
              <w:rPr>
                <w:rFonts w:ascii="宋体"/>
                <w:color w:val="auto"/>
                <w:szCs w:val="21"/>
                <w:highlight w:val="none"/>
              </w:rPr>
            </w:pPr>
          </w:p>
        </w:tc>
      </w:tr>
      <w:tr w14:paraId="12236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218" w:type="dxa"/>
            <w:shd w:val="clear" w:color="auto" w:fill="auto"/>
            <w:noWrap/>
            <w:vAlign w:val="center"/>
          </w:tcPr>
          <w:p w14:paraId="4A74B22E">
            <w:pPr>
              <w:spacing w:line="440" w:lineRule="exact"/>
              <w:rPr>
                <w:rFonts w:ascii="宋体" w:hAnsi="Times New Roman" w:eastAsia="宋体" w:cs="Times New Roman"/>
                <w:color w:val="auto"/>
                <w:kern w:val="2"/>
                <w:sz w:val="21"/>
                <w:szCs w:val="21"/>
                <w:highlight w:val="none"/>
                <w:lang w:val="en-US" w:eastAsia="zh-CN" w:bidi="ar-SA"/>
              </w:rPr>
            </w:pPr>
          </w:p>
        </w:tc>
        <w:tc>
          <w:tcPr>
            <w:tcW w:w="2430" w:type="dxa"/>
            <w:noWrap/>
            <w:vAlign w:val="center"/>
          </w:tcPr>
          <w:p w14:paraId="14227A98">
            <w:pPr>
              <w:spacing w:line="440" w:lineRule="exact"/>
              <w:rPr>
                <w:rFonts w:hint="eastAsia" w:ascii="宋体" w:hAnsi="宋体" w:eastAsia="宋体"/>
                <w:color w:val="auto"/>
                <w:szCs w:val="21"/>
                <w:highlight w:val="none"/>
                <w:lang w:val="en-US" w:eastAsia="zh-CN"/>
              </w:rPr>
            </w:pPr>
          </w:p>
        </w:tc>
        <w:tc>
          <w:tcPr>
            <w:tcW w:w="1823" w:type="dxa"/>
            <w:noWrap/>
            <w:vAlign w:val="center"/>
          </w:tcPr>
          <w:p w14:paraId="60ADF7BF">
            <w:pPr>
              <w:spacing w:line="440" w:lineRule="exact"/>
              <w:rPr>
                <w:rFonts w:hint="eastAsia" w:ascii="宋体" w:hAnsi="宋体"/>
                <w:color w:val="auto"/>
                <w:szCs w:val="21"/>
                <w:highlight w:val="none"/>
              </w:rPr>
            </w:pPr>
          </w:p>
        </w:tc>
        <w:tc>
          <w:tcPr>
            <w:tcW w:w="1823" w:type="dxa"/>
            <w:noWrap/>
            <w:vAlign w:val="center"/>
          </w:tcPr>
          <w:p w14:paraId="2B740D3D">
            <w:pPr>
              <w:spacing w:line="440" w:lineRule="exact"/>
              <w:rPr>
                <w:rFonts w:ascii="宋体"/>
                <w:color w:val="auto"/>
                <w:szCs w:val="21"/>
                <w:highlight w:val="none"/>
              </w:rPr>
            </w:pPr>
          </w:p>
        </w:tc>
        <w:tc>
          <w:tcPr>
            <w:tcW w:w="1823" w:type="dxa"/>
            <w:noWrap/>
            <w:vAlign w:val="center"/>
          </w:tcPr>
          <w:p w14:paraId="61B909A4">
            <w:pPr>
              <w:spacing w:line="440" w:lineRule="exact"/>
              <w:rPr>
                <w:rFonts w:ascii="宋体"/>
                <w:color w:val="auto"/>
                <w:szCs w:val="21"/>
                <w:highlight w:val="none"/>
              </w:rPr>
            </w:pPr>
          </w:p>
        </w:tc>
      </w:tr>
      <w:tr w14:paraId="3D060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218" w:type="dxa"/>
            <w:shd w:val="clear" w:color="auto" w:fill="auto"/>
            <w:noWrap/>
            <w:vAlign w:val="center"/>
          </w:tcPr>
          <w:p w14:paraId="22352913">
            <w:pPr>
              <w:spacing w:line="440" w:lineRule="exact"/>
              <w:rPr>
                <w:rFonts w:ascii="宋体" w:hAnsi="Times New Roman" w:eastAsia="宋体" w:cs="Times New Roman"/>
                <w:color w:val="auto"/>
                <w:kern w:val="2"/>
                <w:sz w:val="21"/>
                <w:szCs w:val="21"/>
                <w:highlight w:val="none"/>
                <w:lang w:val="en-US" w:eastAsia="zh-CN" w:bidi="ar-SA"/>
              </w:rPr>
            </w:pPr>
          </w:p>
        </w:tc>
        <w:tc>
          <w:tcPr>
            <w:tcW w:w="2430" w:type="dxa"/>
            <w:noWrap/>
            <w:vAlign w:val="center"/>
          </w:tcPr>
          <w:p w14:paraId="697D83F9">
            <w:pPr>
              <w:spacing w:line="440" w:lineRule="exact"/>
              <w:rPr>
                <w:rFonts w:ascii="宋体"/>
                <w:color w:val="auto"/>
                <w:szCs w:val="21"/>
                <w:highlight w:val="none"/>
              </w:rPr>
            </w:pPr>
          </w:p>
        </w:tc>
        <w:tc>
          <w:tcPr>
            <w:tcW w:w="1823" w:type="dxa"/>
            <w:noWrap/>
            <w:vAlign w:val="center"/>
          </w:tcPr>
          <w:p w14:paraId="3E95CD2A">
            <w:pPr>
              <w:spacing w:line="440" w:lineRule="exact"/>
              <w:rPr>
                <w:rFonts w:ascii="宋体"/>
                <w:color w:val="auto"/>
                <w:szCs w:val="21"/>
                <w:highlight w:val="none"/>
              </w:rPr>
            </w:pPr>
          </w:p>
        </w:tc>
        <w:tc>
          <w:tcPr>
            <w:tcW w:w="1823" w:type="dxa"/>
            <w:noWrap/>
            <w:vAlign w:val="center"/>
          </w:tcPr>
          <w:p w14:paraId="568AE8BC">
            <w:pPr>
              <w:spacing w:line="440" w:lineRule="exact"/>
              <w:rPr>
                <w:rFonts w:ascii="宋体"/>
                <w:color w:val="auto"/>
                <w:szCs w:val="21"/>
                <w:highlight w:val="none"/>
              </w:rPr>
            </w:pPr>
          </w:p>
        </w:tc>
        <w:tc>
          <w:tcPr>
            <w:tcW w:w="1823" w:type="dxa"/>
            <w:noWrap/>
            <w:vAlign w:val="center"/>
          </w:tcPr>
          <w:p w14:paraId="2E34D635">
            <w:pPr>
              <w:spacing w:line="440" w:lineRule="exact"/>
              <w:rPr>
                <w:rFonts w:ascii="宋体"/>
                <w:color w:val="auto"/>
                <w:szCs w:val="21"/>
                <w:highlight w:val="none"/>
              </w:rPr>
            </w:pPr>
          </w:p>
        </w:tc>
      </w:tr>
      <w:tr w14:paraId="78C5D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218" w:type="dxa"/>
            <w:shd w:val="clear" w:color="auto" w:fill="auto"/>
            <w:noWrap/>
            <w:vAlign w:val="center"/>
          </w:tcPr>
          <w:p w14:paraId="041D8FC5">
            <w:pPr>
              <w:spacing w:line="440" w:lineRule="exact"/>
              <w:rPr>
                <w:rFonts w:ascii="宋体" w:hAnsi="Times New Roman" w:eastAsia="宋体" w:cs="Times New Roman"/>
                <w:color w:val="auto"/>
                <w:kern w:val="2"/>
                <w:sz w:val="21"/>
                <w:szCs w:val="21"/>
                <w:highlight w:val="none"/>
                <w:lang w:val="en-US" w:eastAsia="zh-CN" w:bidi="ar-SA"/>
              </w:rPr>
            </w:pPr>
          </w:p>
        </w:tc>
        <w:tc>
          <w:tcPr>
            <w:tcW w:w="2430" w:type="dxa"/>
            <w:noWrap/>
            <w:vAlign w:val="center"/>
          </w:tcPr>
          <w:p w14:paraId="1991455C">
            <w:pPr>
              <w:spacing w:line="440" w:lineRule="exact"/>
              <w:rPr>
                <w:rFonts w:ascii="宋体"/>
                <w:color w:val="auto"/>
                <w:szCs w:val="21"/>
                <w:highlight w:val="none"/>
              </w:rPr>
            </w:pPr>
          </w:p>
        </w:tc>
        <w:tc>
          <w:tcPr>
            <w:tcW w:w="1823" w:type="dxa"/>
            <w:noWrap/>
            <w:vAlign w:val="center"/>
          </w:tcPr>
          <w:p w14:paraId="1F6B44DE">
            <w:pPr>
              <w:spacing w:line="440" w:lineRule="exact"/>
              <w:rPr>
                <w:rFonts w:ascii="宋体"/>
                <w:color w:val="auto"/>
                <w:szCs w:val="21"/>
                <w:highlight w:val="none"/>
              </w:rPr>
            </w:pPr>
          </w:p>
        </w:tc>
        <w:tc>
          <w:tcPr>
            <w:tcW w:w="1823" w:type="dxa"/>
            <w:noWrap/>
            <w:vAlign w:val="center"/>
          </w:tcPr>
          <w:p w14:paraId="7A5A5B0C">
            <w:pPr>
              <w:spacing w:line="440" w:lineRule="exact"/>
              <w:rPr>
                <w:rFonts w:ascii="宋体"/>
                <w:color w:val="auto"/>
                <w:szCs w:val="21"/>
                <w:highlight w:val="none"/>
              </w:rPr>
            </w:pPr>
          </w:p>
        </w:tc>
        <w:tc>
          <w:tcPr>
            <w:tcW w:w="1823" w:type="dxa"/>
            <w:noWrap/>
            <w:vAlign w:val="center"/>
          </w:tcPr>
          <w:p w14:paraId="1D0873CA">
            <w:pPr>
              <w:spacing w:line="440" w:lineRule="exact"/>
              <w:rPr>
                <w:rFonts w:ascii="宋体"/>
                <w:color w:val="auto"/>
                <w:szCs w:val="21"/>
                <w:highlight w:val="none"/>
              </w:rPr>
            </w:pPr>
          </w:p>
        </w:tc>
      </w:tr>
      <w:tr w14:paraId="1298F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218" w:type="dxa"/>
            <w:shd w:val="clear" w:color="auto" w:fill="auto"/>
            <w:noWrap/>
            <w:vAlign w:val="center"/>
          </w:tcPr>
          <w:p w14:paraId="0B568826">
            <w:pPr>
              <w:spacing w:line="440" w:lineRule="exact"/>
              <w:rPr>
                <w:rFonts w:ascii="宋体" w:hAnsi="Times New Roman" w:eastAsia="宋体" w:cs="Times New Roman"/>
                <w:color w:val="auto"/>
                <w:kern w:val="2"/>
                <w:sz w:val="21"/>
                <w:szCs w:val="21"/>
                <w:highlight w:val="none"/>
                <w:lang w:val="en-US" w:eastAsia="zh-CN" w:bidi="ar-SA"/>
              </w:rPr>
            </w:pPr>
          </w:p>
        </w:tc>
        <w:tc>
          <w:tcPr>
            <w:tcW w:w="2430" w:type="dxa"/>
            <w:noWrap/>
            <w:vAlign w:val="center"/>
          </w:tcPr>
          <w:p w14:paraId="53DF6BDC">
            <w:pPr>
              <w:spacing w:line="440" w:lineRule="exact"/>
              <w:rPr>
                <w:rFonts w:ascii="宋体"/>
                <w:color w:val="auto"/>
                <w:szCs w:val="21"/>
                <w:highlight w:val="none"/>
              </w:rPr>
            </w:pPr>
          </w:p>
        </w:tc>
        <w:tc>
          <w:tcPr>
            <w:tcW w:w="1823" w:type="dxa"/>
            <w:noWrap/>
            <w:vAlign w:val="center"/>
          </w:tcPr>
          <w:p w14:paraId="74DDA53F">
            <w:pPr>
              <w:spacing w:line="440" w:lineRule="exact"/>
              <w:rPr>
                <w:rFonts w:ascii="宋体"/>
                <w:color w:val="auto"/>
                <w:szCs w:val="21"/>
                <w:highlight w:val="none"/>
              </w:rPr>
            </w:pPr>
          </w:p>
        </w:tc>
        <w:tc>
          <w:tcPr>
            <w:tcW w:w="1823" w:type="dxa"/>
            <w:noWrap/>
            <w:vAlign w:val="center"/>
          </w:tcPr>
          <w:p w14:paraId="3E5125DD">
            <w:pPr>
              <w:spacing w:line="440" w:lineRule="exact"/>
              <w:rPr>
                <w:rFonts w:ascii="宋体"/>
                <w:color w:val="auto"/>
                <w:szCs w:val="21"/>
                <w:highlight w:val="none"/>
              </w:rPr>
            </w:pPr>
          </w:p>
        </w:tc>
        <w:tc>
          <w:tcPr>
            <w:tcW w:w="1823" w:type="dxa"/>
            <w:noWrap/>
            <w:vAlign w:val="center"/>
          </w:tcPr>
          <w:p w14:paraId="658FD66C">
            <w:pPr>
              <w:spacing w:line="440" w:lineRule="exact"/>
              <w:rPr>
                <w:rFonts w:ascii="宋体"/>
                <w:color w:val="auto"/>
                <w:szCs w:val="21"/>
                <w:highlight w:val="none"/>
              </w:rPr>
            </w:pPr>
          </w:p>
        </w:tc>
      </w:tr>
      <w:tr w14:paraId="36814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218" w:type="dxa"/>
            <w:shd w:val="clear" w:color="auto" w:fill="auto"/>
            <w:noWrap/>
            <w:vAlign w:val="center"/>
          </w:tcPr>
          <w:p w14:paraId="7866EE5A">
            <w:pPr>
              <w:spacing w:line="440" w:lineRule="exact"/>
              <w:rPr>
                <w:rFonts w:ascii="宋体" w:hAnsi="Times New Roman" w:eastAsia="宋体" w:cs="Times New Roman"/>
                <w:color w:val="auto"/>
                <w:kern w:val="2"/>
                <w:sz w:val="21"/>
                <w:szCs w:val="21"/>
                <w:highlight w:val="none"/>
                <w:lang w:val="en-US" w:eastAsia="zh-CN" w:bidi="ar-SA"/>
              </w:rPr>
            </w:pPr>
          </w:p>
        </w:tc>
        <w:tc>
          <w:tcPr>
            <w:tcW w:w="2430" w:type="dxa"/>
            <w:noWrap/>
            <w:vAlign w:val="center"/>
          </w:tcPr>
          <w:p w14:paraId="2D36C5DE">
            <w:pPr>
              <w:spacing w:line="440" w:lineRule="exact"/>
              <w:rPr>
                <w:rFonts w:ascii="宋体" w:hAnsi="宋体"/>
                <w:color w:val="auto"/>
                <w:szCs w:val="21"/>
                <w:highlight w:val="none"/>
              </w:rPr>
            </w:pPr>
          </w:p>
        </w:tc>
        <w:tc>
          <w:tcPr>
            <w:tcW w:w="1823" w:type="dxa"/>
            <w:noWrap/>
            <w:vAlign w:val="center"/>
          </w:tcPr>
          <w:p w14:paraId="58DE2E9E">
            <w:pPr>
              <w:spacing w:line="440" w:lineRule="exact"/>
              <w:rPr>
                <w:rFonts w:ascii="宋体" w:hAnsi="宋体"/>
                <w:color w:val="auto"/>
                <w:szCs w:val="21"/>
                <w:highlight w:val="none"/>
              </w:rPr>
            </w:pPr>
          </w:p>
        </w:tc>
        <w:tc>
          <w:tcPr>
            <w:tcW w:w="1823" w:type="dxa"/>
            <w:noWrap/>
            <w:vAlign w:val="center"/>
          </w:tcPr>
          <w:p w14:paraId="2A0F171C">
            <w:pPr>
              <w:spacing w:line="440" w:lineRule="exact"/>
              <w:rPr>
                <w:rFonts w:ascii="宋体"/>
                <w:color w:val="auto"/>
                <w:szCs w:val="21"/>
                <w:highlight w:val="none"/>
              </w:rPr>
            </w:pPr>
          </w:p>
        </w:tc>
        <w:tc>
          <w:tcPr>
            <w:tcW w:w="1823" w:type="dxa"/>
            <w:noWrap/>
            <w:vAlign w:val="center"/>
          </w:tcPr>
          <w:p w14:paraId="18F2EBDC">
            <w:pPr>
              <w:spacing w:line="440" w:lineRule="exact"/>
              <w:rPr>
                <w:rFonts w:ascii="宋体"/>
                <w:color w:val="auto"/>
                <w:szCs w:val="21"/>
                <w:highlight w:val="none"/>
              </w:rPr>
            </w:pPr>
          </w:p>
        </w:tc>
      </w:tr>
      <w:tr w14:paraId="08762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218" w:type="dxa"/>
            <w:shd w:val="clear" w:color="auto" w:fill="auto"/>
            <w:noWrap/>
            <w:vAlign w:val="center"/>
          </w:tcPr>
          <w:p w14:paraId="2DC51A5A">
            <w:pPr>
              <w:spacing w:line="440" w:lineRule="exact"/>
              <w:rPr>
                <w:rFonts w:ascii="宋体" w:hAnsi="Times New Roman" w:eastAsia="宋体" w:cs="Times New Roman"/>
                <w:color w:val="auto"/>
                <w:kern w:val="2"/>
                <w:sz w:val="21"/>
                <w:szCs w:val="21"/>
                <w:highlight w:val="none"/>
                <w:lang w:val="en-US" w:eastAsia="zh-CN" w:bidi="ar-SA"/>
              </w:rPr>
            </w:pPr>
          </w:p>
        </w:tc>
        <w:tc>
          <w:tcPr>
            <w:tcW w:w="2430" w:type="dxa"/>
            <w:noWrap/>
            <w:vAlign w:val="center"/>
          </w:tcPr>
          <w:p w14:paraId="4A2D5081">
            <w:pPr>
              <w:spacing w:line="440" w:lineRule="exact"/>
              <w:rPr>
                <w:rFonts w:ascii="宋体"/>
                <w:color w:val="auto"/>
                <w:szCs w:val="21"/>
                <w:highlight w:val="none"/>
              </w:rPr>
            </w:pPr>
          </w:p>
        </w:tc>
        <w:tc>
          <w:tcPr>
            <w:tcW w:w="1823" w:type="dxa"/>
            <w:noWrap/>
            <w:vAlign w:val="center"/>
          </w:tcPr>
          <w:p w14:paraId="47254588">
            <w:pPr>
              <w:spacing w:line="440" w:lineRule="exact"/>
              <w:rPr>
                <w:rFonts w:ascii="宋体"/>
                <w:color w:val="auto"/>
                <w:szCs w:val="21"/>
                <w:highlight w:val="none"/>
              </w:rPr>
            </w:pPr>
          </w:p>
        </w:tc>
        <w:tc>
          <w:tcPr>
            <w:tcW w:w="1823" w:type="dxa"/>
            <w:noWrap/>
            <w:vAlign w:val="center"/>
          </w:tcPr>
          <w:p w14:paraId="054F46F3">
            <w:pPr>
              <w:spacing w:line="440" w:lineRule="exact"/>
              <w:rPr>
                <w:rFonts w:ascii="宋体"/>
                <w:color w:val="auto"/>
                <w:szCs w:val="21"/>
                <w:highlight w:val="none"/>
              </w:rPr>
            </w:pPr>
          </w:p>
        </w:tc>
        <w:tc>
          <w:tcPr>
            <w:tcW w:w="1823" w:type="dxa"/>
            <w:noWrap/>
            <w:vAlign w:val="center"/>
          </w:tcPr>
          <w:p w14:paraId="39A69FDB">
            <w:pPr>
              <w:spacing w:line="440" w:lineRule="exact"/>
              <w:rPr>
                <w:rFonts w:ascii="宋体"/>
                <w:color w:val="auto"/>
                <w:szCs w:val="21"/>
                <w:highlight w:val="none"/>
              </w:rPr>
            </w:pPr>
          </w:p>
        </w:tc>
      </w:tr>
      <w:tr w14:paraId="1951A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218" w:type="dxa"/>
            <w:shd w:val="clear" w:color="auto" w:fill="auto"/>
            <w:noWrap/>
            <w:vAlign w:val="center"/>
          </w:tcPr>
          <w:p w14:paraId="51587030">
            <w:pPr>
              <w:spacing w:line="440" w:lineRule="exact"/>
              <w:rPr>
                <w:rFonts w:ascii="宋体" w:hAnsi="Times New Roman" w:eastAsia="宋体" w:cs="Times New Roman"/>
                <w:color w:val="auto"/>
                <w:kern w:val="2"/>
                <w:sz w:val="21"/>
                <w:szCs w:val="21"/>
                <w:highlight w:val="none"/>
                <w:lang w:val="en-US" w:eastAsia="zh-CN" w:bidi="ar-SA"/>
              </w:rPr>
            </w:pPr>
          </w:p>
        </w:tc>
        <w:tc>
          <w:tcPr>
            <w:tcW w:w="2430" w:type="dxa"/>
            <w:noWrap/>
            <w:vAlign w:val="center"/>
          </w:tcPr>
          <w:p w14:paraId="00C44A01">
            <w:pPr>
              <w:spacing w:line="440" w:lineRule="exact"/>
              <w:rPr>
                <w:rFonts w:ascii="宋体"/>
                <w:color w:val="auto"/>
                <w:szCs w:val="21"/>
                <w:highlight w:val="none"/>
              </w:rPr>
            </w:pPr>
          </w:p>
        </w:tc>
        <w:tc>
          <w:tcPr>
            <w:tcW w:w="1823" w:type="dxa"/>
            <w:noWrap/>
            <w:vAlign w:val="center"/>
          </w:tcPr>
          <w:p w14:paraId="750D1B0D">
            <w:pPr>
              <w:spacing w:line="440" w:lineRule="exact"/>
              <w:rPr>
                <w:rFonts w:ascii="宋体"/>
                <w:color w:val="auto"/>
                <w:szCs w:val="21"/>
                <w:highlight w:val="none"/>
              </w:rPr>
            </w:pPr>
          </w:p>
        </w:tc>
        <w:tc>
          <w:tcPr>
            <w:tcW w:w="1823" w:type="dxa"/>
            <w:noWrap/>
            <w:vAlign w:val="center"/>
          </w:tcPr>
          <w:p w14:paraId="5E530C07">
            <w:pPr>
              <w:spacing w:line="440" w:lineRule="exact"/>
              <w:rPr>
                <w:rFonts w:ascii="宋体"/>
                <w:color w:val="auto"/>
                <w:szCs w:val="21"/>
                <w:highlight w:val="none"/>
              </w:rPr>
            </w:pPr>
          </w:p>
        </w:tc>
        <w:tc>
          <w:tcPr>
            <w:tcW w:w="1823" w:type="dxa"/>
            <w:noWrap/>
            <w:vAlign w:val="center"/>
          </w:tcPr>
          <w:p w14:paraId="17AB7548">
            <w:pPr>
              <w:spacing w:line="440" w:lineRule="exact"/>
              <w:rPr>
                <w:rFonts w:ascii="宋体"/>
                <w:color w:val="auto"/>
                <w:szCs w:val="21"/>
                <w:highlight w:val="none"/>
              </w:rPr>
            </w:pPr>
          </w:p>
        </w:tc>
      </w:tr>
      <w:tr w14:paraId="56355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218" w:type="dxa"/>
            <w:shd w:val="clear" w:color="auto" w:fill="auto"/>
            <w:noWrap/>
            <w:vAlign w:val="center"/>
          </w:tcPr>
          <w:p w14:paraId="3DC566E8">
            <w:pPr>
              <w:spacing w:line="440" w:lineRule="exact"/>
              <w:rPr>
                <w:rFonts w:ascii="宋体" w:hAnsi="Times New Roman" w:eastAsia="宋体" w:cs="Times New Roman"/>
                <w:color w:val="auto"/>
                <w:kern w:val="2"/>
                <w:sz w:val="21"/>
                <w:szCs w:val="21"/>
                <w:highlight w:val="none"/>
                <w:lang w:val="en-US" w:eastAsia="zh-CN" w:bidi="ar-SA"/>
              </w:rPr>
            </w:pPr>
          </w:p>
        </w:tc>
        <w:tc>
          <w:tcPr>
            <w:tcW w:w="2430" w:type="dxa"/>
            <w:noWrap/>
            <w:vAlign w:val="center"/>
          </w:tcPr>
          <w:p w14:paraId="67F353A6">
            <w:pPr>
              <w:spacing w:line="440" w:lineRule="exact"/>
              <w:rPr>
                <w:rFonts w:ascii="宋体"/>
                <w:color w:val="auto"/>
                <w:szCs w:val="21"/>
                <w:highlight w:val="none"/>
              </w:rPr>
            </w:pPr>
          </w:p>
        </w:tc>
        <w:tc>
          <w:tcPr>
            <w:tcW w:w="1823" w:type="dxa"/>
            <w:noWrap/>
            <w:vAlign w:val="center"/>
          </w:tcPr>
          <w:p w14:paraId="514428AE">
            <w:pPr>
              <w:spacing w:line="440" w:lineRule="exact"/>
              <w:rPr>
                <w:rFonts w:ascii="宋体"/>
                <w:color w:val="auto"/>
                <w:szCs w:val="21"/>
                <w:highlight w:val="none"/>
              </w:rPr>
            </w:pPr>
          </w:p>
        </w:tc>
        <w:tc>
          <w:tcPr>
            <w:tcW w:w="1823" w:type="dxa"/>
            <w:noWrap/>
            <w:vAlign w:val="center"/>
          </w:tcPr>
          <w:p w14:paraId="604BFB39">
            <w:pPr>
              <w:spacing w:line="440" w:lineRule="exact"/>
              <w:rPr>
                <w:rFonts w:ascii="宋体"/>
                <w:color w:val="auto"/>
                <w:szCs w:val="21"/>
                <w:highlight w:val="none"/>
              </w:rPr>
            </w:pPr>
          </w:p>
        </w:tc>
        <w:tc>
          <w:tcPr>
            <w:tcW w:w="1823" w:type="dxa"/>
            <w:noWrap/>
            <w:vAlign w:val="center"/>
          </w:tcPr>
          <w:p w14:paraId="584DB686">
            <w:pPr>
              <w:spacing w:line="440" w:lineRule="exact"/>
              <w:rPr>
                <w:rFonts w:ascii="宋体"/>
                <w:color w:val="auto"/>
                <w:szCs w:val="21"/>
                <w:highlight w:val="none"/>
              </w:rPr>
            </w:pPr>
          </w:p>
        </w:tc>
      </w:tr>
      <w:tr w14:paraId="5217B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2" w:hRule="atLeast"/>
        </w:trPr>
        <w:tc>
          <w:tcPr>
            <w:tcW w:w="1218" w:type="dxa"/>
            <w:shd w:val="clear" w:color="auto" w:fill="auto"/>
            <w:noWrap/>
            <w:vAlign w:val="center"/>
          </w:tcPr>
          <w:p w14:paraId="5476B41E">
            <w:pPr>
              <w:spacing w:line="440" w:lineRule="exact"/>
              <w:rPr>
                <w:rFonts w:ascii="宋体" w:hAnsi="Times New Roman" w:eastAsia="宋体" w:cs="Times New Roman"/>
                <w:color w:val="auto"/>
                <w:kern w:val="2"/>
                <w:sz w:val="21"/>
                <w:szCs w:val="21"/>
                <w:highlight w:val="none"/>
                <w:lang w:val="en-US" w:eastAsia="zh-CN" w:bidi="ar-SA"/>
              </w:rPr>
            </w:pPr>
          </w:p>
        </w:tc>
        <w:tc>
          <w:tcPr>
            <w:tcW w:w="2430" w:type="dxa"/>
            <w:noWrap/>
            <w:vAlign w:val="center"/>
          </w:tcPr>
          <w:p w14:paraId="2791DA5D">
            <w:pPr>
              <w:spacing w:line="440" w:lineRule="exact"/>
              <w:rPr>
                <w:rFonts w:ascii="宋体"/>
                <w:color w:val="auto"/>
                <w:szCs w:val="21"/>
                <w:highlight w:val="none"/>
              </w:rPr>
            </w:pPr>
          </w:p>
        </w:tc>
        <w:tc>
          <w:tcPr>
            <w:tcW w:w="1823" w:type="dxa"/>
            <w:noWrap/>
            <w:vAlign w:val="center"/>
          </w:tcPr>
          <w:p w14:paraId="0645903B">
            <w:pPr>
              <w:spacing w:line="440" w:lineRule="exact"/>
              <w:rPr>
                <w:rFonts w:ascii="宋体"/>
                <w:color w:val="auto"/>
                <w:szCs w:val="21"/>
                <w:highlight w:val="none"/>
              </w:rPr>
            </w:pPr>
          </w:p>
        </w:tc>
        <w:tc>
          <w:tcPr>
            <w:tcW w:w="1823" w:type="dxa"/>
            <w:noWrap/>
            <w:vAlign w:val="center"/>
          </w:tcPr>
          <w:p w14:paraId="4DCDBCE7">
            <w:pPr>
              <w:spacing w:line="440" w:lineRule="exact"/>
              <w:rPr>
                <w:rFonts w:ascii="宋体"/>
                <w:color w:val="auto"/>
                <w:szCs w:val="21"/>
                <w:highlight w:val="none"/>
              </w:rPr>
            </w:pPr>
          </w:p>
        </w:tc>
        <w:tc>
          <w:tcPr>
            <w:tcW w:w="1823" w:type="dxa"/>
            <w:noWrap/>
            <w:vAlign w:val="center"/>
          </w:tcPr>
          <w:p w14:paraId="2694B162">
            <w:pPr>
              <w:spacing w:line="440" w:lineRule="exact"/>
              <w:rPr>
                <w:rFonts w:ascii="宋体"/>
                <w:color w:val="auto"/>
                <w:szCs w:val="21"/>
                <w:highlight w:val="none"/>
              </w:rPr>
            </w:pPr>
          </w:p>
        </w:tc>
      </w:tr>
      <w:tr w14:paraId="39743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218" w:type="dxa"/>
            <w:shd w:val="clear" w:color="auto" w:fill="auto"/>
            <w:noWrap/>
            <w:vAlign w:val="center"/>
          </w:tcPr>
          <w:p w14:paraId="2FC961BF">
            <w:pPr>
              <w:spacing w:line="440" w:lineRule="exact"/>
              <w:rPr>
                <w:rFonts w:ascii="宋体" w:hAnsi="Times New Roman" w:eastAsia="宋体" w:cs="Times New Roman"/>
                <w:color w:val="auto"/>
                <w:kern w:val="2"/>
                <w:sz w:val="21"/>
                <w:szCs w:val="21"/>
                <w:highlight w:val="none"/>
                <w:lang w:val="en-US" w:eastAsia="zh-CN" w:bidi="ar-SA"/>
              </w:rPr>
            </w:pPr>
          </w:p>
        </w:tc>
        <w:tc>
          <w:tcPr>
            <w:tcW w:w="2430" w:type="dxa"/>
            <w:noWrap/>
            <w:vAlign w:val="center"/>
          </w:tcPr>
          <w:p w14:paraId="18306DF4">
            <w:pPr>
              <w:spacing w:line="440" w:lineRule="exact"/>
              <w:rPr>
                <w:rFonts w:ascii="宋体"/>
                <w:color w:val="auto"/>
                <w:szCs w:val="21"/>
                <w:highlight w:val="none"/>
              </w:rPr>
            </w:pPr>
          </w:p>
        </w:tc>
        <w:tc>
          <w:tcPr>
            <w:tcW w:w="1823" w:type="dxa"/>
            <w:noWrap/>
            <w:vAlign w:val="center"/>
          </w:tcPr>
          <w:p w14:paraId="1C7EDF33">
            <w:pPr>
              <w:spacing w:line="440" w:lineRule="exact"/>
              <w:rPr>
                <w:rFonts w:ascii="宋体"/>
                <w:color w:val="auto"/>
                <w:szCs w:val="21"/>
                <w:highlight w:val="none"/>
              </w:rPr>
            </w:pPr>
          </w:p>
        </w:tc>
        <w:tc>
          <w:tcPr>
            <w:tcW w:w="1823" w:type="dxa"/>
            <w:noWrap/>
            <w:vAlign w:val="center"/>
          </w:tcPr>
          <w:p w14:paraId="047A19BF">
            <w:pPr>
              <w:spacing w:line="440" w:lineRule="exact"/>
              <w:rPr>
                <w:rFonts w:ascii="宋体"/>
                <w:color w:val="auto"/>
                <w:szCs w:val="21"/>
                <w:highlight w:val="none"/>
              </w:rPr>
            </w:pPr>
          </w:p>
        </w:tc>
        <w:tc>
          <w:tcPr>
            <w:tcW w:w="1823" w:type="dxa"/>
            <w:noWrap/>
            <w:vAlign w:val="center"/>
          </w:tcPr>
          <w:p w14:paraId="36ECEB6C">
            <w:pPr>
              <w:spacing w:line="440" w:lineRule="exact"/>
              <w:rPr>
                <w:rFonts w:ascii="宋体"/>
                <w:color w:val="auto"/>
                <w:szCs w:val="21"/>
                <w:highlight w:val="none"/>
              </w:rPr>
            </w:pPr>
          </w:p>
        </w:tc>
      </w:tr>
      <w:tr w14:paraId="18FC6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3648" w:type="dxa"/>
            <w:gridSpan w:val="2"/>
            <w:shd w:val="clear" w:color="auto" w:fill="auto"/>
            <w:noWrap/>
            <w:vAlign w:val="center"/>
          </w:tcPr>
          <w:p w14:paraId="72D491D4">
            <w:pPr>
              <w:keepNext w:val="0"/>
              <w:keepLines w:val="0"/>
              <w:widowControl/>
              <w:suppressLineNumbers w:val="0"/>
              <w:jc w:val="center"/>
              <w:rPr>
                <w:rFonts w:ascii="宋体"/>
                <w:color w:val="auto"/>
                <w:szCs w:val="21"/>
                <w:highlight w:val="none"/>
              </w:rPr>
            </w:pPr>
            <w:r>
              <w:rPr>
                <w:rFonts w:hint="eastAsia" w:ascii="宋体" w:hAnsi="宋体" w:eastAsia="宋体" w:cs="宋体"/>
                <w:color w:val="auto"/>
                <w:kern w:val="0"/>
                <w:sz w:val="21"/>
                <w:szCs w:val="21"/>
                <w:highlight w:val="none"/>
                <w:lang w:val="en-US" w:eastAsia="zh-CN" w:bidi="ar"/>
              </w:rPr>
              <w:t>小 计</w:t>
            </w:r>
          </w:p>
        </w:tc>
        <w:tc>
          <w:tcPr>
            <w:tcW w:w="5469" w:type="dxa"/>
            <w:gridSpan w:val="3"/>
            <w:noWrap/>
            <w:vAlign w:val="center"/>
          </w:tcPr>
          <w:p w14:paraId="7977F7A9">
            <w:pPr>
              <w:keepNext w:val="0"/>
              <w:keepLines w:val="0"/>
              <w:widowControl/>
              <w:suppressLineNumbers w:val="0"/>
              <w:jc w:val="left"/>
              <w:rPr>
                <w:rFonts w:hint="default" w:ascii="宋体" w:hAnsi="宋体" w:eastAsia="宋体" w:cs="宋体"/>
                <w:color w:val="auto"/>
                <w:kern w:val="0"/>
                <w:sz w:val="21"/>
                <w:szCs w:val="21"/>
                <w:highlight w:val="none"/>
                <w:u w:val="single"/>
                <w:lang w:val="en-US" w:eastAsia="zh-CN" w:bidi="ar"/>
              </w:rPr>
            </w:pP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none"/>
                <w:lang w:val="en-US" w:eastAsia="zh-CN" w:bidi="ar"/>
              </w:rPr>
              <w:t>元</w:t>
            </w:r>
          </w:p>
          <w:p w14:paraId="4C6AE885">
            <w:pPr>
              <w:spacing w:line="440" w:lineRule="exact"/>
              <w:ind w:firstLine="1260" w:firstLineChars="600"/>
              <w:rPr>
                <w:rFonts w:ascii="宋体"/>
                <w:color w:val="auto"/>
                <w:szCs w:val="21"/>
                <w:highlight w:val="none"/>
              </w:rPr>
            </w:pPr>
            <w:r>
              <w:rPr>
                <w:rFonts w:hint="eastAsia" w:ascii="宋体" w:hAnsi="宋体" w:eastAsia="宋体" w:cs="宋体"/>
                <w:color w:val="auto"/>
                <w:kern w:val="0"/>
                <w:sz w:val="21"/>
                <w:szCs w:val="21"/>
                <w:highlight w:val="none"/>
                <w:lang w:val="en-US" w:eastAsia="zh-CN" w:bidi="ar"/>
              </w:rPr>
              <w:t>汇入投标报价汇总表</w:t>
            </w:r>
          </w:p>
        </w:tc>
      </w:tr>
    </w:tbl>
    <w:p w14:paraId="53B33150">
      <w:pPr>
        <w:jc w:val="center"/>
        <w:outlineLvl w:val="9"/>
        <w:rPr>
          <w:rFonts w:hint="default" w:eastAsia="宋体"/>
          <w:color w:val="auto"/>
          <w:highlight w:val="none"/>
          <w:lang w:val="en-US" w:eastAsia="zh-CN"/>
        </w:rPr>
      </w:pPr>
    </w:p>
    <w:p w14:paraId="3CB23C57">
      <w:pPr>
        <w:jc w:val="center"/>
        <w:outlineLvl w:val="9"/>
        <w:rPr>
          <w:rFonts w:hint="eastAsia"/>
          <w:color w:val="auto"/>
          <w:highlight w:val="none"/>
        </w:rPr>
      </w:pPr>
    </w:p>
    <w:p w14:paraId="1697E360">
      <w:pPr>
        <w:keepNext w:val="0"/>
        <w:keepLines w:val="0"/>
        <w:pageBreakBefore w:val="0"/>
        <w:widowControl w:val="0"/>
        <w:kinsoku/>
        <w:wordWrap/>
        <w:overflowPunct/>
        <w:topLinePunct w:val="0"/>
        <w:autoSpaceDE/>
        <w:autoSpaceDN/>
        <w:bidi w:val="0"/>
        <w:adjustRightInd/>
        <w:snapToGrid/>
        <w:spacing w:line="440" w:lineRule="exact"/>
        <w:ind w:firstLine="2940" w:firstLineChars="1400"/>
        <w:textAlignment w:val="auto"/>
        <w:rPr>
          <w:color w:val="auto"/>
          <w:szCs w:val="21"/>
          <w:highlight w:val="none"/>
        </w:rPr>
      </w:pPr>
      <w:r>
        <w:rPr>
          <w:rFonts w:hint="eastAsia"/>
          <w:color w:val="auto"/>
          <w:szCs w:val="21"/>
          <w:highlight w:val="none"/>
        </w:rPr>
        <w:t>投标人：</w:t>
      </w:r>
      <w:r>
        <w:rPr>
          <w:rFonts w:hint="eastAsia"/>
          <w:color w:val="auto"/>
          <w:szCs w:val="21"/>
          <w:highlight w:val="none"/>
          <w:u w:val="single"/>
          <w:lang w:val="en-US" w:eastAsia="zh-CN"/>
        </w:rPr>
        <w:t xml:space="preserve">                          </w:t>
      </w:r>
      <w:r>
        <w:rPr>
          <w:rFonts w:hint="eastAsia"/>
          <w:color w:val="auto"/>
          <w:szCs w:val="21"/>
          <w:highlight w:val="none"/>
        </w:rPr>
        <w:t>（盖单位</w:t>
      </w:r>
      <w:r>
        <w:rPr>
          <w:rFonts w:hint="eastAsia"/>
          <w:color w:val="auto"/>
          <w:szCs w:val="21"/>
          <w:highlight w:val="none"/>
          <w:lang w:val="en-US" w:eastAsia="zh-CN"/>
        </w:rPr>
        <w:t>公</w:t>
      </w:r>
      <w:r>
        <w:rPr>
          <w:rFonts w:hint="eastAsia"/>
          <w:color w:val="auto"/>
          <w:szCs w:val="21"/>
          <w:highlight w:val="none"/>
        </w:rPr>
        <w:t>章）</w:t>
      </w:r>
    </w:p>
    <w:p w14:paraId="54D0D9F6">
      <w:pPr>
        <w:keepNext w:val="0"/>
        <w:keepLines w:val="0"/>
        <w:pageBreakBefore w:val="0"/>
        <w:widowControl w:val="0"/>
        <w:kinsoku/>
        <w:wordWrap/>
        <w:overflowPunct/>
        <w:topLinePunct w:val="0"/>
        <w:autoSpaceDE/>
        <w:autoSpaceDN/>
        <w:bidi w:val="0"/>
        <w:adjustRightInd/>
        <w:snapToGrid/>
        <w:spacing w:line="440" w:lineRule="exact"/>
        <w:ind w:firstLine="2940" w:firstLineChars="1400"/>
        <w:textAlignment w:val="auto"/>
        <w:rPr>
          <w:color w:val="auto"/>
          <w:szCs w:val="21"/>
          <w:highlight w:val="none"/>
        </w:rPr>
      </w:pPr>
    </w:p>
    <w:p w14:paraId="6AF7982B">
      <w:pPr>
        <w:keepNext w:val="0"/>
        <w:keepLines w:val="0"/>
        <w:pageBreakBefore w:val="0"/>
        <w:widowControl w:val="0"/>
        <w:kinsoku/>
        <w:wordWrap/>
        <w:overflowPunct/>
        <w:topLinePunct w:val="0"/>
        <w:autoSpaceDE/>
        <w:autoSpaceDN/>
        <w:bidi w:val="0"/>
        <w:adjustRightInd/>
        <w:snapToGrid/>
        <w:spacing w:line="440" w:lineRule="exact"/>
        <w:ind w:firstLine="2940" w:firstLineChars="1400"/>
        <w:textAlignment w:val="auto"/>
        <w:rPr>
          <w:color w:val="auto"/>
          <w:szCs w:val="21"/>
          <w:highlight w:val="none"/>
        </w:rPr>
      </w:pPr>
      <w:r>
        <w:rPr>
          <w:rFonts w:hint="eastAsia"/>
          <w:color w:val="auto"/>
          <w:szCs w:val="21"/>
          <w:highlight w:val="none"/>
        </w:rPr>
        <w:t>法定代表人</w:t>
      </w:r>
      <w:r>
        <w:rPr>
          <w:rFonts w:hint="eastAsia"/>
          <w:color w:val="auto"/>
          <w:szCs w:val="21"/>
          <w:highlight w:val="none"/>
          <w:lang w:val="en-US" w:eastAsia="zh-CN"/>
        </w:rPr>
        <w:t>或授权委托人</w:t>
      </w:r>
      <w:r>
        <w:rPr>
          <w:rFonts w:hint="eastAsia"/>
          <w:color w:val="auto"/>
          <w:szCs w:val="21"/>
          <w:highlight w:val="none"/>
        </w:rPr>
        <w:t>：</w:t>
      </w:r>
      <w:r>
        <w:rPr>
          <w:rFonts w:hint="eastAsia"/>
          <w:color w:val="auto"/>
          <w:szCs w:val="21"/>
          <w:highlight w:val="none"/>
          <w:u w:val="single"/>
          <w:lang w:val="en-US" w:eastAsia="zh-CN"/>
        </w:rPr>
        <w:t xml:space="preserve">                </w:t>
      </w:r>
      <w:r>
        <w:rPr>
          <w:rFonts w:hint="eastAsia"/>
          <w:color w:val="auto"/>
          <w:szCs w:val="21"/>
          <w:highlight w:val="none"/>
        </w:rPr>
        <w:t>（签章）</w:t>
      </w:r>
    </w:p>
    <w:p w14:paraId="135F34E5">
      <w:pPr>
        <w:spacing w:line="440" w:lineRule="exact"/>
        <w:rPr>
          <w:color w:val="auto"/>
          <w:szCs w:val="21"/>
          <w:highlight w:val="none"/>
        </w:rPr>
      </w:pPr>
    </w:p>
    <w:p w14:paraId="14149645">
      <w:pPr>
        <w:spacing w:line="440" w:lineRule="exact"/>
        <w:ind w:firstLine="4305" w:firstLineChars="2050"/>
        <w:rPr>
          <w:rFonts w:hint="eastAsia"/>
          <w:color w:val="auto"/>
          <w:szCs w:val="21"/>
          <w:highlight w:val="none"/>
        </w:rPr>
      </w:pPr>
      <w:r>
        <w:rPr>
          <w:rFonts w:hint="eastAsia"/>
          <w:color w:val="auto"/>
          <w:szCs w:val="21"/>
          <w:highlight w:val="none"/>
          <w:u w:val="single"/>
          <w:lang w:val="en-US" w:eastAsia="zh-CN"/>
        </w:rPr>
        <w:t xml:space="preserve">       </w:t>
      </w:r>
      <w:r>
        <w:rPr>
          <w:rFonts w:hint="eastAsia"/>
          <w:color w:val="auto"/>
          <w:szCs w:val="21"/>
          <w:highlight w:val="none"/>
        </w:rPr>
        <w:t>年</w:t>
      </w:r>
      <w:r>
        <w:rPr>
          <w:rFonts w:hint="eastAsia"/>
          <w:color w:val="auto"/>
          <w:szCs w:val="21"/>
          <w:highlight w:val="none"/>
          <w:u w:val="single"/>
          <w:lang w:val="en-US" w:eastAsia="zh-CN"/>
        </w:rPr>
        <w:t xml:space="preserve">       </w:t>
      </w:r>
      <w:r>
        <w:rPr>
          <w:rFonts w:hint="eastAsia"/>
          <w:color w:val="auto"/>
          <w:szCs w:val="21"/>
          <w:highlight w:val="none"/>
        </w:rPr>
        <w:t>月</w:t>
      </w:r>
      <w:r>
        <w:rPr>
          <w:rFonts w:hint="eastAsia"/>
          <w:color w:val="auto"/>
          <w:szCs w:val="21"/>
          <w:highlight w:val="none"/>
          <w:u w:val="single"/>
          <w:lang w:val="en-US" w:eastAsia="zh-CN"/>
        </w:rPr>
        <w:t xml:space="preserve">       </w:t>
      </w:r>
      <w:r>
        <w:rPr>
          <w:rFonts w:hint="eastAsia"/>
          <w:color w:val="auto"/>
          <w:szCs w:val="21"/>
          <w:highlight w:val="none"/>
        </w:rPr>
        <w:t>日</w:t>
      </w:r>
    </w:p>
    <w:p w14:paraId="125FFADF">
      <w:pPr>
        <w:spacing w:line="440" w:lineRule="exact"/>
        <w:ind w:firstLine="4305" w:firstLineChars="2050"/>
        <w:rPr>
          <w:rFonts w:hint="eastAsia"/>
          <w:color w:val="auto"/>
          <w:szCs w:val="21"/>
          <w:highlight w:val="none"/>
        </w:rPr>
      </w:pPr>
    </w:p>
    <w:p w14:paraId="1A9A3ADC">
      <w:pPr>
        <w:spacing w:line="440" w:lineRule="exact"/>
        <w:ind w:firstLine="4305" w:firstLineChars="2050"/>
        <w:rPr>
          <w:rFonts w:hint="eastAsia"/>
          <w:color w:val="auto"/>
          <w:szCs w:val="21"/>
          <w:highlight w:val="none"/>
        </w:rPr>
      </w:pPr>
    </w:p>
    <w:p w14:paraId="0F8D4D77">
      <w:pPr>
        <w:spacing w:line="440" w:lineRule="exact"/>
        <w:ind w:firstLine="4305" w:firstLineChars="2050"/>
        <w:rPr>
          <w:rFonts w:hint="eastAsia"/>
          <w:color w:val="auto"/>
          <w:szCs w:val="21"/>
          <w:highlight w:val="none"/>
        </w:rPr>
      </w:pPr>
    </w:p>
    <w:p w14:paraId="0F6E4608">
      <w:pPr>
        <w:jc w:val="center"/>
        <w:outlineLvl w:val="9"/>
        <w:rPr>
          <w:rFonts w:hint="eastAsia"/>
          <w:b/>
          <w:bCs/>
          <w:color w:val="auto"/>
          <w:highlight w:val="none"/>
          <w:lang w:val="en-US" w:eastAsia="zh-CN"/>
        </w:rPr>
      </w:pPr>
      <w:r>
        <w:rPr>
          <w:rFonts w:hint="eastAsia"/>
          <w:b/>
          <w:bCs/>
          <w:color w:val="auto"/>
          <w:highlight w:val="none"/>
          <w:lang w:val="en-US" w:eastAsia="zh-CN"/>
        </w:rPr>
        <w:t>5-7材料暂估价表</w:t>
      </w:r>
    </w:p>
    <w:p w14:paraId="54084426">
      <w:pPr>
        <w:jc w:val="center"/>
        <w:outlineLvl w:val="9"/>
        <w:rPr>
          <w:rFonts w:hint="eastAsia"/>
          <w:b/>
          <w:bCs/>
          <w:color w:val="auto"/>
          <w:highlight w:val="none"/>
          <w:lang w:val="en-US" w:eastAsia="zh-CN"/>
        </w:rPr>
      </w:pPr>
    </w:p>
    <w:tbl>
      <w:tblPr>
        <w:tblStyle w:val="42"/>
        <w:tblW w:w="98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
        <w:gridCol w:w="1785"/>
        <w:gridCol w:w="1785"/>
        <w:gridCol w:w="1338"/>
        <w:gridCol w:w="1338"/>
        <w:gridCol w:w="1338"/>
        <w:gridCol w:w="1338"/>
      </w:tblGrid>
      <w:tr w14:paraId="2823A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94" w:type="dxa"/>
            <w:noWrap/>
            <w:vAlign w:val="center"/>
          </w:tcPr>
          <w:p w14:paraId="77265992">
            <w:pPr>
              <w:jc w:val="center"/>
              <w:rPr>
                <w:rFonts w:ascii="宋体"/>
                <w:color w:val="auto"/>
                <w:szCs w:val="21"/>
                <w:highlight w:val="none"/>
              </w:rPr>
            </w:pPr>
            <w:r>
              <w:rPr>
                <w:rFonts w:hint="eastAsia" w:ascii="宋体" w:hAnsi="宋体"/>
                <w:b/>
                <w:bCs/>
                <w:color w:val="auto"/>
                <w:szCs w:val="21"/>
                <w:highlight w:val="none"/>
              </w:rPr>
              <w:t>序号</w:t>
            </w:r>
          </w:p>
        </w:tc>
        <w:tc>
          <w:tcPr>
            <w:tcW w:w="1785" w:type="dxa"/>
            <w:noWrap/>
            <w:vAlign w:val="center"/>
          </w:tcPr>
          <w:p w14:paraId="3DD699D5">
            <w:pPr>
              <w:keepNext w:val="0"/>
              <w:keepLines w:val="0"/>
              <w:widowControl/>
              <w:suppressLineNumbers w:val="0"/>
              <w:jc w:val="center"/>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名称</w:t>
            </w:r>
          </w:p>
        </w:tc>
        <w:tc>
          <w:tcPr>
            <w:tcW w:w="1785" w:type="dxa"/>
            <w:noWrap/>
            <w:vAlign w:val="center"/>
          </w:tcPr>
          <w:p w14:paraId="4CB33C82">
            <w:pPr>
              <w:keepNext w:val="0"/>
              <w:keepLines w:val="0"/>
              <w:widowControl/>
              <w:suppressLineNumbers w:val="0"/>
              <w:jc w:val="center"/>
              <w:rPr>
                <w:rFonts w:hint="eastAsia" w:ascii="宋体" w:eastAsia="宋体"/>
                <w:b/>
                <w:bCs/>
                <w:color w:val="auto"/>
                <w:szCs w:val="21"/>
                <w:highlight w:val="none"/>
                <w:lang w:val="en-US" w:eastAsia="zh-CN"/>
              </w:rPr>
            </w:pPr>
            <w:r>
              <w:rPr>
                <w:rFonts w:hint="eastAsia" w:ascii="宋体"/>
                <w:b/>
                <w:bCs/>
                <w:color w:val="auto"/>
                <w:szCs w:val="21"/>
                <w:highlight w:val="none"/>
                <w:lang w:val="en-US" w:eastAsia="zh-CN"/>
              </w:rPr>
              <w:t>计量单位</w:t>
            </w:r>
          </w:p>
        </w:tc>
        <w:tc>
          <w:tcPr>
            <w:tcW w:w="1338" w:type="dxa"/>
            <w:noWrap/>
            <w:vAlign w:val="center"/>
          </w:tcPr>
          <w:p w14:paraId="39EEF3E5">
            <w:pPr>
              <w:keepNext w:val="0"/>
              <w:keepLines w:val="0"/>
              <w:widowControl/>
              <w:suppressLineNumbers w:val="0"/>
              <w:jc w:val="center"/>
              <w:rPr>
                <w:rFonts w:ascii="宋体"/>
                <w:color w:val="auto"/>
                <w:szCs w:val="21"/>
                <w:highlight w:val="none"/>
              </w:rPr>
            </w:pPr>
            <w:r>
              <w:rPr>
                <w:rFonts w:hint="eastAsia" w:ascii="宋体" w:hAnsi="宋体" w:cs="宋体"/>
                <w:b/>
                <w:bCs/>
                <w:color w:val="auto"/>
                <w:kern w:val="0"/>
                <w:sz w:val="21"/>
                <w:szCs w:val="21"/>
                <w:highlight w:val="none"/>
                <w:lang w:val="en-US" w:eastAsia="zh-CN" w:bidi="ar"/>
              </w:rPr>
              <w:t>数量</w:t>
            </w:r>
          </w:p>
        </w:tc>
        <w:tc>
          <w:tcPr>
            <w:tcW w:w="1338" w:type="dxa"/>
            <w:noWrap/>
            <w:vAlign w:val="center"/>
          </w:tcPr>
          <w:p w14:paraId="474F0055">
            <w:pPr>
              <w:keepNext w:val="0"/>
              <w:keepLines w:val="0"/>
              <w:widowControl/>
              <w:suppressLineNumbers w:val="0"/>
              <w:jc w:val="center"/>
              <w:rPr>
                <w:rFonts w:ascii="宋体"/>
                <w:color w:val="auto"/>
                <w:szCs w:val="21"/>
                <w:highlight w:val="none"/>
              </w:rPr>
            </w:pPr>
            <w:r>
              <w:rPr>
                <w:rFonts w:hint="eastAsia" w:ascii="宋体" w:hAnsi="宋体" w:cs="宋体"/>
                <w:b/>
                <w:bCs/>
                <w:color w:val="auto"/>
                <w:kern w:val="0"/>
                <w:sz w:val="21"/>
                <w:szCs w:val="21"/>
                <w:highlight w:val="none"/>
                <w:lang w:val="en-US" w:eastAsia="zh-CN" w:bidi="ar"/>
              </w:rPr>
              <w:t>单价</w:t>
            </w:r>
            <w:r>
              <w:rPr>
                <w:rFonts w:hint="eastAsia" w:ascii="宋体" w:hAnsi="宋体" w:eastAsia="宋体" w:cs="宋体"/>
                <w:b/>
                <w:bCs/>
                <w:color w:val="auto"/>
                <w:kern w:val="0"/>
                <w:sz w:val="21"/>
                <w:szCs w:val="21"/>
                <w:highlight w:val="none"/>
                <w:lang w:val="en-US" w:eastAsia="zh-CN" w:bidi="ar"/>
              </w:rPr>
              <w:t>（元）</w:t>
            </w:r>
          </w:p>
        </w:tc>
        <w:tc>
          <w:tcPr>
            <w:tcW w:w="1338" w:type="dxa"/>
            <w:noWrap/>
            <w:vAlign w:val="center"/>
          </w:tcPr>
          <w:p w14:paraId="08D78876">
            <w:pPr>
              <w:keepNext w:val="0"/>
              <w:keepLines w:val="0"/>
              <w:widowControl/>
              <w:suppressLineNumbers w:val="0"/>
              <w:jc w:val="center"/>
              <w:rPr>
                <w:rFonts w:hint="eastAsia" w:ascii="宋体" w:hAnsi="宋体" w:cs="宋体"/>
                <w:b/>
                <w:bCs/>
                <w:color w:val="auto"/>
                <w:kern w:val="0"/>
                <w:sz w:val="21"/>
                <w:szCs w:val="21"/>
                <w:highlight w:val="none"/>
                <w:lang w:val="en-US" w:eastAsia="zh-CN" w:bidi="ar"/>
              </w:rPr>
            </w:pPr>
            <w:r>
              <w:rPr>
                <w:rFonts w:hint="eastAsia" w:ascii="宋体" w:hAnsi="宋体" w:cs="宋体"/>
                <w:b/>
                <w:bCs/>
                <w:color w:val="auto"/>
                <w:kern w:val="0"/>
                <w:sz w:val="21"/>
                <w:szCs w:val="21"/>
                <w:highlight w:val="none"/>
                <w:lang w:val="en-US" w:eastAsia="zh-CN" w:bidi="ar"/>
              </w:rPr>
              <w:t>合价</w:t>
            </w:r>
            <w:r>
              <w:rPr>
                <w:rFonts w:hint="eastAsia" w:ascii="宋体" w:hAnsi="宋体" w:eastAsia="宋体" w:cs="宋体"/>
                <w:b/>
                <w:bCs/>
                <w:color w:val="auto"/>
                <w:kern w:val="0"/>
                <w:sz w:val="21"/>
                <w:szCs w:val="21"/>
                <w:highlight w:val="none"/>
                <w:lang w:val="en-US" w:eastAsia="zh-CN" w:bidi="ar"/>
              </w:rPr>
              <w:t>（元）</w:t>
            </w:r>
          </w:p>
        </w:tc>
        <w:tc>
          <w:tcPr>
            <w:tcW w:w="1338" w:type="dxa"/>
            <w:noWrap/>
            <w:vAlign w:val="center"/>
          </w:tcPr>
          <w:p w14:paraId="47BB4865">
            <w:pPr>
              <w:keepNext w:val="0"/>
              <w:keepLines w:val="0"/>
              <w:widowControl/>
              <w:suppressLineNumbers w:val="0"/>
              <w:jc w:val="center"/>
              <w:rPr>
                <w:rFonts w:hint="eastAsia" w:ascii="宋体" w:hAnsi="宋体"/>
                <w:b/>
                <w:bCs/>
                <w:color w:val="auto"/>
                <w:szCs w:val="21"/>
                <w:highlight w:val="none"/>
              </w:rPr>
            </w:pPr>
            <w:r>
              <w:rPr>
                <w:rFonts w:hint="eastAsia" w:ascii="宋体" w:hAnsi="宋体" w:eastAsia="宋体" w:cs="宋体"/>
                <w:b/>
                <w:bCs/>
                <w:color w:val="auto"/>
                <w:kern w:val="0"/>
                <w:sz w:val="21"/>
                <w:szCs w:val="21"/>
                <w:highlight w:val="none"/>
                <w:lang w:val="en-US" w:eastAsia="zh-CN" w:bidi="ar"/>
              </w:rPr>
              <w:t>备注</w:t>
            </w:r>
          </w:p>
        </w:tc>
      </w:tr>
      <w:tr w14:paraId="0F409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894" w:type="dxa"/>
            <w:noWrap/>
            <w:vAlign w:val="center"/>
          </w:tcPr>
          <w:p w14:paraId="31D9F65A">
            <w:pPr>
              <w:spacing w:line="440" w:lineRule="exact"/>
              <w:rPr>
                <w:rFonts w:ascii="宋体"/>
                <w:color w:val="auto"/>
                <w:szCs w:val="21"/>
                <w:highlight w:val="none"/>
              </w:rPr>
            </w:pPr>
          </w:p>
        </w:tc>
        <w:tc>
          <w:tcPr>
            <w:tcW w:w="1785" w:type="dxa"/>
            <w:noWrap/>
            <w:vAlign w:val="center"/>
          </w:tcPr>
          <w:p w14:paraId="0B5A7329">
            <w:pPr>
              <w:spacing w:line="440" w:lineRule="exact"/>
              <w:rPr>
                <w:rFonts w:ascii="宋体"/>
                <w:color w:val="auto"/>
                <w:szCs w:val="21"/>
                <w:highlight w:val="none"/>
              </w:rPr>
            </w:pPr>
          </w:p>
        </w:tc>
        <w:tc>
          <w:tcPr>
            <w:tcW w:w="1785" w:type="dxa"/>
            <w:noWrap/>
            <w:vAlign w:val="center"/>
          </w:tcPr>
          <w:p w14:paraId="6024F68A">
            <w:pPr>
              <w:spacing w:line="440" w:lineRule="exact"/>
              <w:rPr>
                <w:rFonts w:ascii="宋体"/>
                <w:color w:val="auto"/>
                <w:szCs w:val="21"/>
                <w:highlight w:val="none"/>
              </w:rPr>
            </w:pPr>
          </w:p>
        </w:tc>
        <w:tc>
          <w:tcPr>
            <w:tcW w:w="1338" w:type="dxa"/>
            <w:noWrap/>
            <w:vAlign w:val="center"/>
          </w:tcPr>
          <w:p w14:paraId="419CFA56">
            <w:pPr>
              <w:spacing w:line="440" w:lineRule="exact"/>
              <w:rPr>
                <w:rFonts w:ascii="宋体"/>
                <w:color w:val="auto"/>
                <w:szCs w:val="21"/>
                <w:highlight w:val="none"/>
              </w:rPr>
            </w:pPr>
          </w:p>
        </w:tc>
        <w:tc>
          <w:tcPr>
            <w:tcW w:w="1338" w:type="dxa"/>
            <w:noWrap/>
            <w:vAlign w:val="center"/>
          </w:tcPr>
          <w:p w14:paraId="5AEB57BB">
            <w:pPr>
              <w:spacing w:line="440" w:lineRule="exact"/>
              <w:rPr>
                <w:rFonts w:ascii="宋体"/>
                <w:color w:val="auto"/>
                <w:szCs w:val="21"/>
                <w:highlight w:val="none"/>
              </w:rPr>
            </w:pPr>
          </w:p>
        </w:tc>
        <w:tc>
          <w:tcPr>
            <w:tcW w:w="1338" w:type="dxa"/>
            <w:noWrap/>
            <w:vAlign w:val="center"/>
          </w:tcPr>
          <w:p w14:paraId="45783B7B">
            <w:pPr>
              <w:spacing w:line="440" w:lineRule="exact"/>
              <w:rPr>
                <w:rFonts w:ascii="宋体"/>
                <w:color w:val="auto"/>
                <w:szCs w:val="21"/>
                <w:highlight w:val="none"/>
              </w:rPr>
            </w:pPr>
          </w:p>
        </w:tc>
        <w:tc>
          <w:tcPr>
            <w:tcW w:w="1338" w:type="dxa"/>
            <w:noWrap/>
            <w:vAlign w:val="center"/>
          </w:tcPr>
          <w:p w14:paraId="17B0B392">
            <w:pPr>
              <w:spacing w:line="440" w:lineRule="exact"/>
              <w:rPr>
                <w:rFonts w:ascii="宋体"/>
                <w:color w:val="auto"/>
                <w:szCs w:val="21"/>
                <w:highlight w:val="none"/>
              </w:rPr>
            </w:pPr>
          </w:p>
        </w:tc>
      </w:tr>
      <w:tr w14:paraId="25CDA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894" w:type="dxa"/>
            <w:shd w:val="clear" w:color="auto" w:fill="auto"/>
            <w:noWrap/>
            <w:vAlign w:val="center"/>
          </w:tcPr>
          <w:p w14:paraId="19C6DDBB">
            <w:pPr>
              <w:spacing w:line="440" w:lineRule="exact"/>
              <w:rPr>
                <w:rFonts w:ascii="宋体" w:hAnsi="Times New Roman" w:eastAsia="宋体" w:cs="Times New Roman"/>
                <w:color w:val="auto"/>
                <w:kern w:val="2"/>
                <w:sz w:val="21"/>
                <w:szCs w:val="21"/>
                <w:highlight w:val="none"/>
                <w:lang w:val="en-US" w:eastAsia="zh-CN" w:bidi="ar-SA"/>
              </w:rPr>
            </w:pPr>
          </w:p>
        </w:tc>
        <w:tc>
          <w:tcPr>
            <w:tcW w:w="1785" w:type="dxa"/>
            <w:noWrap/>
            <w:vAlign w:val="center"/>
          </w:tcPr>
          <w:p w14:paraId="5662797D">
            <w:pPr>
              <w:spacing w:line="440" w:lineRule="exact"/>
              <w:rPr>
                <w:rFonts w:hint="eastAsia" w:ascii="宋体" w:hAnsi="宋体" w:eastAsia="宋体"/>
                <w:color w:val="auto"/>
                <w:szCs w:val="21"/>
                <w:highlight w:val="none"/>
                <w:lang w:val="en-US" w:eastAsia="zh-CN"/>
              </w:rPr>
            </w:pPr>
          </w:p>
        </w:tc>
        <w:tc>
          <w:tcPr>
            <w:tcW w:w="1785" w:type="dxa"/>
            <w:noWrap/>
            <w:vAlign w:val="center"/>
          </w:tcPr>
          <w:p w14:paraId="0C4B1486">
            <w:pPr>
              <w:spacing w:line="440" w:lineRule="exact"/>
              <w:rPr>
                <w:rFonts w:hint="eastAsia" w:ascii="宋体" w:hAnsi="宋体" w:eastAsia="宋体"/>
                <w:color w:val="auto"/>
                <w:szCs w:val="21"/>
                <w:highlight w:val="none"/>
                <w:lang w:val="en-US" w:eastAsia="zh-CN"/>
              </w:rPr>
            </w:pPr>
          </w:p>
        </w:tc>
        <w:tc>
          <w:tcPr>
            <w:tcW w:w="1338" w:type="dxa"/>
            <w:noWrap/>
            <w:vAlign w:val="center"/>
          </w:tcPr>
          <w:p w14:paraId="344B9688">
            <w:pPr>
              <w:spacing w:line="440" w:lineRule="exact"/>
              <w:rPr>
                <w:rFonts w:hint="eastAsia" w:ascii="宋体" w:hAnsi="宋体"/>
                <w:color w:val="auto"/>
                <w:szCs w:val="21"/>
                <w:highlight w:val="none"/>
              </w:rPr>
            </w:pPr>
          </w:p>
        </w:tc>
        <w:tc>
          <w:tcPr>
            <w:tcW w:w="1338" w:type="dxa"/>
            <w:noWrap/>
            <w:vAlign w:val="center"/>
          </w:tcPr>
          <w:p w14:paraId="67430D9F">
            <w:pPr>
              <w:spacing w:line="440" w:lineRule="exact"/>
              <w:rPr>
                <w:rFonts w:ascii="宋体"/>
                <w:color w:val="auto"/>
                <w:szCs w:val="21"/>
                <w:highlight w:val="none"/>
              </w:rPr>
            </w:pPr>
          </w:p>
        </w:tc>
        <w:tc>
          <w:tcPr>
            <w:tcW w:w="1338" w:type="dxa"/>
            <w:noWrap/>
            <w:vAlign w:val="center"/>
          </w:tcPr>
          <w:p w14:paraId="7B046350">
            <w:pPr>
              <w:spacing w:line="440" w:lineRule="exact"/>
              <w:rPr>
                <w:rFonts w:ascii="宋体"/>
                <w:color w:val="auto"/>
                <w:szCs w:val="21"/>
                <w:highlight w:val="none"/>
              </w:rPr>
            </w:pPr>
          </w:p>
        </w:tc>
        <w:tc>
          <w:tcPr>
            <w:tcW w:w="1338" w:type="dxa"/>
            <w:noWrap/>
            <w:vAlign w:val="center"/>
          </w:tcPr>
          <w:p w14:paraId="520D36ED">
            <w:pPr>
              <w:spacing w:line="440" w:lineRule="exact"/>
              <w:rPr>
                <w:rFonts w:ascii="宋体"/>
                <w:color w:val="auto"/>
                <w:szCs w:val="21"/>
                <w:highlight w:val="none"/>
              </w:rPr>
            </w:pPr>
          </w:p>
        </w:tc>
      </w:tr>
      <w:tr w14:paraId="26C7A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894" w:type="dxa"/>
            <w:shd w:val="clear" w:color="auto" w:fill="auto"/>
            <w:noWrap/>
            <w:vAlign w:val="center"/>
          </w:tcPr>
          <w:p w14:paraId="6F936EE7">
            <w:pPr>
              <w:spacing w:line="440" w:lineRule="exact"/>
              <w:rPr>
                <w:rFonts w:ascii="宋体" w:hAnsi="Times New Roman" w:eastAsia="宋体" w:cs="Times New Roman"/>
                <w:color w:val="auto"/>
                <w:kern w:val="2"/>
                <w:sz w:val="21"/>
                <w:szCs w:val="21"/>
                <w:highlight w:val="none"/>
                <w:lang w:val="en-US" w:eastAsia="zh-CN" w:bidi="ar-SA"/>
              </w:rPr>
            </w:pPr>
          </w:p>
        </w:tc>
        <w:tc>
          <w:tcPr>
            <w:tcW w:w="1785" w:type="dxa"/>
            <w:noWrap/>
            <w:vAlign w:val="center"/>
          </w:tcPr>
          <w:p w14:paraId="0293DFCF">
            <w:pPr>
              <w:spacing w:line="440" w:lineRule="exact"/>
              <w:rPr>
                <w:rFonts w:ascii="宋体"/>
                <w:color w:val="auto"/>
                <w:szCs w:val="21"/>
                <w:highlight w:val="none"/>
              </w:rPr>
            </w:pPr>
          </w:p>
        </w:tc>
        <w:tc>
          <w:tcPr>
            <w:tcW w:w="1785" w:type="dxa"/>
            <w:noWrap/>
            <w:vAlign w:val="center"/>
          </w:tcPr>
          <w:p w14:paraId="799942E7">
            <w:pPr>
              <w:spacing w:line="440" w:lineRule="exact"/>
              <w:rPr>
                <w:rFonts w:ascii="宋体"/>
                <w:color w:val="auto"/>
                <w:szCs w:val="21"/>
                <w:highlight w:val="none"/>
              </w:rPr>
            </w:pPr>
          </w:p>
        </w:tc>
        <w:tc>
          <w:tcPr>
            <w:tcW w:w="1338" w:type="dxa"/>
            <w:noWrap/>
            <w:vAlign w:val="center"/>
          </w:tcPr>
          <w:p w14:paraId="63054DEA">
            <w:pPr>
              <w:spacing w:line="440" w:lineRule="exact"/>
              <w:rPr>
                <w:rFonts w:ascii="宋体"/>
                <w:color w:val="auto"/>
                <w:szCs w:val="21"/>
                <w:highlight w:val="none"/>
              </w:rPr>
            </w:pPr>
          </w:p>
        </w:tc>
        <w:tc>
          <w:tcPr>
            <w:tcW w:w="1338" w:type="dxa"/>
            <w:noWrap/>
            <w:vAlign w:val="center"/>
          </w:tcPr>
          <w:p w14:paraId="349771E5">
            <w:pPr>
              <w:spacing w:line="440" w:lineRule="exact"/>
              <w:rPr>
                <w:rFonts w:ascii="宋体"/>
                <w:color w:val="auto"/>
                <w:szCs w:val="21"/>
                <w:highlight w:val="none"/>
              </w:rPr>
            </w:pPr>
          </w:p>
        </w:tc>
        <w:tc>
          <w:tcPr>
            <w:tcW w:w="1338" w:type="dxa"/>
            <w:noWrap/>
            <w:vAlign w:val="center"/>
          </w:tcPr>
          <w:p w14:paraId="73BC3C8E">
            <w:pPr>
              <w:spacing w:line="440" w:lineRule="exact"/>
              <w:rPr>
                <w:rFonts w:ascii="宋体"/>
                <w:color w:val="auto"/>
                <w:szCs w:val="21"/>
                <w:highlight w:val="none"/>
              </w:rPr>
            </w:pPr>
          </w:p>
        </w:tc>
        <w:tc>
          <w:tcPr>
            <w:tcW w:w="1338" w:type="dxa"/>
            <w:noWrap/>
            <w:vAlign w:val="center"/>
          </w:tcPr>
          <w:p w14:paraId="67874FCD">
            <w:pPr>
              <w:spacing w:line="440" w:lineRule="exact"/>
              <w:rPr>
                <w:rFonts w:ascii="宋体"/>
                <w:color w:val="auto"/>
                <w:szCs w:val="21"/>
                <w:highlight w:val="none"/>
              </w:rPr>
            </w:pPr>
          </w:p>
        </w:tc>
      </w:tr>
      <w:tr w14:paraId="76CC0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894" w:type="dxa"/>
            <w:shd w:val="clear" w:color="auto" w:fill="auto"/>
            <w:noWrap/>
            <w:vAlign w:val="center"/>
          </w:tcPr>
          <w:p w14:paraId="1EACF806">
            <w:pPr>
              <w:spacing w:line="440" w:lineRule="exact"/>
              <w:rPr>
                <w:rFonts w:ascii="宋体" w:hAnsi="Times New Roman" w:eastAsia="宋体" w:cs="Times New Roman"/>
                <w:color w:val="auto"/>
                <w:kern w:val="2"/>
                <w:sz w:val="21"/>
                <w:szCs w:val="21"/>
                <w:highlight w:val="none"/>
                <w:lang w:val="en-US" w:eastAsia="zh-CN" w:bidi="ar-SA"/>
              </w:rPr>
            </w:pPr>
          </w:p>
        </w:tc>
        <w:tc>
          <w:tcPr>
            <w:tcW w:w="1785" w:type="dxa"/>
            <w:noWrap/>
            <w:vAlign w:val="center"/>
          </w:tcPr>
          <w:p w14:paraId="4AE87B1B">
            <w:pPr>
              <w:spacing w:line="440" w:lineRule="exact"/>
              <w:rPr>
                <w:rFonts w:ascii="宋体"/>
                <w:color w:val="auto"/>
                <w:szCs w:val="21"/>
                <w:highlight w:val="none"/>
              </w:rPr>
            </w:pPr>
          </w:p>
        </w:tc>
        <w:tc>
          <w:tcPr>
            <w:tcW w:w="1785" w:type="dxa"/>
            <w:noWrap/>
            <w:vAlign w:val="center"/>
          </w:tcPr>
          <w:p w14:paraId="49DD644E">
            <w:pPr>
              <w:spacing w:line="440" w:lineRule="exact"/>
              <w:rPr>
                <w:rFonts w:ascii="宋体"/>
                <w:color w:val="auto"/>
                <w:szCs w:val="21"/>
                <w:highlight w:val="none"/>
              </w:rPr>
            </w:pPr>
          </w:p>
        </w:tc>
        <w:tc>
          <w:tcPr>
            <w:tcW w:w="1338" w:type="dxa"/>
            <w:noWrap/>
            <w:vAlign w:val="center"/>
          </w:tcPr>
          <w:p w14:paraId="750B923C">
            <w:pPr>
              <w:spacing w:line="440" w:lineRule="exact"/>
              <w:rPr>
                <w:rFonts w:ascii="宋体"/>
                <w:color w:val="auto"/>
                <w:szCs w:val="21"/>
                <w:highlight w:val="none"/>
              </w:rPr>
            </w:pPr>
          </w:p>
        </w:tc>
        <w:tc>
          <w:tcPr>
            <w:tcW w:w="1338" w:type="dxa"/>
            <w:noWrap/>
            <w:vAlign w:val="center"/>
          </w:tcPr>
          <w:p w14:paraId="5A4060F1">
            <w:pPr>
              <w:spacing w:line="440" w:lineRule="exact"/>
              <w:rPr>
                <w:rFonts w:ascii="宋体"/>
                <w:color w:val="auto"/>
                <w:szCs w:val="21"/>
                <w:highlight w:val="none"/>
              </w:rPr>
            </w:pPr>
          </w:p>
        </w:tc>
        <w:tc>
          <w:tcPr>
            <w:tcW w:w="1338" w:type="dxa"/>
            <w:noWrap/>
            <w:vAlign w:val="center"/>
          </w:tcPr>
          <w:p w14:paraId="094DE01C">
            <w:pPr>
              <w:spacing w:line="440" w:lineRule="exact"/>
              <w:rPr>
                <w:rFonts w:ascii="宋体"/>
                <w:color w:val="auto"/>
                <w:szCs w:val="21"/>
                <w:highlight w:val="none"/>
              </w:rPr>
            </w:pPr>
          </w:p>
        </w:tc>
        <w:tc>
          <w:tcPr>
            <w:tcW w:w="1338" w:type="dxa"/>
            <w:noWrap/>
            <w:vAlign w:val="center"/>
          </w:tcPr>
          <w:p w14:paraId="1FA19015">
            <w:pPr>
              <w:spacing w:line="440" w:lineRule="exact"/>
              <w:rPr>
                <w:rFonts w:ascii="宋体"/>
                <w:color w:val="auto"/>
                <w:szCs w:val="21"/>
                <w:highlight w:val="none"/>
              </w:rPr>
            </w:pPr>
          </w:p>
        </w:tc>
      </w:tr>
      <w:tr w14:paraId="3F0EA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894" w:type="dxa"/>
            <w:shd w:val="clear" w:color="auto" w:fill="auto"/>
            <w:noWrap/>
            <w:vAlign w:val="center"/>
          </w:tcPr>
          <w:p w14:paraId="00E54C82">
            <w:pPr>
              <w:spacing w:line="440" w:lineRule="exact"/>
              <w:rPr>
                <w:rFonts w:ascii="宋体" w:hAnsi="Times New Roman" w:eastAsia="宋体" w:cs="Times New Roman"/>
                <w:color w:val="auto"/>
                <w:kern w:val="2"/>
                <w:sz w:val="21"/>
                <w:szCs w:val="21"/>
                <w:highlight w:val="none"/>
                <w:lang w:val="en-US" w:eastAsia="zh-CN" w:bidi="ar-SA"/>
              </w:rPr>
            </w:pPr>
          </w:p>
        </w:tc>
        <w:tc>
          <w:tcPr>
            <w:tcW w:w="1785" w:type="dxa"/>
            <w:noWrap/>
            <w:vAlign w:val="center"/>
          </w:tcPr>
          <w:p w14:paraId="78E076FD">
            <w:pPr>
              <w:spacing w:line="440" w:lineRule="exact"/>
              <w:rPr>
                <w:rFonts w:ascii="宋体"/>
                <w:color w:val="auto"/>
                <w:szCs w:val="21"/>
                <w:highlight w:val="none"/>
              </w:rPr>
            </w:pPr>
          </w:p>
        </w:tc>
        <w:tc>
          <w:tcPr>
            <w:tcW w:w="1785" w:type="dxa"/>
            <w:noWrap/>
            <w:vAlign w:val="center"/>
          </w:tcPr>
          <w:p w14:paraId="4C3BCC5D">
            <w:pPr>
              <w:spacing w:line="440" w:lineRule="exact"/>
              <w:rPr>
                <w:rFonts w:ascii="宋体"/>
                <w:color w:val="auto"/>
                <w:szCs w:val="21"/>
                <w:highlight w:val="none"/>
              </w:rPr>
            </w:pPr>
          </w:p>
        </w:tc>
        <w:tc>
          <w:tcPr>
            <w:tcW w:w="1338" w:type="dxa"/>
            <w:noWrap/>
            <w:vAlign w:val="center"/>
          </w:tcPr>
          <w:p w14:paraId="2B123917">
            <w:pPr>
              <w:spacing w:line="440" w:lineRule="exact"/>
              <w:rPr>
                <w:rFonts w:ascii="宋体"/>
                <w:color w:val="auto"/>
                <w:szCs w:val="21"/>
                <w:highlight w:val="none"/>
              </w:rPr>
            </w:pPr>
          </w:p>
        </w:tc>
        <w:tc>
          <w:tcPr>
            <w:tcW w:w="1338" w:type="dxa"/>
            <w:noWrap/>
            <w:vAlign w:val="center"/>
          </w:tcPr>
          <w:p w14:paraId="301F18CE">
            <w:pPr>
              <w:spacing w:line="440" w:lineRule="exact"/>
              <w:rPr>
                <w:rFonts w:ascii="宋体"/>
                <w:color w:val="auto"/>
                <w:szCs w:val="21"/>
                <w:highlight w:val="none"/>
              </w:rPr>
            </w:pPr>
          </w:p>
        </w:tc>
        <w:tc>
          <w:tcPr>
            <w:tcW w:w="1338" w:type="dxa"/>
            <w:noWrap/>
            <w:vAlign w:val="center"/>
          </w:tcPr>
          <w:p w14:paraId="7EF02241">
            <w:pPr>
              <w:spacing w:line="440" w:lineRule="exact"/>
              <w:rPr>
                <w:rFonts w:ascii="宋体"/>
                <w:color w:val="auto"/>
                <w:szCs w:val="21"/>
                <w:highlight w:val="none"/>
              </w:rPr>
            </w:pPr>
          </w:p>
        </w:tc>
        <w:tc>
          <w:tcPr>
            <w:tcW w:w="1338" w:type="dxa"/>
            <w:noWrap/>
            <w:vAlign w:val="center"/>
          </w:tcPr>
          <w:p w14:paraId="2D92AE31">
            <w:pPr>
              <w:spacing w:line="440" w:lineRule="exact"/>
              <w:rPr>
                <w:rFonts w:ascii="宋体"/>
                <w:color w:val="auto"/>
                <w:szCs w:val="21"/>
                <w:highlight w:val="none"/>
              </w:rPr>
            </w:pPr>
          </w:p>
        </w:tc>
      </w:tr>
      <w:tr w14:paraId="4E568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894" w:type="dxa"/>
            <w:shd w:val="clear" w:color="auto" w:fill="auto"/>
            <w:noWrap/>
            <w:vAlign w:val="center"/>
          </w:tcPr>
          <w:p w14:paraId="4952BCC8">
            <w:pPr>
              <w:spacing w:line="440" w:lineRule="exact"/>
              <w:rPr>
                <w:rFonts w:ascii="宋体" w:hAnsi="Times New Roman" w:eastAsia="宋体" w:cs="Times New Roman"/>
                <w:color w:val="auto"/>
                <w:kern w:val="2"/>
                <w:sz w:val="21"/>
                <w:szCs w:val="21"/>
                <w:highlight w:val="none"/>
                <w:lang w:val="en-US" w:eastAsia="zh-CN" w:bidi="ar-SA"/>
              </w:rPr>
            </w:pPr>
          </w:p>
        </w:tc>
        <w:tc>
          <w:tcPr>
            <w:tcW w:w="1785" w:type="dxa"/>
            <w:noWrap/>
            <w:vAlign w:val="center"/>
          </w:tcPr>
          <w:p w14:paraId="68C9D13E">
            <w:pPr>
              <w:spacing w:line="440" w:lineRule="exact"/>
              <w:rPr>
                <w:rFonts w:ascii="宋体" w:hAnsi="宋体"/>
                <w:color w:val="auto"/>
                <w:szCs w:val="21"/>
                <w:highlight w:val="none"/>
              </w:rPr>
            </w:pPr>
          </w:p>
        </w:tc>
        <w:tc>
          <w:tcPr>
            <w:tcW w:w="1785" w:type="dxa"/>
            <w:noWrap/>
            <w:vAlign w:val="center"/>
          </w:tcPr>
          <w:p w14:paraId="6C62530D">
            <w:pPr>
              <w:spacing w:line="440" w:lineRule="exact"/>
              <w:rPr>
                <w:rFonts w:ascii="宋体" w:hAnsi="宋体"/>
                <w:color w:val="auto"/>
                <w:szCs w:val="21"/>
                <w:highlight w:val="none"/>
              </w:rPr>
            </w:pPr>
          </w:p>
        </w:tc>
        <w:tc>
          <w:tcPr>
            <w:tcW w:w="1338" w:type="dxa"/>
            <w:noWrap/>
            <w:vAlign w:val="center"/>
          </w:tcPr>
          <w:p w14:paraId="41FE4D10">
            <w:pPr>
              <w:spacing w:line="440" w:lineRule="exact"/>
              <w:rPr>
                <w:rFonts w:ascii="宋体" w:hAnsi="宋体"/>
                <w:color w:val="auto"/>
                <w:szCs w:val="21"/>
                <w:highlight w:val="none"/>
              </w:rPr>
            </w:pPr>
          </w:p>
        </w:tc>
        <w:tc>
          <w:tcPr>
            <w:tcW w:w="1338" w:type="dxa"/>
            <w:noWrap/>
            <w:vAlign w:val="center"/>
          </w:tcPr>
          <w:p w14:paraId="6C3C4538">
            <w:pPr>
              <w:spacing w:line="440" w:lineRule="exact"/>
              <w:rPr>
                <w:rFonts w:ascii="宋体"/>
                <w:color w:val="auto"/>
                <w:szCs w:val="21"/>
                <w:highlight w:val="none"/>
              </w:rPr>
            </w:pPr>
          </w:p>
        </w:tc>
        <w:tc>
          <w:tcPr>
            <w:tcW w:w="1338" w:type="dxa"/>
            <w:noWrap/>
            <w:vAlign w:val="center"/>
          </w:tcPr>
          <w:p w14:paraId="0BD69C49">
            <w:pPr>
              <w:spacing w:line="440" w:lineRule="exact"/>
              <w:rPr>
                <w:rFonts w:ascii="宋体"/>
                <w:color w:val="auto"/>
                <w:szCs w:val="21"/>
                <w:highlight w:val="none"/>
              </w:rPr>
            </w:pPr>
          </w:p>
        </w:tc>
        <w:tc>
          <w:tcPr>
            <w:tcW w:w="1338" w:type="dxa"/>
            <w:noWrap/>
            <w:vAlign w:val="center"/>
          </w:tcPr>
          <w:p w14:paraId="4CE14FA0">
            <w:pPr>
              <w:spacing w:line="440" w:lineRule="exact"/>
              <w:rPr>
                <w:rFonts w:ascii="宋体"/>
                <w:color w:val="auto"/>
                <w:szCs w:val="21"/>
                <w:highlight w:val="none"/>
              </w:rPr>
            </w:pPr>
          </w:p>
        </w:tc>
      </w:tr>
      <w:tr w14:paraId="28809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894" w:type="dxa"/>
            <w:shd w:val="clear" w:color="auto" w:fill="auto"/>
            <w:noWrap/>
            <w:vAlign w:val="center"/>
          </w:tcPr>
          <w:p w14:paraId="133EB549">
            <w:pPr>
              <w:spacing w:line="440" w:lineRule="exact"/>
              <w:rPr>
                <w:rFonts w:ascii="宋体" w:hAnsi="Times New Roman" w:eastAsia="宋体" w:cs="Times New Roman"/>
                <w:color w:val="auto"/>
                <w:kern w:val="2"/>
                <w:sz w:val="21"/>
                <w:szCs w:val="21"/>
                <w:highlight w:val="none"/>
                <w:lang w:val="en-US" w:eastAsia="zh-CN" w:bidi="ar-SA"/>
              </w:rPr>
            </w:pPr>
          </w:p>
        </w:tc>
        <w:tc>
          <w:tcPr>
            <w:tcW w:w="1785" w:type="dxa"/>
            <w:noWrap/>
            <w:vAlign w:val="center"/>
          </w:tcPr>
          <w:p w14:paraId="71AF3E99">
            <w:pPr>
              <w:spacing w:line="440" w:lineRule="exact"/>
              <w:rPr>
                <w:rFonts w:ascii="宋体"/>
                <w:color w:val="auto"/>
                <w:szCs w:val="21"/>
                <w:highlight w:val="none"/>
              </w:rPr>
            </w:pPr>
          </w:p>
        </w:tc>
        <w:tc>
          <w:tcPr>
            <w:tcW w:w="1785" w:type="dxa"/>
            <w:noWrap/>
            <w:vAlign w:val="center"/>
          </w:tcPr>
          <w:p w14:paraId="07465153">
            <w:pPr>
              <w:spacing w:line="440" w:lineRule="exact"/>
              <w:rPr>
                <w:rFonts w:ascii="宋体"/>
                <w:color w:val="auto"/>
                <w:szCs w:val="21"/>
                <w:highlight w:val="none"/>
              </w:rPr>
            </w:pPr>
          </w:p>
        </w:tc>
        <w:tc>
          <w:tcPr>
            <w:tcW w:w="1338" w:type="dxa"/>
            <w:noWrap/>
            <w:vAlign w:val="center"/>
          </w:tcPr>
          <w:p w14:paraId="27029DD5">
            <w:pPr>
              <w:spacing w:line="440" w:lineRule="exact"/>
              <w:rPr>
                <w:rFonts w:ascii="宋体"/>
                <w:color w:val="auto"/>
                <w:szCs w:val="21"/>
                <w:highlight w:val="none"/>
              </w:rPr>
            </w:pPr>
          </w:p>
        </w:tc>
        <w:tc>
          <w:tcPr>
            <w:tcW w:w="1338" w:type="dxa"/>
            <w:noWrap/>
            <w:vAlign w:val="center"/>
          </w:tcPr>
          <w:p w14:paraId="4FFA6088">
            <w:pPr>
              <w:spacing w:line="440" w:lineRule="exact"/>
              <w:rPr>
                <w:rFonts w:ascii="宋体"/>
                <w:color w:val="auto"/>
                <w:szCs w:val="21"/>
                <w:highlight w:val="none"/>
              </w:rPr>
            </w:pPr>
          </w:p>
        </w:tc>
        <w:tc>
          <w:tcPr>
            <w:tcW w:w="1338" w:type="dxa"/>
            <w:noWrap/>
            <w:vAlign w:val="center"/>
          </w:tcPr>
          <w:p w14:paraId="56472E08">
            <w:pPr>
              <w:spacing w:line="440" w:lineRule="exact"/>
              <w:rPr>
                <w:rFonts w:ascii="宋体"/>
                <w:color w:val="auto"/>
                <w:szCs w:val="21"/>
                <w:highlight w:val="none"/>
              </w:rPr>
            </w:pPr>
          </w:p>
        </w:tc>
        <w:tc>
          <w:tcPr>
            <w:tcW w:w="1338" w:type="dxa"/>
            <w:noWrap/>
            <w:vAlign w:val="center"/>
          </w:tcPr>
          <w:p w14:paraId="36067AB5">
            <w:pPr>
              <w:spacing w:line="440" w:lineRule="exact"/>
              <w:rPr>
                <w:rFonts w:ascii="宋体"/>
                <w:color w:val="auto"/>
                <w:szCs w:val="21"/>
                <w:highlight w:val="none"/>
              </w:rPr>
            </w:pPr>
          </w:p>
        </w:tc>
      </w:tr>
      <w:tr w14:paraId="15B67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894" w:type="dxa"/>
            <w:shd w:val="clear" w:color="auto" w:fill="auto"/>
            <w:noWrap/>
            <w:vAlign w:val="center"/>
          </w:tcPr>
          <w:p w14:paraId="0ECD7704">
            <w:pPr>
              <w:spacing w:line="440" w:lineRule="exact"/>
              <w:rPr>
                <w:rFonts w:ascii="宋体" w:hAnsi="Times New Roman" w:eastAsia="宋体" w:cs="Times New Roman"/>
                <w:color w:val="auto"/>
                <w:kern w:val="2"/>
                <w:sz w:val="21"/>
                <w:szCs w:val="21"/>
                <w:highlight w:val="none"/>
                <w:lang w:val="en-US" w:eastAsia="zh-CN" w:bidi="ar-SA"/>
              </w:rPr>
            </w:pPr>
          </w:p>
        </w:tc>
        <w:tc>
          <w:tcPr>
            <w:tcW w:w="1785" w:type="dxa"/>
            <w:noWrap/>
            <w:vAlign w:val="center"/>
          </w:tcPr>
          <w:p w14:paraId="2ED98E1D">
            <w:pPr>
              <w:spacing w:line="440" w:lineRule="exact"/>
              <w:rPr>
                <w:rFonts w:ascii="宋体"/>
                <w:color w:val="auto"/>
                <w:szCs w:val="21"/>
                <w:highlight w:val="none"/>
              </w:rPr>
            </w:pPr>
          </w:p>
        </w:tc>
        <w:tc>
          <w:tcPr>
            <w:tcW w:w="1785" w:type="dxa"/>
            <w:noWrap/>
            <w:vAlign w:val="center"/>
          </w:tcPr>
          <w:p w14:paraId="5F449B3D">
            <w:pPr>
              <w:spacing w:line="440" w:lineRule="exact"/>
              <w:rPr>
                <w:rFonts w:ascii="宋体"/>
                <w:color w:val="auto"/>
                <w:szCs w:val="21"/>
                <w:highlight w:val="none"/>
              </w:rPr>
            </w:pPr>
          </w:p>
        </w:tc>
        <w:tc>
          <w:tcPr>
            <w:tcW w:w="1338" w:type="dxa"/>
            <w:noWrap/>
            <w:vAlign w:val="center"/>
          </w:tcPr>
          <w:p w14:paraId="26F9CD4D">
            <w:pPr>
              <w:spacing w:line="440" w:lineRule="exact"/>
              <w:rPr>
                <w:rFonts w:ascii="宋体"/>
                <w:color w:val="auto"/>
                <w:szCs w:val="21"/>
                <w:highlight w:val="none"/>
              </w:rPr>
            </w:pPr>
          </w:p>
        </w:tc>
        <w:tc>
          <w:tcPr>
            <w:tcW w:w="1338" w:type="dxa"/>
            <w:noWrap/>
            <w:vAlign w:val="center"/>
          </w:tcPr>
          <w:p w14:paraId="284EEDB6">
            <w:pPr>
              <w:spacing w:line="440" w:lineRule="exact"/>
              <w:rPr>
                <w:rFonts w:ascii="宋体"/>
                <w:color w:val="auto"/>
                <w:szCs w:val="21"/>
                <w:highlight w:val="none"/>
              </w:rPr>
            </w:pPr>
          </w:p>
        </w:tc>
        <w:tc>
          <w:tcPr>
            <w:tcW w:w="1338" w:type="dxa"/>
            <w:noWrap/>
            <w:vAlign w:val="center"/>
          </w:tcPr>
          <w:p w14:paraId="659967AF">
            <w:pPr>
              <w:spacing w:line="440" w:lineRule="exact"/>
              <w:rPr>
                <w:rFonts w:ascii="宋体"/>
                <w:color w:val="auto"/>
                <w:szCs w:val="21"/>
                <w:highlight w:val="none"/>
              </w:rPr>
            </w:pPr>
          </w:p>
        </w:tc>
        <w:tc>
          <w:tcPr>
            <w:tcW w:w="1338" w:type="dxa"/>
            <w:noWrap/>
            <w:vAlign w:val="center"/>
          </w:tcPr>
          <w:p w14:paraId="5C3E0E27">
            <w:pPr>
              <w:spacing w:line="440" w:lineRule="exact"/>
              <w:rPr>
                <w:rFonts w:ascii="宋体"/>
                <w:color w:val="auto"/>
                <w:szCs w:val="21"/>
                <w:highlight w:val="none"/>
              </w:rPr>
            </w:pPr>
          </w:p>
        </w:tc>
      </w:tr>
      <w:tr w14:paraId="52CCB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894" w:type="dxa"/>
            <w:shd w:val="clear" w:color="auto" w:fill="auto"/>
            <w:noWrap/>
            <w:vAlign w:val="center"/>
          </w:tcPr>
          <w:p w14:paraId="137D0C8B">
            <w:pPr>
              <w:spacing w:line="440" w:lineRule="exact"/>
              <w:rPr>
                <w:rFonts w:ascii="宋体" w:hAnsi="Times New Roman" w:eastAsia="宋体" w:cs="Times New Roman"/>
                <w:color w:val="auto"/>
                <w:kern w:val="2"/>
                <w:sz w:val="21"/>
                <w:szCs w:val="21"/>
                <w:highlight w:val="none"/>
                <w:lang w:val="en-US" w:eastAsia="zh-CN" w:bidi="ar-SA"/>
              </w:rPr>
            </w:pPr>
          </w:p>
        </w:tc>
        <w:tc>
          <w:tcPr>
            <w:tcW w:w="1785" w:type="dxa"/>
            <w:noWrap/>
            <w:vAlign w:val="center"/>
          </w:tcPr>
          <w:p w14:paraId="2BA71439">
            <w:pPr>
              <w:spacing w:line="440" w:lineRule="exact"/>
              <w:rPr>
                <w:rFonts w:ascii="宋体"/>
                <w:color w:val="auto"/>
                <w:szCs w:val="21"/>
                <w:highlight w:val="none"/>
              </w:rPr>
            </w:pPr>
          </w:p>
        </w:tc>
        <w:tc>
          <w:tcPr>
            <w:tcW w:w="1785" w:type="dxa"/>
            <w:noWrap/>
            <w:vAlign w:val="center"/>
          </w:tcPr>
          <w:p w14:paraId="34FEC79C">
            <w:pPr>
              <w:spacing w:line="440" w:lineRule="exact"/>
              <w:rPr>
                <w:rFonts w:ascii="宋体"/>
                <w:color w:val="auto"/>
                <w:szCs w:val="21"/>
                <w:highlight w:val="none"/>
              </w:rPr>
            </w:pPr>
          </w:p>
        </w:tc>
        <w:tc>
          <w:tcPr>
            <w:tcW w:w="1338" w:type="dxa"/>
            <w:noWrap/>
            <w:vAlign w:val="center"/>
          </w:tcPr>
          <w:p w14:paraId="4A6125EE">
            <w:pPr>
              <w:spacing w:line="440" w:lineRule="exact"/>
              <w:rPr>
                <w:rFonts w:ascii="宋体"/>
                <w:color w:val="auto"/>
                <w:szCs w:val="21"/>
                <w:highlight w:val="none"/>
              </w:rPr>
            </w:pPr>
          </w:p>
        </w:tc>
        <w:tc>
          <w:tcPr>
            <w:tcW w:w="1338" w:type="dxa"/>
            <w:noWrap/>
            <w:vAlign w:val="center"/>
          </w:tcPr>
          <w:p w14:paraId="3425457F">
            <w:pPr>
              <w:spacing w:line="440" w:lineRule="exact"/>
              <w:rPr>
                <w:rFonts w:ascii="宋体"/>
                <w:color w:val="auto"/>
                <w:szCs w:val="21"/>
                <w:highlight w:val="none"/>
              </w:rPr>
            </w:pPr>
          </w:p>
        </w:tc>
        <w:tc>
          <w:tcPr>
            <w:tcW w:w="1338" w:type="dxa"/>
            <w:noWrap/>
            <w:vAlign w:val="center"/>
          </w:tcPr>
          <w:p w14:paraId="2331CE32">
            <w:pPr>
              <w:spacing w:line="440" w:lineRule="exact"/>
              <w:rPr>
                <w:rFonts w:ascii="宋体"/>
                <w:color w:val="auto"/>
                <w:szCs w:val="21"/>
                <w:highlight w:val="none"/>
              </w:rPr>
            </w:pPr>
          </w:p>
        </w:tc>
        <w:tc>
          <w:tcPr>
            <w:tcW w:w="1338" w:type="dxa"/>
            <w:noWrap/>
            <w:vAlign w:val="center"/>
          </w:tcPr>
          <w:p w14:paraId="755A7A44">
            <w:pPr>
              <w:spacing w:line="440" w:lineRule="exact"/>
              <w:rPr>
                <w:rFonts w:ascii="宋体"/>
                <w:color w:val="auto"/>
                <w:szCs w:val="21"/>
                <w:highlight w:val="none"/>
              </w:rPr>
            </w:pPr>
          </w:p>
        </w:tc>
      </w:tr>
      <w:tr w14:paraId="08A80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894" w:type="dxa"/>
            <w:shd w:val="clear" w:color="auto" w:fill="auto"/>
            <w:noWrap/>
            <w:vAlign w:val="center"/>
          </w:tcPr>
          <w:p w14:paraId="4815EAC0">
            <w:pPr>
              <w:spacing w:line="440" w:lineRule="exact"/>
              <w:rPr>
                <w:rFonts w:ascii="宋体" w:hAnsi="Times New Roman" w:eastAsia="宋体" w:cs="Times New Roman"/>
                <w:color w:val="auto"/>
                <w:kern w:val="2"/>
                <w:sz w:val="21"/>
                <w:szCs w:val="21"/>
                <w:highlight w:val="none"/>
                <w:lang w:val="en-US" w:eastAsia="zh-CN" w:bidi="ar-SA"/>
              </w:rPr>
            </w:pPr>
          </w:p>
        </w:tc>
        <w:tc>
          <w:tcPr>
            <w:tcW w:w="1785" w:type="dxa"/>
            <w:noWrap/>
            <w:vAlign w:val="center"/>
          </w:tcPr>
          <w:p w14:paraId="513E017B">
            <w:pPr>
              <w:spacing w:line="440" w:lineRule="exact"/>
              <w:rPr>
                <w:rFonts w:ascii="宋体"/>
                <w:color w:val="auto"/>
                <w:szCs w:val="21"/>
                <w:highlight w:val="none"/>
              </w:rPr>
            </w:pPr>
          </w:p>
        </w:tc>
        <w:tc>
          <w:tcPr>
            <w:tcW w:w="1785" w:type="dxa"/>
            <w:noWrap/>
            <w:vAlign w:val="center"/>
          </w:tcPr>
          <w:p w14:paraId="32FBD98B">
            <w:pPr>
              <w:spacing w:line="440" w:lineRule="exact"/>
              <w:rPr>
                <w:rFonts w:ascii="宋体"/>
                <w:color w:val="auto"/>
                <w:szCs w:val="21"/>
                <w:highlight w:val="none"/>
              </w:rPr>
            </w:pPr>
          </w:p>
        </w:tc>
        <w:tc>
          <w:tcPr>
            <w:tcW w:w="1338" w:type="dxa"/>
            <w:noWrap/>
            <w:vAlign w:val="center"/>
          </w:tcPr>
          <w:p w14:paraId="590DF398">
            <w:pPr>
              <w:spacing w:line="440" w:lineRule="exact"/>
              <w:rPr>
                <w:rFonts w:ascii="宋体"/>
                <w:color w:val="auto"/>
                <w:szCs w:val="21"/>
                <w:highlight w:val="none"/>
              </w:rPr>
            </w:pPr>
          </w:p>
        </w:tc>
        <w:tc>
          <w:tcPr>
            <w:tcW w:w="1338" w:type="dxa"/>
            <w:noWrap/>
            <w:vAlign w:val="center"/>
          </w:tcPr>
          <w:p w14:paraId="5C52D074">
            <w:pPr>
              <w:spacing w:line="440" w:lineRule="exact"/>
              <w:rPr>
                <w:rFonts w:ascii="宋体"/>
                <w:color w:val="auto"/>
                <w:szCs w:val="21"/>
                <w:highlight w:val="none"/>
              </w:rPr>
            </w:pPr>
          </w:p>
        </w:tc>
        <w:tc>
          <w:tcPr>
            <w:tcW w:w="1338" w:type="dxa"/>
            <w:noWrap/>
            <w:vAlign w:val="center"/>
          </w:tcPr>
          <w:p w14:paraId="506666CF">
            <w:pPr>
              <w:spacing w:line="440" w:lineRule="exact"/>
              <w:rPr>
                <w:rFonts w:ascii="宋体"/>
                <w:color w:val="auto"/>
                <w:szCs w:val="21"/>
                <w:highlight w:val="none"/>
              </w:rPr>
            </w:pPr>
          </w:p>
        </w:tc>
        <w:tc>
          <w:tcPr>
            <w:tcW w:w="1338" w:type="dxa"/>
            <w:noWrap/>
            <w:vAlign w:val="center"/>
          </w:tcPr>
          <w:p w14:paraId="63628196">
            <w:pPr>
              <w:spacing w:line="440" w:lineRule="exact"/>
              <w:rPr>
                <w:rFonts w:ascii="宋体"/>
                <w:color w:val="auto"/>
                <w:szCs w:val="21"/>
                <w:highlight w:val="none"/>
              </w:rPr>
            </w:pPr>
          </w:p>
        </w:tc>
      </w:tr>
      <w:tr w14:paraId="65B07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894" w:type="dxa"/>
            <w:shd w:val="clear" w:color="auto" w:fill="auto"/>
            <w:noWrap/>
            <w:vAlign w:val="center"/>
          </w:tcPr>
          <w:p w14:paraId="7960CCCF">
            <w:pPr>
              <w:spacing w:line="440" w:lineRule="exact"/>
              <w:rPr>
                <w:rFonts w:ascii="宋体" w:hAnsi="Times New Roman" w:eastAsia="宋体" w:cs="Times New Roman"/>
                <w:color w:val="auto"/>
                <w:kern w:val="2"/>
                <w:sz w:val="21"/>
                <w:szCs w:val="21"/>
                <w:highlight w:val="none"/>
                <w:lang w:val="en-US" w:eastAsia="zh-CN" w:bidi="ar-SA"/>
              </w:rPr>
            </w:pPr>
          </w:p>
        </w:tc>
        <w:tc>
          <w:tcPr>
            <w:tcW w:w="1785" w:type="dxa"/>
            <w:noWrap/>
            <w:vAlign w:val="center"/>
          </w:tcPr>
          <w:p w14:paraId="5C46D9AA">
            <w:pPr>
              <w:spacing w:line="440" w:lineRule="exact"/>
              <w:rPr>
                <w:rFonts w:ascii="宋体"/>
                <w:color w:val="auto"/>
                <w:szCs w:val="21"/>
                <w:highlight w:val="none"/>
              </w:rPr>
            </w:pPr>
          </w:p>
        </w:tc>
        <w:tc>
          <w:tcPr>
            <w:tcW w:w="1785" w:type="dxa"/>
            <w:noWrap/>
            <w:vAlign w:val="center"/>
          </w:tcPr>
          <w:p w14:paraId="4D8710A2">
            <w:pPr>
              <w:spacing w:line="440" w:lineRule="exact"/>
              <w:rPr>
                <w:rFonts w:ascii="宋体"/>
                <w:color w:val="auto"/>
                <w:szCs w:val="21"/>
                <w:highlight w:val="none"/>
              </w:rPr>
            </w:pPr>
          </w:p>
        </w:tc>
        <w:tc>
          <w:tcPr>
            <w:tcW w:w="1338" w:type="dxa"/>
            <w:noWrap/>
            <w:vAlign w:val="center"/>
          </w:tcPr>
          <w:p w14:paraId="1A843801">
            <w:pPr>
              <w:spacing w:line="440" w:lineRule="exact"/>
              <w:rPr>
                <w:rFonts w:ascii="宋体"/>
                <w:color w:val="auto"/>
                <w:szCs w:val="21"/>
                <w:highlight w:val="none"/>
              </w:rPr>
            </w:pPr>
          </w:p>
        </w:tc>
        <w:tc>
          <w:tcPr>
            <w:tcW w:w="1338" w:type="dxa"/>
            <w:noWrap/>
            <w:vAlign w:val="center"/>
          </w:tcPr>
          <w:p w14:paraId="21D33016">
            <w:pPr>
              <w:spacing w:line="440" w:lineRule="exact"/>
              <w:rPr>
                <w:rFonts w:ascii="宋体"/>
                <w:color w:val="auto"/>
                <w:szCs w:val="21"/>
                <w:highlight w:val="none"/>
              </w:rPr>
            </w:pPr>
          </w:p>
        </w:tc>
        <w:tc>
          <w:tcPr>
            <w:tcW w:w="1338" w:type="dxa"/>
            <w:noWrap/>
            <w:vAlign w:val="center"/>
          </w:tcPr>
          <w:p w14:paraId="28B5B0CF">
            <w:pPr>
              <w:spacing w:line="440" w:lineRule="exact"/>
              <w:rPr>
                <w:rFonts w:ascii="宋体"/>
                <w:color w:val="auto"/>
                <w:szCs w:val="21"/>
                <w:highlight w:val="none"/>
              </w:rPr>
            </w:pPr>
          </w:p>
        </w:tc>
        <w:tc>
          <w:tcPr>
            <w:tcW w:w="1338" w:type="dxa"/>
            <w:noWrap/>
            <w:vAlign w:val="center"/>
          </w:tcPr>
          <w:p w14:paraId="600A2EC3">
            <w:pPr>
              <w:spacing w:line="440" w:lineRule="exact"/>
              <w:rPr>
                <w:rFonts w:ascii="宋体"/>
                <w:color w:val="auto"/>
                <w:szCs w:val="21"/>
                <w:highlight w:val="none"/>
              </w:rPr>
            </w:pPr>
          </w:p>
        </w:tc>
      </w:tr>
      <w:tr w14:paraId="73206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4464" w:type="dxa"/>
            <w:gridSpan w:val="3"/>
            <w:shd w:val="clear" w:color="auto" w:fill="auto"/>
            <w:noWrap/>
            <w:vAlign w:val="center"/>
          </w:tcPr>
          <w:p w14:paraId="1B86164C">
            <w:pPr>
              <w:keepNext w:val="0"/>
              <w:keepLines w:val="0"/>
              <w:widowControl/>
              <w:suppressLineNumbers w:val="0"/>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小 计</w:t>
            </w:r>
          </w:p>
        </w:tc>
        <w:tc>
          <w:tcPr>
            <w:tcW w:w="5352" w:type="dxa"/>
            <w:gridSpan w:val="4"/>
            <w:noWrap/>
            <w:vAlign w:val="center"/>
          </w:tcPr>
          <w:p w14:paraId="28525D67">
            <w:pPr>
              <w:keepNext w:val="0"/>
              <w:keepLines w:val="0"/>
              <w:widowControl/>
              <w:suppressLineNumbers w:val="0"/>
              <w:jc w:val="left"/>
              <w:rPr>
                <w:rFonts w:hint="default" w:ascii="宋体" w:hAnsi="宋体" w:eastAsia="宋体" w:cs="宋体"/>
                <w:color w:val="auto"/>
                <w:kern w:val="0"/>
                <w:sz w:val="21"/>
                <w:szCs w:val="21"/>
                <w:highlight w:val="none"/>
                <w:u w:val="single"/>
                <w:lang w:val="en-US" w:eastAsia="zh-CN" w:bidi="ar"/>
              </w:rPr>
            </w:pP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none"/>
                <w:lang w:val="en-US" w:eastAsia="zh-CN" w:bidi="ar"/>
              </w:rPr>
              <w:t>元</w:t>
            </w:r>
          </w:p>
          <w:p w14:paraId="6000BE0F">
            <w:pPr>
              <w:spacing w:line="440" w:lineRule="exact"/>
              <w:ind w:firstLine="1260" w:firstLineChars="600"/>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汇入投标报价汇总表</w:t>
            </w:r>
          </w:p>
        </w:tc>
      </w:tr>
    </w:tbl>
    <w:p w14:paraId="02491BC8">
      <w:pPr>
        <w:jc w:val="center"/>
        <w:outlineLvl w:val="9"/>
        <w:rPr>
          <w:rFonts w:hint="default" w:eastAsia="宋体"/>
          <w:color w:val="auto"/>
          <w:highlight w:val="none"/>
          <w:lang w:val="en-US" w:eastAsia="zh-CN"/>
        </w:rPr>
      </w:pPr>
    </w:p>
    <w:p w14:paraId="33BE5982">
      <w:pPr>
        <w:jc w:val="center"/>
        <w:outlineLvl w:val="9"/>
        <w:rPr>
          <w:rFonts w:hint="eastAsia"/>
          <w:color w:val="auto"/>
          <w:highlight w:val="none"/>
        </w:rPr>
      </w:pPr>
    </w:p>
    <w:p w14:paraId="635BA14B">
      <w:pPr>
        <w:keepNext w:val="0"/>
        <w:keepLines w:val="0"/>
        <w:pageBreakBefore w:val="0"/>
        <w:widowControl w:val="0"/>
        <w:kinsoku/>
        <w:wordWrap/>
        <w:overflowPunct/>
        <w:topLinePunct w:val="0"/>
        <w:autoSpaceDE/>
        <w:autoSpaceDN/>
        <w:bidi w:val="0"/>
        <w:adjustRightInd/>
        <w:snapToGrid/>
        <w:spacing w:line="440" w:lineRule="exact"/>
        <w:ind w:firstLine="4200" w:firstLineChars="2000"/>
        <w:textAlignment w:val="auto"/>
        <w:rPr>
          <w:color w:val="auto"/>
          <w:szCs w:val="21"/>
          <w:highlight w:val="none"/>
        </w:rPr>
      </w:pPr>
      <w:r>
        <w:rPr>
          <w:rFonts w:hint="eastAsia"/>
          <w:color w:val="auto"/>
          <w:szCs w:val="21"/>
          <w:highlight w:val="none"/>
        </w:rPr>
        <w:t>投标人：</w:t>
      </w:r>
      <w:r>
        <w:rPr>
          <w:rFonts w:hint="eastAsia"/>
          <w:color w:val="auto"/>
          <w:szCs w:val="21"/>
          <w:highlight w:val="none"/>
          <w:u w:val="single"/>
          <w:lang w:val="en-US" w:eastAsia="zh-CN"/>
        </w:rPr>
        <w:t xml:space="preserve">                          </w:t>
      </w:r>
      <w:r>
        <w:rPr>
          <w:rFonts w:hint="eastAsia"/>
          <w:color w:val="auto"/>
          <w:szCs w:val="21"/>
          <w:highlight w:val="none"/>
        </w:rPr>
        <w:t>（盖单位</w:t>
      </w:r>
      <w:r>
        <w:rPr>
          <w:rFonts w:hint="eastAsia"/>
          <w:color w:val="auto"/>
          <w:szCs w:val="21"/>
          <w:highlight w:val="none"/>
          <w:lang w:val="en-US" w:eastAsia="zh-CN"/>
        </w:rPr>
        <w:t>公</w:t>
      </w:r>
      <w:r>
        <w:rPr>
          <w:rFonts w:hint="eastAsia"/>
          <w:color w:val="auto"/>
          <w:szCs w:val="21"/>
          <w:highlight w:val="none"/>
        </w:rPr>
        <w:t>章）</w:t>
      </w:r>
    </w:p>
    <w:p w14:paraId="04EE1A5B">
      <w:pPr>
        <w:keepNext w:val="0"/>
        <w:keepLines w:val="0"/>
        <w:pageBreakBefore w:val="0"/>
        <w:widowControl w:val="0"/>
        <w:kinsoku/>
        <w:wordWrap/>
        <w:overflowPunct/>
        <w:topLinePunct w:val="0"/>
        <w:autoSpaceDE/>
        <w:autoSpaceDN/>
        <w:bidi w:val="0"/>
        <w:adjustRightInd/>
        <w:snapToGrid/>
        <w:spacing w:line="440" w:lineRule="exact"/>
        <w:ind w:firstLine="2940" w:firstLineChars="1400"/>
        <w:textAlignment w:val="auto"/>
        <w:rPr>
          <w:color w:val="auto"/>
          <w:szCs w:val="21"/>
          <w:highlight w:val="none"/>
        </w:rPr>
      </w:pPr>
    </w:p>
    <w:p w14:paraId="223EA614">
      <w:pPr>
        <w:keepNext w:val="0"/>
        <w:keepLines w:val="0"/>
        <w:pageBreakBefore w:val="0"/>
        <w:widowControl w:val="0"/>
        <w:kinsoku/>
        <w:wordWrap/>
        <w:overflowPunct/>
        <w:topLinePunct w:val="0"/>
        <w:autoSpaceDE/>
        <w:autoSpaceDN/>
        <w:bidi w:val="0"/>
        <w:adjustRightInd/>
        <w:snapToGrid/>
        <w:spacing w:line="440" w:lineRule="exact"/>
        <w:ind w:firstLine="4200" w:firstLineChars="2000"/>
        <w:textAlignment w:val="auto"/>
        <w:rPr>
          <w:color w:val="auto"/>
          <w:szCs w:val="21"/>
          <w:highlight w:val="none"/>
        </w:rPr>
      </w:pPr>
      <w:r>
        <w:rPr>
          <w:rFonts w:hint="eastAsia"/>
          <w:color w:val="auto"/>
          <w:szCs w:val="21"/>
          <w:highlight w:val="none"/>
        </w:rPr>
        <w:t>法定代表人</w:t>
      </w:r>
      <w:r>
        <w:rPr>
          <w:rFonts w:hint="eastAsia"/>
          <w:color w:val="auto"/>
          <w:szCs w:val="21"/>
          <w:highlight w:val="none"/>
          <w:lang w:val="en-US" w:eastAsia="zh-CN"/>
        </w:rPr>
        <w:t>或授权委托人</w:t>
      </w:r>
      <w:r>
        <w:rPr>
          <w:rFonts w:hint="eastAsia"/>
          <w:color w:val="auto"/>
          <w:szCs w:val="21"/>
          <w:highlight w:val="none"/>
        </w:rPr>
        <w:t>：</w:t>
      </w:r>
      <w:r>
        <w:rPr>
          <w:rFonts w:hint="eastAsia"/>
          <w:color w:val="auto"/>
          <w:szCs w:val="21"/>
          <w:highlight w:val="none"/>
          <w:u w:val="single"/>
          <w:lang w:val="en-US" w:eastAsia="zh-CN"/>
        </w:rPr>
        <w:t xml:space="preserve">                </w:t>
      </w:r>
      <w:r>
        <w:rPr>
          <w:rFonts w:hint="eastAsia"/>
          <w:color w:val="auto"/>
          <w:szCs w:val="21"/>
          <w:highlight w:val="none"/>
        </w:rPr>
        <w:t>（签章）</w:t>
      </w:r>
    </w:p>
    <w:p w14:paraId="6A336F92">
      <w:pPr>
        <w:spacing w:line="440" w:lineRule="exact"/>
        <w:rPr>
          <w:color w:val="auto"/>
          <w:szCs w:val="21"/>
          <w:highlight w:val="none"/>
        </w:rPr>
      </w:pPr>
    </w:p>
    <w:p w14:paraId="41B8856D">
      <w:pPr>
        <w:spacing w:line="440" w:lineRule="exact"/>
        <w:ind w:firstLine="5355" w:firstLineChars="2550"/>
        <w:rPr>
          <w:rFonts w:hint="eastAsia"/>
          <w:color w:val="auto"/>
          <w:szCs w:val="21"/>
          <w:highlight w:val="none"/>
        </w:rPr>
      </w:pPr>
      <w:r>
        <w:rPr>
          <w:rFonts w:hint="eastAsia"/>
          <w:color w:val="auto"/>
          <w:szCs w:val="21"/>
          <w:highlight w:val="none"/>
          <w:u w:val="single"/>
          <w:lang w:val="en-US" w:eastAsia="zh-CN"/>
        </w:rPr>
        <w:t xml:space="preserve">       </w:t>
      </w:r>
      <w:r>
        <w:rPr>
          <w:rFonts w:hint="eastAsia"/>
          <w:color w:val="auto"/>
          <w:szCs w:val="21"/>
          <w:highlight w:val="none"/>
        </w:rPr>
        <w:t>年</w:t>
      </w:r>
      <w:r>
        <w:rPr>
          <w:rFonts w:hint="eastAsia"/>
          <w:color w:val="auto"/>
          <w:szCs w:val="21"/>
          <w:highlight w:val="none"/>
          <w:u w:val="single"/>
          <w:lang w:val="en-US" w:eastAsia="zh-CN"/>
        </w:rPr>
        <w:t xml:space="preserve">       </w:t>
      </w:r>
      <w:r>
        <w:rPr>
          <w:rFonts w:hint="eastAsia"/>
          <w:color w:val="auto"/>
          <w:szCs w:val="21"/>
          <w:highlight w:val="none"/>
        </w:rPr>
        <w:t>月</w:t>
      </w:r>
      <w:r>
        <w:rPr>
          <w:rFonts w:hint="eastAsia"/>
          <w:color w:val="auto"/>
          <w:szCs w:val="21"/>
          <w:highlight w:val="none"/>
          <w:u w:val="single"/>
          <w:lang w:val="en-US" w:eastAsia="zh-CN"/>
        </w:rPr>
        <w:t xml:space="preserve">       </w:t>
      </w:r>
      <w:r>
        <w:rPr>
          <w:rFonts w:hint="eastAsia"/>
          <w:color w:val="auto"/>
          <w:szCs w:val="21"/>
          <w:highlight w:val="none"/>
        </w:rPr>
        <w:t>日</w:t>
      </w:r>
    </w:p>
    <w:p w14:paraId="44A867DD">
      <w:pPr>
        <w:spacing w:line="440" w:lineRule="exact"/>
        <w:ind w:firstLine="4305" w:firstLineChars="2050"/>
        <w:rPr>
          <w:rFonts w:hint="eastAsia"/>
          <w:color w:val="auto"/>
          <w:szCs w:val="21"/>
          <w:highlight w:val="none"/>
        </w:rPr>
      </w:pPr>
    </w:p>
    <w:p w14:paraId="02691891">
      <w:pPr>
        <w:spacing w:line="440" w:lineRule="exact"/>
        <w:ind w:firstLine="4305" w:firstLineChars="2050"/>
        <w:rPr>
          <w:rFonts w:hint="eastAsia"/>
          <w:color w:val="auto"/>
          <w:szCs w:val="21"/>
          <w:highlight w:val="none"/>
        </w:rPr>
      </w:pPr>
    </w:p>
    <w:p w14:paraId="623CC3FF">
      <w:pPr>
        <w:jc w:val="center"/>
        <w:outlineLvl w:val="9"/>
        <w:rPr>
          <w:rFonts w:hint="eastAsia"/>
          <w:b/>
          <w:bCs/>
          <w:color w:val="auto"/>
          <w:highlight w:val="none"/>
          <w:lang w:val="en-US" w:eastAsia="zh-CN"/>
        </w:rPr>
      </w:pPr>
      <w:r>
        <w:rPr>
          <w:rFonts w:hint="eastAsia"/>
          <w:b/>
          <w:bCs/>
          <w:color w:val="auto"/>
          <w:highlight w:val="none"/>
          <w:lang w:val="en-US" w:eastAsia="zh-CN"/>
        </w:rPr>
        <w:t>5-8工程设备暂估价表</w:t>
      </w:r>
    </w:p>
    <w:p w14:paraId="247A6D13">
      <w:pPr>
        <w:jc w:val="center"/>
        <w:outlineLvl w:val="9"/>
        <w:rPr>
          <w:rFonts w:hint="eastAsia"/>
          <w:b/>
          <w:bCs/>
          <w:color w:val="auto"/>
          <w:highlight w:val="none"/>
          <w:lang w:val="en-US" w:eastAsia="zh-CN"/>
        </w:rPr>
      </w:pPr>
    </w:p>
    <w:tbl>
      <w:tblPr>
        <w:tblStyle w:val="42"/>
        <w:tblW w:w="98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
        <w:gridCol w:w="1785"/>
        <w:gridCol w:w="1785"/>
        <w:gridCol w:w="1338"/>
        <w:gridCol w:w="1338"/>
        <w:gridCol w:w="1338"/>
        <w:gridCol w:w="1338"/>
      </w:tblGrid>
      <w:tr w14:paraId="0D9DB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894" w:type="dxa"/>
            <w:noWrap/>
            <w:vAlign w:val="center"/>
          </w:tcPr>
          <w:p w14:paraId="3CF23636">
            <w:pPr>
              <w:jc w:val="center"/>
              <w:rPr>
                <w:rFonts w:ascii="宋体"/>
                <w:color w:val="auto"/>
                <w:szCs w:val="21"/>
                <w:highlight w:val="none"/>
              </w:rPr>
            </w:pPr>
            <w:r>
              <w:rPr>
                <w:rFonts w:hint="eastAsia" w:ascii="宋体" w:hAnsi="宋体"/>
                <w:b/>
                <w:bCs/>
                <w:color w:val="auto"/>
                <w:szCs w:val="21"/>
                <w:highlight w:val="none"/>
              </w:rPr>
              <w:t>序号</w:t>
            </w:r>
          </w:p>
        </w:tc>
        <w:tc>
          <w:tcPr>
            <w:tcW w:w="1785" w:type="dxa"/>
            <w:noWrap/>
            <w:vAlign w:val="center"/>
          </w:tcPr>
          <w:p w14:paraId="3D2D5814">
            <w:pPr>
              <w:keepNext w:val="0"/>
              <w:keepLines w:val="0"/>
              <w:widowControl/>
              <w:suppressLineNumbers w:val="0"/>
              <w:jc w:val="center"/>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名称</w:t>
            </w:r>
          </w:p>
        </w:tc>
        <w:tc>
          <w:tcPr>
            <w:tcW w:w="1785" w:type="dxa"/>
            <w:noWrap/>
            <w:vAlign w:val="center"/>
          </w:tcPr>
          <w:p w14:paraId="04CF616E">
            <w:pPr>
              <w:keepNext w:val="0"/>
              <w:keepLines w:val="0"/>
              <w:widowControl/>
              <w:suppressLineNumbers w:val="0"/>
              <w:jc w:val="center"/>
              <w:rPr>
                <w:rFonts w:hint="eastAsia" w:ascii="宋体" w:eastAsia="宋体"/>
                <w:b/>
                <w:bCs/>
                <w:color w:val="auto"/>
                <w:szCs w:val="21"/>
                <w:highlight w:val="none"/>
                <w:lang w:val="en-US" w:eastAsia="zh-CN"/>
              </w:rPr>
            </w:pPr>
            <w:r>
              <w:rPr>
                <w:rFonts w:hint="eastAsia" w:ascii="宋体"/>
                <w:b/>
                <w:bCs/>
                <w:color w:val="auto"/>
                <w:szCs w:val="21"/>
                <w:highlight w:val="none"/>
                <w:lang w:val="en-US" w:eastAsia="zh-CN"/>
              </w:rPr>
              <w:t>计量单位</w:t>
            </w:r>
          </w:p>
        </w:tc>
        <w:tc>
          <w:tcPr>
            <w:tcW w:w="1338" w:type="dxa"/>
            <w:noWrap/>
            <w:vAlign w:val="center"/>
          </w:tcPr>
          <w:p w14:paraId="1AF62871">
            <w:pPr>
              <w:keepNext w:val="0"/>
              <w:keepLines w:val="0"/>
              <w:widowControl/>
              <w:suppressLineNumbers w:val="0"/>
              <w:jc w:val="center"/>
              <w:rPr>
                <w:rFonts w:ascii="宋体"/>
                <w:color w:val="auto"/>
                <w:szCs w:val="21"/>
                <w:highlight w:val="none"/>
              </w:rPr>
            </w:pPr>
            <w:r>
              <w:rPr>
                <w:rFonts w:hint="eastAsia" w:ascii="宋体" w:hAnsi="宋体" w:cs="宋体"/>
                <w:b/>
                <w:bCs/>
                <w:color w:val="auto"/>
                <w:kern w:val="0"/>
                <w:sz w:val="21"/>
                <w:szCs w:val="21"/>
                <w:highlight w:val="none"/>
                <w:lang w:val="en-US" w:eastAsia="zh-CN" w:bidi="ar"/>
              </w:rPr>
              <w:t>数量</w:t>
            </w:r>
          </w:p>
        </w:tc>
        <w:tc>
          <w:tcPr>
            <w:tcW w:w="1338" w:type="dxa"/>
            <w:noWrap/>
            <w:vAlign w:val="center"/>
          </w:tcPr>
          <w:p w14:paraId="5898FD41">
            <w:pPr>
              <w:keepNext w:val="0"/>
              <w:keepLines w:val="0"/>
              <w:widowControl/>
              <w:suppressLineNumbers w:val="0"/>
              <w:jc w:val="center"/>
              <w:rPr>
                <w:rFonts w:ascii="宋体"/>
                <w:color w:val="auto"/>
                <w:szCs w:val="21"/>
                <w:highlight w:val="none"/>
              </w:rPr>
            </w:pPr>
            <w:r>
              <w:rPr>
                <w:rFonts w:hint="eastAsia" w:ascii="宋体" w:hAnsi="宋体" w:cs="宋体"/>
                <w:b/>
                <w:bCs/>
                <w:color w:val="auto"/>
                <w:kern w:val="0"/>
                <w:sz w:val="21"/>
                <w:szCs w:val="21"/>
                <w:highlight w:val="none"/>
                <w:lang w:val="en-US" w:eastAsia="zh-CN" w:bidi="ar"/>
              </w:rPr>
              <w:t>单价</w:t>
            </w:r>
            <w:r>
              <w:rPr>
                <w:rFonts w:hint="eastAsia" w:ascii="宋体" w:hAnsi="宋体" w:eastAsia="宋体" w:cs="宋体"/>
                <w:b/>
                <w:bCs/>
                <w:color w:val="auto"/>
                <w:kern w:val="0"/>
                <w:sz w:val="21"/>
                <w:szCs w:val="21"/>
                <w:highlight w:val="none"/>
                <w:lang w:val="en-US" w:eastAsia="zh-CN" w:bidi="ar"/>
              </w:rPr>
              <w:t>（元）</w:t>
            </w:r>
          </w:p>
        </w:tc>
        <w:tc>
          <w:tcPr>
            <w:tcW w:w="1338" w:type="dxa"/>
            <w:noWrap/>
            <w:vAlign w:val="center"/>
          </w:tcPr>
          <w:p w14:paraId="63F72FAD">
            <w:pPr>
              <w:keepNext w:val="0"/>
              <w:keepLines w:val="0"/>
              <w:widowControl/>
              <w:suppressLineNumbers w:val="0"/>
              <w:jc w:val="center"/>
              <w:rPr>
                <w:rFonts w:hint="eastAsia" w:ascii="宋体" w:hAnsi="宋体" w:cs="宋体"/>
                <w:b/>
                <w:bCs/>
                <w:color w:val="auto"/>
                <w:kern w:val="0"/>
                <w:sz w:val="21"/>
                <w:szCs w:val="21"/>
                <w:highlight w:val="none"/>
                <w:lang w:val="en-US" w:eastAsia="zh-CN" w:bidi="ar"/>
              </w:rPr>
            </w:pPr>
            <w:r>
              <w:rPr>
                <w:rFonts w:hint="eastAsia" w:ascii="宋体" w:hAnsi="宋体" w:cs="宋体"/>
                <w:b/>
                <w:bCs/>
                <w:color w:val="auto"/>
                <w:kern w:val="0"/>
                <w:sz w:val="21"/>
                <w:szCs w:val="21"/>
                <w:highlight w:val="none"/>
                <w:lang w:val="en-US" w:eastAsia="zh-CN" w:bidi="ar"/>
              </w:rPr>
              <w:t>合价</w:t>
            </w:r>
          </w:p>
          <w:p w14:paraId="0D8A1A59">
            <w:pPr>
              <w:keepNext w:val="0"/>
              <w:keepLines w:val="0"/>
              <w:widowControl/>
              <w:suppressLineNumbers w:val="0"/>
              <w:jc w:val="center"/>
              <w:rPr>
                <w:rFonts w:hint="eastAsia" w:ascii="宋体" w:hAnsi="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（元）</w:t>
            </w:r>
          </w:p>
        </w:tc>
        <w:tc>
          <w:tcPr>
            <w:tcW w:w="1338" w:type="dxa"/>
            <w:noWrap/>
            <w:vAlign w:val="center"/>
          </w:tcPr>
          <w:p w14:paraId="4A57FC50">
            <w:pPr>
              <w:keepNext w:val="0"/>
              <w:keepLines w:val="0"/>
              <w:widowControl/>
              <w:suppressLineNumbers w:val="0"/>
              <w:jc w:val="center"/>
              <w:rPr>
                <w:rFonts w:hint="eastAsia" w:ascii="宋体" w:hAnsi="宋体"/>
                <w:b/>
                <w:bCs/>
                <w:color w:val="auto"/>
                <w:szCs w:val="21"/>
                <w:highlight w:val="none"/>
              </w:rPr>
            </w:pPr>
            <w:r>
              <w:rPr>
                <w:rFonts w:hint="eastAsia" w:ascii="宋体" w:hAnsi="宋体" w:eastAsia="宋体" w:cs="宋体"/>
                <w:b/>
                <w:bCs/>
                <w:color w:val="auto"/>
                <w:kern w:val="0"/>
                <w:sz w:val="21"/>
                <w:szCs w:val="21"/>
                <w:highlight w:val="none"/>
                <w:lang w:val="en-US" w:eastAsia="zh-CN" w:bidi="ar"/>
              </w:rPr>
              <w:t>备注</w:t>
            </w:r>
          </w:p>
        </w:tc>
      </w:tr>
      <w:tr w14:paraId="7032B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894" w:type="dxa"/>
            <w:noWrap/>
            <w:vAlign w:val="center"/>
          </w:tcPr>
          <w:p w14:paraId="0418BEAB">
            <w:pPr>
              <w:spacing w:line="440" w:lineRule="exact"/>
              <w:rPr>
                <w:rFonts w:ascii="宋体"/>
                <w:color w:val="auto"/>
                <w:szCs w:val="21"/>
                <w:highlight w:val="none"/>
              </w:rPr>
            </w:pPr>
          </w:p>
        </w:tc>
        <w:tc>
          <w:tcPr>
            <w:tcW w:w="1785" w:type="dxa"/>
            <w:noWrap/>
            <w:vAlign w:val="center"/>
          </w:tcPr>
          <w:p w14:paraId="05F70236">
            <w:pPr>
              <w:spacing w:line="440" w:lineRule="exact"/>
              <w:rPr>
                <w:rFonts w:ascii="宋体"/>
                <w:color w:val="auto"/>
                <w:szCs w:val="21"/>
                <w:highlight w:val="none"/>
              </w:rPr>
            </w:pPr>
          </w:p>
        </w:tc>
        <w:tc>
          <w:tcPr>
            <w:tcW w:w="1785" w:type="dxa"/>
            <w:noWrap/>
            <w:vAlign w:val="center"/>
          </w:tcPr>
          <w:p w14:paraId="19314E75">
            <w:pPr>
              <w:spacing w:line="440" w:lineRule="exact"/>
              <w:rPr>
                <w:rFonts w:ascii="宋体"/>
                <w:color w:val="auto"/>
                <w:szCs w:val="21"/>
                <w:highlight w:val="none"/>
              </w:rPr>
            </w:pPr>
          </w:p>
        </w:tc>
        <w:tc>
          <w:tcPr>
            <w:tcW w:w="1338" w:type="dxa"/>
            <w:noWrap/>
            <w:vAlign w:val="center"/>
          </w:tcPr>
          <w:p w14:paraId="397F7257">
            <w:pPr>
              <w:spacing w:line="440" w:lineRule="exact"/>
              <w:rPr>
                <w:rFonts w:ascii="宋体"/>
                <w:color w:val="auto"/>
                <w:szCs w:val="21"/>
                <w:highlight w:val="none"/>
              </w:rPr>
            </w:pPr>
          </w:p>
        </w:tc>
        <w:tc>
          <w:tcPr>
            <w:tcW w:w="1338" w:type="dxa"/>
            <w:noWrap/>
            <w:vAlign w:val="center"/>
          </w:tcPr>
          <w:p w14:paraId="7149C6D5">
            <w:pPr>
              <w:spacing w:line="440" w:lineRule="exact"/>
              <w:rPr>
                <w:rFonts w:ascii="宋体"/>
                <w:color w:val="auto"/>
                <w:szCs w:val="21"/>
                <w:highlight w:val="none"/>
              </w:rPr>
            </w:pPr>
          </w:p>
        </w:tc>
        <w:tc>
          <w:tcPr>
            <w:tcW w:w="1338" w:type="dxa"/>
            <w:noWrap/>
            <w:vAlign w:val="center"/>
          </w:tcPr>
          <w:p w14:paraId="5FE284FB">
            <w:pPr>
              <w:spacing w:line="440" w:lineRule="exact"/>
              <w:rPr>
                <w:rFonts w:ascii="宋体"/>
                <w:color w:val="auto"/>
                <w:szCs w:val="21"/>
                <w:highlight w:val="none"/>
              </w:rPr>
            </w:pPr>
          </w:p>
        </w:tc>
        <w:tc>
          <w:tcPr>
            <w:tcW w:w="1338" w:type="dxa"/>
            <w:noWrap/>
            <w:vAlign w:val="center"/>
          </w:tcPr>
          <w:p w14:paraId="61764D5A">
            <w:pPr>
              <w:spacing w:line="440" w:lineRule="exact"/>
              <w:rPr>
                <w:rFonts w:ascii="宋体"/>
                <w:color w:val="auto"/>
                <w:szCs w:val="21"/>
                <w:highlight w:val="none"/>
              </w:rPr>
            </w:pPr>
          </w:p>
        </w:tc>
      </w:tr>
      <w:tr w14:paraId="2AD82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894" w:type="dxa"/>
            <w:shd w:val="clear" w:color="auto" w:fill="auto"/>
            <w:noWrap/>
            <w:vAlign w:val="center"/>
          </w:tcPr>
          <w:p w14:paraId="6575700B">
            <w:pPr>
              <w:spacing w:line="440" w:lineRule="exact"/>
              <w:rPr>
                <w:rFonts w:ascii="宋体" w:hAnsi="Times New Roman" w:eastAsia="宋体" w:cs="Times New Roman"/>
                <w:color w:val="auto"/>
                <w:kern w:val="2"/>
                <w:sz w:val="21"/>
                <w:szCs w:val="21"/>
                <w:highlight w:val="none"/>
                <w:lang w:val="en-US" w:eastAsia="zh-CN" w:bidi="ar-SA"/>
              </w:rPr>
            </w:pPr>
          </w:p>
        </w:tc>
        <w:tc>
          <w:tcPr>
            <w:tcW w:w="1785" w:type="dxa"/>
            <w:noWrap/>
            <w:vAlign w:val="center"/>
          </w:tcPr>
          <w:p w14:paraId="7266E00A">
            <w:pPr>
              <w:spacing w:line="440" w:lineRule="exact"/>
              <w:rPr>
                <w:rFonts w:hint="eastAsia" w:ascii="宋体" w:hAnsi="宋体" w:eastAsia="宋体"/>
                <w:color w:val="auto"/>
                <w:szCs w:val="21"/>
                <w:highlight w:val="none"/>
                <w:lang w:val="en-US" w:eastAsia="zh-CN"/>
              </w:rPr>
            </w:pPr>
          </w:p>
        </w:tc>
        <w:tc>
          <w:tcPr>
            <w:tcW w:w="1785" w:type="dxa"/>
            <w:noWrap/>
            <w:vAlign w:val="center"/>
          </w:tcPr>
          <w:p w14:paraId="3654C6FA">
            <w:pPr>
              <w:spacing w:line="440" w:lineRule="exact"/>
              <w:rPr>
                <w:rFonts w:hint="eastAsia" w:ascii="宋体" w:hAnsi="宋体" w:eastAsia="宋体"/>
                <w:color w:val="auto"/>
                <w:szCs w:val="21"/>
                <w:highlight w:val="none"/>
                <w:lang w:val="en-US" w:eastAsia="zh-CN"/>
              </w:rPr>
            </w:pPr>
          </w:p>
        </w:tc>
        <w:tc>
          <w:tcPr>
            <w:tcW w:w="1338" w:type="dxa"/>
            <w:noWrap/>
            <w:vAlign w:val="center"/>
          </w:tcPr>
          <w:p w14:paraId="7E0B7B11">
            <w:pPr>
              <w:spacing w:line="440" w:lineRule="exact"/>
              <w:rPr>
                <w:rFonts w:hint="eastAsia" w:ascii="宋体" w:hAnsi="宋体"/>
                <w:color w:val="auto"/>
                <w:szCs w:val="21"/>
                <w:highlight w:val="none"/>
              </w:rPr>
            </w:pPr>
          </w:p>
        </w:tc>
        <w:tc>
          <w:tcPr>
            <w:tcW w:w="1338" w:type="dxa"/>
            <w:noWrap/>
            <w:vAlign w:val="center"/>
          </w:tcPr>
          <w:p w14:paraId="58FD5C47">
            <w:pPr>
              <w:spacing w:line="440" w:lineRule="exact"/>
              <w:rPr>
                <w:rFonts w:ascii="宋体"/>
                <w:color w:val="auto"/>
                <w:szCs w:val="21"/>
                <w:highlight w:val="none"/>
              </w:rPr>
            </w:pPr>
          </w:p>
        </w:tc>
        <w:tc>
          <w:tcPr>
            <w:tcW w:w="1338" w:type="dxa"/>
            <w:noWrap/>
            <w:vAlign w:val="center"/>
          </w:tcPr>
          <w:p w14:paraId="71A3A841">
            <w:pPr>
              <w:spacing w:line="440" w:lineRule="exact"/>
              <w:rPr>
                <w:rFonts w:ascii="宋体"/>
                <w:color w:val="auto"/>
                <w:szCs w:val="21"/>
                <w:highlight w:val="none"/>
              </w:rPr>
            </w:pPr>
          </w:p>
        </w:tc>
        <w:tc>
          <w:tcPr>
            <w:tcW w:w="1338" w:type="dxa"/>
            <w:noWrap/>
            <w:vAlign w:val="center"/>
          </w:tcPr>
          <w:p w14:paraId="27A33F52">
            <w:pPr>
              <w:spacing w:line="440" w:lineRule="exact"/>
              <w:rPr>
                <w:rFonts w:ascii="宋体"/>
                <w:color w:val="auto"/>
                <w:szCs w:val="21"/>
                <w:highlight w:val="none"/>
              </w:rPr>
            </w:pPr>
          </w:p>
        </w:tc>
      </w:tr>
      <w:tr w14:paraId="0835B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894" w:type="dxa"/>
            <w:shd w:val="clear" w:color="auto" w:fill="auto"/>
            <w:noWrap/>
            <w:vAlign w:val="center"/>
          </w:tcPr>
          <w:p w14:paraId="51478E00">
            <w:pPr>
              <w:spacing w:line="440" w:lineRule="exact"/>
              <w:rPr>
                <w:rFonts w:ascii="宋体" w:hAnsi="Times New Roman" w:eastAsia="宋体" w:cs="Times New Roman"/>
                <w:color w:val="auto"/>
                <w:kern w:val="2"/>
                <w:sz w:val="21"/>
                <w:szCs w:val="21"/>
                <w:highlight w:val="none"/>
                <w:lang w:val="en-US" w:eastAsia="zh-CN" w:bidi="ar-SA"/>
              </w:rPr>
            </w:pPr>
          </w:p>
        </w:tc>
        <w:tc>
          <w:tcPr>
            <w:tcW w:w="1785" w:type="dxa"/>
            <w:noWrap/>
            <w:vAlign w:val="center"/>
          </w:tcPr>
          <w:p w14:paraId="1BD5C340">
            <w:pPr>
              <w:spacing w:line="440" w:lineRule="exact"/>
              <w:rPr>
                <w:rFonts w:ascii="宋体"/>
                <w:color w:val="auto"/>
                <w:szCs w:val="21"/>
                <w:highlight w:val="none"/>
              </w:rPr>
            </w:pPr>
          </w:p>
        </w:tc>
        <w:tc>
          <w:tcPr>
            <w:tcW w:w="1785" w:type="dxa"/>
            <w:noWrap/>
            <w:vAlign w:val="center"/>
          </w:tcPr>
          <w:p w14:paraId="6274A0EE">
            <w:pPr>
              <w:spacing w:line="440" w:lineRule="exact"/>
              <w:rPr>
                <w:rFonts w:ascii="宋体"/>
                <w:color w:val="auto"/>
                <w:szCs w:val="21"/>
                <w:highlight w:val="none"/>
              </w:rPr>
            </w:pPr>
          </w:p>
        </w:tc>
        <w:tc>
          <w:tcPr>
            <w:tcW w:w="1338" w:type="dxa"/>
            <w:noWrap/>
            <w:vAlign w:val="center"/>
          </w:tcPr>
          <w:p w14:paraId="752374A7">
            <w:pPr>
              <w:spacing w:line="440" w:lineRule="exact"/>
              <w:rPr>
                <w:rFonts w:ascii="宋体"/>
                <w:color w:val="auto"/>
                <w:szCs w:val="21"/>
                <w:highlight w:val="none"/>
              </w:rPr>
            </w:pPr>
          </w:p>
        </w:tc>
        <w:tc>
          <w:tcPr>
            <w:tcW w:w="1338" w:type="dxa"/>
            <w:noWrap/>
            <w:vAlign w:val="center"/>
          </w:tcPr>
          <w:p w14:paraId="081B77D0">
            <w:pPr>
              <w:spacing w:line="440" w:lineRule="exact"/>
              <w:rPr>
                <w:rFonts w:ascii="宋体"/>
                <w:color w:val="auto"/>
                <w:szCs w:val="21"/>
                <w:highlight w:val="none"/>
              </w:rPr>
            </w:pPr>
          </w:p>
        </w:tc>
        <w:tc>
          <w:tcPr>
            <w:tcW w:w="1338" w:type="dxa"/>
            <w:noWrap/>
            <w:vAlign w:val="center"/>
          </w:tcPr>
          <w:p w14:paraId="3B33B315">
            <w:pPr>
              <w:spacing w:line="440" w:lineRule="exact"/>
              <w:rPr>
                <w:rFonts w:ascii="宋体"/>
                <w:color w:val="auto"/>
                <w:szCs w:val="21"/>
                <w:highlight w:val="none"/>
              </w:rPr>
            </w:pPr>
          </w:p>
        </w:tc>
        <w:tc>
          <w:tcPr>
            <w:tcW w:w="1338" w:type="dxa"/>
            <w:noWrap/>
            <w:vAlign w:val="center"/>
          </w:tcPr>
          <w:p w14:paraId="1CE9F599">
            <w:pPr>
              <w:spacing w:line="440" w:lineRule="exact"/>
              <w:rPr>
                <w:rFonts w:ascii="宋体"/>
                <w:color w:val="auto"/>
                <w:szCs w:val="21"/>
                <w:highlight w:val="none"/>
              </w:rPr>
            </w:pPr>
          </w:p>
        </w:tc>
      </w:tr>
      <w:tr w14:paraId="120C5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894" w:type="dxa"/>
            <w:shd w:val="clear" w:color="auto" w:fill="auto"/>
            <w:noWrap/>
            <w:vAlign w:val="center"/>
          </w:tcPr>
          <w:p w14:paraId="1EE95C1C">
            <w:pPr>
              <w:spacing w:line="440" w:lineRule="exact"/>
              <w:rPr>
                <w:rFonts w:ascii="宋体" w:hAnsi="Times New Roman" w:eastAsia="宋体" w:cs="Times New Roman"/>
                <w:color w:val="auto"/>
                <w:kern w:val="2"/>
                <w:sz w:val="21"/>
                <w:szCs w:val="21"/>
                <w:highlight w:val="none"/>
                <w:lang w:val="en-US" w:eastAsia="zh-CN" w:bidi="ar-SA"/>
              </w:rPr>
            </w:pPr>
          </w:p>
        </w:tc>
        <w:tc>
          <w:tcPr>
            <w:tcW w:w="1785" w:type="dxa"/>
            <w:noWrap/>
            <w:vAlign w:val="center"/>
          </w:tcPr>
          <w:p w14:paraId="052679BB">
            <w:pPr>
              <w:spacing w:line="440" w:lineRule="exact"/>
              <w:rPr>
                <w:rFonts w:ascii="宋体"/>
                <w:color w:val="auto"/>
                <w:szCs w:val="21"/>
                <w:highlight w:val="none"/>
              </w:rPr>
            </w:pPr>
          </w:p>
        </w:tc>
        <w:tc>
          <w:tcPr>
            <w:tcW w:w="1785" w:type="dxa"/>
            <w:noWrap/>
            <w:vAlign w:val="center"/>
          </w:tcPr>
          <w:p w14:paraId="7495EB54">
            <w:pPr>
              <w:spacing w:line="440" w:lineRule="exact"/>
              <w:rPr>
                <w:rFonts w:ascii="宋体"/>
                <w:color w:val="auto"/>
                <w:szCs w:val="21"/>
                <w:highlight w:val="none"/>
              </w:rPr>
            </w:pPr>
          </w:p>
        </w:tc>
        <w:tc>
          <w:tcPr>
            <w:tcW w:w="1338" w:type="dxa"/>
            <w:noWrap/>
            <w:vAlign w:val="center"/>
          </w:tcPr>
          <w:p w14:paraId="64DA36F2">
            <w:pPr>
              <w:spacing w:line="440" w:lineRule="exact"/>
              <w:rPr>
                <w:rFonts w:ascii="宋体"/>
                <w:color w:val="auto"/>
                <w:szCs w:val="21"/>
                <w:highlight w:val="none"/>
              </w:rPr>
            </w:pPr>
          </w:p>
        </w:tc>
        <w:tc>
          <w:tcPr>
            <w:tcW w:w="1338" w:type="dxa"/>
            <w:noWrap/>
            <w:vAlign w:val="center"/>
          </w:tcPr>
          <w:p w14:paraId="309F7A83">
            <w:pPr>
              <w:spacing w:line="440" w:lineRule="exact"/>
              <w:rPr>
                <w:rFonts w:ascii="宋体"/>
                <w:color w:val="auto"/>
                <w:szCs w:val="21"/>
                <w:highlight w:val="none"/>
              </w:rPr>
            </w:pPr>
          </w:p>
        </w:tc>
        <w:tc>
          <w:tcPr>
            <w:tcW w:w="1338" w:type="dxa"/>
            <w:noWrap/>
            <w:vAlign w:val="center"/>
          </w:tcPr>
          <w:p w14:paraId="7B63CBC3">
            <w:pPr>
              <w:spacing w:line="440" w:lineRule="exact"/>
              <w:rPr>
                <w:rFonts w:ascii="宋体"/>
                <w:color w:val="auto"/>
                <w:szCs w:val="21"/>
                <w:highlight w:val="none"/>
              </w:rPr>
            </w:pPr>
          </w:p>
        </w:tc>
        <w:tc>
          <w:tcPr>
            <w:tcW w:w="1338" w:type="dxa"/>
            <w:noWrap/>
            <w:vAlign w:val="center"/>
          </w:tcPr>
          <w:p w14:paraId="41FCF374">
            <w:pPr>
              <w:spacing w:line="440" w:lineRule="exact"/>
              <w:rPr>
                <w:rFonts w:ascii="宋体"/>
                <w:color w:val="auto"/>
                <w:szCs w:val="21"/>
                <w:highlight w:val="none"/>
              </w:rPr>
            </w:pPr>
          </w:p>
        </w:tc>
      </w:tr>
      <w:tr w14:paraId="3BE38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894" w:type="dxa"/>
            <w:shd w:val="clear" w:color="auto" w:fill="auto"/>
            <w:noWrap/>
            <w:vAlign w:val="center"/>
          </w:tcPr>
          <w:p w14:paraId="004FD7AB">
            <w:pPr>
              <w:spacing w:line="440" w:lineRule="exact"/>
              <w:rPr>
                <w:rFonts w:ascii="宋体" w:hAnsi="Times New Roman" w:eastAsia="宋体" w:cs="Times New Roman"/>
                <w:color w:val="auto"/>
                <w:kern w:val="2"/>
                <w:sz w:val="21"/>
                <w:szCs w:val="21"/>
                <w:highlight w:val="none"/>
                <w:lang w:val="en-US" w:eastAsia="zh-CN" w:bidi="ar-SA"/>
              </w:rPr>
            </w:pPr>
          </w:p>
        </w:tc>
        <w:tc>
          <w:tcPr>
            <w:tcW w:w="1785" w:type="dxa"/>
            <w:noWrap/>
            <w:vAlign w:val="center"/>
          </w:tcPr>
          <w:p w14:paraId="296C990B">
            <w:pPr>
              <w:spacing w:line="440" w:lineRule="exact"/>
              <w:rPr>
                <w:rFonts w:ascii="宋体"/>
                <w:color w:val="auto"/>
                <w:szCs w:val="21"/>
                <w:highlight w:val="none"/>
              </w:rPr>
            </w:pPr>
          </w:p>
        </w:tc>
        <w:tc>
          <w:tcPr>
            <w:tcW w:w="1785" w:type="dxa"/>
            <w:noWrap/>
            <w:vAlign w:val="center"/>
          </w:tcPr>
          <w:p w14:paraId="0DB8B67E">
            <w:pPr>
              <w:spacing w:line="440" w:lineRule="exact"/>
              <w:rPr>
                <w:rFonts w:ascii="宋体"/>
                <w:color w:val="auto"/>
                <w:szCs w:val="21"/>
                <w:highlight w:val="none"/>
              </w:rPr>
            </w:pPr>
          </w:p>
        </w:tc>
        <w:tc>
          <w:tcPr>
            <w:tcW w:w="1338" w:type="dxa"/>
            <w:noWrap/>
            <w:vAlign w:val="center"/>
          </w:tcPr>
          <w:p w14:paraId="1162449B">
            <w:pPr>
              <w:spacing w:line="440" w:lineRule="exact"/>
              <w:rPr>
                <w:rFonts w:ascii="宋体"/>
                <w:color w:val="auto"/>
                <w:szCs w:val="21"/>
                <w:highlight w:val="none"/>
              </w:rPr>
            </w:pPr>
          </w:p>
        </w:tc>
        <w:tc>
          <w:tcPr>
            <w:tcW w:w="1338" w:type="dxa"/>
            <w:noWrap/>
            <w:vAlign w:val="center"/>
          </w:tcPr>
          <w:p w14:paraId="39128327">
            <w:pPr>
              <w:spacing w:line="440" w:lineRule="exact"/>
              <w:rPr>
                <w:rFonts w:ascii="宋体"/>
                <w:color w:val="auto"/>
                <w:szCs w:val="21"/>
                <w:highlight w:val="none"/>
              </w:rPr>
            </w:pPr>
          </w:p>
        </w:tc>
        <w:tc>
          <w:tcPr>
            <w:tcW w:w="1338" w:type="dxa"/>
            <w:noWrap/>
            <w:vAlign w:val="center"/>
          </w:tcPr>
          <w:p w14:paraId="65794F65">
            <w:pPr>
              <w:spacing w:line="440" w:lineRule="exact"/>
              <w:rPr>
                <w:rFonts w:ascii="宋体"/>
                <w:color w:val="auto"/>
                <w:szCs w:val="21"/>
                <w:highlight w:val="none"/>
              </w:rPr>
            </w:pPr>
          </w:p>
        </w:tc>
        <w:tc>
          <w:tcPr>
            <w:tcW w:w="1338" w:type="dxa"/>
            <w:noWrap/>
            <w:vAlign w:val="center"/>
          </w:tcPr>
          <w:p w14:paraId="47C51947">
            <w:pPr>
              <w:spacing w:line="440" w:lineRule="exact"/>
              <w:rPr>
                <w:rFonts w:ascii="宋体"/>
                <w:color w:val="auto"/>
                <w:szCs w:val="21"/>
                <w:highlight w:val="none"/>
              </w:rPr>
            </w:pPr>
          </w:p>
        </w:tc>
      </w:tr>
      <w:tr w14:paraId="5DCFD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894" w:type="dxa"/>
            <w:shd w:val="clear" w:color="auto" w:fill="auto"/>
            <w:noWrap/>
            <w:vAlign w:val="center"/>
          </w:tcPr>
          <w:p w14:paraId="7874FE85">
            <w:pPr>
              <w:spacing w:line="440" w:lineRule="exact"/>
              <w:rPr>
                <w:rFonts w:ascii="宋体" w:hAnsi="Times New Roman" w:eastAsia="宋体" w:cs="Times New Roman"/>
                <w:color w:val="auto"/>
                <w:kern w:val="2"/>
                <w:sz w:val="21"/>
                <w:szCs w:val="21"/>
                <w:highlight w:val="none"/>
                <w:lang w:val="en-US" w:eastAsia="zh-CN" w:bidi="ar-SA"/>
              </w:rPr>
            </w:pPr>
          </w:p>
        </w:tc>
        <w:tc>
          <w:tcPr>
            <w:tcW w:w="1785" w:type="dxa"/>
            <w:noWrap/>
            <w:vAlign w:val="center"/>
          </w:tcPr>
          <w:p w14:paraId="775EF88C">
            <w:pPr>
              <w:spacing w:line="440" w:lineRule="exact"/>
              <w:rPr>
                <w:rFonts w:ascii="宋体" w:hAnsi="宋体"/>
                <w:color w:val="auto"/>
                <w:szCs w:val="21"/>
                <w:highlight w:val="none"/>
              </w:rPr>
            </w:pPr>
          </w:p>
        </w:tc>
        <w:tc>
          <w:tcPr>
            <w:tcW w:w="1785" w:type="dxa"/>
            <w:noWrap/>
            <w:vAlign w:val="center"/>
          </w:tcPr>
          <w:p w14:paraId="2C6A9ED5">
            <w:pPr>
              <w:spacing w:line="440" w:lineRule="exact"/>
              <w:rPr>
                <w:rFonts w:ascii="宋体" w:hAnsi="宋体"/>
                <w:color w:val="auto"/>
                <w:szCs w:val="21"/>
                <w:highlight w:val="none"/>
              </w:rPr>
            </w:pPr>
          </w:p>
        </w:tc>
        <w:tc>
          <w:tcPr>
            <w:tcW w:w="1338" w:type="dxa"/>
            <w:noWrap/>
            <w:vAlign w:val="center"/>
          </w:tcPr>
          <w:p w14:paraId="582B823F">
            <w:pPr>
              <w:spacing w:line="440" w:lineRule="exact"/>
              <w:rPr>
                <w:rFonts w:ascii="宋体" w:hAnsi="宋体"/>
                <w:color w:val="auto"/>
                <w:szCs w:val="21"/>
                <w:highlight w:val="none"/>
              </w:rPr>
            </w:pPr>
          </w:p>
        </w:tc>
        <w:tc>
          <w:tcPr>
            <w:tcW w:w="1338" w:type="dxa"/>
            <w:noWrap/>
            <w:vAlign w:val="center"/>
          </w:tcPr>
          <w:p w14:paraId="0EEB4180">
            <w:pPr>
              <w:spacing w:line="440" w:lineRule="exact"/>
              <w:rPr>
                <w:rFonts w:ascii="宋体"/>
                <w:color w:val="auto"/>
                <w:szCs w:val="21"/>
                <w:highlight w:val="none"/>
              </w:rPr>
            </w:pPr>
          </w:p>
        </w:tc>
        <w:tc>
          <w:tcPr>
            <w:tcW w:w="1338" w:type="dxa"/>
            <w:noWrap/>
            <w:vAlign w:val="center"/>
          </w:tcPr>
          <w:p w14:paraId="0CB58C8E">
            <w:pPr>
              <w:spacing w:line="440" w:lineRule="exact"/>
              <w:rPr>
                <w:rFonts w:ascii="宋体"/>
                <w:color w:val="auto"/>
                <w:szCs w:val="21"/>
                <w:highlight w:val="none"/>
              </w:rPr>
            </w:pPr>
          </w:p>
        </w:tc>
        <w:tc>
          <w:tcPr>
            <w:tcW w:w="1338" w:type="dxa"/>
            <w:noWrap/>
            <w:vAlign w:val="center"/>
          </w:tcPr>
          <w:p w14:paraId="3CB04684">
            <w:pPr>
              <w:spacing w:line="440" w:lineRule="exact"/>
              <w:rPr>
                <w:rFonts w:ascii="宋体"/>
                <w:color w:val="auto"/>
                <w:szCs w:val="21"/>
                <w:highlight w:val="none"/>
              </w:rPr>
            </w:pPr>
          </w:p>
        </w:tc>
      </w:tr>
      <w:tr w14:paraId="789F7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894" w:type="dxa"/>
            <w:shd w:val="clear" w:color="auto" w:fill="auto"/>
            <w:noWrap/>
            <w:vAlign w:val="center"/>
          </w:tcPr>
          <w:p w14:paraId="4BE287DF">
            <w:pPr>
              <w:spacing w:line="440" w:lineRule="exact"/>
              <w:rPr>
                <w:rFonts w:ascii="宋体" w:hAnsi="Times New Roman" w:eastAsia="宋体" w:cs="Times New Roman"/>
                <w:color w:val="auto"/>
                <w:kern w:val="2"/>
                <w:sz w:val="21"/>
                <w:szCs w:val="21"/>
                <w:highlight w:val="none"/>
                <w:lang w:val="en-US" w:eastAsia="zh-CN" w:bidi="ar-SA"/>
              </w:rPr>
            </w:pPr>
          </w:p>
        </w:tc>
        <w:tc>
          <w:tcPr>
            <w:tcW w:w="1785" w:type="dxa"/>
            <w:noWrap/>
            <w:vAlign w:val="center"/>
          </w:tcPr>
          <w:p w14:paraId="3059D7FB">
            <w:pPr>
              <w:spacing w:line="440" w:lineRule="exact"/>
              <w:rPr>
                <w:rFonts w:ascii="宋体"/>
                <w:color w:val="auto"/>
                <w:szCs w:val="21"/>
                <w:highlight w:val="none"/>
              </w:rPr>
            </w:pPr>
          </w:p>
        </w:tc>
        <w:tc>
          <w:tcPr>
            <w:tcW w:w="1785" w:type="dxa"/>
            <w:noWrap/>
            <w:vAlign w:val="center"/>
          </w:tcPr>
          <w:p w14:paraId="796A4C52">
            <w:pPr>
              <w:spacing w:line="440" w:lineRule="exact"/>
              <w:rPr>
                <w:rFonts w:ascii="宋体"/>
                <w:color w:val="auto"/>
                <w:szCs w:val="21"/>
                <w:highlight w:val="none"/>
              </w:rPr>
            </w:pPr>
          </w:p>
        </w:tc>
        <w:tc>
          <w:tcPr>
            <w:tcW w:w="1338" w:type="dxa"/>
            <w:noWrap/>
            <w:vAlign w:val="center"/>
          </w:tcPr>
          <w:p w14:paraId="65BB85D8">
            <w:pPr>
              <w:spacing w:line="440" w:lineRule="exact"/>
              <w:rPr>
                <w:rFonts w:ascii="宋体"/>
                <w:color w:val="auto"/>
                <w:szCs w:val="21"/>
                <w:highlight w:val="none"/>
              </w:rPr>
            </w:pPr>
          </w:p>
        </w:tc>
        <w:tc>
          <w:tcPr>
            <w:tcW w:w="1338" w:type="dxa"/>
            <w:noWrap/>
            <w:vAlign w:val="center"/>
          </w:tcPr>
          <w:p w14:paraId="4CD641A5">
            <w:pPr>
              <w:spacing w:line="440" w:lineRule="exact"/>
              <w:rPr>
                <w:rFonts w:ascii="宋体"/>
                <w:color w:val="auto"/>
                <w:szCs w:val="21"/>
                <w:highlight w:val="none"/>
              </w:rPr>
            </w:pPr>
          </w:p>
        </w:tc>
        <w:tc>
          <w:tcPr>
            <w:tcW w:w="1338" w:type="dxa"/>
            <w:noWrap/>
            <w:vAlign w:val="center"/>
          </w:tcPr>
          <w:p w14:paraId="67EAFEEA">
            <w:pPr>
              <w:spacing w:line="440" w:lineRule="exact"/>
              <w:rPr>
                <w:rFonts w:ascii="宋体"/>
                <w:color w:val="auto"/>
                <w:szCs w:val="21"/>
                <w:highlight w:val="none"/>
              </w:rPr>
            </w:pPr>
          </w:p>
        </w:tc>
        <w:tc>
          <w:tcPr>
            <w:tcW w:w="1338" w:type="dxa"/>
            <w:noWrap/>
            <w:vAlign w:val="center"/>
          </w:tcPr>
          <w:p w14:paraId="25614BAE">
            <w:pPr>
              <w:spacing w:line="440" w:lineRule="exact"/>
              <w:rPr>
                <w:rFonts w:ascii="宋体"/>
                <w:color w:val="auto"/>
                <w:szCs w:val="21"/>
                <w:highlight w:val="none"/>
              </w:rPr>
            </w:pPr>
          </w:p>
        </w:tc>
      </w:tr>
      <w:tr w14:paraId="0777B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894" w:type="dxa"/>
            <w:shd w:val="clear" w:color="auto" w:fill="auto"/>
            <w:noWrap/>
            <w:vAlign w:val="center"/>
          </w:tcPr>
          <w:p w14:paraId="6D7949E5">
            <w:pPr>
              <w:spacing w:line="440" w:lineRule="exact"/>
              <w:rPr>
                <w:rFonts w:ascii="宋体" w:hAnsi="Times New Roman" w:eastAsia="宋体" w:cs="Times New Roman"/>
                <w:color w:val="auto"/>
                <w:kern w:val="2"/>
                <w:sz w:val="21"/>
                <w:szCs w:val="21"/>
                <w:highlight w:val="none"/>
                <w:lang w:val="en-US" w:eastAsia="zh-CN" w:bidi="ar-SA"/>
              </w:rPr>
            </w:pPr>
          </w:p>
        </w:tc>
        <w:tc>
          <w:tcPr>
            <w:tcW w:w="1785" w:type="dxa"/>
            <w:noWrap/>
            <w:vAlign w:val="center"/>
          </w:tcPr>
          <w:p w14:paraId="676DFB0E">
            <w:pPr>
              <w:spacing w:line="440" w:lineRule="exact"/>
              <w:rPr>
                <w:rFonts w:ascii="宋体"/>
                <w:color w:val="auto"/>
                <w:szCs w:val="21"/>
                <w:highlight w:val="none"/>
              </w:rPr>
            </w:pPr>
          </w:p>
        </w:tc>
        <w:tc>
          <w:tcPr>
            <w:tcW w:w="1785" w:type="dxa"/>
            <w:noWrap/>
            <w:vAlign w:val="center"/>
          </w:tcPr>
          <w:p w14:paraId="0EB965BE">
            <w:pPr>
              <w:spacing w:line="440" w:lineRule="exact"/>
              <w:rPr>
                <w:rFonts w:ascii="宋体"/>
                <w:color w:val="auto"/>
                <w:szCs w:val="21"/>
                <w:highlight w:val="none"/>
              </w:rPr>
            </w:pPr>
          </w:p>
        </w:tc>
        <w:tc>
          <w:tcPr>
            <w:tcW w:w="1338" w:type="dxa"/>
            <w:noWrap/>
            <w:vAlign w:val="center"/>
          </w:tcPr>
          <w:p w14:paraId="649ECF2B">
            <w:pPr>
              <w:spacing w:line="440" w:lineRule="exact"/>
              <w:rPr>
                <w:rFonts w:ascii="宋体"/>
                <w:color w:val="auto"/>
                <w:szCs w:val="21"/>
                <w:highlight w:val="none"/>
              </w:rPr>
            </w:pPr>
          </w:p>
        </w:tc>
        <w:tc>
          <w:tcPr>
            <w:tcW w:w="1338" w:type="dxa"/>
            <w:noWrap/>
            <w:vAlign w:val="center"/>
          </w:tcPr>
          <w:p w14:paraId="59928EF3">
            <w:pPr>
              <w:spacing w:line="440" w:lineRule="exact"/>
              <w:rPr>
                <w:rFonts w:ascii="宋体"/>
                <w:color w:val="auto"/>
                <w:szCs w:val="21"/>
                <w:highlight w:val="none"/>
              </w:rPr>
            </w:pPr>
          </w:p>
        </w:tc>
        <w:tc>
          <w:tcPr>
            <w:tcW w:w="1338" w:type="dxa"/>
            <w:noWrap/>
            <w:vAlign w:val="center"/>
          </w:tcPr>
          <w:p w14:paraId="63597230">
            <w:pPr>
              <w:spacing w:line="440" w:lineRule="exact"/>
              <w:rPr>
                <w:rFonts w:ascii="宋体"/>
                <w:color w:val="auto"/>
                <w:szCs w:val="21"/>
                <w:highlight w:val="none"/>
              </w:rPr>
            </w:pPr>
          </w:p>
        </w:tc>
        <w:tc>
          <w:tcPr>
            <w:tcW w:w="1338" w:type="dxa"/>
            <w:noWrap/>
            <w:vAlign w:val="center"/>
          </w:tcPr>
          <w:p w14:paraId="3011C859">
            <w:pPr>
              <w:spacing w:line="440" w:lineRule="exact"/>
              <w:rPr>
                <w:rFonts w:ascii="宋体"/>
                <w:color w:val="auto"/>
                <w:szCs w:val="21"/>
                <w:highlight w:val="none"/>
              </w:rPr>
            </w:pPr>
          </w:p>
        </w:tc>
      </w:tr>
      <w:tr w14:paraId="47F67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894" w:type="dxa"/>
            <w:shd w:val="clear" w:color="auto" w:fill="auto"/>
            <w:noWrap/>
            <w:vAlign w:val="center"/>
          </w:tcPr>
          <w:p w14:paraId="2C2408CA">
            <w:pPr>
              <w:spacing w:line="440" w:lineRule="exact"/>
              <w:rPr>
                <w:rFonts w:ascii="宋体" w:hAnsi="Times New Roman" w:eastAsia="宋体" w:cs="Times New Roman"/>
                <w:color w:val="auto"/>
                <w:kern w:val="2"/>
                <w:sz w:val="21"/>
                <w:szCs w:val="21"/>
                <w:highlight w:val="none"/>
                <w:lang w:val="en-US" w:eastAsia="zh-CN" w:bidi="ar-SA"/>
              </w:rPr>
            </w:pPr>
          </w:p>
        </w:tc>
        <w:tc>
          <w:tcPr>
            <w:tcW w:w="1785" w:type="dxa"/>
            <w:noWrap/>
            <w:vAlign w:val="center"/>
          </w:tcPr>
          <w:p w14:paraId="03AB3CB9">
            <w:pPr>
              <w:spacing w:line="440" w:lineRule="exact"/>
              <w:rPr>
                <w:rFonts w:ascii="宋体"/>
                <w:color w:val="auto"/>
                <w:szCs w:val="21"/>
                <w:highlight w:val="none"/>
              </w:rPr>
            </w:pPr>
          </w:p>
        </w:tc>
        <w:tc>
          <w:tcPr>
            <w:tcW w:w="1785" w:type="dxa"/>
            <w:noWrap/>
            <w:vAlign w:val="center"/>
          </w:tcPr>
          <w:p w14:paraId="70EA2F0F">
            <w:pPr>
              <w:spacing w:line="440" w:lineRule="exact"/>
              <w:rPr>
                <w:rFonts w:ascii="宋体"/>
                <w:color w:val="auto"/>
                <w:szCs w:val="21"/>
                <w:highlight w:val="none"/>
              </w:rPr>
            </w:pPr>
          </w:p>
        </w:tc>
        <w:tc>
          <w:tcPr>
            <w:tcW w:w="1338" w:type="dxa"/>
            <w:noWrap/>
            <w:vAlign w:val="center"/>
          </w:tcPr>
          <w:p w14:paraId="4C3068F7">
            <w:pPr>
              <w:spacing w:line="440" w:lineRule="exact"/>
              <w:rPr>
                <w:rFonts w:ascii="宋体"/>
                <w:color w:val="auto"/>
                <w:szCs w:val="21"/>
                <w:highlight w:val="none"/>
              </w:rPr>
            </w:pPr>
          </w:p>
        </w:tc>
        <w:tc>
          <w:tcPr>
            <w:tcW w:w="1338" w:type="dxa"/>
            <w:noWrap/>
            <w:vAlign w:val="center"/>
          </w:tcPr>
          <w:p w14:paraId="76589A21">
            <w:pPr>
              <w:spacing w:line="440" w:lineRule="exact"/>
              <w:rPr>
                <w:rFonts w:ascii="宋体"/>
                <w:color w:val="auto"/>
                <w:szCs w:val="21"/>
                <w:highlight w:val="none"/>
              </w:rPr>
            </w:pPr>
          </w:p>
        </w:tc>
        <w:tc>
          <w:tcPr>
            <w:tcW w:w="1338" w:type="dxa"/>
            <w:noWrap/>
            <w:vAlign w:val="center"/>
          </w:tcPr>
          <w:p w14:paraId="118DE73F">
            <w:pPr>
              <w:spacing w:line="440" w:lineRule="exact"/>
              <w:rPr>
                <w:rFonts w:ascii="宋体"/>
                <w:color w:val="auto"/>
                <w:szCs w:val="21"/>
                <w:highlight w:val="none"/>
              </w:rPr>
            </w:pPr>
          </w:p>
        </w:tc>
        <w:tc>
          <w:tcPr>
            <w:tcW w:w="1338" w:type="dxa"/>
            <w:noWrap/>
            <w:vAlign w:val="center"/>
          </w:tcPr>
          <w:p w14:paraId="0F8A3155">
            <w:pPr>
              <w:spacing w:line="440" w:lineRule="exact"/>
              <w:rPr>
                <w:rFonts w:ascii="宋体"/>
                <w:color w:val="auto"/>
                <w:szCs w:val="21"/>
                <w:highlight w:val="none"/>
              </w:rPr>
            </w:pPr>
          </w:p>
        </w:tc>
      </w:tr>
      <w:tr w14:paraId="00A6B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894" w:type="dxa"/>
            <w:shd w:val="clear" w:color="auto" w:fill="auto"/>
            <w:noWrap/>
            <w:vAlign w:val="center"/>
          </w:tcPr>
          <w:p w14:paraId="164D8C9F">
            <w:pPr>
              <w:spacing w:line="440" w:lineRule="exact"/>
              <w:rPr>
                <w:rFonts w:ascii="宋体" w:hAnsi="Times New Roman" w:eastAsia="宋体" w:cs="Times New Roman"/>
                <w:color w:val="auto"/>
                <w:kern w:val="2"/>
                <w:sz w:val="21"/>
                <w:szCs w:val="21"/>
                <w:highlight w:val="none"/>
                <w:lang w:val="en-US" w:eastAsia="zh-CN" w:bidi="ar-SA"/>
              </w:rPr>
            </w:pPr>
          </w:p>
        </w:tc>
        <w:tc>
          <w:tcPr>
            <w:tcW w:w="1785" w:type="dxa"/>
            <w:noWrap/>
            <w:vAlign w:val="center"/>
          </w:tcPr>
          <w:p w14:paraId="3C41FFC3">
            <w:pPr>
              <w:spacing w:line="440" w:lineRule="exact"/>
              <w:rPr>
                <w:rFonts w:ascii="宋体"/>
                <w:color w:val="auto"/>
                <w:szCs w:val="21"/>
                <w:highlight w:val="none"/>
              </w:rPr>
            </w:pPr>
          </w:p>
        </w:tc>
        <w:tc>
          <w:tcPr>
            <w:tcW w:w="1785" w:type="dxa"/>
            <w:noWrap/>
            <w:vAlign w:val="center"/>
          </w:tcPr>
          <w:p w14:paraId="60DC49A0">
            <w:pPr>
              <w:spacing w:line="440" w:lineRule="exact"/>
              <w:rPr>
                <w:rFonts w:ascii="宋体"/>
                <w:color w:val="auto"/>
                <w:szCs w:val="21"/>
                <w:highlight w:val="none"/>
              </w:rPr>
            </w:pPr>
          </w:p>
        </w:tc>
        <w:tc>
          <w:tcPr>
            <w:tcW w:w="1338" w:type="dxa"/>
            <w:noWrap/>
            <w:vAlign w:val="center"/>
          </w:tcPr>
          <w:p w14:paraId="433B6A75">
            <w:pPr>
              <w:spacing w:line="440" w:lineRule="exact"/>
              <w:rPr>
                <w:rFonts w:ascii="宋体"/>
                <w:color w:val="auto"/>
                <w:szCs w:val="21"/>
                <w:highlight w:val="none"/>
              </w:rPr>
            </w:pPr>
          </w:p>
        </w:tc>
        <w:tc>
          <w:tcPr>
            <w:tcW w:w="1338" w:type="dxa"/>
            <w:noWrap/>
            <w:vAlign w:val="center"/>
          </w:tcPr>
          <w:p w14:paraId="2329F5A7">
            <w:pPr>
              <w:spacing w:line="440" w:lineRule="exact"/>
              <w:rPr>
                <w:rFonts w:ascii="宋体"/>
                <w:color w:val="auto"/>
                <w:szCs w:val="21"/>
                <w:highlight w:val="none"/>
              </w:rPr>
            </w:pPr>
          </w:p>
        </w:tc>
        <w:tc>
          <w:tcPr>
            <w:tcW w:w="1338" w:type="dxa"/>
            <w:noWrap/>
            <w:vAlign w:val="center"/>
          </w:tcPr>
          <w:p w14:paraId="6A1E21E6">
            <w:pPr>
              <w:spacing w:line="440" w:lineRule="exact"/>
              <w:rPr>
                <w:rFonts w:ascii="宋体"/>
                <w:color w:val="auto"/>
                <w:szCs w:val="21"/>
                <w:highlight w:val="none"/>
              </w:rPr>
            </w:pPr>
          </w:p>
        </w:tc>
        <w:tc>
          <w:tcPr>
            <w:tcW w:w="1338" w:type="dxa"/>
            <w:noWrap/>
            <w:vAlign w:val="center"/>
          </w:tcPr>
          <w:p w14:paraId="0FE2F29A">
            <w:pPr>
              <w:spacing w:line="440" w:lineRule="exact"/>
              <w:rPr>
                <w:rFonts w:ascii="宋体"/>
                <w:color w:val="auto"/>
                <w:szCs w:val="21"/>
                <w:highlight w:val="none"/>
              </w:rPr>
            </w:pPr>
          </w:p>
        </w:tc>
      </w:tr>
      <w:tr w14:paraId="01DE8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894" w:type="dxa"/>
            <w:shd w:val="clear" w:color="auto" w:fill="auto"/>
            <w:noWrap/>
            <w:vAlign w:val="center"/>
          </w:tcPr>
          <w:p w14:paraId="0582AB7F">
            <w:pPr>
              <w:spacing w:line="440" w:lineRule="exact"/>
              <w:rPr>
                <w:rFonts w:ascii="宋体" w:hAnsi="Times New Roman" w:eastAsia="宋体" w:cs="Times New Roman"/>
                <w:color w:val="auto"/>
                <w:kern w:val="2"/>
                <w:sz w:val="21"/>
                <w:szCs w:val="21"/>
                <w:highlight w:val="none"/>
                <w:lang w:val="en-US" w:eastAsia="zh-CN" w:bidi="ar-SA"/>
              </w:rPr>
            </w:pPr>
          </w:p>
        </w:tc>
        <w:tc>
          <w:tcPr>
            <w:tcW w:w="1785" w:type="dxa"/>
            <w:noWrap/>
            <w:vAlign w:val="center"/>
          </w:tcPr>
          <w:p w14:paraId="3916F1D9">
            <w:pPr>
              <w:spacing w:line="440" w:lineRule="exact"/>
              <w:rPr>
                <w:rFonts w:ascii="宋体"/>
                <w:color w:val="auto"/>
                <w:szCs w:val="21"/>
                <w:highlight w:val="none"/>
              </w:rPr>
            </w:pPr>
          </w:p>
        </w:tc>
        <w:tc>
          <w:tcPr>
            <w:tcW w:w="1785" w:type="dxa"/>
            <w:noWrap/>
            <w:vAlign w:val="center"/>
          </w:tcPr>
          <w:p w14:paraId="72C09970">
            <w:pPr>
              <w:spacing w:line="440" w:lineRule="exact"/>
              <w:rPr>
                <w:rFonts w:ascii="宋体"/>
                <w:color w:val="auto"/>
                <w:szCs w:val="21"/>
                <w:highlight w:val="none"/>
              </w:rPr>
            </w:pPr>
          </w:p>
        </w:tc>
        <w:tc>
          <w:tcPr>
            <w:tcW w:w="1338" w:type="dxa"/>
            <w:noWrap/>
            <w:vAlign w:val="center"/>
          </w:tcPr>
          <w:p w14:paraId="625F3C38">
            <w:pPr>
              <w:spacing w:line="440" w:lineRule="exact"/>
              <w:rPr>
                <w:rFonts w:ascii="宋体"/>
                <w:color w:val="auto"/>
                <w:szCs w:val="21"/>
                <w:highlight w:val="none"/>
              </w:rPr>
            </w:pPr>
          </w:p>
        </w:tc>
        <w:tc>
          <w:tcPr>
            <w:tcW w:w="1338" w:type="dxa"/>
            <w:noWrap/>
            <w:vAlign w:val="center"/>
          </w:tcPr>
          <w:p w14:paraId="09753CDF">
            <w:pPr>
              <w:spacing w:line="440" w:lineRule="exact"/>
              <w:rPr>
                <w:rFonts w:ascii="宋体"/>
                <w:color w:val="auto"/>
                <w:szCs w:val="21"/>
                <w:highlight w:val="none"/>
              </w:rPr>
            </w:pPr>
          </w:p>
        </w:tc>
        <w:tc>
          <w:tcPr>
            <w:tcW w:w="1338" w:type="dxa"/>
            <w:noWrap/>
            <w:vAlign w:val="center"/>
          </w:tcPr>
          <w:p w14:paraId="5BF8FC91">
            <w:pPr>
              <w:spacing w:line="440" w:lineRule="exact"/>
              <w:rPr>
                <w:rFonts w:ascii="宋体"/>
                <w:color w:val="auto"/>
                <w:szCs w:val="21"/>
                <w:highlight w:val="none"/>
              </w:rPr>
            </w:pPr>
          </w:p>
        </w:tc>
        <w:tc>
          <w:tcPr>
            <w:tcW w:w="1338" w:type="dxa"/>
            <w:noWrap/>
            <w:vAlign w:val="center"/>
          </w:tcPr>
          <w:p w14:paraId="32F93680">
            <w:pPr>
              <w:spacing w:line="440" w:lineRule="exact"/>
              <w:rPr>
                <w:rFonts w:ascii="宋体"/>
                <w:color w:val="auto"/>
                <w:szCs w:val="21"/>
                <w:highlight w:val="none"/>
              </w:rPr>
            </w:pPr>
          </w:p>
        </w:tc>
      </w:tr>
      <w:tr w14:paraId="1BC5E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4464" w:type="dxa"/>
            <w:gridSpan w:val="3"/>
            <w:shd w:val="clear" w:color="auto" w:fill="auto"/>
            <w:noWrap/>
            <w:vAlign w:val="center"/>
          </w:tcPr>
          <w:p w14:paraId="7D73991E">
            <w:pPr>
              <w:keepNext w:val="0"/>
              <w:keepLines w:val="0"/>
              <w:widowControl/>
              <w:suppressLineNumbers w:val="0"/>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小 计</w:t>
            </w:r>
          </w:p>
        </w:tc>
        <w:tc>
          <w:tcPr>
            <w:tcW w:w="5352" w:type="dxa"/>
            <w:gridSpan w:val="4"/>
            <w:noWrap/>
            <w:vAlign w:val="center"/>
          </w:tcPr>
          <w:p w14:paraId="424E9AFD">
            <w:pPr>
              <w:keepNext w:val="0"/>
              <w:keepLines w:val="0"/>
              <w:widowControl/>
              <w:suppressLineNumbers w:val="0"/>
              <w:jc w:val="left"/>
              <w:rPr>
                <w:rFonts w:hint="default" w:ascii="宋体" w:hAnsi="宋体" w:eastAsia="宋体" w:cs="宋体"/>
                <w:color w:val="auto"/>
                <w:kern w:val="0"/>
                <w:sz w:val="21"/>
                <w:szCs w:val="21"/>
                <w:highlight w:val="none"/>
                <w:u w:val="single"/>
                <w:lang w:val="en-US" w:eastAsia="zh-CN" w:bidi="ar"/>
              </w:rPr>
            </w:pP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none"/>
                <w:lang w:val="en-US" w:eastAsia="zh-CN" w:bidi="ar"/>
              </w:rPr>
              <w:t>元</w:t>
            </w:r>
          </w:p>
          <w:p w14:paraId="07B1AE3A">
            <w:pPr>
              <w:spacing w:line="440" w:lineRule="exact"/>
              <w:ind w:firstLine="1260" w:firstLineChars="600"/>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汇入投标报价汇总表</w:t>
            </w:r>
          </w:p>
        </w:tc>
      </w:tr>
    </w:tbl>
    <w:p w14:paraId="57E5745E">
      <w:pPr>
        <w:jc w:val="center"/>
        <w:outlineLvl w:val="9"/>
        <w:rPr>
          <w:rFonts w:hint="default" w:eastAsia="宋体"/>
          <w:color w:val="auto"/>
          <w:highlight w:val="none"/>
          <w:lang w:val="en-US" w:eastAsia="zh-CN"/>
        </w:rPr>
      </w:pPr>
    </w:p>
    <w:p w14:paraId="07051B00">
      <w:pPr>
        <w:jc w:val="center"/>
        <w:outlineLvl w:val="9"/>
        <w:rPr>
          <w:rFonts w:hint="eastAsia"/>
          <w:color w:val="auto"/>
          <w:highlight w:val="none"/>
        </w:rPr>
      </w:pPr>
    </w:p>
    <w:p w14:paraId="0A9FA4F4">
      <w:pPr>
        <w:keepNext w:val="0"/>
        <w:keepLines w:val="0"/>
        <w:pageBreakBefore w:val="0"/>
        <w:widowControl w:val="0"/>
        <w:kinsoku/>
        <w:wordWrap/>
        <w:overflowPunct/>
        <w:topLinePunct w:val="0"/>
        <w:autoSpaceDE/>
        <w:autoSpaceDN/>
        <w:bidi w:val="0"/>
        <w:adjustRightInd/>
        <w:snapToGrid/>
        <w:spacing w:line="440" w:lineRule="exact"/>
        <w:ind w:firstLine="4200" w:firstLineChars="2000"/>
        <w:textAlignment w:val="auto"/>
        <w:rPr>
          <w:color w:val="auto"/>
          <w:szCs w:val="21"/>
          <w:highlight w:val="none"/>
        </w:rPr>
      </w:pPr>
      <w:r>
        <w:rPr>
          <w:rFonts w:hint="eastAsia"/>
          <w:color w:val="auto"/>
          <w:szCs w:val="21"/>
          <w:highlight w:val="none"/>
        </w:rPr>
        <w:t>投标人：</w:t>
      </w:r>
      <w:r>
        <w:rPr>
          <w:rFonts w:hint="eastAsia"/>
          <w:color w:val="auto"/>
          <w:szCs w:val="21"/>
          <w:highlight w:val="none"/>
          <w:u w:val="single"/>
          <w:lang w:val="en-US" w:eastAsia="zh-CN"/>
        </w:rPr>
        <w:t xml:space="preserve">                          </w:t>
      </w:r>
      <w:r>
        <w:rPr>
          <w:rFonts w:hint="eastAsia"/>
          <w:color w:val="auto"/>
          <w:szCs w:val="21"/>
          <w:highlight w:val="none"/>
        </w:rPr>
        <w:t>（盖单位</w:t>
      </w:r>
      <w:r>
        <w:rPr>
          <w:rFonts w:hint="eastAsia"/>
          <w:color w:val="auto"/>
          <w:szCs w:val="21"/>
          <w:highlight w:val="none"/>
          <w:lang w:val="en-US" w:eastAsia="zh-CN"/>
        </w:rPr>
        <w:t>公</w:t>
      </w:r>
      <w:r>
        <w:rPr>
          <w:rFonts w:hint="eastAsia"/>
          <w:color w:val="auto"/>
          <w:szCs w:val="21"/>
          <w:highlight w:val="none"/>
        </w:rPr>
        <w:t>章）</w:t>
      </w:r>
    </w:p>
    <w:p w14:paraId="40BD2F8C">
      <w:pPr>
        <w:keepNext w:val="0"/>
        <w:keepLines w:val="0"/>
        <w:pageBreakBefore w:val="0"/>
        <w:widowControl w:val="0"/>
        <w:kinsoku/>
        <w:wordWrap/>
        <w:overflowPunct/>
        <w:topLinePunct w:val="0"/>
        <w:autoSpaceDE/>
        <w:autoSpaceDN/>
        <w:bidi w:val="0"/>
        <w:adjustRightInd/>
        <w:snapToGrid/>
        <w:spacing w:line="440" w:lineRule="exact"/>
        <w:ind w:firstLine="2940" w:firstLineChars="1400"/>
        <w:textAlignment w:val="auto"/>
        <w:rPr>
          <w:color w:val="auto"/>
          <w:szCs w:val="21"/>
          <w:highlight w:val="none"/>
        </w:rPr>
      </w:pPr>
    </w:p>
    <w:p w14:paraId="67546822">
      <w:pPr>
        <w:keepNext w:val="0"/>
        <w:keepLines w:val="0"/>
        <w:pageBreakBefore w:val="0"/>
        <w:widowControl w:val="0"/>
        <w:kinsoku/>
        <w:wordWrap/>
        <w:overflowPunct/>
        <w:topLinePunct w:val="0"/>
        <w:autoSpaceDE/>
        <w:autoSpaceDN/>
        <w:bidi w:val="0"/>
        <w:adjustRightInd/>
        <w:snapToGrid/>
        <w:spacing w:line="440" w:lineRule="exact"/>
        <w:ind w:firstLine="4200" w:firstLineChars="2000"/>
        <w:textAlignment w:val="auto"/>
        <w:rPr>
          <w:color w:val="auto"/>
          <w:szCs w:val="21"/>
          <w:highlight w:val="none"/>
        </w:rPr>
      </w:pPr>
      <w:r>
        <w:rPr>
          <w:rFonts w:hint="eastAsia"/>
          <w:color w:val="auto"/>
          <w:szCs w:val="21"/>
          <w:highlight w:val="none"/>
        </w:rPr>
        <w:t>法定代表人</w:t>
      </w:r>
      <w:r>
        <w:rPr>
          <w:rFonts w:hint="eastAsia"/>
          <w:color w:val="auto"/>
          <w:szCs w:val="21"/>
          <w:highlight w:val="none"/>
          <w:lang w:val="en-US" w:eastAsia="zh-CN"/>
        </w:rPr>
        <w:t>或授权委托人</w:t>
      </w:r>
      <w:r>
        <w:rPr>
          <w:rFonts w:hint="eastAsia"/>
          <w:color w:val="auto"/>
          <w:szCs w:val="21"/>
          <w:highlight w:val="none"/>
        </w:rPr>
        <w:t>：</w:t>
      </w:r>
      <w:r>
        <w:rPr>
          <w:rFonts w:hint="eastAsia"/>
          <w:color w:val="auto"/>
          <w:szCs w:val="21"/>
          <w:highlight w:val="none"/>
          <w:u w:val="single"/>
          <w:lang w:val="en-US" w:eastAsia="zh-CN"/>
        </w:rPr>
        <w:t xml:space="preserve">                </w:t>
      </w:r>
      <w:r>
        <w:rPr>
          <w:rFonts w:hint="eastAsia"/>
          <w:color w:val="auto"/>
          <w:szCs w:val="21"/>
          <w:highlight w:val="none"/>
        </w:rPr>
        <w:t>（签章）</w:t>
      </w:r>
    </w:p>
    <w:p w14:paraId="3197C3FA">
      <w:pPr>
        <w:spacing w:line="440" w:lineRule="exact"/>
        <w:rPr>
          <w:color w:val="auto"/>
          <w:szCs w:val="21"/>
          <w:highlight w:val="none"/>
        </w:rPr>
      </w:pPr>
    </w:p>
    <w:p w14:paraId="38A296FD">
      <w:pPr>
        <w:spacing w:line="440" w:lineRule="exact"/>
        <w:ind w:firstLine="5355" w:firstLineChars="2550"/>
        <w:rPr>
          <w:rFonts w:hint="eastAsia"/>
          <w:color w:val="auto"/>
          <w:szCs w:val="21"/>
          <w:highlight w:val="none"/>
        </w:rPr>
      </w:pPr>
      <w:r>
        <w:rPr>
          <w:rFonts w:hint="eastAsia"/>
          <w:color w:val="auto"/>
          <w:szCs w:val="21"/>
          <w:highlight w:val="none"/>
          <w:u w:val="single"/>
          <w:lang w:val="en-US" w:eastAsia="zh-CN"/>
        </w:rPr>
        <w:t xml:space="preserve">       </w:t>
      </w:r>
      <w:r>
        <w:rPr>
          <w:rFonts w:hint="eastAsia"/>
          <w:color w:val="auto"/>
          <w:szCs w:val="21"/>
          <w:highlight w:val="none"/>
        </w:rPr>
        <w:t>年</w:t>
      </w:r>
      <w:r>
        <w:rPr>
          <w:rFonts w:hint="eastAsia"/>
          <w:color w:val="auto"/>
          <w:szCs w:val="21"/>
          <w:highlight w:val="none"/>
          <w:u w:val="single"/>
          <w:lang w:val="en-US" w:eastAsia="zh-CN"/>
        </w:rPr>
        <w:t xml:space="preserve">       </w:t>
      </w:r>
      <w:r>
        <w:rPr>
          <w:rFonts w:hint="eastAsia"/>
          <w:color w:val="auto"/>
          <w:szCs w:val="21"/>
          <w:highlight w:val="none"/>
        </w:rPr>
        <w:t>月</w:t>
      </w:r>
      <w:r>
        <w:rPr>
          <w:rFonts w:hint="eastAsia"/>
          <w:color w:val="auto"/>
          <w:szCs w:val="21"/>
          <w:highlight w:val="none"/>
          <w:u w:val="single"/>
          <w:lang w:val="en-US" w:eastAsia="zh-CN"/>
        </w:rPr>
        <w:t xml:space="preserve">       </w:t>
      </w:r>
      <w:r>
        <w:rPr>
          <w:rFonts w:hint="eastAsia"/>
          <w:color w:val="auto"/>
          <w:szCs w:val="21"/>
          <w:highlight w:val="none"/>
        </w:rPr>
        <w:t>日</w:t>
      </w:r>
    </w:p>
    <w:p w14:paraId="1B9E2E24">
      <w:pPr>
        <w:spacing w:line="440" w:lineRule="exact"/>
        <w:ind w:firstLine="4305" w:firstLineChars="2050"/>
        <w:rPr>
          <w:rFonts w:hint="eastAsia"/>
          <w:color w:val="auto"/>
          <w:szCs w:val="21"/>
          <w:highlight w:val="none"/>
        </w:rPr>
      </w:pPr>
    </w:p>
    <w:p w14:paraId="2542B2D5">
      <w:pPr>
        <w:jc w:val="center"/>
        <w:outlineLvl w:val="9"/>
        <w:rPr>
          <w:rFonts w:hint="eastAsia"/>
          <w:b/>
          <w:bCs/>
          <w:color w:val="auto"/>
          <w:highlight w:val="none"/>
          <w:lang w:val="en-US" w:eastAsia="zh-CN"/>
        </w:rPr>
      </w:pPr>
      <w:r>
        <w:rPr>
          <w:rFonts w:hint="eastAsia"/>
          <w:b/>
          <w:bCs/>
          <w:color w:val="auto"/>
          <w:highlight w:val="none"/>
          <w:lang w:val="en-US" w:eastAsia="zh-CN"/>
        </w:rPr>
        <w:t>5-9专业工程暂估价表</w:t>
      </w:r>
    </w:p>
    <w:p w14:paraId="0027AAF2">
      <w:pPr>
        <w:jc w:val="center"/>
        <w:outlineLvl w:val="9"/>
        <w:rPr>
          <w:rFonts w:hint="eastAsia"/>
          <w:b/>
          <w:bCs/>
          <w:color w:val="auto"/>
          <w:highlight w:val="none"/>
          <w:lang w:val="en-US" w:eastAsia="zh-CN"/>
        </w:rPr>
      </w:pPr>
    </w:p>
    <w:tbl>
      <w:tblPr>
        <w:tblStyle w:val="42"/>
        <w:tblW w:w="95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2171"/>
        <w:gridCol w:w="3735"/>
        <w:gridCol w:w="2213"/>
      </w:tblGrid>
      <w:tr w14:paraId="66AE2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1479" w:type="dxa"/>
            <w:noWrap/>
            <w:vAlign w:val="center"/>
          </w:tcPr>
          <w:p w14:paraId="1C18F423">
            <w:pPr>
              <w:jc w:val="center"/>
              <w:rPr>
                <w:rFonts w:ascii="宋体"/>
                <w:color w:val="auto"/>
                <w:szCs w:val="21"/>
                <w:highlight w:val="none"/>
              </w:rPr>
            </w:pPr>
            <w:r>
              <w:rPr>
                <w:rFonts w:hint="eastAsia" w:ascii="宋体" w:hAnsi="宋体"/>
                <w:b/>
                <w:bCs/>
                <w:color w:val="auto"/>
                <w:szCs w:val="21"/>
                <w:highlight w:val="none"/>
              </w:rPr>
              <w:t>序号</w:t>
            </w:r>
          </w:p>
        </w:tc>
        <w:tc>
          <w:tcPr>
            <w:tcW w:w="2171" w:type="dxa"/>
            <w:noWrap/>
            <w:vAlign w:val="center"/>
          </w:tcPr>
          <w:p w14:paraId="2CBD9AED">
            <w:pPr>
              <w:keepNext w:val="0"/>
              <w:keepLines w:val="0"/>
              <w:widowControl/>
              <w:suppressLineNumbers w:val="0"/>
              <w:jc w:val="center"/>
              <w:rPr>
                <w:rFonts w:hint="eastAsia" w:ascii="宋体" w:hAnsi="宋体" w:eastAsia="宋体" w:cs="宋体"/>
                <w:b/>
                <w:bCs/>
                <w:color w:val="auto"/>
                <w:kern w:val="0"/>
                <w:sz w:val="21"/>
                <w:szCs w:val="21"/>
                <w:highlight w:val="none"/>
                <w:lang w:val="en-US" w:eastAsia="zh-CN" w:bidi="ar"/>
              </w:rPr>
            </w:pPr>
            <w:r>
              <w:rPr>
                <w:rFonts w:hint="eastAsia" w:ascii="宋体" w:hAnsi="宋体" w:cs="宋体"/>
                <w:b/>
                <w:bCs/>
                <w:color w:val="auto"/>
                <w:kern w:val="0"/>
                <w:sz w:val="21"/>
                <w:szCs w:val="21"/>
                <w:highlight w:val="none"/>
                <w:lang w:val="en-US" w:eastAsia="zh-CN" w:bidi="ar"/>
              </w:rPr>
              <w:t>专业工程</w:t>
            </w:r>
            <w:r>
              <w:rPr>
                <w:rFonts w:hint="eastAsia" w:ascii="宋体" w:hAnsi="宋体" w:eastAsia="宋体" w:cs="宋体"/>
                <w:b/>
                <w:bCs/>
                <w:color w:val="auto"/>
                <w:kern w:val="0"/>
                <w:sz w:val="21"/>
                <w:szCs w:val="21"/>
                <w:highlight w:val="none"/>
                <w:lang w:val="en-US" w:eastAsia="zh-CN" w:bidi="ar"/>
              </w:rPr>
              <w:t>名称</w:t>
            </w:r>
          </w:p>
        </w:tc>
        <w:tc>
          <w:tcPr>
            <w:tcW w:w="3735" w:type="dxa"/>
            <w:noWrap/>
            <w:vAlign w:val="center"/>
          </w:tcPr>
          <w:p w14:paraId="3D25A0E2">
            <w:pPr>
              <w:keepNext w:val="0"/>
              <w:keepLines w:val="0"/>
              <w:widowControl/>
              <w:suppressLineNumbers w:val="0"/>
              <w:jc w:val="center"/>
              <w:rPr>
                <w:rFonts w:hint="eastAsia" w:ascii="宋体" w:eastAsia="宋体"/>
                <w:b/>
                <w:bCs/>
                <w:color w:val="auto"/>
                <w:szCs w:val="21"/>
                <w:highlight w:val="none"/>
                <w:lang w:val="en-US" w:eastAsia="zh-CN"/>
              </w:rPr>
            </w:pPr>
            <w:r>
              <w:rPr>
                <w:rFonts w:hint="eastAsia" w:ascii="宋体"/>
                <w:b/>
                <w:bCs/>
                <w:color w:val="auto"/>
                <w:szCs w:val="21"/>
                <w:highlight w:val="none"/>
                <w:lang w:val="en-US" w:eastAsia="zh-CN"/>
              </w:rPr>
              <w:t>工程内容</w:t>
            </w:r>
          </w:p>
        </w:tc>
        <w:tc>
          <w:tcPr>
            <w:tcW w:w="2213" w:type="dxa"/>
            <w:noWrap/>
            <w:vAlign w:val="center"/>
          </w:tcPr>
          <w:p w14:paraId="14B6B633">
            <w:pPr>
              <w:keepNext w:val="0"/>
              <w:keepLines w:val="0"/>
              <w:widowControl/>
              <w:suppressLineNumbers w:val="0"/>
              <w:jc w:val="center"/>
              <w:rPr>
                <w:rFonts w:ascii="宋体"/>
                <w:color w:val="auto"/>
                <w:szCs w:val="21"/>
                <w:highlight w:val="none"/>
              </w:rPr>
            </w:pPr>
            <w:r>
              <w:rPr>
                <w:rFonts w:hint="eastAsia" w:ascii="宋体" w:hAnsi="宋体" w:cs="宋体"/>
                <w:b/>
                <w:bCs/>
                <w:color w:val="auto"/>
                <w:kern w:val="0"/>
                <w:sz w:val="21"/>
                <w:szCs w:val="21"/>
                <w:highlight w:val="none"/>
                <w:lang w:val="en-US" w:eastAsia="zh-CN" w:bidi="ar"/>
              </w:rPr>
              <w:t>金额</w:t>
            </w:r>
            <w:r>
              <w:rPr>
                <w:rFonts w:hint="eastAsia" w:ascii="宋体" w:hAnsi="宋体" w:eastAsia="宋体" w:cs="宋体"/>
                <w:b/>
                <w:bCs/>
                <w:color w:val="auto"/>
                <w:kern w:val="0"/>
                <w:sz w:val="21"/>
                <w:szCs w:val="21"/>
                <w:highlight w:val="none"/>
                <w:lang w:val="en-US" w:eastAsia="zh-CN" w:bidi="ar"/>
              </w:rPr>
              <w:t>（元）</w:t>
            </w:r>
          </w:p>
        </w:tc>
      </w:tr>
      <w:tr w14:paraId="6B25D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1479" w:type="dxa"/>
            <w:noWrap/>
            <w:vAlign w:val="center"/>
          </w:tcPr>
          <w:p w14:paraId="7D516FFD">
            <w:pPr>
              <w:spacing w:line="440" w:lineRule="exact"/>
              <w:rPr>
                <w:rFonts w:ascii="宋体"/>
                <w:color w:val="auto"/>
                <w:szCs w:val="21"/>
                <w:highlight w:val="none"/>
              </w:rPr>
            </w:pPr>
          </w:p>
        </w:tc>
        <w:tc>
          <w:tcPr>
            <w:tcW w:w="2171" w:type="dxa"/>
            <w:noWrap/>
            <w:vAlign w:val="center"/>
          </w:tcPr>
          <w:p w14:paraId="235E6D2E">
            <w:pPr>
              <w:spacing w:line="440" w:lineRule="exact"/>
              <w:rPr>
                <w:rFonts w:ascii="宋体"/>
                <w:color w:val="auto"/>
                <w:szCs w:val="21"/>
                <w:highlight w:val="none"/>
              </w:rPr>
            </w:pPr>
          </w:p>
        </w:tc>
        <w:tc>
          <w:tcPr>
            <w:tcW w:w="3735" w:type="dxa"/>
            <w:noWrap/>
            <w:vAlign w:val="center"/>
          </w:tcPr>
          <w:p w14:paraId="6C0BA0F2">
            <w:pPr>
              <w:spacing w:line="440" w:lineRule="exact"/>
              <w:rPr>
                <w:rFonts w:ascii="宋体"/>
                <w:color w:val="auto"/>
                <w:szCs w:val="21"/>
                <w:highlight w:val="none"/>
              </w:rPr>
            </w:pPr>
          </w:p>
        </w:tc>
        <w:tc>
          <w:tcPr>
            <w:tcW w:w="2213" w:type="dxa"/>
            <w:noWrap/>
            <w:vAlign w:val="center"/>
          </w:tcPr>
          <w:p w14:paraId="4D1E910A">
            <w:pPr>
              <w:spacing w:line="440" w:lineRule="exact"/>
              <w:rPr>
                <w:rFonts w:ascii="宋体"/>
                <w:color w:val="auto"/>
                <w:szCs w:val="21"/>
                <w:highlight w:val="none"/>
              </w:rPr>
            </w:pPr>
          </w:p>
        </w:tc>
      </w:tr>
      <w:tr w14:paraId="40CA1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1479" w:type="dxa"/>
            <w:shd w:val="clear" w:color="auto" w:fill="auto"/>
            <w:noWrap/>
            <w:vAlign w:val="center"/>
          </w:tcPr>
          <w:p w14:paraId="09875B66">
            <w:pPr>
              <w:spacing w:line="440" w:lineRule="exact"/>
              <w:rPr>
                <w:rFonts w:ascii="宋体" w:hAnsi="Times New Roman" w:eastAsia="宋体" w:cs="Times New Roman"/>
                <w:color w:val="auto"/>
                <w:kern w:val="2"/>
                <w:sz w:val="21"/>
                <w:szCs w:val="21"/>
                <w:highlight w:val="none"/>
                <w:lang w:val="en-US" w:eastAsia="zh-CN" w:bidi="ar-SA"/>
              </w:rPr>
            </w:pPr>
          </w:p>
        </w:tc>
        <w:tc>
          <w:tcPr>
            <w:tcW w:w="2171" w:type="dxa"/>
            <w:noWrap/>
            <w:vAlign w:val="center"/>
          </w:tcPr>
          <w:p w14:paraId="708F48E9">
            <w:pPr>
              <w:spacing w:line="440" w:lineRule="exact"/>
              <w:rPr>
                <w:rFonts w:hint="eastAsia" w:ascii="宋体" w:hAnsi="宋体" w:eastAsia="宋体"/>
                <w:color w:val="auto"/>
                <w:szCs w:val="21"/>
                <w:highlight w:val="none"/>
                <w:lang w:val="en-US" w:eastAsia="zh-CN"/>
              </w:rPr>
            </w:pPr>
          </w:p>
        </w:tc>
        <w:tc>
          <w:tcPr>
            <w:tcW w:w="3735" w:type="dxa"/>
            <w:noWrap/>
            <w:vAlign w:val="center"/>
          </w:tcPr>
          <w:p w14:paraId="2B1BF624">
            <w:pPr>
              <w:spacing w:line="440" w:lineRule="exact"/>
              <w:rPr>
                <w:rFonts w:hint="eastAsia" w:ascii="宋体" w:hAnsi="宋体" w:eastAsia="宋体"/>
                <w:color w:val="auto"/>
                <w:szCs w:val="21"/>
                <w:highlight w:val="none"/>
                <w:lang w:val="en-US" w:eastAsia="zh-CN"/>
              </w:rPr>
            </w:pPr>
          </w:p>
        </w:tc>
        <w:tc>
          <w:tcPr>
            <w:tcW w:w="2213" w:type="dxa"/>
            <w:noWrap/>
            <w:vAlign w:val="center"/>
          </w:tcPr>
          <w:p w14:paraId="4D45727F">
            <w:pPr>
              <w:spacing w:line="440" w:lineRule="exact"/>
              <w:rPr>
                <w:rFonts w:hint="eastAsia" w:ascii="宋体" w:hAnsi="宋体"/>
                <w:color w:val="auto"/>
                <w:szCs w:val="21"/>
                <w:highlight w:val="none"/>
              </w:rPr>
            </w:pPr>
          </w:p>
        </w:tc>
      </w:tr>
      <w:tr w14:paraId="46435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1479" w:type="dxa"/>
            <w:shd w:val="clear" w:color="auto" w:fill="auto"/>
            <w:noWrap/>
            <w:vAlign w:val="center"/>
          </w:tcPr>
          <w:p w14:paraId="7F49FEE0">
            <w:pPr>
              <w:spacing w:line="440" w:lineRule="exact"/>
              <w:rPr>
                <w:rFonts w:ascii="宋体" w:hAnsi="Times New Roman" w:eastAsia="宋体" w:cs="Times New Roman"/>
                <w:color w:val="auto"/>
                <w:kern w:val="2"/>
                <w:sz w:val="21"/>
                <w:szCs w:val="21"/>
                <w:highlight w:val="none"/>
                <w:lang w:val="en-US" w:eastAsia="zh-CN" w:bidi="ar-SA"/>
              </w:rPr>
            </w:pPr>
          </w:p>
        </w:tc>
        <w:tc>
          <w:tcPr>
            <w:tcW w:w="2171" w:type="dxa"/>
            <w:noWrap/>
            <w:vAlign w:val="center"/>
          </w:tcPr>
          <w:p w14:paraId="6C6612F5">
            <w:pPr>
              <w:spacing w:line="440" w:lineRule="exact"/>
              <w:rPr>
                <w:rFonts w:ascii="宋体"/>
                <w:color w:val="auto"/>
                <w:szCs w:val="21"/>
                <w:highlight w:val="none"/>
              </w:rPr>
            </w:pPr>
          </w:p>
        </w:tc>
        <w:tc>
          <w:tcPr>
            <w:tcW w:w="3735" w:type="dxa"/>
            <w:noWrap/>
            <w:vAlign w:val="center"/>
          </w:tcPr>
          <w:p w14:paraId="70569286">
            <w:pPr>
              <w:spacing w:line="440" w:lineRule="exact"/>
              <w:rPr>
                <w:rFonts w:ascii="宋体"/>
                <w:color w:val="auto"/>
                <w:szCs w:val="21"/>
                <w:highlight w:val="none"/>
              </w:rPr>
            </w:pPr>
          </w:p>
        </w:tc>
        <w:tc>
          <w:tcPr>
            <w:tcW w:w="2213" w:type="dxa"/>
            <w:noWrap/>
            <w:vAlign w:val="center"/>
          </w:tcPr>
          <w:p w14:paraId="667B4059">
            <w:pPr>
              <w:spacing w:line="440" w:lineRule="exact"/>
              <w:rPr>
                <w:rFonts w:ascii="宋体"/>
                <w:color w:val="auto"/>
                <w:szCs w:val="21"/>
                <w:highlight w:val="none"/>
              </w:rPr>
            </w:pPr>
          </w:p>
        </w:tc>
      </w:tr>
      <w:tr w14:paraId="05891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1479" w:type="dxa"/>
            <w:shd w:val="clear" w:color="auto" w:fill="auto"/>
            <w:noWrap/>
            <w:vAlign w:val="center"/>
          </w:tcPr>
          <w:p w14:paraId="57143D79">
            <w:pPr>
              <w:spacing w:line="440" w:lineRule="exact"/>
              <w:rPr>
                <w:rFonts w:ascii="宋体" w:hAnsi="Times New Roman" w:eastAsia="宋体" w:cs="Times New Roman"/>
                <w:color w:val="auto"/>
                <w:kern w:val="2"/>
                <w:sz w:val="21"/>
                <w:szCs w:val="21"/>
                <w:highlight w:val="none"/>
                <w:lang w:val="en-US" w:eastAsia="zh-CN" w:bidi="ar-SA"/>
              </w:rPr>
            </w:pPr>
          </w:p>
        </w:tc>
        <w:tc>
          <w:tcPr>
            <w:tcW w:w="2171" w:type="dxa"/>
            <w:noWrap/>
            <w:vAlign w:val="center"/>
          </w:tcPr>
          <w:p w14:paraId="5FFA72A7">
            <w:pPr>
              <w:spacing w:line="440" w:lineRule="exact"/>
              <w:rPr>
                <w:rFonts w:ascii="宋体"/>
                <w:color w:val="auto"/>
                <w:szCs w:val="21"/>
                <w:highlight w:val="none"/>
              </w:rPr>
            </w:pPr>
          </w:p>
        </w:tc>
        <w:tc>
          <w:tcPr>
            <w:tcW w:w="3735" w:type="dxa"/>
            <w:noWrap/>
            <w:vAlign w:val="center"/>
          </w:tcPr>
          <w:p w14:paraId="652ED5A7">
            <w:pPr>
              <w:spacing w:line="440" w:lineRule="exact"/>
              <w:rPr>
                <w:rFonts w:ascii="宋体"/>
                <w:color w:val="auto"/>
                <w:szCs w:val="21"/>
                <w:highlight w:val="none"/>
              </w:rPr>
            </w:pPr>
          </w:p>
        </w:tc>
        <w:tc>
          <w:tcPr>
            <w:tcW w:w="2213" w:type="dxa"/>
            <w:noWrap/>
            <w:vAlign w:val="center"/>
          </w:tcPr>
          <w:p w14:paraId="3C90FBD7">
            <w:pPr>
              <w:spacing w:line="440" w:lineRule="exact"/>
              <w:rPr>
                <w:rFonts w:ascii="宋体"/>
                <w:color w:val="auto"/>
                <w:szCs w:val="21"/>
                <w:highlight w:val="none"/>
              </w:rPr>
            </w:pPr>
          </w:p>
        </w:tc>
      </w:tr>
      <w:tr w14:paraId="40C47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1479" w:type="dxa"/>
            <w:shd w:val="clear" w:color="auto" w:fill="auto"/>
            <w:noWrap/>
            <w:vAlign w:val="center"/>
          </w:tcPr>
          <w:p w14:paraId="229BC5F5">
            <w:pPr>
              <w:spacing w:line="440" w:lineRule="exact"/>
              <w:rPr>
                <w:rFonts w:ascii="宋体" w:hAnsi="Times New Roman" w:eastAsia="宋体" w:cs="Times New Roman"/>
                <w:color w:val="auto"/>
                <w:kern w:val="2"/>
                <w:sz w:val="21"/>
                <w:szCs w:val="21"/>
                <w:highlight w:val="none"/>
                <w:lang w:val="en-US" w:eastAsia="zh-CN" w:bidi="ar-SA"/>
              </w:rPr>
            </w:pPr>
          </w:p>
        </w:tc>
        <w:tc>
          <w:tcPr>
            <w:tcW w:w="2171" w:type="dxa"/>
            <w:noWrap/>
            <w:vAlign w:val="center"/>
          </w:tcPr>
          <w:p w14:paraId="110D613D">
            <w:pPr>
              <w:spacing w:line="440" w:lineRule="exact"/>
              <w:rPr>
                <w:rFonts w:ascii="宋体"/>
                <w:color w:val="auto"/>
                <w:szCs w:val="21"/>
                <w:highlight w:val="none"/>
              </w:rPr>
            </w:pPr>
          </w:p>
        </w:tc>
        <w:tc>
          <w:tcPr>
            <w:tcW w:w="3735" w:type="dxa"/>
            <w:noWrap/>
            <w:vAlign w:val="center"/>
          </w:tcPr>
          <w:p w14:paraId="4C5A08E5">
            <w:pPr>
              <w:spacing w:line="440" w:lineRule="exact"/>
              <w:rPr>
                <w:rFonts w:ascii="宋体"/>
                <w:color w:val="auto"/>
                <w:szCs w:val="21"/>
                <w:highlight w:val="none"/>
              </w:rPr>
            </w:pPr>
          </w:p>
        </w:tc>
        <w:tc>
          <w:tcPr>
            <w:tcW w:w="2213" w:type="dxa"/>
            <w:noWrap/>
            <w:vAlign w:val="center"/>
          </w:tcPr>
          <w:p w14:paraId="5FA1918C">
            <w:pPr>
              <w:spacing w:line="440" w:lineRule="exact"/>
              <w:rPr>
                <w:rFonts w:ascii="宋体"/>
                <w:color w:val="auto"/>
                <w:szCs w:val="21"/>
                <w:highlight w:val="none"/>
              </w:rPr>
            </w:pPr>
          </w:p>
        </w:tc>
      </w:tr>
      <w:tr w14:paraId="44524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1479" w:type="dxa"/>
            <w:shd w:val="clear" w:color="auto" w:fill="auto"/>
            <w:noWrap/>
            <w:vAlign w:val="center"/>
          </w:tcPr>
          <w:p w14:paraId="2FD78DD2">
            <w:pPr>
              <w:spacing w:line="440" w:lineRule="exact"/>
              <w:rPr>
                <w:rFonts w:ascii="宋体" w:hAnsi="Times New Roman" w:eastAsia="宋体" w:cs="Times New Roman"/>
                <w:color w:val="auto"/>
                <w:kern w:val="2"/>
                <w:sz w:val="21"/>
                <w:szCs w:val="21"/>
                <w:highlight w:val="none"/>
                <w:lang w:val="en-US" w:eastAsia="zh-CN" w:bidi="ar-SA"/>
              </w:rPr>
            </w:pPr>
          </w:p>
        </w:tc>
        <w:tc>
          <w:tcPr>
            <w:tcW w:w="2171" w:type="dxa"/>
            <w:noWrap/>
            <w:vAlign w:val="center"/>
          </w:tcPr>
          <w:p w14:paraId="482C8BF7">
            <w:pPr>
              <w:spacing w:line="440" w:lineRule="exact"/>
              <w:rPr>
                <w:rFonts w:ascii="宋体" w:hAnsi="宋体"/>
                <w:color w:val="auto"/>
                <w:szCs w:val="21"/>
                <w:highlight w:val="none"/>
              </w:rPr>
            </w:pPr>
          </w:p>
        </w:tc>
        <w:tc>
          <w:tcPr>
            <w:tcW w:w="3735" w:type="dxa"/>
            <w:noWrap/>
            <w:vAlign w:val="center"/>
          </w:tcPr>
          <w:p w14:paraId="6EAA490E">
            <w:pPr>
              <w:spacing w:line="440" w:lineRule="exact"/>
              <w:rPr>
                <w:rFonts w:ascii="宋体" w:hAnsi="宋体"/>
                <w:color w:val="auto"/>
                <w:szCs w:val="21"/>
                <w:highlight w:val="none"/>
              </w:rPr>
            </w:pPr>
          </w:p>
        </w:tc>
        <w:tc>
          <w:tcPr>
            <w:tcW w:w="2213" w:type="dxa"/>
            <w:noWrap/>
            <w:vAlign w:val="center"/>
          </w:tcPr>
          <w:p w14:paraId="319E8B2E">
            <w:pPr>
              <w:spacing w:line="440" w:lineRule="exact"/>
              <w:rPr>
                <w:rFonts w:ascii="宋体" w:hAnsi="宋体"/>
                <w:color w:val="auto"/>
                <w:szCs w:val="21"/>
                <w:highlight w:val="none"/>
              </w:rPr>
            </w:pPr>
          </w:p>
        </w:tc>
      </w:tr>
      <w:tr w14:paraId="0593D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1479" w:type="dxa"/>
            <w:shd w:val="clear" w:color="auto" w:fill="auto"/>
            <w:noWrap/>
            <w:vAlign w:val="center"/>
          </w:tcPr>
          <w:p w14:paraId="65411879">
            <w:pPr>
              <w:spacing w:line="440" w:lineRule="exact"/>
              <w:rPr>
                <w:rFonts w:ascii="宋体" w:hAnsi="Times New Roman" w:eastAsia="宋体" w:cs="Times New Roman"/>
                <w:color w:val="auto"/>
                <w:kern w:val="2"/>
                <w:sz w:val="21"/>
                <w:szCs w:val="21"/>
                <w:highlight w:val="none"/>
                <w:lang w:val="en-US" w:eastAsia="zh-CN" w:bidi="ar-SA"/>
              </w:rPr>
            </w:pPr>
          </w:p>
        </w:tc>
        <w:tc>
          <w:tcPr>
            <w:tcW w:w="2171" w:type="dxa"/>
            <w:noWrap/>
            <w:vAlign w:val="center"/>
          </w:tcPr>
          <w:p w14:paraId="6A5EC41B">
            <w:pPr>
              <w:spacing w:line="440" w:lineRule="exact"/>
              <w:rPr>
                <w:rFonts w:ascii="宋体"/>
                <w:color w:val="auto"/>
                <w:szCs w:val="21"/>
                <w:highlight w:val="none"/>
              </w:rPr>
            </w:pPr>
          </w:p>
        </w:tc>
        <w:tc>
          <w:tcPr>
            <w:tcW w:w="3735" w:type="dxa"/>
            <w:noWrap/>
            <w:vAlign w:val="center"/>
          </w:tcPr>
          <w:p w14:paraId="41368BD4">
            <w:pPr>
              <w:spacing w:line="440" w:lineRule="exact"/>
              <w:rPr>
                <w:rFonts w:ascii="宋体"/>
                <w:color w:val="auto"/>
                <w:szCs w:val="21"/>
                <w:highlight w:val="none"/>
              </w:rPr>
            </w:pPr>
          </w:p>
        </w:tc>
        <w:tc>
          <w:tcPr>
            <w:tcW w:w="2213" w:type="dxa"/>
            <w:noWrap/>
            <w:vAlign w:val="center"/>
          </w:tcPr>
          <w:p w14:paraId="1A1CF64D">
            <w:pPr>
              <w:spacing w:line="440" w:lineRule="exact"/>
              <w:rPr>
                <w:rFonts w:ascii="宋体"/>
                <w:color w:val="auto"/>
                <w:szCs w:val="21"/>
                <w:highlight w:val="none"/>
              </w:rPr>
            </w:pPr>
          </w:p>
        </w:tc>
      </w:tr>
      <w:tr w14:paraId="6EEE1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1479" w:type="dxa"/>
            <w:shd w:val="clear" w:color="auto" w:fill="auto"/>
            <w:noWrap/>
            <w:vAlign w:val="center"/>
          </w:tcPr>
          <w:p w14:paraId="609A4CAE">
            <w:pPr>
              <w:spacing w:line="440" w:lineRule="exact"/>
              <w:rPr>
                <w:rFonts w:ascii="宋体" w:hAnsi="Times New Roman" w:eastAsia="宋体" w:cs="Times New Roman"/>
                <w:color w:val="auto"/>
                <w:kern w:val="2"/>
                <w:sz w:val="21"/>
                <w:szCs w:val="21"/>
                <w:highlight w:val="none"/>
                <w:lang w:val="en-US" w:eastAsia="zh-CN" w:bidi="ar-SA"/>
              </w:rPr>
            </w:pPr>
          </w:p>
        </w:tc>
        <w:tc>
          <w:tcPr>
            <w:tcW w:w="2171" w:type="dxa"/>
            <w:noWrap/>
            <w:vAlign w:val="center"/>
          </w:tcPr>
          <w:p w14:paraId="00D9A001">
            <w:pPr>
              <w:spacing w:line="440" w:lineRule="exact"/>
              <w:rPr>
                <w:rFonts w:ascii="宋体"/>
                <w:color w:val="auto"/>
                <w:szCs w:val="21"/>
                <w:highlight w:val="none"/>
              </w:rPr>
            </w:pPr>
          </w:p>
        </w:tc>
        <w:tc>
          <w:tcPr>
            <w:tcW w:w="3735" w:type="dxa"/>
            <w:noWrap/>
            <w:vAlign w:val="center"/>
          </w:tcPr>
          <w:p w14:paraId="7C983FB2">
            <w:pPr>
              <w:spacing w:line="440" w:lineRule="exact"/>
              <w:rPr>
                <w:rFonts w:ascii="宋体"/>
                <w:color w:val="auto"/>
                <w:szCs w:val="21"/>
                <w:highlight w:val="none"/>
              </w:rPr>
            </w:pPr>
          </w:p>
        </w:tc>
        <w:tc>
          <w:tcPr>
            <w:tcW w:w="2213" w:type="dxa"/>
            <w:noWrap/>
            <w:vAlign w:val="center"/>
          </w:tcPr>
          <w:p w14:paraId="28AF6FA4">
            <w:pPr>
              <w:spacing w:line="440" w:lineRule="exact"/>
              <w:rPr>
                <w:rFonts w:ascii="宋体"/>
                <w:color w:val="auto"/>
                <w:szCs w:val="21"/>
                <w:highlight w:val="none"/>
              </w:rPr>
            </w:pPr>
          </w:p>
        </w:tc>
      </w:tr>
      <w:tr w14:paraId="4EB01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1479" w:type="dxa"/>
            <w:shd w:val="clear" w:color="auto" w:fill="auto"/>
            <w:noWrap/>
            <w:vAlign w:val="center"/>
          </w:tcPr>
          <w:p w14:paraId="68785604">
            <w:pPr>
              <w:spacing w:line="440" w:lineRule="exact"/>
              <w:rPr>
                <w:rFonts w:ascii="宋体" w:hAnsi="Times New Roman" w:eastAsia="宋体" w:cs="Times New Roman"/>
                <w:color w:val="auto"/>
                <w:kern w:val="2"/>
                <w:sz w:val="21"/>
                <w:szCs w:val="21"/>
                <w:highlight w:val="none"/>
                <w:lang w:val="en-US" w:eastAsia="zh-CN" w:bidi="ar-SA"/>
              </w:rPr>
            </w:pPr>
          </w:p>
        </w:tc>
        <w:tc>
          <w:tcPr>
            <w:tcW w:w="2171" w:type="dxa"/>
            <w:noWrap/>
            <w:vAlign w:val="center"/>
          </w:tcPr>
          <w:p w14:paraId="315D326B">
            <w:pPr>
              <w:spacing w:line="440" w:lineRule="exact"/>
              <w:rPr>
                <w:rFonts w:ascii="宋体"/>
                <w:color w:val="auto"/>
                <w:szCs w:val="21"/>
                <w:highlight w:val="none"/>
              </w:rPr>
            </w:pPr>
          </w:p>
        </w:tc>
        <w:tc>
          <w:tcPr>
            <w:tcW w:w="3735" w:type="dxa"/>
            <w:noWrap/>
            <w:vAlign w:val="center"/>
          </w:tcPr>
          <w:p w14:paraId="4FCAB544">
            <w:pPr>
              <w:spacing w:line="440" w:lineRule="exact"/>
              <w:rPr>
                <w:rFonts w:ascii="宋体"/>
                <w:color w:val="auto"/>
                <w:szCs w:val="21"/>
                <w:highlight w:val="none"/>
              </w:rPr>
            </w:pPr>
          </w:p>
        </w:tc>
        <w:tc>
          <w:tcPr>
            <w:tcW w:w="2213" w:type="dxa"/>
            <w:noWrap/>
            <w:vAlign w:val="center"/>
          </w:tcPr>
          <w:p w14:paraId="4BF2276B">
            <w:pPr>
              <w:spacing w:line="440" w:lineRule="exact"/>
              <w:rPr>
                <w:rFonts w:ascii="宋体"/>
                <w:color w:val="auto"/>
                <w:szCs w:val="21"/>
                <w:highlight w:val="none"/>
              </w:rPr>
            </w:pPr>
          </w:p>
        </w:tc>
      </w:tr>
      <w:tr w14:paraId="216E6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1479" w:type="dxa"/>
            <w:shd w:val="clear" w:color="auto" w:fill="auto"/>
            <w:noWrap/>
            <w:vAlign w:val="center"/>
          </w:tcPr>
          <w:p w14:paraId="19BE23D2">
            <w:pPr>
              <w:spacing w:line="440" w:lineRule="exact"/>
              <w:rPr>
                <w:rFonts w:ascii="宋体" w:hAnsi="Times New Roman" w:eastAsia="宋体" w:cs="Times New Roman"/>
                <w:color w:val="auto"/>
                <w:kern w:val="2"/>
                <w:sz w:val="21"/>
                <w:szCs w:val="21"/>
                <w:highlight w:val="none"/>
                <w:lang w:val="en-US" w:eastAsia="zh-CN" w:bidi="ar-SA"/>
              </w:rPr>
            </w:pPr>
          </w:p>
        </w:tc>
        <w:tc>
          <w:tcPr>
            <w:tcW w:w="2171" w:type="dxa"/>
            <w:noWrap/>
            <w:vAlign w:val="center"/>
          </w:tcPr>
          <w:p w14:paraId="667AF263">
            <w:pPr>
              <w:spacing w:line="440" w:lineRule="exact"/>
              <w:rPr>
                <w:rFonts w:ascii="宋体"/>
                <w:color w:val="auto"/>
                <w:szCs w:val="21"/>
                <w:highlight w:val="none"/>
              </w:rPr>
            </w:pPr>
          </w:p>
        </w:tc>
        <w:tc>
          <w:tcPr>
            <w:tcW w:w="3735" w:type="dxa"/>
            <w:noWrap/>
            <w:vAlign w:val="center"/>
          </w:tcPr>
          <w:p w14:paraId="387ED6D8">
            <w:pPr>
              <w:spacing w:line="440" w:lineRule="exact"/>
              <w:rPr>
                <w:rFonts w:ascii="宋体"/>
                <w:color w:val="auto"/>
                <w:szCs w:val="21"/>
                <w:highlight w:val="none"/>
              </w:rPr>
            </w:pPr>
          </w:p>
        </w:tc>
        <w:tc>
          <w:tcPr>
            <w:tcW w:w="2213" w:type="dxa"/>
            <w:noWrap/>
            <w:vAlign w:val="center"/>
          </w:tcPr>
          <w:p w14:paraId="03282900">
            <w:pPr>
              <w:spacing w:line="440" w:lineRule="exact"/>
              <w:rPr>
                <w:rFonts w:ascii="宋体"/>
                <w:color w:val="auto"/>
                <w:szCs w:val="21"/>
                <w:highlight w:val="none"/>
              </w:rPr>
            </w:pPr>
          </w:p>
        </w:tc>
      </w:tr>
      <w:tr w14:paraId="5B9F5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1479" w:type="dxa"/>
            <w:shd w:val="clear" w:color="auto" w:fill="auto"/>
            <w:noWrap/>
            <w:vAlign w:val="center"/>
          </w:tcPr>
          <w:p w14:paraId="51218A11">
            <w:pPr>
              <w:spacing w:line="440" w:lineRule="exact"/>
              <w:rPr>
                <w:rFonts w:ascii="宋体" w:hAnsi="Times New Roman" w:eastAsia="宋体" w:cs="Times New Roman"/>
                <w:color w:val="auto"/>
                <w:kern w:val="2"/>
                <w:sz w:val="21"/>
                <w:szCs w:val="21"/>
                <w:highlight w:val="none"/>
                <w:lang w:val="en-US" w:eastAsia="zh-CN" w:bidi="ar-SA"/>
              </w:rPr>
            </w:pPr>
          </w:p>
        </w:tc>
        <w:tc>
          <w:tcPr>
            <w:tcW w:w="2171" w:type="dxa"/>
            <w:noWrap/>
            <w:vAlign w:val="center"/>
          </w:tcPr>
          <w:p w14:paraId="46A395AA">
            <w:pPr>
              <w:spacing w:line="440" w:lineRule="exact"/>
              <w:rPr>
                <w:rFonts w:ascii="宋体"/>
                <w:color w:val="auto"/>
                <w:szCs w:val="21"/>
                <w:highlight w:val="none"/>
              </w:rPr>
            </w:pPr>
          </w:p>
        </w:tc>
        <w:tc>
          <w:tcPr>
            <w:tcW w:w="3735" w:type="dxa"/>
            <w:noWrap/>
            <w:vAlign w:val="center"/>
          </w:tcPr>
          <w:p w14:paraId="3932C0D2">
            <w:pPr>
              <w:spacing w:line="440" w:lineRule="exact"/>
              <w:rPr>
                <w:rFonts w:ascii="宋体"/>
                <w:color w:val="auto"/>
                <w:szCs w:val="21"/>
                <w:highlight w:val="none"/>
              </w:rPr>
            </w:pPr>
          </w:p>
        </w:tc>
        <w:tc>
          <w:tcPr>
            <w:tcW w:w="2213" w:type="dxa"/>
            <w:noWrap/>
            <w:vAlign w:val="center"/>
          </w:tcPr>
          <w:p w14:paraId="20E48616">
            <w:pPr>
              <w:spacing w:line="440" w:lineRule="exact"/>
              <w:rPr>
                <w:rFonts w:ascii="宋体"/>
                <w:color w:val="auto"/>
                <w:szCs w:val="21"/>
                <w:highlight w:val="none"/>
              </w:rPr>
            </w:pPr>
          </w:p>
        </w:tc>
      </w:tr>
      <w:tr w14:paraId="51B44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6" w:hRule="atLeast"/>
        </w:trPr>
        <w:tc>
          <w:tcPr>
            <w:tcW w:w="1479" w:type="dxa"/>
            <w:shd w:val="clear" w:color="auto" w:fill="auto"/>
            <w:noWrap/>
            <w:vAlign w:val="center"/>
          </w:tcPr>
          <w:p w14:paraId="501FDBAD">
            <w:pPr>
              <w:keepNext w:val="0"/>
              <w:keepLines w:val="0"/>
              <w:widowControl/>
              <w:suppressLineNumbers w:val="0"/>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小 计</w:t>
            </w:r>
          </w:p>
        </w:tc>
        <w:tc>
          <w:tcPr>
            <w:tcW w:w="2171" w:type="dxa"/>
            <w:shd w:val="clear" w:color="auto" w:fill="auto"/>
            <w:noWrap/>
            <w:vAlign w:val="center"/>
          </w:tcPr>
          <w:p w14:paraId="4F12A9DB">
            <w:pPr>
              <w:keepNext w:val="0"/>
              <w:keepLines w:val="0"/>
              <w:widowControl/>
              <w:suppressLineNumbers w:val="0"/>
              <w:jc w:val="center"/>
              <w:rPr>
                <w:rFonts w:hint="eastAsia" w:ascii="宋体" w:hAnsi="宋体" w:eastAsia="宋体" w:cs="宋体"/>
                <w:color w:val="auto"/>
                <w:kern w:val="0"/>
                <w:sz w:val="21"/>
                <w:szCs w:val="21"/>
                <w:highlight w:val="none"/>
                <w:lang w:val="en-US" w:eastAsia="zh-CN" w:bidi="ar"/>
              </w:rPr>
            </w:pPr>
          </w:p>
        </w:tc>
        <w:tc>
          <w:tcPr>
            <w:tcW w:w="5948" w:type="dxa"/>
            <w:gridSpan w:val="2"/>
            <w:shd w:val="clear" w:color="auto" w:fill="auto"/>
            <w:noWrap/>
            <w:vAlign w:val="center"/>
          </w:tcPr>
          <w:p w14:paraId="174D7B37">
            <w:pPr>
              <w:keepNext w:val="0"/>
              <w:keepLines w:val="0"/>
              <w:widowControl/>
              <w:suppressLineNumbers w:val="0"/>
              <w:jc w:val="left"/>
              <w:rPr>
                <w:rFonts w:hint="default" w:ascii="宋体" w:hAnsi="宋体" w:eastAsia="宋体" w:cs="宋体"/>
                <w:color w:val="auto"/>
                <w:kern w:val="0"/>
                <w:sz w:val="21"/>
                <w:szCs w:val="21"/>
                <w:highlight w:val="none"/>
                <w:u w:val="single"/>
                <w:lang w:val="en-US" w:eastAsia="zh-CN" w:bidi="ar"/>
              </w:rPr>
            </w:pP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none"/>
                <w:lang w:val="en-US" w:eastAsia="zh-CN" w:bidi="ar"/>
              </w:rPr>
              <w:t>元</w:t>
            </w:r>
          </w:p>
          <w:p w14:paraId="770578BC">
            <w:pPr>
              <w:spacing w:line="440" w:lineRule="exact"/>
              <w:ind w:firstLine="1260" w:firstLineChars="600"/>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汇入投标报价汇总表</w:t>
            </w:r>
          </w:p>
        </w:tc>
      </w:tr>
    </w:tbl>
    <w:p w14:paraId="5018A014">
      <w:pPr>
        <w:jc w:val="center"/>
        <w:outlineLvl w:val="9"/>
        <w:rPr>
          <w:rFonts w:hint="default" w:eastAsia="宋体"/>
          <w:color w:val="auto"/>
          <w:highlight w:val="none"/>
          <w:lang w:val="en-US" w:eastAsia="zh-CN"/>
        </w:rPr>
      </w:pPr>
    </w:p>
    <w:p w14:paraId="4FD94D10">
      <w:pPr>
        <w:keepNext w:val="0"/>
        <w:keepLines w:val="0"/>
        <w:pageBreakBefore w:val="0"/>
        <w:widowControl w:val="0"/>
        <w:kinsoku/>
        <w:wordWrap/>
        <w:overflowPunct/>
        <w:topLinePunct w:val="0"/>
        <w:autoSpaceDE/>
        <w:autoSpaceDN/>
        <w:bidi w:val="0"/>
        <w:adjustRightInd/>
        <w:snapToGrid/>
        <w:spacing w:line="440" w:lineRule="exact"/>
        <w:ind w:firstLine="4200" w:firstLineChars="2000"/>
        <w:textAlignment w:val="auto"/>
        <w:rPr>
          <w:color w:val="auto"/>
          <w:szCs w:val="21"/>
          <w:highlight w:val="none"/>
        </w:rPr>
      </w:pPr>
      <w:r>
        <w:rPr>
          <w:rFonts w:hint="eastAsia"/>
          <w:color w:val="auto"/>
          <w:szCs w:val="21"/>
          <w:highlight w:val="none"/>
        </w:rPr>
        <w:t>投标人：</w:t>
      </w:r>
      <w:r>
        <w:rPr>
          <w:rFonts w:hint="eastAsia"/>
          <w:color w:val="auto"/>
          <w:szCs w:val="21"/>
          <w:highlight w:val="none"/>
          <w:u w:val="single"/>
          <w:lang w:val="en-US" w:eastAsia="zh-CN"/>
        </w:rPr>
        <w:t xml:space="preserve">                          </w:t>
      </w:r>
      <w:r>
        <w:rPr>
          <w:rFonts w:hint="eastAsia"/>
          <w:color w:val="auto"/>
          <w:szCs w:val="21"/>
          <w:highlight w:val="none"/>
        </w:rPr>
        <w:t>（盖单位</w:t>
      </w:r>
      <w:r>
        <w:rPr>
          <w:rFonts w:hint="eastAsia"/>
          <w:color w:val="auto"/>
          <w:szCs w:val="21"/>
          <w:highlight w:val="none"/>
          <w:lang w:val="en-US" w:eastAsia="zh-CN"/>
        </w:rPr>
        <w:t>公</w:t>
      </w:r>
      <w:r>
        <w:rPr>
          <w:rFonts w:hint="eastAsia"/>
          <w:color w:val="auto"/>
          <w:szCs w:val="21"/>
          <w:highlight w:val="none"/>
        </w:rPr>
        <w:t>章）</w:t>
      </w:r>
    </w:p>
    <w:p w14:paraId="3A37B137">
      <w:pPr>
        <w:keepNext w:val="0"/>
        <w:keepLines w:val="0"/>
        <w:pageBreakBefore w:val="0"/>
        <w:widowControl w:val="0"/>
        <w:kinsoku/>
        <w:wordWrap/>
        <w:overflowPunct/>
        <w:topLinePunct w:val="0"/>
        <w:autoSpaceDE/>
        <w:autoSpaceDN/>
        <w:bidi w:val="0"/>
        <w:adjustRightInd/>
        <w:snapToGrid/>
        <w:spacing w:line="440" w:lineRule="exact"/>
        <w:ind w:firstLine="2940" w:firstLineChars="1400"/>
        <w:textAlignment w:val="auto"/>
        <w:rPr>
          <w:color w:val="auto"/>
          <w:szCs w:val="21"/>
          <w:highlight w:val="none"/>
        </w:rPr>
      </w:pPr>
    </w:p>
    <w:p w14:paraId="3F5731E9">
      <w:pPr>
        <w:keepNext w:val="0"/>
        <w:keepLines w:val="0"/>
        <w:pageBreakBefore w:val="0"/>
        <w:widowControl w:val="0"/>
        <w:kinsoku/>
        <w:wordWrap/>
        <w:overflowPunct/>
        <w:topLinePunct w:val="0"/>
        <w:autoSpaceDE/>
        <w:autoSpaceDN/>
        <w:bidi w:val="0"/>
        <w:adjustRightInd/>
        <w:snapToGrid/>
        <w:spacing w:line="440" w:lineRule="exact"/>
        <w:ind w:firstLine="4200" w:firstLineChars="2000"/>
        <w:textAlignment w:val="auto"/>
        <w:rPr>
          <w:color w:val="auto"/>
          <w:szCs w:val="21"/>
          <w:highlight w:val="none"/>
        </w:rPr>
      </w:pPr>
      <w:r>
        <w:rPr>
          <w:rFonts w:hint="eastAsia"/>
          <w:color w:val="auto"/>
          <w:szCs w:val="21"/>
          <w:highlight w:val="none"/>
        </w:rPr>
        <w:t>法定代表人</w:t>
      </w:r>
      <w:r>
        <w:rPr>
          <w:rFonts w:hint="eastAsia"/>
          <w:color w:val="auto"/>
          <w:szCs w:val="21"/>
          <w:highlight w:val="none"/>
          <w:lang w:val="en-US" w:eastAsia="zh-CN"/>
        </w:rPr>
        <w:t>或授权委托人</w:t>
      </w:r>
      <w:r>
        <w:rPr>
          <w:rFonts w:hint="eastAsia"/>
          <w:color w:val="auto"/>
          <w:szCs w:val="21"/>
          <w:highlight w:val="none"/>
        </w:rPr>
        <w:t>：</w:t>
      </w:r>
      <w:r>
        <w:rPr>
          <w:rFonts w:hint="eastAsia"/>
          <w:color w:val="auto"/>
          <w:szCs w:val="21"/>
          <w:highlight w:val="none"/>
          <w:u w:val="single"/>
          <w:lang w:val="en-US" w:eastAsia="zh-CN"/>
        </w:rPr>
        <w:t xml:space="preserve">                </w:t>
      </w:r>
      <w:r>
        <w:rPr>
          <w:rFonts w:hint="eastAsia"/>
          <w:color w:val="auto"/>
          <w:szCs w:val="21"/>
          <w:highlight w:val="none"/>
        </w:rPr>
        <w:t>（签章）</w:t>
      </w:r>
    </w:p>
    <w:p w14:paraId="612F5728">
      <w:pPr>
        <w:spacing w:line="440" w:lineRule="exact"/>
        <w:rPr>
          <w:color w:val="auto"/>
          <w:szCs w:val="21"/>
          <w:highlight w:val="none"/>
        </w:rPr>
      </w:pPr>
    </w:p>
    <w:p w14:paraId="0709CE72">
      <w:pPr>
        <w:spacing w:line="440" w:lineRule="exact"/>
        <w:ind w:firstLine="5355" w:firstLineChars="2550"/>
        <w:rPr>
          <w:rFonts w:hint="eastAsia"/>
          <w:color w:val="auto"/>
          <w:szCs w:val="21"/>
          <w:highlight w:val="none"/>
        </w:rPr>
      </w:pPr>
      <w:r>
        <w:rPr>
          <w:rFonts w:hint="eastAsia"/>
          <w:color w:val="auto"/>
          <w:szCs w:val="21"/>
          <w:highlight w:val="none"/>
          <w:u w:val="single"/>
          <w:lang w:val="en-US" w:eastAsia="zh-CN"/>
        </w:rPr>
        <w:t xml:space="preserve">       </w:t>
      </w:r>
      <w:r>
        <w:rPr>
          <w:rFonts w:hint="eastAsia"/>
          <w:color w:val="auto"/>
          <w:szCs w:val="21"/>
          <w:highlight w:val="none"/>
        </w:rPr>
        <w:t>年</w:t>
      </w:r>
      <w:r>
        <w:rPr>
          <w:rFonts w:hint="eastAsia"/>
          <w:color w:val="auto"/>
          <w:szCs w:val="21"/>
          <w:highlight w:val="none"/>
          <w:u w:val="single"/>
          <w:lang w:val="en-US" w:eastAsia="zh-CN"/>
        </w:rPr>
        <w:t xml:space="preserve">       </w:t>
      </w:r>
      <w:r>
        <w:rPr>
          <w:rFonts w:hint="eastAsia"/>
          <w:color w:val="auto"/>
          <w:szCs w:val="21"/>
          <w:highlight w:val="none"/>
        </w:rPr>
        <w:t>月</w:t>
      </w:r>
      <w:r>
        <w:rPr>
          <w:rFonts w:hint="eastAsia"/>
          <w:color w:val="auto"/>
          <w:szCs w:val="21"/>
          <w:highlight w:val="none"/>
          <w:u w:val="single"/>
          <w:lang w:val="en-US" w:eastAsia="zh-CN"/>
        </w:rPr>
        <w:t xml:space="preserve">       </w:t>
      </w:r>
      <w:r>
        <w:rPr>
          <w:rFonts w:hint="eastAsia"/>
          <w:color w:val="auto"/>
          <w:szCs w:val="21"/>
          <w:highlight w:val="none"/>
        </w:rPr>
        <w:t>日</w:t>
      </w:r>
    </w:p>
    <w:p w14:paraId="62A26277">
      <w:pPr>
        <w:spacing w:line="440" w:lineRule="exact"/>
        <w:rPr>
          <w:rFonts w:hint="eastAsia"/>
          <w:color w:val="auto"/>
          <w:szCs w:val="21"/>
          <w:highlight w:val="none"/>
        </w:rPr>
      </w:pPr>
    </w:p>
    <w:p w14:paraId="63CA4380">
      <w:pPr>
        <w:spacing w:line="440" w:lineRule="exact"/>
        <w:rPr>
          <w:rFonts w:hint="eastAsia"/>
          <w:color w:val="auto"/>
          <w:szCs w:val="21"/>
          <w:highlight w:val="none"/>
        </w:rPr>
      </w:pPr>
    </w:p>
    <w:p w14:paraId="0C94E886">
      <w:pPr>
        <w:jc w:val="center"/>
        <w:outlineLvl w:val="9"/>
        <w:rPr>
          <w:rFonts w:hint="eastAsia"/>
          <w:b/>
          <w:bCs/>
          <w:color w:val="auto"/>
          <w:highlight w:val="none"/>
          <w:lang w:val="en-US" w:eastAsia="zh-CN"/>
        </w:rPr>
      </w:pPr>
      <w:r>
        <w:rPr>
          <w:rFonts w:hint="eastAsia"/>
          <w:b/>
          <w:bCs/>
          <w:color w:val="auto"/>
          <w:highlight w:val="none"/>
          <w:lang w:val="en-US" w:eastAsia="zh-CN"/>
        </w:rPr>
        <w:t>5-10其它费用清单</w:t>
      </w:r>
    </w:p>
    <w:p w14:paraId="4B966F86">
      <w:pPr>
        <w:jc w:val="center"/>
        <w:outlineLvl w:val="9"/>
        <w:rPr>
          <w:rFonts w:hint="eastAsia"/>
          <w:b/>
          <w:bCs/>
          <w:color w:val="auto"/>
          <w:highlight w:val="none"/>
          <w:lang w:val="en-US" w:eastAsia="zh-CN"/>
        </w:rPr>
      </w:pPr>
    </w:p>
    <w:tbl>
      <w:tblPr>
        <w:tblStyle w:val="42"/>
        <w:tblW w:w="88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2171"/>
        <w:gridCol w:w="1661"/>
        <w:gridCol w:w="1757"/>
        <w:gridCol w:w="1757"/>
      </w:tblGrid>
      <w:tr w14:paraId="75E8C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1479" w:type="dxa"/>
            <w:noWrap/>
            <w:vAlign w:val="center"/>
          </w:tcPr>
          <w:p w14:paraId="20F15F3A">
            <w:pPr>
              <w:jc w:val="center"/>
              <w:rPr>
                <w:rFonts w:ascii="宋体"/>
                <w:color w:val="auto"/>
                <w:szCs w:val="21"/>
                <w:highlight w:val="none"/>
              </w:rPr>
            </w:pPr>
            <w:r>
              <w:rPr>
                <w:rFonts w:hint="eastAsia" w:ascii="宋体" w:hAnsi="宋体"/>
                <w:b/>
                <w:bCs/>
                <w:color w:val="auto"/>
                <w:szCs w:val="21"/>
                <w:highlight w:val="none"/>
              </w:rPr>
              <w:t>序号</w:t>
            </w:r>
          </w:p>
        </w:tc>
        <w:tc>
          <w:tcPr>
            <w:tcW w:w="2171" w:type="dxa"/>
            <w:noWrap/>
            <w:vAlign w:val="center"/>
          </w:tcPr>
          <w:p w14:paraId="618A40EB">
            <w:pPr>
              <w:keepNext w:val="0"/>
              <w:keepLines w:val="0"/>
              <w:widowControl/>
              <w:suppressLineNumbers w:val="0"/>
              <w:jc w:val="center"/>
              <w:rPr>
                <w:rFonts w:hint="eastAsia" w:ascii="宋体" w:hAnsi="宋体" w:eastAsia="宋体" w:cs="宋体"/>
                <w:b/>
                <w:bCs/>
                <w:color w:val="auto"/>
                <w:kern w:val="0"/>
                <w:sz w:val="21"/>
                <w:szCs w:val="21"/>
                <w:highlight w:val="none"/>
                <w:lang w:val="en-US" w:eastAsia="zh-CN" w:bidi="ar"/>
              </w:rPr>
            </w:pPr>
            <w:r>
              <w:rPr>
                <w:rFonts w:hint="eastAsia" w:ascii="宋体" w:hAnsi="宋体" w:cs="宋体"/>
                <w:b/>
                <w:bCs/>
                <w:color w:val="auto"/>
                <w:kern w:val="0"/>
                <w:sz w:val="21"/>
                <w:szCs w:val="21"/>
                <w:highlight w:val="none"/>
                <w:lang w:val="en-US" w:eastAsia="zh-CN" w:bidi="ar"/>
              </w:rPr>
              <w:t>项目</w:t>
            </w:r>
            <w:r>
              <w:rPr>
                <w:rFonts w:hint="eastAsia" w:ascii="宋体" w:hAnsi="宋体" w:eastAsia="宋体" w:cs="宋体"/>
                <w:b/>
                <w:bCs/>
                <w:color w:val="auto"/>
                <w:kern w:val="0"/>
                <w:sz w:val="21"/>
                <w:szCs w:val="21"/>
                <w:highlight w:val="none"/>
                <w:lang w:val="en-US" w:eastAsia="zh-CN" w:bidi="ar"/>
              </w:rPr>
              <w:t>名称</w:t>
            </w:r>
          </w:p>
        </w:tc>
        <w:tc>
          <w:tcPr>
            <w:tcW w:w="1661" w:type="dxa"/>
            <w:noWrap/>
            <w:vAlign w:val="center"/>
          </w:tcPr>
          <w:p w14:paraId="62FCFEE4">
            <w:pPr>
              <w:keepNext w:val="0"/>
              <w:keepLines w:val="0"/>
              <w:widowControl/>
              <w:suppressLineNumbers w:val="0"/>
              <w:jc w:val="center"/>
              <w:rPr>
                <w:rFonts w:hint="eastAsia" w:ascii="宋体" w:eastAsia="宋体"/>
                <w:b/>
                <w:bCs/>
                <w:color w:val="auto"/>
                <w:szCs w:val="21"/>
                <w:highlight w:val="none"/>
                <w:lang w:val="en-US" w:eastAsia="zh-CN"/>
              </w:rPr>
            </w:pPr>
            <w:r>
              <w:rPr>
                <w:rFonts w:hint="eastAsia" w:ascii="宋体"/>
                <w:b/>
                <w:bCs/>
                <w:color w:val="auto"/>
                <w:szCs w:val="21"/>
                <w:highlight w:val="none"/>
                <w:lang w:val="en-US" w:eastAsia="zh-CN"/>
              </w:rPr>
              <w:t>内容</w:t>
            </w:r>
          </w:p>
        </w:tc>
        <w:tc>
          <w:tcPr>
            <w:tcW w:w="1757" w:type="dxa"/>
            <w:noWrap/>
            <w:vAlign w:val="center"/>
          </w:tcPr>
          <w:p w14:paraId="045808F4">
            <w:pPr>
              <w:keepNext w:val="0"/>
              <w:keepLines w:val="0"/>
              <w:widowControl/>
              <w:suppressLineNumbers w:val="0"/>
              <w:jc w:val="center"/>
              <w:rPr>
                <w:rFonts w:ascii="宋体"/>
                <w:color w:val="auto"/>
                <w:szCs w:val="21"/>
                <w:highlight w:val="none"/>
              </w:rPr>
            </w:pPr>
            <w:r>
              <w:rPr>
                <w:rFonts w:hint="eastAsia" w:ascii="宋体" w:hAnsi="宋体" w:cs="宋体"/>
                <w:b/>
                <w:bCs/>
                <w:color w:val="auto"/>
                <w:kern w:val="0"/>
                <w:sz w:val="21"/>
                <w:szCs w:val="21"/>
                <w:highlight w:val="none"/>
                <w:lang w:val="en-US" w:eastAsia="zh-CN" w:bidi="ar"/>
              </w:rPr>
              <w:t>金额</w:t>
            </w:r>
            <w:r>
              <w:rPr>
                <w:rFonts w:hint="eastAsia" w:ascii="宋体" w:hAnsi="宋体" w:eastAsia="宋体" w:cs="宋体"/>
                <w:b/>
                <w:bCs/>
                <w:color w:val="auto"/>
                <w:kern w:val="0"/>
                <w:sz w:val="21"/>
                <w:szCs w:val="21"/>
                <w:highlight w:val="none"/>
                <w:lang w:val="en-US" w:eastAsia="zh-CN" w:bidi="ar"/>
              </w:rPr>
              <w:t>（元）</w:t>
            </w:r>
          </w:p>
        </w:tc>
        <w:tc>
          <w:tcPr>
            <w:tcW w:w="1757" w:type="dxa"/>
            <w:noWrap/>
            <w:vAlign w:val="center"/>
          </w:tcPr>
          <w:p w14:paraId="1772F8A2">
            <w:pPr>
              <w:keepNext w:val="0"/>
              <w:keepLines w:val="0"/>
              <w:widowControl/>
              <w:suppressLineNumbers w:val="0"/>
              <w:jc w:val="center"/>
              <w:rPr>
                <w:rFonts w:hint="eastAsia" w:ascii="宋体" w:hAnsi="宋体" w:cs="宋体"/>
                <w:b/>
                <w:bCs/>
                <w:color w:val="auto"/>
                <w:kern w:val="0"/>
                <w:sz w:val="21"/>
                <w:szCs w:val="21"/>
                <w:highlight w:val="none"/>
                <w:lang w:val="en-US" w:eastAsia="zh-CN" w:bidi="ar"/>
              </w:rPr>
            </w:pPr>
            <w:r>
              <w:rPr>
                <w:rFonts w:hint="eastAsia" w:ascii="宋体" w:hAnsi="宋体" w:cs="宋体"/>
                <w:b/>
                <w:bCs/>
                <w:color w:val="auto"/>
                <w:kern w:val="0"/>
                <w:sz w:val="21"/>
                <w:szCs w:val="21"/>
                <w:highlight w:val="none"/>
                <w:lang w:val="en-US" w:eastAsia="zh-CN" w:bidi="ar"/>
              </w:rPr>
              <w:t>备注</w:t>
            </w:r>
          </w:p>
        </w:tc>
      </w:tr>
      <w:tr w14:paraId="501EA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1479" w:type="dxa"/>
            <w:noWrap/>
            <w:vAlign w:val="center"/>
          </w:tcPr>
          <w:p w14:paraId="258770B1">
            <w:pPr>
              <w:spacing w:line="440" w:lineRule="exact"/>
              <w:jc w:val="center"/>
              <w:rPr>
                <w:rFonts w:hint="eastAsia" w:ascii="宋体" w:eastAsia="宋体"/>
                <w:color w:val="auto"/>
                <w:szCs w:val="21"/>
                <w:highlight w:val="none"/>
                <w:lang w:val="en-US" w:eastAsia="zh-CN"/>
              </w:rPr>
            </w:pPr>
            <w:r>
              <w:rPr>
                <w:rFonts w:hint="eastAsia" w:ascii="宋体"/>
                <w:color w:val="auto"/>
                <w:szCs w:val="21"/>
                <w:highlight w:val="none"/>
                <w:lang w:val="en-US" w:eastAsia="zh-CN"/>
              </w:rPr>
              <w:t>1</w:t>
            </w:r>
          </w:p>
        </w:tc>
        <w:tc>
          <w:tcPr>
            <w:tcW w:w="2171" w:type="dxa"/>
            <w:noWrap/>
            <w:vAlign w:val="center"/>
          </w:tcPr>
          <w:p w14:paraId="456786F2">
            <w:pPr>
              <w:spacing w:line="440" w:lineRule="exact"/>
              <w:jc w:val="center"/>
              <w:rPr>
                <w:rFonts w:hint="eastAsia" w:ascii="宋体" w:eastAsia="宋体"/>
                <w:color w:val="auto"/>
                <w:szCs w:val="21"/>
                <w:highlight w:val="none"/>
                <w:lang w:eastAsia="zh-CN"/>
              </w:rPr>
            </w:pPr>
            <w:r>
              <w:rPr>
                <w:rFonts w:hint="eastAsia" w:ascii="宋体"/>
                <w:color w:val="auto"/>
                <w:szCs w:val="21"/>
                <w:highlight w:val="none"/>
                <w:lang w:eastAsia="zh-CN"/>
              </w:rPr>
              <w:t>安全生产费用</w:t>
            </w:r>
          </w:p>
        </w:tc>
        <w:tc>
          <w:tcPr>
            <w:tcW w:w="1661" w:type="dxa"/>
            <w:noWrap/>
            <w:vAlign w:val="center"/>
          </w:tcPr>
          <w:p w14:paraId="4C5107AC">
            <w:pPr>
              <w:spacing w:line="440" w:lineRule="exact"/>
              <w:rPr>
                <w:rFonts w:ascii="宋体"/>
                <w:color w:val="auto"/>
                <w:szCs w:val="21"/>
                <w:highlight w:val="none"/>
              </w:rPr>
            </w:pPr>
          </w:p>
        </w:tc>
        <w:tc>
          <w:tcPr>
            <w:tcW w:w="1757" w:type="dxa"/>
            <w:noWrap/>
            <w:vAlign w:val="center"/>
          </w:tcPr>
          <w:p w14:paraId="08E6D17D">
            <w:pPr>
              <w:spacing w:line="440" w:lineRule="exact"/>
              <w:rPr>
                <w:rFonts w:ascii="宋体"/>
                <w:color w:val="auto"/>
                <w:szCs w:val="21"/>
                <w:highlight w:val="none"/>
              </w:rPr>
            </w:pPr>
          </w:p>
        </w:tc>
        <w:tc>
          <w:tcPr>
            <w:tcW w:w="1757" w:type="dxa"/>
            <w:noWrap/>
            <w:vAlign w:val="center"/>
          </w:tcPr>
          <w:p w14:paraId="6ED6A8B9">
            <w:pPr>
              <w:spacing w:line="440" w:lineRule="exact"/>
              <w:rPr>
                <w:rFonts w:ascii="宋体"/>
                <w:color w:val="auto"/>
                <w:szCs w:val="21"/>
                <w:highlight w:val="none"/>
              </w:rPr>
            </w:pPr>
          </w:p>
        </w:tc>
      </w:tr>
      <w:tr w14:paraId="0D758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1479" w:type="dxa"/>
            <w:shd w:val="clear" w:color="auto" w:fill="auto"/>
            <w:noWrap/>
            <w:vAlign w:val="center"/>
          </w:tcPr>
          <w:p w14:paraId="1426F293">
            <w:pPr>
              <w:spacing w:line="440" w:lineRule="exact"/>
              <w:jc w:val="center"/>
              <w:rPr>
                <w:rFonts w:hint="default" w:ascii="宋体" w:hAnsi="Times New Roman" w:eastAsia="宋体" w:cs="Times New Roman"/>
                <w:color w:val="auto"/>
                <w:kern w:val="2"/>
                <w:sz w:val="21"/>
                <w:szCs w:val="21"/>
                <w:highlight w:val="none"/>
                <w:lang w:val="en-US" w:eastAsia="zh-CN" w:bidi="ar-SA"/>
              </w:rPr>
            </w:pPr>
            <w:r>
              <w:rPr>
                <w:rFonts w:hint="eastAsia" w:ascii="宋体" w:cs="Times New Roman"/>
                <w:color w:val="auto"/>
                <w:kern w:val="2"/>
                <w:sz w:val="21"/>
                <w:szCs w:val="21"/>
                <w:highlight w:val="none"/>
                <w:lang w:val="en-US" w:eastAsia="zh-CN" w:bidi="ar-SA"/>
              </w:rPr>
              <w:t>...</w:t>
            </w:r>
          </w:p>
        </w:tc>
        <w:tc>
          <w:tcPr>
            <w:tcW w:w="2171" w:type="dxa"/>
            <w:noWrap/>
            <w:vAlign w:val="center"/>
          </w:tcPr>
          <w:p w14:paraId="42658FEA">
            <w:pPr>
              <w:spacing w:line="440" w:lineRule="exact"/>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w:t>
            </w:r>
          </w:p>
        </w:tc>
        <w:tc>
          <w:tcPr>
            <w:tcW w:w="1661" w:type="dxa"/>
            <w:noWrap/>
            <w:vAlign w:val="center"/>
          </w:tcPr>
          <w:p w14:paraId="4986ABF1">
            <w:pPr>
              <w:spacing w:line="440" w:lineRule="exact"/>
              <w:rPr>
                <w:rFonts w:hint="eastAsia" w:ascii="宋体" w:hAnsi="宋体" w:eastAsia="宋体"/>
                <w:color w:val="auto"/>
                <w:szCs w:val="21"/>
                <w:highlight w:val="none"/>
                <w:lang w:val="en-US" w:eastAsia="zh-CN"/>
              </w:rPr>
            </w:pPr>
          </w:p>
        </w:tc>
        <w:tc>
          <w:tcPr>
            <w:tcW w:w="1757" w:type="dxa"/>
            <w:noWrap/>
            <w:vAlign w:val="center"/>
          </w:tcPr>
          <w:p w14:paraId="1126DC92">
            <w:pPr>
              <w:spacing w:line="440" w:lineRule="exact"/>
              <w:rPr>
                <w:rFonts w:hint="eastAsia" w:ascii="宋体" w:hAnsi="宋体"/>
                <w:color w:val="auto"/>
                <w:szCs w:val="21"/>
                <w:highlight w:val="none"/>
              </w:rPr>
            </w:pPr>
          </w:p>
        </w:tc>
        <w:tc>
          <w:tcPr>
            <w:tcW w:w="1757" w:type="dxa"/>
            <w:noWrap/>
            <w:vAlign w:val="center"/>
          </w:tcPr>
          <w:p w14:paraId="29580197">
            <w:pPr>
              <w:spacing w:line="440" w:lineRule="exact"/>
              <w:rPr>
                <w:rFonts w:hint="eastAsia" w:ascii="宋体" w:hAnsi="宋体"/>
                <w:color w:val="auto"/>
                <w:szCs w:val="21"/>
                <w:highlight w:val="none"/>
              </w:rPr>
            </w:pPr>
          </w:p>
        </w:tc>
      </w:tr>
      <w:tr w14:paraId="790DB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1479" w:type="dxa"/>
            <w:shd w:val="clear" w:color="auto" w:fill="auto"/>
            <w:noWrap/>
            <w:vAlign w:val="center"/>
          </w:tcPr>
          <w:p w14:paraId="337D7A91">
            <w:pPr>
              <w:spacing w:line="440" w:lineRule="exact"/>
              <w:rPr>
                <w:rFonts w:ascii="宋体" w:hAnsi="Times New Roman" w:eastAsia="宋体" w:cs="Times New Roman"/>
                <w:color w:val="auto"/>
                <w:kern w:val="2"/>
                <w:sz w:val="21"/>
                <w:szCs w:val="21"/>
                <w:highlight w:val="none"/>
                <w:lang w:val="en-US" w:eastAsia="zh-CN" w:bidi="ar-SA"/>
              </w:rPr>
            </w:pPr>
          </w:p>
        </w:tc>
        <w:tc>
          <w:tcPr>
            <w:tcW w:w="2171" w:type="dxa"/>
            <w:noWrap/>
            <w:vAlign w:val="center"/>
          </w:tcPr>
          <w:p w14:paraId="5F94F2E1">
            <w:pPr>
              <w:spacing w:line="440" w:lineRule="exact"/>
              <w:rPr>
                <w:rFonts w:ascii="宋体"/>
                <w:color w:val="auto"/>
                <w:szCs w:val="21"/>
                <w:highlight w:val="none"/>
              </w:rPr>
            </w:pPr>
          </w:p>
        </w:tc>
        <w:tc>
          <w:tcPr>
            <w:tcW w:w="1661" w:type="dxa"/>
            <w:noWrap/>
            <w:vAlign w:val="center"/>
          </w:tcPr>
          <w:p w14:paraId="679B267A">
            <w:pPr>
              <w:spacing w:line="440" w:lineRule="exact"/>
              <w:rPr>
                <w:rFonts w:ascii="宋体"/>
                <w:color w:val="auto"/>
                <w:szCs w:val="21"/>
                <w:highlight w:val="none"/>
              </w:rPr>
            </w:pPr>
          </w:p>
        </w:tc>
        <w:tc>
          <w:tcPr>
            <w:tcW w:w="1757" w:type="dxa"/>
            <w:noWrap/>
            <w:vAlign w:val="center"/>
          </w:tcPr>
          <w:p w14:paraId="3DD73028">
            <w:pPr>
              <w:spacing w:line="440" w:lineRule="exact"/>
              <w:rPr>
                <w:rFonts w:ascii="宋体"/>
                <w:color w:val="auto"/>
                <w:szCs w:val="21"/>
                <w:highlight w:val="none"/>
              </w:rPr>
            </w:pPr>
          </w:p>
        </w:tc>
        <w:tc>
          <w:tcPr>
            <w:tcW w:w="1757" w:type="dxa"/>
            <w:noWrap/>
            <w:vAlign w:val="center"/>
          </w:tcPr>
          <w:p w14:paraId="60F3BC25">
            <w:pPr>
              <w:spacing w:line="440" w:lineRule="exact"/>
              <w:rPr>
                <w:rFonts w:ascii="宋体"/>
                <w:color w:val="auto"/>
                <w:szCs w:val="21"/>
                <w:highlight w:val="none"/>
              </w:rPr>
            </w:pPr>
          </w:p>
        </w:tc>
      </w:tr>
      <w:tr w14:paraId="281FA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1479" w:type="dxa"/>
            <w:shd w:val="clear" w:color="auto" w:fill="auto"/>
            <w:noWrap/>
            <w:vAlign w:val="center"/>
          </w:tcPr>
          <w:p w14:paraId="465529A3">
            <w:pPr>
              <w:spacing w:line="440" w:lineRule="exact"/>
              <w:rPr>
                <w:rFonts w:ascii="宋体" w:hAnsi="Times New Roman" w:eastAsia="宋体" w:cs="Times New Roman"/>
                <w:color w:val="auto"/>
                <w:kern w:val="2"/>
                <w:sz w:val="21"/>
                <w:szCs w:val="21"/>
                <w:highlight w:val="none"/>
                <w:lang w:val="en-US" w:eastAsia="zh-CN" w:bidi="ar-SA"/>
              </w:rPr>
            </w:pPr>
          </w:p>
        </w:tc>
        <w:tc>
          <w:tcPr>
            <w:tcW w:w="2171" w:type="dxa"/>
            <w:noWrap/>
            <w:vAlign w:val="center"/>
          </w:tcPr>
          <w:p w14:paraId="108C5832">
            <w:pPr>
              <w:spacing w:line="440" w:lineRule="exact"/>
              <w:rPr>
                <w:rFonts w:ascii="宋体"/>
                <w:color w:val="auto"/>
                <w:szCs w:val="21"/>
                <w:highlight w:val="none"/>
              </w:rPr>
            </w:pPr>
          </w:p>
        </w:tc>
        <w:tc>
          <w:tcPr>
            <w:tcW w:w="1661" w:type="dxa"/>
            <w:noWrap/>
            <w:vAlign w:val="center"/>
          </w:tcPr>
          <w:p w14:paraId="3CC826A1">
            <w:pPr>
              <w:spacing w:line="440" w:lineRule="exact"/>
              <w:rPr>
                <w:rFonts w:ascii="宋体"/>
                <w:color w:val="auto"/>
                <w:szCs w:val="21"/>
                <w:highlight w:val="none"/>
              </w:rPr>
            </w:pPr>
          </w:p>
        </w:tc>
        <w:tc>
          <w:tcPr>
            <w:tcW w:w="1757" w:type="dxa"/>
            <w:noWrap/>
            <w:vAlign w:val="center"/>
          </w:tcPr>
          <w:p w14:paraId="2D8E700A">
            <w:pPr>
              <w:spacing w:line="440" w:lineRule="exact"/>
              <w:rPr>
                <w:rFonts w:ascii="宋体"/>
                <w:color w:val="auto"/>
                <w:szCs w:val="21"/>
                <w:highlight w:val="none"/>
              </w:rPr>
            </w:pPr>
          </w:p>
        </w:tc>
        <w:tc>
          <w:tcPr>
            <w:tcW w:w="1757" w:type="dxa"/>
            <w:noWrap/>
            <w:vAlign w:val="center"/>
          </w:tcPr>
          <w:p w14:paraId="1874F3A4">
            <w:pPr>
              <w:spacing w:line="440" w:lineRule="exact"/>
              <w:rPr>
                <w:rFonts w:ascii="宋体"/>
                <w:color w:val="auto"/>
                <w:szCs w:val="21"/>
                <w:highlight w:val="none"/>
              </w:rPr>
            </w:pPr>
          </w:p>
        </w:tc>
      </w:tr>
      <w:tr w14:paraId="12B48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1479" w:type="dxa"/>
            <w:shd w:val="clear" w:color="auto" w:fill="auto"/>
            <w:noWrap/>
            <w:vAlign w:val="center"/>
          </w:tcPr>
          <w:p w14:paraId="3BA305C0">
            <w:pPr>
              <w:spacing w:line="440" w:lineRule="exact"/>
              <w:rPr>
                <w:rFonts w:ascii="宋体" w:hAnsi="Times New Roman" w:eastAsia="宋体" w:cs="Times New Roman"/>
                <w:color w:val="auto"/>
                <w:kern w:val="2"/>
                <w:sz w:val="21"/>
                <w:szCs w:val="21"/>
                <w:highlight w:val="none"/>
                <w:lang w:val="en-US" w:eastAsia="zh-CN" w:bidi="ar-SA"/>
              </w:rPr>
            </w:pPr>
          </w:p>
        </w:tc>
        <w:tc>
          <w:tcPr>
            <w:tcW w:w="2171" w:type="dxa"/>
            <w:noWrap/>
            <w:vAlign w:val="center"/>
          </w:tcPr>
          <w:p w14:paraId="749E3DF9">
            <w:pPr>
              <w:spacing w:line="440" w:lineRule="exact"/>
              <w:rPr>
                <w:rFonts w:ascii="宋体"/>
                <w:color w:val="auto"/>
                <w:szCs w:val="21"/>
                <w:highlight w:val="none"/>
              </w:rPr>
            </w:pPr>
          </w:p>
        </w:tc>
        <w:tc>
          <w:tcPr>
            <w:tcW w:w="1661" w:type="dxa"/>
            <w:noWrap/>
            <w:vAlign w:val="center"/>
          </w:tcPr>
          <w:p w14:paraId="5AAD2867">
            <w:pPr>
              <w:spacing w:line="440" w:lineRule="exact"/>
              <w:rPr>
                <w:rFonts w:ascii="宋体"/>
                <w:color w:val="auto"/>
                <w:szCs w:val="21"/>
                <w:highlight w:val="none"/>
              </w:rPr>
            </w:pPr>
          </w:p>
        </w:tc>
        <w:tc>
          <w:tcPr>
            <w:tcW w:w="1757" w:type="dxa"/>
            <w:noWrap/>
            <w:vAlign w:val="center"/>
          </w:tcPr>
          <w:p w14:paraId="571C2377">
            <w:pPr>
              <w:spacing w:line="440" w:lineRule="exact"/>
              <w:rPr>
                <w:rFonts w:ascii="宋体"/>
                <w:color w:val="auto"/>
                <w:szCs w:val="21"/>
                <w:highlight w:val="none"/>
              </w:rPr>
            </w:pPr>
          </w:p>
        </w:tc>
        <w:tc>
          <w:tcPr>
            <w:tcW w:w="1757" w:type="dxa"/>
            <w:noWrap/>
            <w:vAlign w:val="center"/>
          </w:tcPr>
          <w:p w14:paraId="27809050">
            <w:pPr>
              <w:spacing w:line="440" w:lineRule="exact"/>
              <w:rPr>
                <w:rFonts w:ascii="宋体"/>
                <w:color w:val="auto"/>
                <w:szCs w:val="21"/>
                <w:highlight w:val="none"/>
              </w:rPr>
            </w:pPr>
          </w:p>
        </w:tc>
      </w:tr>
      <w:tr w14:paraId="54325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1479" w:type="dxa"/>
            <w:shd w:val="clear" w:color="auto" w:fill="auto"/>
            <w:noWrap/>
            <w:vAlign w:val="center"/>
          </w:tcPr>
          <w:p w14:paraId="5FF1D3E7">
            <w:pPr>
              <w:spacing w:line="440" w:lineRule="exact"/>
              <w:rPr>
                <w:rFonts w:ascii="宋体" w:hAnsi="Times New Roman" w:eastAsia="宋体" w:cs="Times New Roman"/>
                <w:color w:val="auto"/>
                <w:kern w:val="2"/>
                <w:sz w:val="21"/>
                <w:szCs w:val="21"/>
                <w:highlight w:val="none"/>
                <w:lang w:val="en-US" w:eastAsia="zh-CN" w:bidi="ar-SA"/>
              </w:rPr>
            </w:pPr>
          </w:p>
        </w:tc>
        <w:tc>
          <w:tcPr>
            <w:tcW w:w="2171" w:type="dxa"/>
            <w:noWrap/>
            <w:vAlign w:val="center"/>
          </w:tcPr>
          <w:p w14:paraId="3813444A">
            <w:pPr>
              <w:spacing w:line="440" w:lineRule="exact"/>
              <w:rPr>
                <w:rFonts w:ascii="宋体" w:hAnsi="宋体"/>
                <w:color w:val="auto"/>
                <w:szCs w:val="21"/>
                <w:highlight w:val="none"/>
              </w:rPr>
            </w:pPr>
          </w:p>
        </w:tc>
        <w:tc>
          <w:tcPr>
            <w:tcW w:w="1661" w:type="dxa"/>
            <w:noWrap/>
            <w:vAlign w:val="center"/>
          </w:tcPr>
          <w:p w14:paraId="2FC1B19F">
            <w:pPr>
              <w:spacing w:line="440" w:lineRule="exact"/>
              <w:rPr>
                <w:rFonts w:ascii="宋体" w:hAnsi="宋体"/>
                <w:color w:val="auto"/>
                <w:szCs w:val="21"/>
                <w:highlight w:val="none"/>
              </w:rPr>
            </w:pPr>
          </w:p>
        </w:tc>
        <w:tc>
          <w:tcPr>
            <w:tcW w:w="1757" w:type="dxa"/>
            <w:noWrap/>
            <w:vAlign w:val="center"/>
          </w:tcPr>
          <w:p w14:paraId="2A44A91F">
            <w:pPr>
              <w:spacing w:line="440" w:lineRule="exact"/>
              <w:rPr>
                <w:rFonts w:ascii="宋体" w:hAnsi="宋体"/>
                <w:color w:val="auto"/>
                <w:szCs w:val="21"/>
                <w:highlight w:val="none"/>
              </w:rPr>
            </w:pPr>
          </w:p>
        </w:tc>
        <w:tc>
          <w:tcPr>
            <w:tcW w:w="1757" w:type="dxa"/>
            <w:noWrap/>
            <w:vAlign w:val="center"/>
          </w:tcPr>
          <w:p w14:paraId="47F914B6">
            <w:pPr>
              <w:spacing w:line="440" w:lineRule="exact"/>
              <w:rPr>
                <w:rFonts w:ascii="宋体" w:hAnsi="宋体"/>
                <w:color w:val="auto"/>
                <w:szCs w:val="21"/>
                <w:highlight w:val="none"/>
              </w:rPr>
            </w:pPr>
          </w:p>
        </w:tc>
      </w:tr>
      <w:tr w14:paraId="7C75F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1479" w:type="dxa"/>
            <w:shd w:val="clear" w:color="auto" w:fill="auto"/>
            <w:noWrap/>
            <w:vAlign w:val="center"/>
          </w:tcPr>
          <w:p w14:paraId="6FDE1C67">
            <w:pPr>
              <w:spacing w:line="440" w:lineRule="exact"/>
              <w:rPr>
                <w:rFonts w:ascii="宋体" w:hAnsi="Times New Roman" w:eastAsia="宋体" w:cs="Times New Roman"/>
                <w:color w:val="auto"/>
                <w:kern w:val="2"/>
                <w:sz w:val="21"/>
                <w:szCs w:val="21"/>
                <w:highlight w:val="none"/>
                <w:lang w:val="en-US" w:eastAsia="zh-CN" w:bidi="ar-SA"/>
              </w:rPr>
            </w:pPr>
          </w:p>
        </w:tc>
        <w:tc>
          <w:tcPr>
            <w:tcW w:w="2171" w:type="dxa"/>
            <w:noWrap/>
            <w:vAlign w:val="center"/>
          </w:tcPr>
          <w:p w14:paraId="5243823C">
            <w:pPr>
              <w:spacing w:line="440" w:lineRule="exact"/>
              <w:rPr>
                <w:rFonts w:ascii="宋体"/>
                <w:color w:val="auto"/>
                <w:szCs w:val="21"/>
                <w:highlight w:val="none"/>
              </w:rPr>
            </w:pPr>
          </w:p>
        </w:tc>
        <w:tc>
          <w:tcPr>
            <w:tcW w:w="1661" w:type="dxa"/>
            <w:noWrap/>
            <w:vAlign w:val="center"/>
          </w:tcPr>
          <w:p w14:paraId="31C80C3B">
            <w:pPr>
              <w:spacing w:line="440" w:lineRule="exact"/>
              <w:rPr>
                <w:rFonts w:ascii="宋体"/>
                <w:color w:val="auto"/>
                <w:szCs w:val="21"/>
                <w:highlight w:val="none"/>
              </w:rPr>
            </w:pPr>
          </w:p>
        </w:tc>
        <w:tc>
          <w:tcPr>
            <w:tcW w:w="1757" w:type="dxa"/>
            <w:noWrap/>
            <w:vAlign w:val="center"/>
          </w:tcPr>
          <w:p w14:paraId="622F0EEB">
            <w:pPr>
              <w:spacing w:line="440" w:lineRule="exact"/>
              <w:rPr>
                <w:rFonts w:ascii="宋体"/>
                <w:color w:val="auto"/>
                <w:szCs w:val="21"/>
                <w:highlight w:val="none"/>
              </w:rPr>
            </w:pPr>
          </w:p>
        </w:tc>
        <w:tc>
          <w:tcPr>
            <w:tcW w:w="1757" w:type="dxa"/>
            <w:noWrap/>
            <w:vAlign w:val="center"/>
          </w:tcPr>
          <w:p w14:paraId="649340F5">
            <w:pPr>
              <w:spacing w:line="440" w:lineRule="exact"/>
              <w:rPr>
                <w:rFonts w:ascii="宋体"/>
                <w:color w:val="auto"/>
                <w:szCs w:val="21"/>
                <w:highlight w:val="none"/>
              </w:rPr>
            </w:pPr>
          </w:p>
        </w:tc>
      </w:tr>
      <w:tr w14:paraId="4B1DB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1479" w:type="dxa"/>
            <w:shd w:val="clear" w:color="auto" w:fill="auto"/>
            <w:noWrap/>
            <w:vAlign w:val="center"/>
          </w:tcPr>
          <w:p w14:paraId="76A85DBD">
            <w:pPr>
              <w:spacing w:line="440" w:lineRule="exact"/>
              <w:rPr>
                <w:rFonts w:ascii="宋体" w:hAnsi="Times New Roman" w:eastAsia="宋体" w:cs="Times New Roman"/>
                <w:color w:val="auto"/>
                <w:kern w:val="2"/>
                <w:sz w:val="21"/>
                <w:szCs w:val="21"/>
                <w:highlight w:val="none"/>
                <w:lang w:val="en-US" w:eastAsia="zh-CN" w:bidi="ar-SA"/>
              </w:rPr>
            </w:pPr>
          </w:p>
        </w:tc>
        <w:tc>
          <w:tcPr>
            <w:tcW w:w="2171" w:type="dxa"/>
            <w:noWrap/>
            <w:vAlign w:val="center"/>
          </w:tcPr>
          <w:p w14:paraId="1131C225">
            <w:pPr>
              <w:spacing w:line="440" w:lineRule="exact"/>
              <w:rPr>
                <w:rFonts w:ascii="宋体"/>
                <w:color w:val="auto"/>
                <w:szCs w:val="21"/>
                <w:highlight w:val="none"/>
              </w:rPr>
            </w:pPr>
          </w:p>
        </w:tc>
        <w:tc>
          <w:tcPr>
            <w:tcW w:w="1661" w:type="dxa"/>
            <w:noWrap/>
            <w:vAlign w:val="center"/>
          </w:tcPr>
          <w:p w14:paraId="7CB4C146">
            <w:pPr>
              <w:spacing w:line="440" w:lineRule="exact"/>
              <w:rPr>
                <w:rFonts w:ascii="宋体"/>
                <w:color w:val="auto"/>
                <w:szCs w:val="21"/>
                <w:highlight w:val="none"/>
              </w:rPr>
            </w:pPr>
          </w:p>
        </w:tc>
        <w:tc>
          <w:tcPr>
            <w:tcW w:w="1757" w:type="dxa"/>
            <w:noWrap/>
            <w:vAlign w:val="center"/>
          </w:tcPr>
          <w:p w14:paraId="70125D89">
            <w:pPr>
              <w:spacing w:line="440" w:lineRule="exact"/>
              <w:rPr>
                <w:rFonts w:ascii="宋体"/>
                <w:color w:val="auto"/>
                <w:szCs w:val="21"/>
                <w:highlight w:val="none"/>
              </w:rPr>
            </w:pPr>
          </w:p>
        </w:tc>
        <w:tc>
          <w:tcPr>
            <w:tcW w:w="1757" w:type="dxa"/>
            <w:noWrap/>
            <w:vAlign w:val="center"/>
          </w:tcPr>
          <w:p w14:paraId="379168F2">
            <w:pPr>
              <w:spacing w:line="440" w:lineRule="exact"/>
              <w:rPr>
                <w:rFonts w:ascii="宋体"/>
                <w:color w:val="auto"/>
                <w:szCs w:val="21"/>
                <w:highlight w:val="none"/>
              </w:rPr>
            </w:pPr>
          </w:p>
        </w:tc>
      </w:tr>
      <w:tr w14:paraId="0D4B5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1479" w:type="dxa"/>
            <w:shd w:val="clear" w:color="auto" w:fill="auto"/>
            <w:noWrap/>
            <w:vAlign w:val="center"/>
          </w:tcPr>
          <w:p w14:paraId="6C359B78">
            <w:pPr>
              <w:spacing w:line="440" w:lineRule="exact"/>
              <w:rPr>
                <w:rFonts w:ascii="宋体" w:hAnsi="Times New Roman" w:eastAsia="宋体" w:cs="Times New Roman"/>
                <w:color w:val="auto"/>
                <w:kern w:val="2"/>
                <w:sz w:val="21"/>
                <w:szCs w:val="21"/>
                <w:highlight w:val="none"/>
                <w:lang w:val="en-US" w:eastAsia="zh-CN" w:bidi="ar-SA"/>
              </w:rPr>
            </w:pPr>
          </w:p>
        </w:tc>
        <w:tc>
          <w:tcPr>
            <w:tcW w:w="2171" w:type="dxa"/>
            <w:noWrap/>
            <w:vAlign w:val="center"/>
          </w:tcPr>
          <w:p w14:paraId="60A8781D">
            <w:pPr>
              <w:spacing w:line="440" w:lineRule="exact"/>
              <w:rPr>
                <w:rFonts w:ascii="宋体"/>
                <w:color w:val="auto"/>
                <w:szCs w:val="21"/>
                <w:highlight w:val="none"/>
              </w:rPr>
            </w:pPr>
          </w:p>
        </w:tc>
        <w:tc>
          <w:tcPr>
            <w:tcW w:w="1661" w:type="dxa"/>
            <w:noWrap/>
            <w:vAlign w:val="center"/>
          </w:tcPr>
          <w:p w14:paraId="2A2C02FE">
            <w:pPr>
              <w:spacing w:line="440" w:lineRule="exact"/>
              <w:rPr>
                <w:rFonts w:ascii="宋体"/>
                <w:color w:val="auto"/>
                <w:szCs w:val="21"/>
                <w:highlight w:val="none"/>
              </w:rPr>
            </w:pPr>
          </w:p>
        </w:tc>
        <w:tc>
          <w:tcPr>
            <w:tcW w:w="1757" w:type="dxa"/>
            <w:noWrap/>
            <w:vAlign w:val="center"/>
          </w:tcPr>
          <w:p w14:paraId="21FD2DBB">
            <w:pPr>
              <w:spacing w:line="440" w:lineRule="exact"/>
              <w:rPr>
                <w:rFonts w:ascii="宋体"/>
                <w:color w:val="auto"/>
                <w:szCs w:val="21"/>
                <w:highlight w:val="none"/>
              </w:rPr>
            </w:pPr>
          </w:p>
        </w:tc>
        <w:tc>
          <w:tcPr>
            <w:tcW w:w="1757" w:type="dxa"/>
            <w:noWrap/>
            <w:vAlign w:val="center"/>
          </w:tcPr>
          <w:p w14:paraId="16EE40E6">
            <w:pPr>
              <w:spacing w:line="440" w:lineRule="exact"/>
              <w:rPr>
                <w:rFonts w:ascii="宋体"/>
                <w:color w:val="auto"/>
                <w:szCs w:val="21"/>
                <w:highlight w:val="none"/>
              </w:rPr>
            </w:pPr>
          </w:p>
        </w:tc>
      </w:tr>
      <w:tr w14:paraId="32107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1479" w:type="dxa"/>
            <w:shd w:val="clear" w:color="auto" w:fill="auto"/>
            <w:noWrap/>
            <w:vAlign w:val="center"/>
          </w:tcPr>
          <w:p w14:paraId="63B75415">
            <w:pPr>
              <w:spacing w:line="440" w:lineRule="exact"/>
              <w:rPr>
                <w:rFonts w:ascii="宋体" w:hAnsi="Times New Roman" w:eastAsia="宋体" w:cs="Times New Roman"/>
                <w:color w:val="auto"/>
                <w:kern w:val="2"/>
                <w:sz w:val="21"/>
                <w:szCs w:val="21"/>
                <w:highlight w:val="none"/>
                <w:lang w:val="en-US" w:eastAsia="zh-CN" w:bidi="ar-SA"/>
              </w:rPr>
            </w:pPr>
          </w:p>
        </w:tc>
        <w:tc>
          <w:tcPr>
            <w:tcW w:w="2171" w:type="dxa"/>
            <w:noWrap/>
            <w:vAlign w:val="center"/>
          </w:tcPr>
          <w:p w14:paraId="598C0A63">
            <w:pPr>
              <w:spacing w:line="440" w:lineRule="exact"/>
              <w:rPr>
                <w:rFonts w:ascii="宋体"/>
                <w:color w:val="auto"/>
                <w:szCs w:val="21"/>
                <w:highlight w:val="none"/>
              </w:rPr>
            </w:pPr>
          </w:p>
        </w:tc>
        <w:tc>
          <w:tcPr>
            <w:tcW w:w="1661" w:type="dxa"/>
            <w:noWrap/>
            <w:vAlign w:val="center"/>
          </w:tcPr>
          <w:p w14:paraId="6F492E77">
            <w:pPr>
              <w:spacing w:line="440" w:lineRule="exact"/>
              <w:rPr>
                <w:rFonts w:ascii="宋体"/>
                <w:color w:val="auto"/>
                <w:szCs w:val="21"/>
                <w:highlight w:val="none"/>
              </w:rPr>
            </w:pPr>
          </w:p>
        </w:tc>
        <w:tc>
          <w:tcPr>
            <w:tcW w:w="1757" w:type="dxa"/>
            <w:noWrap/>
            <w:vAlign w:val="center"/>
          </w:tcPr>
          <w:p w14:paraId="281F4F8B">
            <w:pPr>
              <w:spacing w:line="440" w:lineRule="exact"/>
              <w:rPr>
                <w:rFonts w:ascii="宋体"/>
                <w:color w:val="auto"/>
                <w:szCs w:val="21"/>
                <w:highlight w:val="none"/>
              </w:rPr>
            </w:pPr>
          </w:p>
        </w:tc>
        <w:tc>
          <w:tcPr>
            <w:tcW w:w="1757" w:type="dxa"/>
            <w:noWrap/>
            <w:vAlign w:val="center"/>
          </w:tcPr>
          <w:p w14:paraId="6094AEAB">
            <w:pPr>
              <w:spacing w:line="440" w:lineRule="exact"/>
              <w:rPr>
                <w:rFonts w:ascii="宋体"/>
                <w:color w:val="auto"/>
                <w:szCs w:val="21"/>
                <w:highlight w:val="none"/>
              </w:rPr>
            </w:pPr>
          </w:p>
        </w:tc>
      </w:tr>
      <w:tr w14:paraId="5A29B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1479" w:type="dxa"/>
            <w:shd w:val="clear" w:color="auto" w:fill="auto"/>
            <w:noWrap/>
            <w:vAlign w:val="center"/>
          </w:tcPr>
          <w:p w14:paraId="38D7D922">
            <w:pPr>
              <w:spacing w:line="440" w:lineRule="exact"/>
              <w:rPr>
                <w:rFonts w:ascii="宋体" w:hAnsi="Times New Roman" w:eastAsia="宋体" w:cs="Times New Roman"/>
                <w:color w:val="auto"/>
                <w:kern w:val="2"/>
                <w:sz w:val="21"/>
                <w:szCs w:val="21"/>
                <w:highlight w:val="none"/>
                <w:lang w:val="en-US" w:eastAsia="zh-CN" w:bidi="ar-SA"/>
              </w:rPr>
            </w:pPr>
          </w:p>
        </w:tc>
        <w:tc>
          <w:tcPr>
            <w:tcW w:w="2171" w:type="dxa"/>
            <w:noWrap/>
            <w:vAlign w:val="center"/>
          </w:tcPr>
          <w:p w14:paraId="0868415D">
            <w:pPr>
              <w:spacing w:line="440" w:lineRule="exact"/>
              <w:rPr>
                <w:rFonts w:ascii="宋体"/>
                <w:color w:val="auto"/>
                <w:szCs w:val="21"/>
                <w:highlight w:val="none"/>
              </w:rPr>
            </w:pPr>
          </w:p>
        </w:tc>
        <w:tc>
          <w:tcPr>
            <w:tcW w:w="1661" w:type="dxa"/>
            <w:noWrap/>
            <w:vAlign w:val="center"/>
          </w:tcPr>
          <w:p w14:paraId="06E5E221">
            <w:pPr>
              <w:spacing w:line="440" w:lineRule="exact"/>
              <w:rPr>
                <w:rFonts w:ascii="宋体"/>
                <w:color w:val="auto"/>
                <w:szCs w:val="21"/>
                <w:highlight w:val="none"/>
              </w:rPr>
            </w:pPr>
          </w:p>
        </w:tc>
        <w:tc>
          <w:tcPr>
            <w:tcW w:w="1757" w:type="dxa"/>
            <w:noWrap/>
            <w:vAlign w:val="center"/>
          </w:tcPr>
          <w:p w14:paraId="115EC3D6">
            <w:pPr>
              <w:spacing w:line="440" w:lineRule="exact"/>
              <w:rPr>
                <w:rFonts w:ascii="宋体"/>
                <w:color w:val="auto"/>
                <w:szCs w:val="21"/>
                <w:highlight w:val="none"/>
              </w:rPr>
            </w:pPr>
          </w:p>
        </w:tc>
        <w:tc>
          <w:tcPr>
            <w:tcW w:w="1757" w:type="dxa"/>
            <w:noWrap/>
            <w:vAlign w:val="center"/>
          </w:tcPr>
          <w:p w14:paraId="7EDC7107">
            <w:pPr>
              <w:spacing w:line="440" w:lineRule="exact"/>
              <w:rPr>
                <w:rFonts w:ascii="宋体"/>
                <w:color w:val="auto"/>
                <w:szCs w:val="21"/>
                <w:highlight w:val="none"/>
              </w:rPr>
            </w:pPr>
          </w:p>
        </w:tc>
      </w:tr>
      <w:tr w14:paraId="7E99D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6" w:hRule="atLeast"/>
        </w:trPr>
        <w:tc>
          <w:tcPr>
            <w:tcW w:w="3650" w:type="dxa"/>
            <w:gridSpan w:val="2"/>
            <w:shd w:val="clear" w:color="auto" w:fill="auto"/>
            <w:noWrap/>
            <w:vAlign w:val="center"/>
          </w:tcPr>
          <w:p w14:paraId="2AC976BE">
            <w:pPr>
              <w:keepNext w:val="0"/>
              <w:keepLines w:val="0"/>
              <w:widowControl/>
              <w:suppressLineNumbers w:val="0"/>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小 计</w:t>
            </w:r>
          </w:p>
        </w:tc>
        <w:tc>
          <w:tcPr>
            <w:tcW w:w="5175" w:type="dxa"/>
            <w:gridSpan w:val="3"/>
            <w:shd w:val="clear" w:color="auto" w:fill="auto"/>
            <w:noWrap/>
            <w:vAlign w:val="center"/>
          </w:tcPr>
          <w:p w14:paraId="5E11509E">
            <w:pPr>
              <w:keepNext w:val="0"/>
              <w:keepLines w:val="0"/>
              <w:widowControl/>
              <w:suppressLineNumbers w:val="0"/>
              <w:jc w:val="left"/>
              <w:rPr>
                <w:rFonts w:hint="default" w:ascii="宋体" w:hAnsi="宋体" w:eastAsia="宋体" w:cs="宋体"/>
                <w:color w:val="auto"/>
                <w:kern w:val="0"/>
                <w:sz w:val="21"/>
                <w:szCs w:val="21"/>
                <w:highlight w:val="none"/>
                <w:u w:val="single"/>
                <w:lang w:val="en-US" w:eastAsia="zh-CN" w:bidi="ar"/>
              </w:rPr>
            </w:pP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none"/>
                <w:lang w:val="en-US" w:eastAsia="zh-CN" w:bidi="ar"/>
              </w:rPr>
              <w:t>元</w:t>
            </w:r>
          </w:p>
          <w:p w14:paraId="03B956CB">
            <w:pPr>
              <w:spacing w:line="440" w:lineRule="exact"/>
              <w:ind w:firstLine="1260" w:firstLineChars="600"/>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汇入投标报价汇总表</w:t>
            </w:r>
          </w:p>
        </w:tc>
      </w:tr>
    </w:tbl>
    <w:p w14:paraId="45D85A72">
      <w:pPr>
        <w:jc w:val="both"/>
        <w:outlineLvl w:val="9"/>
        <w:rPr>
          <w:rFonts w:hint="eastAsia"/>
          <w:color w:val="auto"/>
          <w:highlight w:val="none"/>
        </w:rPr>
      </w:pPr>
    </w:p>
    <w:p w14:paraId="03ED0915">
      <w:pPr>
        <w:keepNext w:val="0"/>
        <w:keepLines w:val="0"/>
        <w:pageBreakBefore w:val="0"/>
        <w:widowControl w:val="0"/>
        <w:kinsoku/>
        <w:wordWrap/>
        <w:overflowPunct/>
        <w:topLinePunct w:val="0"/>
        <w:autoSpaceDE/>
        <w:autoSpaceDN/>
        <w:bidi w:val="0"/>
        <w:adjustRightInd/>
        <w:snapToGrid/>
        <w:spacing w:line="440" w:lineRule="exact"/>
        <w:ind w:firstLine="4200" w:firstLineChars="2000"/>
        <w:textAlignment w:val="auto"/>
        <w:rPr>
          <w:color w:val="auto"/>
          <w:szCs w:val="21"/>
          <w:highlight w:val="none"/>
        </w:rPr>
      </w:pPr>
      <w:r>
        <w:rPr>
          <w:rFonts w:hint="eastAsia"/>
          <w:color w:val="auto"/>
          <w:szCs w:val="21"/>
          <w:highlight w:val="none"/>
        </w:rPr>
        <w:t>投标人：</w:t>
      </w:r>
      <w:r>
        <w:rPr>
          <w:rFonts w:hint="eastAsia"/>
          <w:color w:val="auto"/>
          <w:szCs w:val="21"/>
          <w:highlight w:val="none"/>
          <w:u w:val="single"/>
          <w:lang w:val="en-US" w:eastAsia="zh-CN"/>
        </w:rPr>
        <w:t xml:space="preserve">                          </w:t>
      </w:r>
      <w:r>
        <w:rPr>
          <w:rFonts w:hint="eastAsia"/>
          <w:color w:val="auto"/>
          <w:szCs w:val="21"/>
          <w:highlight w:val="none"/>
        </w:rPr>
        <w:t>（盖单位</w:t>
      </w:r>
      <w:r>
        <w:rPr>
          <w:rFonts w:hint="eastAsia"/>
          <w:color w:val="auto"/>
          <w:szCs w:val="21"/>
          <w:highlight w:val="none"/>
          <w:lang w:val="en-US" w:eastAsia="zh-CN"/>
        </w:rPr>
        <w:t>公</w:t>
      </w:r>
      <w:r>
        <w:rPr>
          <w:rFonts w:hint="eastAsia"/>
          <w:color w:val="auto"/>
          <w:szCs w:val="21"/>
          <w:highlight w:val="none"/>
        </w:rPr>
        <w:t>章）</w:t>
      </w:r>
    </w:p>
    <w:p w14:paraId="11A1C042">
      <w:pPr>
        <w:keepNext w:val="0"/>
        <w:keepLines w:val="0"/>
        <w:pageBreakBefore w:val="0"/>
        <w:widowControl w:val="0"/>
        <w:kinsoku/>
        <w:wordWrap/>
        <w:overflowPunct/>
        <w:topLinePunct w:val="0"/>
        <w:autoSpaceDE/>
        <w:autoSpaceDN/>
        <w:bidi w:val="0"/>
        <w:adjustRightInd/>
        <w:snapToGrid/>
        <w:spacing w:line="440" w:lineRule="exact"/>
        <w:ind w:firstLine="2940" w:firstLineChars="1400"/>
        <w:textAlignment w:val="auto"/>
        <w:rPr>
          <w:color w:val="auto"/>
          <w:szCs w:val="21"/>
          <w:highlight w:val="none"/>
        </w:rPr>
      </w:pPr>
    </w:p>
    <w:p w14:paraId="0B4EEB2B">
      <w:pPr>
        <w:keepNext w:val="0"/>
        <w:keepLines w:val="0"/>
        <w:pageBreakBefore w:val="0"/>
        <w:widowControl w:val="0"/>
        <w:kinsoku/>
        <w:wordWrap/>
        <w:overflowPunct/>
        <w:topLinePunct w:val="0"/>
        <w:autoSpaceDE/>
        <w:autoSpaceDN/>
        <w:bidi w:val="0"/>
        <w:adjustRightInd/>
        <w:snapToGrid/>
        <w:spacing w:line="440" w:lineRule="exact"/>
        <w:ind w:firstLine="4200" w:firstLineChars="2000"/>
        <w:textAlignment w:val="auto"/>
        <w:rPr>
          <w:color w:val="auto"/>
          <w:szCs w:val="21"/>
          <w:highlight w:val="none"/>
        </w:rPr>
      </w:pPr>
      <w:r>
        <w:rPr>
          <w:rFonts w:hint="eastAsia"/>
          <w:color w:val="auto"/>
          <w:szCs w:val="21"/>
          <w:highlight w:val="none"/>
        </w:rPr>
        <w:t>法定代表人</w:t>
      </w:r>
      <w:r>
        <w:rPr>
          <w:rFonts w:hint="eastAsia"/>
          <w:color w:val="auto"/>
          <w:szCs w:val="21"/>
          <w:highlight w:val="none"/>
          <w:lang w:val="en-US" w:eastAsia="zh-CN"/>
        </w:rPr>
        <w:t>或授权委托人</w:t>
      </w:r>
      <w:r>
        <w:rPr>
          <w:rFonts w:hint="eastAsia"/>
          <w:color w:val="auto"/>
          <w:szCs w:val="21"/>
          <w:highlight w:val="none"/>
        </w:rPr>
        <w:t>：</w:t>
      </w:r>
      <w:r>
        <w:rPr>
          <w:rFonts w:hint="eastAsia"/>
          <w:color w:val="auto"/>
          <w:szCs w:val="21"/>
          <w:highlight w:val="none"/>
          <w:u w:val="single"/>
          <w:lang w:val="en-US" w:eastAsia="zh-CN"/>
        </w:rPr>
        <w:t xml:space="preserve">                </w:t>
      </w:r>
      <w:r>
        <w:rPr>
          <w:rFonts w:hint="eastAsia"/>
          <w:color w:val="auto"/>
          <w:szCs w:val="21"/>
          <w:highlight w:val="none"/>
        </w:rPr>
        <w:t>（签章）</w:t>
      </w:r>
    </w:p>
    <w:p w14:paraId="614641E1">
      <w:pPr>
        <w:spacing w:line="440" w:lineRule="exact"/>
        <w:rPr>
          <w:color w:val="auto"/>
          <w:szCs w:val="21"/>
          <w:highlight w:val="none"/>
        </w:rPr>
      </w:pPr>
    </w:p>
    <w:p w14:paraId="35DFF3AD">
      <w:pPr>
        <w:spacing w:line="440" w:lineRule="exact"/>
        <w:ind w:firstLine="5355" w:firstLineChars="2550"/>
        <w:rPr>
          <w:rFonts w:hint="eastAsia"/>
          <w:color w:val="auto"/>
          <w:szCs w:val="21"/>
          <w:highlight w:val="none"/>
        </w:rPr>
      </w:pPr>
      <w:r>
        <w:rPr>
          <w:rFonts w:hint="eastAsia"/>
          <w:color w:val="auto"/>
          <w:szCs w:val="21"/>
          <w:highlight w:val="none"/>
          <w:u w:val="single"/>
          <w:lang w:val="en-US" w:eastAsia="zh-CN"/>
        </w:rPr>
        <w:t xml:space="preserve">       </w:t>
      </w:r>
      <w:r>
        <w:rPr>
          <w:rFonts w:hint="eastAsia"/>
          <w:color w:val="auto"/>
          <w:szCs w:val="21"/>
          <w:highlight w:val="none"/>
        </w:rPr>
        <w:t>年</w:t>
      </w:r>
      <w:r>
        <w:rPr>
          <w:rFonts w:hint="eastAsia"/>
          <w:color w:val="auto"/>
          <w:szCs w:val="21"/>
          <w:highlight w:val="none"/>
          <w:u w:val="single"/>
          <w:lang w:val="en-US" w:eastAsia="zh-CN"/>
        </w:rPr>
        <w:t xml:space="preserve">       </w:t>
      </w:r>
      <w:r>
        <w:rPr>
          <w:rFonts w:hint="eastAsia"/>
          <w:color w:val="auto"/>
          <w:szCs w:val="21"/>
          <w:highlight w:val="none"/>
        </w:rPr>
        <w:t>月</w:t>
      </w:r>
      <w:r>
        <w:rPr>
          <w:rFonts w:hint="eastAsia"/>
          <w:color w:val="auto"/>
          <w:szCs w:val="21"/>
          <w:highlight w:val="none"/>
          <w:u w:val="single"/>
          <w:lang w:val="en-US" w:eastAsia="zh-CN"/>
        </w:rPr>
        <w:t xml:space="preserve">       </w:t>
      </w:r>
      <w:r>
        <w:rPr>
          <w:rFonts w:hint="eastAsia"/>
          <w:color w:val="auto"/>
          <w:szCs w:val="21"/>
          <w:highlight w:val="none"/>
        </w:rPr>
        <w:t>日</w:t>
      </w:r>
    </w:p>
    <w:p w14:paraId="190450DA">
      <w:pPr>
        <w:pStyle w:val="3"/>
        <w:jc w:val="center"/>
        <w:rPr>
          <w:rFonts w:hint="eastAsia"/>
          <w:color w:val="auto"/>
          <w:highlight w:val="none"/>
        </w:rPr>
      </w:pPr>
      <w:bookmarkStart w:id="1834" w:name="_Toc5127"/>
      <w:r>
        <w:rPr>
          <w:rFonts w:hint="eastAsia"/>
          <w:color w:val="auto"/>
          <w:highlight w:val="none"/>
          <w:lang w:eastAsia="zh-CN"/>
        </w:rPr>
        <w:t>六、</w:t>
      </w:r>
      <w:r>
        <w:rPr>
          <w:rFonts w:hint="eastAsia"/>
          <w:color w:val="auto"/>
          <w:highlight w:val="none"/>
        </w:rPr>
        <w:t>承包人建议书</w:t>
      </w:r>
      <w:bookmarkEnd w:id="1831"/>
      <w:bookmarkEnd w:id="1832"/>
      <w:bookmarkEnd w:id="1833"/>
      <w:bookmarkEnd w:id="1834"/>
    </w:p>
    <w:p w14:paraId="3FD6106B">
      <w:pPr>
        <w:spacing w:line="440" w:lineRule="exact"/>
        <w:jc w:val="center"/>
        <w:rPr>
          <w:rFonts w:eastAsia="黑体"/>
          <w:color w:val="auto"/>
          <w:sz w:val="27"/>
          <w:szCs w:val="27"/>
          <w:highlight w:val="none"/>
        </w:rPr>
      </w:pPr>
    </w:p>
    <w:bookmarkEnd w:id="1813"/>
    <w:bookmarkEnd w:id="1814"/>
    <w:bookmarkEnd w:id="1815"/>
    <w:bookmarkEnd w:id="1816"/>
    <w:bookmarkEnd w:id="1817"/>
    <w:p w14:paraId="7F7FFE50">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以下提纲内容仅供参考，招标人可根据建设项目实际情况及招标内容自行编制承包人建议 </w:t>
      </w:r>
    </w:p>
    <w:p w14:paraId="5ECACF61">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书要求纲要。 </w:t>
      </w:r>
    </w:p>
    <w:p w14:paraId="74806F61">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（一）概述 </w:t>
      </w:r>
    </w:p>
    <w:p w14:paraId="1672D245">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1.项目简要介绍。 </w:t>
      </w:r>
    </w:p>
    <w:p w14:paraId="76587D26">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2.项目特点。 </w:t>
      </w:r>
    </w:p>
    <w:p w14:paraId="75FE221E">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（二）工程详细说明 </w:t>
      </w:r>
    </w:p>
    <w:p w14:paraId="2C7E6BC1">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对本工程的全面认识、理解。 </w:t>
      </w:r>
    </w:p>
    <w:p w14:paraId="2936DC01">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（三）对本工程重点和难点的认识以及对策、建议 </w:t>
      </w:r>
    </w:p>
    <w:p w14:paraId="4A2D77DF">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 </w:t>
      </w:r>
    </w:p>
    <w:p w14:paraId="7BF3D601">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（四）设备设计方案 </w:t>
      </w:r>
    </w:p>
    <w:p w14:paraId="3C15FC67">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 </w:t>
      </w:r>
    </w:p>
    <w:p w14:paraId="73129F4F">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（五）原设计（或方案）优化 </w:t>
      </w:r>
    </w:p>
    <w:p w14:paraId="5DC7E940">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 </w:t>
      </w:r>
    </w:p>
    <w:p w14:paraId="0DF7B4EE">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（六）对发包人要求错误的说明 </w:t>
      </w:r>
    </w:p>
    <w:p w14:paraId="6F8F6E82">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 </w:t>
      </w:r>
    </w:p>
    <w:p w14:paraId="37683FAE">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（七）承包人设计实施计划 </w:t>
      </w:r>
    </w:p>
    <w:p w14:paraId="2D33FC03">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 </w:t>
      </w:r>
    </w:p>
    <w:p w14:paraId="43CCB6B1">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（八）设计技术服务承诺与质量保证措施 </w:t>
      </w:r>
    </w:p>
    <w:p w14:paraId="46402D9B">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 </w:t>
      </w:r>
    </w:p>
    <w:p w14:paraId="1AA3A920">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（九）分包方案（如有） </w:t>
      </w:r>
    </w:p>
    <w:p w14:paraId="2896BAD6">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 </w:t>
      </w:r>
    </w:p>
    <w:p w14:paraId="29EB21B3">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（十）其他 </w:t>
      </w:r>
    </w:p>
    <w:p w14:paraId="2B9E1397">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 </w:t>
      </w:r>
    </w:p>
    <w:p w14:paraId="68262477">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（十一）图纸 </w:t>
      </w:r>
    </w:p>
    <w:p w14:paraId="4B535BD9">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图纸严格按照标准规范制图。 </w:t>
      </w:r>
    </w:p>
    <w:p w14:paraId="2CD1CE86">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承包人提供的投标图纸设计深度不低于招标图纸。</w:t>
      </w:r>
    </w:p>
    <w:p w14:paraId="31981DCF">
      <w:pPr>
        <w:jc w:val="left"/>
        <w:rPr>
          <w:color w:val="auto"/>
          <w:highlight w:val="none"/>
        </w:rPr>
      </w:pPr>
    </w:p>
    <w:p w14:paraId="507F470F">
      <w:pPr>
        <w:ind w:firstLine="630" w:firstLineChars="300"/>
        <w:jc w:val="left"/>
        <w:rPr>
          <w:color w:val="auto"/>
          <w:highlight w:val="none"/>
        </w:rPr>
      </w:pPr>
      <w:r>
        <w:rPr>
          <w:color w:val="auto"/>
          <w:highlight w:val="none"/>
        </w:rPr>
        <w:br w:type="page"/>
      </w:r>
    </w:p>
    <w:p w14:paraId="2A0B5F33">
      <w:pPr>
        <w:pStyle w:val="3"/>
        <w:jc w:val="center"/>
        <w:rPr>
          <w:rFonts w:hint="eastAsia" w:eastAsia="黑体"/>
          <w:color w:val="auto"/>
          <w:highlight w:val="none"/>
          <w:lang w:eastAsia="zh-CN"/>
        </w:rPr>
      </w:pPr>
      <w:bookmarkStart w:id="1835" w:name="_Toc3711"/>
      <w:bookmarkStart w:id="1836" w:name="_Toc26703"/>
      <w:bookmarkStart w:id="1837" w:name="_Toc3053"/>
      <w:bookmarkStart w:id="1838" w:name="_Toc7956835"/>
      <w:bookmarkStart w:id="1839" w:name="_Toc24236"/>
      <w:r>
        <w:rPr>
          <w:rFonts w:hint="eastAsia"/>
          <w:color w:val="auto"/>
          <w:highlight w:val="none"/>
          <w:lang w:eastAsia="zh-CN"/>
        </w:rPr>
        <w:t>七</w:t>
      </w:r>
      <w:r>
        <w:rPr>
          <w:rFonts w:hint="eastAsia"/>
          <w:color w:val="auto"/>
          <w:highlight w:val="none"/>
        </w:rPr>
        <w:t>、承包人实施</w:t>
      </w:r>
      <w:bookmarkEnd w:id="1835"/>
      <w:bookmarkEnd w:id="1836"/>
      <w:bookmarkEnd w:id="1837"/>
      <w:bookmarkEnd w:id="1838"/>
      <w:r>
        <w:rPr>
          <w:rFonts w:hint="eastAsia"/>
          <w:color w:val="auto"/>
          <w:highlight w:val="none"/>
          <w:lang w:eastAsia="zh-CN"/>
        </w:rPr>
        <w:t>方案</w:t>
      </w:r>
      <w:bookmarkEnd w:id="1839"/>
    </w:p>
    <w:p w14:paraId="0593CB0A">
      <w:pPr>
        <w:keepNext w:val="0"/>
        <w:keepLines w:val="0"/>
        <w:pageBreakBefore w:val="0"/>
        <w:kinsoku/>
        <w:wordWrap/>
        <w:overflowPunct/>
        <w:topLinePunct w:val="0"/>
        <w:autoSpaceDE/>
        <w:autoSpaceDN/>
        <w:bidi w:val="0"/>
        <w:adjustRightInd/>
        <w:snapToGrid/>
        <w:spacing w:line="300" w:lineRule="exact"/>
        <w:textAlignment w:val="auto"/>
        <w:rPr>
          <w:rFonts w:hint="eastAsia" w:ascii="黑体" w:hAnsi="宋体" w:eastAsia="黑体"/>
          <w:color w:val="auto"/>
          <w:szCs w:val="21"/>
          <w:highlight w:val="none"/>
        </w:rPr>
      </w:pPr>
      <w:r>
        <w:rPr>
          <w:rFonts w:hint="eastAsia" w:ascii="黑体" w:hAnsi="宋体" w:eastAsia="黑体"/>
          <w:color w:val="auto"/>
          <w:szCs w:val="21"/>
          <w:highlight w:val="none"/>
          <w:lang w:val="en-US" w:eastAsia="zh-CN"/>
        </w:rPr>
        <w:t xml:space="preserve">以下提纲内容仅供参考，招标人可根据建设项目实际情况及招标内容自行编制承包人实施 </w:t>
      </w:r>
    </w:p>
    <w:p w14:paraId="1FB16114">
      <w:pPr>
        <w:keepNext w:val="0"/>
        <w:keepLines w:val="0"/>
        <w:pageBreakBefore w:val="0"/>
        <w:kinsoku/>
        <w:wordWrap/>
        <w:overflowPunct/>
        <w:topLinePunct w:val="0"/>
        <w:autoSpaceDE/>
        <w:autoSpaceDN/>
        <w:bidi w:val="0"/>
        <w:adjustRightInd/>
        <w:snapToGrid/>
        <w:spacing w:line="300" w:lineRule="exact"/>
        <w:textAlignment w:val="auto"/>
        <w:rPr>
          <w:rFonts w:hint="eastAsia" w:ascii="黑体" w:hAnsi="宋体" w:eastAsia="黑体"/>
          <w:color w:val="auto"/>
          <w:szCs w:val="21"/>
          <w:highlight w:val="none"/>
        </w:rPr>
      </w:pPr>
      <w:r>
        <w:rPr>
          <w:rFonts w:hint="eastAsia" w:ascii="黑体" w:hAnsi="宋体" w:eastAsia="黑体"/>
          <w:color w:val="auto"/>
          <w:szCs w:val="21"/>
          <w:highlight w:val="none"/>
          <w:lang w:val="en-US" w:eastAsia="zh-CN"/>
        </w:rPr>
        <w:t>方案要求纲要。</w:t>
      </w:r>
    </w:p>
    <w:p w14:paraId="1DA3F9B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（一）概述 </w:t>
      </w:r>
    </w:p>
    <w:p w14:paraId="7C134C7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1. 项目简要介绍。 </w:t>
      </w:r>
    </w:p>
    <w:p w14:paraId="5B68B32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2. 项目范围。 </w:t>
      </w:r>
    </w:p>
    <w:p w14:paraId="0DD7BEE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3. 项目特点。 </w:t>
      </w:r>
    </w:p>
    <w:p w14:paraId="3BF466A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 </w:t>
      </w:r>
    </w:p>
    <w:p w14:paraId="178E280B">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（二）总体实施方案 </w:t>
      </w:r>
    </w:p>
    <w:p w14:paraId="1F9C68C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1. 项目目标（质量、工期、造价）。 </w:t>
      </w:r>
    </w:p>
    <w:p w14:paraId="595C4E0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2. 项目实施组织形式。 </w:t>
      </w:r>
    </w:p>
    <w:p w14:paraId="4C3EED2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3. 项目阶段划分。 </w:t>
      </w:r>
    </w:p>
    <w:p w14:paraId="7D5B278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4. 项目工作分解结构。 </w:t>
      </w:r>
    </w:p>
    <w:p w14:paraId="1421B77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5. 对项目各阶段工作及文件的要求。 </w:t>
      </w:r>
    </w:p>
    <w:p w14:paraId="66120AE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6. 项目分包和采购计划。 </w:t>
      </w:r>
    </w:p>
    <w:p w14:paraId="1D38933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7. 项目沟通与协调程序。 </w:t>
      </w:r>
    </w:p>
    <w:p w14:paraId="22F7E69E">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 </w:t>
      </w:r>
    </w:p>
    <w:p w14:paraId="2A6CC73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（三）施工总体布置 </w:t>
      </w:r>
    </w:p>
    <w:p w14:paraId="3D795CE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 </w:t>
      </w:r>
    </w:p>
    <w:p w14:paraId="1584CEAB">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（四）项目实施方案与措施 </w:t>
      </w:r>
    </w:p>
    <w:p w14:paraId="3962A57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1. 勘察设计实施方案与措施。 </w:t>
      </w:r>
    </w:p>
    <w:p w14:paraId="4B21861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2. 设备、材料采购方案及供应计划。 </w:t>
      </w:r>
    </w:p>
    <w:p w14:paraId="0702C83E">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3. 施工方案与技术措施。 </w:t>
      </w:r>
    </w:p>
    <w:p w14:paraId="4597524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4. 施工实施重点、难点。 </w:t>
      </w:r>
    </w:p>
    <w:p w14:paraId="52FBAA7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5. 试运行实施要点。 </w:t>
      </w:r>
    </w:p>
    <w:p w14:paraId="48FD3A7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 </w:t>
      </w:r>
    </w:p>
    <w:p w14:paraId="1CAFFB6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（五）项目管理 </w:t>
      </w:r>
    </w:p>
    <w:p w14:paraId="7A0D4B3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1. 合同管理要点。 </w:t>
      </w:r>
    </w:p>
    <w:p w14:paraId="0153284B">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2. 资源管理要点。 </w:t>
      </w:r>
    </w:p>
    <w:p w14:paraId="36D2E62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3. 费用估算及控制要点。 </w:t>
      </w:r>
    </w:p>
    <w:p w14:paraId="2AD6D3C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4. 工程质量管理体系及措施。 </w:t>
      </w:r>
    </w:p>
    <w:p w14:paraId="7CB8E1C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5. 工程进度计划及措施。 </w:t>
      </w:r>
    </w:p>
    <w:p w14:paraId="4CC9C47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6. 安全管理体系及措施。 </w:t>
      </w:r>
    </w:p>
    <w:p w14:paraId="138F162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7. 水保、环保、文明施工管理体系及措施。 </w:t>
      </w:r>
    </w:p>
    <w:p w14:paraId="10B542F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8．职业健康管理要点。 </w:t>
      </w:r>
    </w:p>
    <w:p w14:paraId="4D59BBA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9. 沟通和协调管理要点。 </w:t>
      </w:r>
    </w:p>
    <w:p w14:paraId="31E0BC3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10. 财务管理要点。 </w:t>
      </w:r>
    </w:p>
    <w:p w14:paraId="31AF1EE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11. 对工程风险的分析及应急预案。 </w:t>
      </w:r>
    </w:p>
    <w:p w14:paraId="5D39E43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 </w:t>
      </w:r>
    </w:p>
    <w:p w14:paraId="6A98E17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（六）实施方案相关内容附图、附表 </w:t>
      </w:r>
    </w:p>
    <w:p w14:paraId="4DD8096E">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包括但不限于以下内容：拟投入本标段的主要施工设备（含勘察、施工设备等）表、拟投 </w:t>
      </w:r>
    </w:p>
    <w:p w14:paraId="33C77C8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入本标段的试验和检测仪器设备表、拟投入本标段的施工劳动力计划表、设计及施工进度 </w:t>
      </w:r>
    </w:p>
    <w:p w14:paraId="23129E9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网络图（或横道图）、施工总平面图、临时用地表等。</w:t>
      </w:r>
    </w:p>
    <w:p w14:paraId="702B0E07">
      <w:pPr>
        <w:rPr>
          <w:color w:val="auto"/>
          <w:highlight w:val="none"/>
        </w:rPr>
      </w:pPr>
    </w:p>
    <w:p w14:paraId="08428403">
      <w:pPr>
        <w:topLinePunct/>
        <w:spacing w:line="440" w:lineRule="exact"/>
        <w:rPr>
          <w:color w:val="auto"/>
          <w:highlight w:val="none"/>
        </w:rPr>
      </w:pPr>
      <w:r>
        <w:rPr>
          <w:color w:val="auto"/>
          <w:highlight w:val="none"/>
        </w:rPr>
        <w:br w:type="page"/>
      </w:r>
    </w:p>
    <w:p w14:paraId="1AFF4D5B">
      <w:pPr>
        <w:pStyle w:val="3"/>
        <w:jc w:val="center"/>
        <w:rPr>
          <w:color w:val="auto"/>
          <w:highlight w:val="none"/>
        </w:rPr>
      </w:pPr>
      <w:bookmarkStart w:id="1840" w:name="_Toc28832"/>
      <w:bookmarkStart w:id="1841" w:name="_Toc8258"/>
      <w:bookmarkStart w:id="1842" w:name="_Toc18722"/>
      <w:bookmarkStart w:id="1843" w:name="_Toc15598"/>
      <w:bookmarkStart w:id="1844" w:name="_Toc7956836"/>
      <w:r>
        <w:rPr>
          <w:rFonts w:hint="eastAsia"/>
          <w:color w:val="auto"/>
          <w:sz w:val="27"/>
          <w:szCs w:val="27"/>
          <w:highlight w:val="none"/>
          <w:lang w:eastAsia="zh-CN"/>
        </w:rPr>
        <w:t>八</w:t>
      </w:r>
      <w:r>
        <w:rPr>
          <w:rFonts w:hint="eastAsia"/>
          <w:color w:val="auto"/>
          <w:sz w:val="27"/>
          <w:szCs w:val="27"/>
          <w:highlight w:val="none"/>
        </w:rPr>
        <w:t>、</w:t>
      </w:r>
      <w:bookmarkStart w:id="1845" w:name="_Toc144974875"/>
      <w:bookmarkStart w:id="1846" w:name="_Toc152045807"/>
      <w:bookmarkStart w:id="1847" w:name="_Toc247527847"/>
      <w:bookmarkStart w:id="1848" w:name="_Toc247514299"/>
      <w:bookmarkStart w:id="1849" w:name="_Toc152042596"/>
      <w:r>
        <w:rPr>
          <w:rFonts w:hint="eastAsia"/>
          <w:color w:val="auto"/>
          <w:highlight w:val="none"/>
        </w:rPr>
        <w:t>资格审查资料</w:t>
      </w:r>
      <w:bookmarkEnd w:id="1840"/>
      <w:bookmarkEnd w:id="1841"/>
      <w:bookmarkEnd w:id="1842"/>
      <w:bookmarkEnd w:id="1843"/>
      <w:bookmarkEnd w:id="1844"/>
      <w:bookmarkEnd w:id="1845"/>
      <w:bookmarkEnd w:id="1846"/>
      <w:bookmarkEnd w:id="1847"/>
      <w:bookmarkEnd w:id="1848"/>
      <w:bookmarkEnd w:id="1849"/>
    </w:p>
    <w:p w14:paraId="2B952F4C">
      <w:pPr>
        <w:pStyle w:val="4"/>
        <w:jc w:val="center"/>
        <w:rPr>
          <w:color w:val="auto"/>
          <w:highlight w:val="none"/>
        </w:rPr>
      </w:pPr>
      <w:bookmarkStart w:id="1850" w:name="_Toc11438"/>
      <w:bookmarkStart w:id="1851" w:name="_Toc152045808"/>
      <w:bookmarkStart w:id="1852" w:name="_Toc152042597"/>
      <w:bookmarkStart w:id="1853" w:name="_Toc144974876"/>
      <w:bookmarkStart w:id="1854" w:name="_Toc7956837"/>
      <w:bookmarkStart w:id="1855" w:name="_Toc247527848"/>
      <w:bookmarkStart w:id="1856" w:name="_Toc17956"/>
      <w:bookmarkStart w:id="1857" w:name="_Toc26599"/>
      <w:bookmarkStart w:id="1858" w:name="_Toc247514300"/>
      <w:r>
        <w:rPr>
          <w:rFonts w:hint="eastAsia"/>
          <w:color w:val="auto"/>
          <w:highlight w:val="none"/>
        </w:rPr>
        <w:t>（一）投标人基本情况表</w:t>
      </w:r>
      <w:bookmarkEnd w:id="1850"/>
      <w:bookmarkEnd w:id="1851"/>
      <w:bookmarkEnd w:id="1852"/>
      <w:bookmarkEnd w:id="1853"/>
      <w:bookmarkEnd w:id="1854"/>
      <w:bookmarkEnd w:id="1855"/>
      <w:bookmarkEnd w:id="1856"/>
      <w:bookmarkEnd w:id="1857"/>
      <w:bookmarkEnd w:id="1858"/>
    </w:p>
    <w:p w14:paraId="7CEE226D">
      <w:pPr>
        <w:topLinePunct/>
        <w:spacing w:line="440" w:lineRule="exact"/>
        <w:jc w:val="center"/>
        <w:rPr>
          <w:rFonts w:hint="default" w:eastAsia="黑体"/>
          <w:color w:val="auto"/>
          <w:sz w:val="23"/>
          <w:szCs w:val="23"/>
          <w:highlight w:val="none"/>
          <w:lang w:val="en-US" w:eastAsia="zh-CN"/>
        </w:rPr>
      </w:pPr>
      <w:r>
        <w:rPr>
          <w:rFonts w:hint="eastAsia" w:eastAsia="黑体"/>
          <w:color w:val="auto"/>
          <w:sz w:val="23"/>
          <w:szCs w:val="23"/>
          <w:highlight w:val="none"/>
          <w:lang w:val="en-US" w:eastAsia="zh-CN"/>
        </w:rPr>
        <w:t>1-1投标人基本情况表</w:t>
      </w:r>
    </w:p>
    <w:tbl>
      <w:tblPr>
        <w:tblStyle w:val="42"/>
        <w:tblW w:w="856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28"/>
        <w:gridCol w:w="898"/>
        <w:gridCol w:w="951"/>
        <w:gridCol w:w="840"/>
        <w:gridCol w:w="420"/>
        <w:gridCol w:w="311"/>
        <w:gridCol w:w="1078"/>
        <w:gridCol w:w="490"/>
        <w:gridCol w:w="860"/>
        <w:gridCol w:w="992"/>
      </w:tblGrid>
      <w:tr w14:paraId="7081B4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728" w:type="dxa"/>
            <w:tcBorders>
              <w:top w:val="single" w:color="auto" w:sz="4" w:space="0"/>
              <w:bottom w:val="single" w:color="auto" w:sz="4" w:space="0"/>
              <w:right w:val="single" w:color="auto" w:sz="4" w:space="0"/>
            </w:tcBorders>
            <w:noWrap/>
            <w:vAlign w:val="center"/>
          </w:tcPr>
          <w:p w14:paraId="79ED581E">
            <w:pPr>
              <w:topLinePunct/>
              <w:spacing w:line="440" w:lineRule="exact"/>
              <w:jc w:val="center"/>
              <w:rPr>
                <w:color w:val="auto"/>
                <w:szCs w:val="21"/>
                <w:highlight w:val="none"/>
              </w:rPr>
            </w:pPr>
            <w:r>
              <w:rPr>
                <w:rFonts w:hint="eastAsia"/>
                <w:color w:val="auto"/>
                <w:szCs w:val="21"/>
                <w:highlight w:val="none"/>
              </w:rPr>
              <w:t>投标人名称</w:t>
            </w:r>
          </w:p>
        </w:tc>
        <w:tc>
          <w:tcPr>
            <w:tcW w:w="6840" w:type="dxa"/>
            <w:gridSpan w:val="9"/>
            <w:tcBorders>
              <w:top w:val="single" w:color="auto" w:sz="4" w:space="0"/>
              <w:left w:val="single" w:color="auto" w:sz="4" w:space="0"/>
              <w:bottom w:val="single" w:color="auto" w:sz="4" w:space="0"/>
            </w:tcBorders>
            <w:noWrap/>
            <w:vAlign w:val="center"/>
          </w:tcPr>
          <w:p w14:paraId="430B35DB">
            <w:pPr>
              <w:topLinePunct/>
              <w:spacing w:line="440" w:lineRule="exact"/>
              <w:jc w:val="center"/>
              <w:rPr>
                <w:color w:val="auto"/>
                <w:szCs w:val="21"/>
                <w:highlight w:val="none"/>
              </w:rPr>
            </w:pPr>
          </w:p>
        </w:tc>
      </w:tr>
      <w:tr w14:paraId="3304D5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trPr>
        <w:tc>
          <w:tcPr>
            <w:tcW w:w="1728" w:type="dxa"/>
            <w:tcBorders>
              <w:top w:val="single" w:color="auto" w:sz="4" w:space="0"/>
              <w:bottom w:val="single" w:color="auto" w:sz="4" w:space="0"/>
              <w:right w:val="single" w:color="auto" w:sz="4" w:space="0"/>
            </w:tcBorders>
            <w:noWrap/>
            <w:vAlign w:val="center"/>
          </w:tcPr>
          <w:p w14:paraId="06B0139B">
            <w:pPr>
              <w:topLinePunct/>
              <w:spacing w:line="440" w:lineRule="exact"/>
              <w:jc w:val="center"/>
              <w:rPr>
                <w:color w:val="auto"/>
                <w:szCs w:val="21"/>
                <w:highlight w:val="none"/>
              </w:rPr>
            </w:pPr>
            <w:r>
              <w:rPr>
                <w:rFonts w:hint="eastAsia"/>
                <w:color w:val="auto"/>
                <w:szCs w:val="21"/>
                <w:highlight w:val="none"/>
              </w:rPr>
              <w:t>注册地址</w:t>
            </w:r>
          </w:p>
        </w:tc>
        <w:tc>
          <w:tcPr>
            <w:tcW w:w="3420" w:type="dxa"/>
            <w:gridSpan w:val="5"/>
            <w:tcBorders>
              <w:top w:val="single" w:color="auto" w:sz="4" w:space="0"/>
              <w:left w:val="single" w:color="auto" w:sz="4" w:space="0"/>
              <w:bottom w:val="single" w:color="auto" w:sz="4" w:space="0"/>
              <w:right w:val="single" w:color="auto" w:sz="4" w:space="0"/>
            </w:tcBorders>
            <w:noWrap/>
            <w:vAlign w:val="center"/>
          </w:tcPr>
          <w:p w14:paraId="49D48B7D">
            <w:pPr>
              <w:topLinePunct/>
              <w:spacing w:line="440" w:lineRule="exact"/>
              <w:jc w:val="center"/>
              <w:rPr>
                <w:color w:val="auto"/>
                <w:szCs w:val="21"/>
                <w:highlight w:val="none"/>
              </w:rPr>
            </w:pPr>
          </w:p>
        </w:tc>
        <w:tc>
          <w:tcPr>
            <w:tcW w:w="1078" w:type="dxa"/>
            <w:tcBorders>
              <w:top w:val="single" w:color="auto" w:sz="4" w:space="0"/>
              <w:left w:val="single" w:color="auto" w:sz="4" w:space="0"/>
              <w:bottom w:val="single" w:color="auto" w:sz="4" w:space="0"/>
              <w:right w:val="single" w:color="auto" w:sz="4" w:space="0"/>
            </w:tcBorders>
            <w:noWrap/>
            <w:vAlign w:val="center"/>
          </w:tcPr>
          <w:p w14:paraId="078D5017">
            <w:pPr>
              <w:topLinePunct/>
              <w:spacing w:line="440" w:lineRule="exact"/>
              <w:jc w:val="center"/>
              <w:rPr>
                <w:color w:val="auto"/>
                <w:szCs w:val="21"/>
                <w:highlight w:val="none"/>
              </w:rPr>
            </w:pPr>
            <w:r>
              <w:rPr>
                <w:rFonts w:hint="eastAsia"/>
                <w:color w:val="auto"/>
                <w:szCs w:val="21"/>
                <w:highlight w:val="none"/>
              </w:rPr>
              <w:t>邮政编码</w:t>
            </w:r>
          </w:p>
        </w:tc>
        <w:tc>
          <w:tcPr>
            <w:tcW w:w="2342" w:type="dxa"/>
            <w:gridSpan w:val="3"/>
            <w:tcBorders>
              <w:top w:val="single" w:color="auto" w:sz="4" w:space="0"/>
              <w:left w:val="single" w:color="auto" w:sz="4" w:space="0"/>
              <w:bottom w:val="single" w:color="auto" w:sz="4" w:space="0"/>
            </w:tcBorders>
            <w:noWrap/>
            <w:vAlign w:val="center"/>
          </w:tcPr>
          <w:p w14:paraId="01DEE188">
            <w:pPr>
              <w:topLinePunct/>
              <w:spacing w:line="440" w:lineRule="exact"/>
              <w:jc w:val="center"/>
              <w:rPr>
                <w:color w:val="auto"/>
                <w:szCs w:val="21"/>
                <w:highlight w:val="none"/>
              </w:rPr>
            </w:pPr>
          </w:p>
        </w:tc>
      </w:tr>
      <w:tr w14:paraId="5D6E32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5" w:hRule="atLeast"/>
        </w:trPr>
        <w:tc>
          <w:tcPr>
            <w:tcW w:w="1728" w:type="dxa"/>
            <w:vMerge w:val="restart"/>
            <w:tcBorders>
              <w:top w:val="single" w:color="auto" w:sz="4" w:space="0"/>
              <w:bottom w:val="single" w:color="auto" w:sz="4" w:space="0"/>
              <w:right w:val="single" w:color="auto" w:sz="4" w:space="0"/>
            </w:tcBorders>
            <w:noWrap/>
            <w:vAlign w:val="center"/>
          </w:tcPr>
          <w:p w14:paraId="202E410F">
            <w:pPr>
              <w:topLinePunct/>
              <w:spacing w:line="440" w:lineRule="exact"/>
              <w:jc w:val="center"/>
              <w:rPr>
                <w:color w:val="auto"/>
                <w:szCs w:val="21"/>
                <w:highlight w:val="none"/>
              </w:rPr>
            </w:pPr>
            <w:r>
              <w:rPr>
                <w:rFonts w:hint="eastAsia"/>
                <w:color w:val="auto"/>
                <w:szCs w:val="21"/>
                <w:highlight w:val="none"/>
              </w:rPr>
              <w:t>联系方式</w:t>
            </w:r>
          </w:p>
        </w:tc>
        <w:tc>
          <w:tcPr>
            <w:tcW w:w="898" w:type="dxa"/>
            <w:tcBorders>
              <w:top w:val="single" w:color="auto" w:sz="4" w:space="0"/>
              <w:left w:val="single" w:color="auto" w:sz="4" w:space="0"/>
              <w:bottom w:val="single" w:color="auto" w:sz="4" w:space="0"/>
              <w:right w:val="single" w:color="auto" w:sz="4" w:space="0"/>
            </w:tcBorders>
            <w:noWrap/>
            <w:vAlign w:val="center"/>
          </w:tcPr>
          <w:p w14:paraId="140EA2CC">
            <w:pPr>
              <w:topLinePunct/>
              <w:spacing w:line="440" w:lineRule="exact"/>
              <w:jc w:val="center"/>
              <w:rPr>
                <w:color w:val="auto"/>
                <w:szCs w:val="21"/>
                <w:highlight w:val="none"/>
              </w:rPr>
            </w:pPr>
            <w:r>
              <w:rPr>
                <w:rFonts w:hint="eastAsia"/>
                <w:color w:val="auto"/>
                <w:szCs w:val="21"/>
                <w:highlight w:val="none"/>
              </w:rPr>
              <w:t>联系人</w:t>
            </w:r>
          </w:p>
        </w:tc>
        <w:tc>
          <w:tcPr>
            <w:tcW w:w="2522" w:type="dxa"/>
            <w:gridSpan w:val="4"/>
            <w:tcBorders>
              <w:top w:val="single" w:color="auto" w:sz="4" w:space="0"/>
              <w:left w:val="single" w:color="auto" w:sz="4" w:space="0"/>
              <w:bottom w:val="single" w:color="auto" w:sz="4" w:space="0"/>
              <w:right w:val="single" w:color="auto" w:sz="4" w:space="0"/>
            </w:tcBorders>
            <w:noWrap/>
            <w:vAlign w:val="center"/>
          </w:tcPr>
          <w:p w14:paraId="671BC732">
            <w:pPr>
              <w:topLinePunct/>
              <w:spacing w:line="440" w:lineRule="exact"/>
              <w:jc w:val="center"/>
              <w:rPr>
                <w:color w:val="auto"/>
                <w:szCs w:val="21"/>
                <w:highlight w:val="none"/>
              </w:rPr>
            </w:pPr>
          </w:p>
        </w:tc>
        <w:tc>
          <w:tcPr>
            <w:tcW w:w="1078" w:type="dxa"/>
            <w:tcBorders>
              <w:top w:val="single" w:color="auto" w:sz="4" w:space="0"/>
              <w:left w:val="single" w:color="auto" w:sz="4" w:space="0"/>
              <w:bottom w:val="single" w:color="auto" w:sz="4" w:space="0"/>
              <w:right w:val="single" w:color="auto" w:sz="4" w:space="0"/>
            </w:tcBorders>
            <w:noWrap/>
            <w:vAlign w:val="center"/>
          </w:tcPr>
          <w:p w14:paraId="55B3EB3E">
            <w:pPr>
              <w:topLinePunct/>
              <w:spacing w:line="440" w:lineRule="exact"/>
              <w:jc w:val="center"/>
              <w:rPr>
                <w:color w:val="auto"/>
                <w:szCs w:val="21"/>
                <w:highlight w:val="none"/>
              </w:rPr>
            </w:pPr>
            <w:r>
              <w:rPr>
                <w:rFonts w:hint="eastAsia"/>
                <w:color w:val="auto"/>
                <w:szCs w:val="21"/>
                <w:highlight w:val="none"/>
              </w:rPr>
              <w:t>电话</w:t>
            </w:r>
          </w:p>
        </w:tc>
        <w:tc>
          <w:tcPr>
            <w:tcW w:w="2342" w:type="dxa"/>
            <w:gridSpan w:val="3"/>
            <w:tcBorders>
              <w:top w:val="single" w:color="auto" w:sz="4" w:space="0"/>
              <w:left w:val="single" w:color="auto" w:sz="4" w:space="0"/>
              <w:bottom w:val="single" w:color="auto" w:sz="4" w:space="0"/>
            </w:tcBorders>
            <w:noWrap/>
            <w:vAlign w:val="center"/>
          </w:tcPr>
          <w:p w14:paraId="23250FAC">
            <w:pPr>
              <w:topLinePunct/>
              <w:spacing w:line="440" w:lineRule="exact"/>
              <w:jc w:val="center"/>
              <w:rPr>
                <w:color w:val="auto"/>
                <w:szCs w:val="21"/>
                <w:highlight w:val="none"/>
              </w:rPr>
            </w:pPr>
          </w:p>
        </w:tc>
      </w:tr>
      <w:tr w14:paraId="570BAD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3" w:hRule="atLeast"/>
        </w:trPr>
        <w:tc>
          <w:tcPr>
            <w:tcW w:w="1728" w:type="dxa"/>
            <w:vMerge w:val="continue"/>
            <w:tcBorders>
              <w:top w:val="single" w:color="auto" w:sz="4" w:space="0"/>
              <w:bottom w:val="single" w:color="auto" w:sz="4" w:space="0"/>
              <w:right w:val="single" w:color="auto" w:sz="4" w:space="0"/>
            </w:tcBorders>
            <w:noWrap/>
            <w:vAlign w:val="center"/>
          </w:tcPr>
          <w:p w14:paraId="4215D315">
            <w:pPr>
              <w:topLinePunct/>
              <w:spacing w:line="440" w:lineRule="exact"/>
              <w:jc w:val="center"/>
              <w:rPr>
                <w:color w:val="auto"/>
                <w:szCs w:val="21"/>
                <w:highlight w:val="none"/>
              </w:rPr>
            </w:pPr>
          </w:p>
        </w:tc>
        <w:tc>
          <w:tcPr>
            <w:tcW w:w="898" w:type="dxa"/>
            <w:tcBorders>
              <w:top w:val="single" w:color="auto" w:sz="4" w:space="0"/>
              <w:left w:val="single" w:color="auto" w:sz="4" w:space="0"/>
              <w:bottom w:val="single" w:color="auto" w:sz="4" w:space="0"/>
              <w:right w:val="single" w:color="auto" w:sz="4" w:space="0"/>
            </w:tcBorders>
            <w:noWrap/>
            <w:vAlign w:val="center"/>
          </w:tcPr>
          <w:p w14:paraId="280F3291">
            <w:pPr>
              <w:topLinePunct/>
              <w:spacing w:line="440" w:lineRule="exact"/>
              <w:jc w:val="center"/>
              <w:rPr>
                <w:color w:val="auto"/>
                <w:szCs w:val="21"/>
                <w:highlight w:val="none"/>
              </w:rPr>
            </w:pPr>
            <w:r>
              <w:rPr>
                <w:rFonts w:hint="eastAsia"/>
                <w:color w:val="auto"/>
                <w:szCs w:val="21"/>
                <w:highlight w:val="none"/>
              </w:rPr>
              <w:t>传真</w:t>
            </w:r>
          </w:p>
        </w:tc>
        <w:tc>
          <w:tcPr>
            <w:tcW w:w="2522" w:type="dxa"/>
            <w:gridSpan w:val="4"/>
            <w:tcBorders>
              <w:top w:val="single" w:color="auto" w:sz="4" w:space="0"/>
              <w:left w:val="single" w:color="auto" w:sz="4" w:space="0"/>
              <w:bottom w:val="single" w:color="auto" w:sz="4" w:space="0"/>
              <w:right w:val="single" w:color="auto" w:sz="4" w:space="0"/>
            </w:tcBorders>
            <w:noWrap/>
            <w:vAlign w:val="center"/>
          </w:tcPr>
          <w:p w14:paraId="2D4E2B47">
            <w:pPr>
              <w:topLinePunct/>
              <w:spacing w:line="440" w:lineRule="exact"/>
              <w:jc w:val="center"/>
              <w:rPr>
                <w:color w:val="auto"/>
                <w:szCs w:val="21"/>
                <w:highlight w:val="none"/>
              </w:rPr>
            </w:pPr>
          </w:p>
        </w:tc>
        <w:tc>
          <w:tcPr>
            <w:tcW w:w="1078" w:type="dxa"/>
            <w:tcBorders>
              <w:top w:val="single" w:color="auto" w:sz="4" w:space="0"/>
              <w:left w:val="single" w:color="auto" w:sz="4" w:space="0"/>
              <w:bottom w:val="single" w:color="auto" w:sz="4" w:space="0"/>
              <w:right w:val="single" w:color="auto" w:sz="4" w:space="0"/>
            </w:tcBorders>
            <w:noWrap/>
            <w:vAlign w:val="center"/>
          </w:tcPr>
          <w:p w14:paraId="4A21A799">
            <w:pPr>
              <w:topLinePunct/>
              <w:spacing w:line="440" w:lineRule="exact"/>
              <w:jc w:val="center"/>
              <w:rPr>
                <w:color w:val="auto"/>
                <w:szCs w:val="21"/>
                <w:highlight w:val="none"/>
              </w:rPr>
            </w:pPr>
            <w:r>
              <w:rPr>
                <w:rFonts w:hint="eastAsia"/>
                <w:color w:val="auto"/>
                <w:szCs w:val="21"/>
                <w:highlight w:val="none"/>
              </w:rPr>
              <w:t>网址</w:t>
            </w:r>
          </w:p>
        </w:tc>
        <w:tc>
          <w:tcPr>
            <w:tcW w:w="2342" w:type="dxa"/>
            <w:gridSpan w:val="3"/>
            <w:tcBorders>
              <w:top w:val="single" w:color="auto" w:sz="4" w:space="0"/>
              <w:left w:val="single" w:color="auto" w:sz="4" w:space="0"/>
              <w:bottom w:val="single" w:color="auto" w:sz="4" w:space="0"/>
            </w:tcBorders>
            <w:noWrap/>
            <w:vAlign w:val="center"/>
          </w:tcPr>
          <w:p w14:paraId="787CDCCB">
            <w:pPr>
              <w:topLinePunct/>
              <w:spacing w:line="440" w:lineRule="exact"/>
              <w:jc w:val="center"/>
              <w:rPr>
                <w:color w:val="auto"/>
                <w:szCs w:val="21"/>
                <w:highlight w:val="none"/>
              </w:rPr>
            </w:pPr>
          </w:p>
        </w:tc>
      </w:tr>
      <w:tr w14:paraId="0832CF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4" w:hRule="atLeast"/>
        </w:trPr>
        <w:tc>
          <w:tcPr>
            <w:tcW w:w="1728" w:type="dxa"/>
            <w:tcBorders>
              <w:top w:val="single" w:color="auto" w:sz="4" w:space="0"/>
              <w:bottom w:val="single" w:color="auto" w:sz="4" w:space="0"/>
              <w:right w:val="single" w:color="auto" w:sz="4" w:space="0"/>
            </w:tcBorders>
            <w:noWrap/>
            <w:vAlign w:val="center"/>
          </w:tcPr>
          <w:p w14:paraId="625B2238">
            <w:pPr>
              <w:topLinePunct/>
              <w:spacing w:line="440" w:lineRule="exact"/>
              <w:jc w:val="center"/>
              <w:rPr>
                <w:color w:val="auto"/>
                <w:szCs w:val="21"/>
                <w:highlight w:val="none"/>
              </w:rPr>
            </w:pPr>
            <w:r>
              <w:rPr>
                <w:rFonts w:hint="eastAsia"/>
                <w:color w:val="auto"/>
                <w:szCs w:val="21"/>
                <w:highlight w:val="none"/>
              </w:rPr>
              <w:t>组织结构</w:t>
            </w:r>
          </w:p>
        </w:tc>
        <w:tc>
          <w:tcPr>
            <w:tcW w:w="6840" w:type="dxa"/>
            <w:gridSpan w:val="9"/>
            <w:tcBorders>
              <w:top w:val="single" w:color="auto" w:sz="4" w:space="0"/>
              <w:left w:val="single" w:color="auto" w:sz="4" w:space="0"/>
              <w:bottom w:val="single" w:color="auto" w:sz="4" w:space="0"/>
            </w:tcBorders>
            <w:noWrap/>
            <w:vAlign w:val="center"/>
          </w:tcPr>
          <w:p w14:paraId="53067D54">
            <w:pPr>
              <w:topLinePunct/>
              <w:spacing w:line="440" w:lineRule="exact"/>
              <w:jc w:val="center"/>
              <w:rPr>
                <w:color w:val="auto"/>
                <w:szCs w:val="21"/>
                <w:highlight w:val="none"/>
              </w:rPr>
            </w:pPr>
          </w:p>
        </w:tc>
      </w:tr>
      <w:tr w14:paraId="3C1312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1728" w:type="dxa"/>
            <w:tcBorders>
              <w:top w:val="single" w:color="auto" w:sz="4" w:space="0"/>
              <w:bottom w:val="single" w:color="auto" w:sz="4" w:space="0"/>
              <w:right w:val="single" w:color="auto" w:sz="4" w:space="0"/>
            </w:tcBorders>
            <w:noWrap/>
            <w:vAlign w:val="center"/>
          </w:tcPr>
          <w:p w14:paraId="443030BB">
            <w:pPr>
              <w:topLinePunct/>
              <w:spacing w:line="440" w:lineRule="exact"/>
              <w:jc w:val="center"/>
              <w:rPr>
                <w:color w:val="auto"/>
                <w:szCs w:val="21"/>
                <w:highlight w:val="none"/>
              </w:rPr>
            </w:pPr>
            <w:r>
              <w:rPr>
                <w:rFonts w:hint="eastAsia"/>
                <w:color w:val="auto"/>
                <w:szCs w:val="21"/>
                <w:highlight w:val="none"/>
              </w:rPr>
              <w:t>法定代表人</w:t>
            </w:r>
          </w:p>
        </w:tc>
        <w:tc>
          <w:tcPr>
            <w:tcW w:w="898" w:type="dxa"/>
            <w:tcBorders>
              <w:top w:val="single" w:color="auto" w:sz="4" w:space="0"/>
              <w:left w:val="single" w:color="auto" w:sz="4" w:space="0"/>
              <w:bottom w:val="single" w:color="auto" w:sz="4" w:space="0"/>
              <w:right w:val="single" w:color="auto" w:sz="4" w:space="0"/>
            </w:tcBorders>
            <w:noWrap/>
            <w:vAlign w:val="center"/>
          </w:tcPr>
          <w:p w14:paraId="5901E449">
            <w:pPr>
              <w:topLinePunct/>
              <w:spacing w:line="440" w:lineRule="exact"/>
              <w:jc w:val="center"/>
              <w:rPr>
                <w:color w:val="auto"/>
                <w:szCs w:val="21"/>
                <w:highlight w:val="none"/>
              </w:rPr>
            </w:pPr>
            <w:r>
              <w:rPr>
                <w:rFonts w:hint="eastAsia"/>
                <w:color w:val="auto"/>
                <w:szCs w:val="21"/>
                <w:highlight w:val="none"/>
              </w:rPr>
              <w:t>姓名</w:t>
            </w:r>
          </w:p>
        </w:tc>
        <w:tc>
          <w:tcPr>
            <w:tcW w:w="951" w:type="dxa"/>
            <w:tcBorders>
              <w:top w:val="single" w:color="auto" w:sz="4" w:space="0"/>
              <w:left w:val="single" w:color="auto" w:sz="4" w:space="0"/>
              <w:bottom w:val="single" w:color="auto" w:sz="4" w:space="0"/>
              <w:right w:val="single" w:color="auto" w:sz="4" w:space="0"/>
            </w:tcBorders>
            <w:noWrap/>
            <w:vAlign w:val="center"/>
          </w:tcPr>
          <w:p w14:paraId="6C59CF12">
            <w:pPr>
              <w:topLinePunct/>
              <w:spacing w:line="440" w:lineRule="exact"/>
              <w:jc w:val="center"/>
              <w:rPr>
                <w:color w:val="auto"/>
                <w:szCs w:val="21"/>
                <w:highlight w:val="none"/>
              </w:rPr>
            </w:pPr>
          </w:p>
        </w:tc>
        <w:tc>
          <w:tcPr>
            <w:tcW w:w="1260" w:type="dxa"/>
            <w:gridSpan w:val="2"/>
            <w:tcBorders>
              <w:top w:val="single" w:color="auto" w:sz="4" w:space="0"/>
              <w:left w:val="single" w:color="auto" w:sz="4" w:space="0"/>
              <w:bottom w:val="single" w:color="auto" w:sz="4" w:space="0"/>
              <w:right w:val="single" w:color="auto" w:sz="4" w:space="0"/>
            </w:tcBorders>
            <w:noWrap/>
            <w:vAlign w:val="center"/>
          </w:tcPr>
          <w:p w14:paraId="78288896">
            <w:pPr>
              <w:topLinePunct/>
              <w:spacing w:line="440" w:lineRule="exact"/>
              <w:jc w:val="center"/>
              <w:rPr>
                <w:color w:val="auto"/>
                <w:szCs w:val="21"/>
                <w:highlight w:val="none"/>
              </w:rPr>
            </w:pPr>
            <w:r>
              <w:rPr>
                <w:rFonts w:hint="eastAsia"/>
                <w:color w:val="auto"/>
                <w:szCs w:val="21"/>
                <w:highlight w:val="none"/>
              </w:rPr>
              <w:t>技术职称</w:t>
            </w:r>
          </w:p>
        </w:tc>
        <w:tc>
          <w:tcPr>
            <w:tcW w:w="1879" w:type="dxa"/>
            <w:gridSpan w:val="3"/>
            <w:tcBorders>
              <w:top w:val="single" w:color="auto" w:sz="4" w:space="0"/>
              <w:left w:val="single" w:color="auto" w:sz="4" w:space="0"/>
              <w:bottom w:val="single" w:color="auto" w:sz="4" w:space="0"/>
              <w:right w:val="single" w:color="auto" w:sz="4" w:space="0"/>
            </w:tcBorders>
            <w:noWrap/>
            <w:vAlign w:val="center"/>
          </w:tcPr>
          <w:p w14:paraId="4B384A12">
            <w:pPr>
              <w:topLinePunct/>
              <w:spacing w:line="440" w:lineRule="exact"/>
              <w:jc w:val="center"/>
              <w:rPr>
                <w:color w:val="auto"/>
                <w:szCs w:val="21"/>
                <w:highlight w:val="none"/>
              </w:rPr>
            </w:pPr>
          </w:p>
        </w:tc>
        <w:tc>
          <w:tcPr>
            <w:tcW w:w="860" w:type="dxa"/>
            <w:tcBorders>
              <w:top w:val="single" w:color="auto" w:sz="4" w:space="0"/>
              <w:left w:val="single" w:color="auto" w:sz="4" w:space="0"/>
              <w:bottom w:val="single" w:color="auto" w:sz="4" w:space="0"/>
              <w:right w:val="single" w:color="auto" w:sz="4" w:space="0"/>
            </w:tcBorders>
            <w:noWrap/>
            <w:vAlign w:val="center"/>
          </w:tcPr>
          <w:p w14:paraId="0AB56AA6">
            <w:pPr>
              <w:topLinePunct/>
              <w:spacing w:line="440" w:lineRule="exact"/>
              <w:jc w:val="center"/>
              <w:rPr>
                <w:color w:val="auto"/>
                <w:szCs w:val="21"/>
                <w:highlight w:val="none"/>
              </w:rPr>
            </w:pPr>
            <w:r>
              <w:rPr>
                <w:rFonts w:hint="eastAsia"/>
                <w:color w:val="auto"/>
                <w:szCs w:val="21"/>
                <w:highlight w:val="none"/>
              </w:rPr>
              <w:t>电话</w:t>
            </w:r>
          </w:p>
        </w:tc>
        <w:tc>
          <w:tcPr>
            <w:tcW w:w="992" w:type="dxa"/>
            <w:tcBorders>
              <w:top w:val="single" w:color="auto" w:sz="4" w:space="0"/>
              <w:left w:val="single" w:color="auto" w:sz="4" w:space="0"/>
              <w:bottom w:val="single" w:color="auto" w:sz="4" w:space="0"/>
            </w:tcBorders>
            <w:noWrap/>
            <w:vAlign w:val="center"/>
          </w:tcPr>
          <w:p w14:paraId="6396CF0D">
            <w:pPr>
              <w:topLinePunct/>
              <w:spacing w:line="440" w:lineRule="exact"/>
              <w:jc w:val="center"/>
              <w:rPr>
                <w:color w:val="auto"/>
                <w:szCs w:val="21"/>
                <w:highlight w:val="none"/>
              </w:rPr>
            </w:pPr>
          </w:p>
        </w:tc>
      </w:tr>
      <w:tr w14:paraId="38FC5D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1728" w:type="dxa"/>
            <w:tcBorders>
              <w:top w:val="single" w:color="auto" w:sz="4" w:space="0"/>
              <w:bottom w:val="single" w:color="auto" w:sz="4" w:space="0"/>
              <w:right w:val="single" w:color="auto" w:sz="4" w:space="0"/>
            </w:tcBorders>
            <w:noWrap/>
            <w:vAlign w:val="center"/>
          </w:tcPr>
          <w:p w14:paraId="6E6BE6A7">
            <w:pPr>
              <w:topLinePunct/>
              <w:spacing w:line="440" w:lineRule="exact"/>
              <w:jc w:val="center"/>
              <w:rPr>
                <w:color w:val="auto"/>
                <w:szCs w:val="21"/>
                <w:highlight w:val="none"/>
              </w:rPr>
            </w:pPr>
            <w:r>
              <w:rPr>
                <w:rFonts w:hint="eastAsia"/>
                <w:color w:val="auto"/>
                <w:szCs w:val="21"/>
                <w:highlight w:val="none"/>
              </w:rPr>
              <w:t>技术负责人</w:t>
            </w:r>
          </w:p>
        </w:tc>
        <w:tc>
          <w:tcPr>
            <w:tcW w:w="898" w:type="dxa"/>
            <w:tcBorders>
              <w:top w:val="single" w:color="auto" w:sz="4" w:space="0"/>
              <w:left w:val="single" w:color="auto" w:sz="4" w:space="0"/>
              <w:bottom w:val="single" w:color="auto" w:sz="4" w:space="0"/>
              <w:right w:val="single" w:color="auto" w:sz="4" w:space="0"/>
            </w:tcBorders>
            <w:noWrap/>
            <w:vAlign w:val="center"/>
          </w:tcPr>
          <w:p w14:paraId="670F7A42">
            <w:pPr>
              <w:topLinePunct/>
              <w:spacing w:line="440" w:lineRule="exact"/>
              <w:jc w:val="center"/>
              <w:rPr>
                <w:color w:val="auto"/>
                <w:szCs w:val="21"/>
                <w:highlight w:val="none"/>
              </w:rPr>
            </w:pPr>
            <w:r>
              <w:rPr>
                <w:rFonts w:hint="eastAsia"/>
                <w:color w:val="auto"/>
                <w:szCs w:val="21"/>
                <w:highlight w:val="none"/>
              </w:rPr>
              <w:t>姓名</w:t>
            </w:r>
          </w:p>
        </w:tc>
        <w:tc>
          <w:tcPr>
            <w:tcW w:w="951" w:type="dxa"/>
            <w:tcBorders>
              <w:top w:val="single" w:color="auto" w:sz="4" w:space="0"/>
              <w:left w:val="single" w:color="auto" w:sz="4" w:space="0"/>
              <w:bottom w:val="single" w:color="auto" w:sz="4" w:space="0"/>
              <w:right w:val="single" w:color="auto" w:sz="4" w:space="0"/>
            </w:tcBorders>
            <w:noWrap/>
            <w:vAlign w:val="center"/>
          </w:tcPr>
          <w:p w14:paraId="712B201F">
            <w:pPr>
              <w:topLinePunct/>
              <w:spacing w:line="440" w:lineRule="exact"/>
              <w:jc w:val="center"/>
              <w:rPr>
                <w:color w:val="auto"/>
                <w:szCs w:val="21"/>
                <w:highlight w:val="none"/>
              </w:rPr>
            </w:pPr>
          </w:p>
        </w:tc>
        <w:tc>
          <w:tcPr>
            <w:tcW w:w="1260" w:type="dxa"/>
            <w:gridSpan w:val="2"/>
            <w:tcBorders>
              <w:top w:val="single" w:color="auto" w:sz="4" w:space="0"/>
              <w:left w:val="single" w:color="auto" w:sz="4" w:space="0"/>
              <w:bottom w:val="single" w:color="auto" w:sz="4" w:space="0"/>
              <w:right w:val="single" w:color="auto" w:sz="4" w:space="0"/>
            </w:tcBorders>
            <w:noWrap/>
            <w:vAlign w:val="center"/>
          </w:tcPr>
          <w:p w14:paraId="71EA127F">
            <w:pPr>
              <w:topLinePunct/>
              <w:spacing w:line="440" w:lineRule="exact"/>
              <w:jc w:val="center"/>
              <w:rPr>
                <w:color w:val="auto"/>
                <w:szCs w:val="21"/>
                <w:highlight w:val="none"/>
              </w:rPr>
            </w:pPr>
            <w:r>
              <w:rPr>
                <w:rFonts w:hint="eastAsia"/>
                <w:color w:val="auto"/>
                <w:szCs w:val="21"/>
                <w:highlight w:val="none"/>
              </w:rPr>
              <w:t>技术职称</w:t>
            </w:r>
          </w:p>
        </w:tc>
        <w:tc>
          <w:tcPr>
            <w:tcW w:w="1879" w:type="dxa"/>
            <w:gridSpan w:val="3"/>
            <w:tcBorders>
              <w:top w:val="single" w:color="auto" w:sz="4" w:space="0"/>
              <w:left w:val="single" w:color="auto" w:sz="4" w:space="0"/>
              <w:bottom w:val="single" w:color="auto" w:sz="4" w:space="0"/>
              <w:right w:val="single" w:color="auto" w:sz="4" w:space="0"/>
            </w:tcBorders>
            <w:noWrap/>
            <w:vAlign w:val="center"/>
          </w:tcPr>
          <w:p w14:paraId="10889DD6">
            <w:pPr>
              <w:topLinePunct/>
              <w:spacing w:line="440" w:lineRule="exact"/>
              <w:jc w:val="center"/>
              <w:rPr>
                <w:color w:val="auto"/>
                <w:szCs w:val="21"/>
                <w:highlight w:val="none"/>
              </w:rPr>
            </w:pPr>
          </w:p>
        </w:tc>
        <w:tc>
          <w:tcPr>
            <w:tcW w:w="860" w:type="dxa"/>
            <w:tcBorders>
              <w:top w:val="single" w:color="auto" w:sz="4" w:space="0"/>
              <w:left w:val="single" w:color="auto" w:sz="4" w:space="0"/>
              <w:bottom w:val="single" w:color="auto" w:sz="4" w:space="0"/>
              <w:right w:val="single" w:color="auto" w:sz="4" w:space="0"/>
            </w:tcBorders>
            <w:noWrap/>
            <w:vAlign w:val="center"/>
          </w:tcPr>
          <w:p w14:paraId="5B28CC95">
            <w:pPr>
              <w:topLinePunct/>
              <w:spacing w:line="440" w:lineRule="exact"/>
              <w:jc w:val="center"/>
              <w:rPr>
                <w:color w:val="auto"/>
                <w:szCs w:val="21"/>
                <w:highlight w:val="none"/>
              </w:rPr>
            </w:pPr>
            <w:r>
              <w:rPr>
                <w:rFonts w:hint="eastAsia"/>
                <w:color w:val="auto"/>
                <w:szCs w:val="21"/>
                <w:highlight w:val="none"/>
              </w:rPr>
              <w:t>电话</w:t>
            </w:r>
          </w:p>
        </w:tc>
        <w:tc>
          <w:tcPr>
            <w:tcW w:w="992" w:type="dxa"/>
            <w:tcBorders>
              <w:top w:val="single" w:color="auto" w:sz="4" w:space="0"/>
              <w:left w:val="single" w:color="auto" w:sz="4" w:space="0"/>
              <w:bottom w:val="single" w:color="auto" w:sz="4" w:space="0"/>
            </w:tcBorders>
            <w:noWrap/>
            <w:vAlign w:val="center"/>
          </w:tcPr>
          <w:p w14:paraId="1B026C34">
            <w:pPr>
              <w:topLinePunct/>
              <w:spacing w:line="440" w:lineRule="exact"/>
              <w:jc w:val="center"/>
              <w:rPr>
                <w:color w:val="auto"/>
                <w:szCs w:val="21"/>
                <w:highlight w:val="none"/>
              </w:rPr>
            </w:pPr>
          </w:p>
        </w:tc>
      </w:tr>
      <w:tr w14:paraId="18782C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728" w:type="dxa"/>
            <w:tcBorders>
              <w:top w:val="single" w:color="auto" w:sz="4" w:space="0"/>
              <w:bottom w:val="single" w:color="auto" w:sz="4" w:space="0"/>
              <w:right w:val="single" w:color="auto" w:sz="4" w:space="0"/>
            </w:tcBorders>
            <w:noWrap/>
            <w:vAlign w:val="center"/>
          </w:tcPr>
          <w:p w14:paraId="6909E98E">
            <w:pPr>
              <w:topLinePunct/>
              <w:spacing w:line="440" w:lineRule="exact"/>
              <w:jc w:val="center"/>
              <w:rPr>
                <w:color w:val="auto"/>
                <w:szCs w:val="21"/>
                <w:highlight w:val="none"/>
              </w:rPr>
            </w:pPr>
            <w:r>
              <w:rPr>
                <w:rFonts w:hint="eastAsia"/>
                <w:color w:val="auto"/>
                <w:szCs w:val="21"/>
                <w:highlight w:val="none"/>
              </w:rPr>
              <w:t>成立时间</w:t>
            </w:r>
          </w:p>
        </w:tc>
        <w:tc>
          <w:tcPr>
            <w:tcW w:w="1849" w:type="dxa"/>
            <w:gridSpan w:val="2"/>
            <w:tcBorders>
              <w:top w:val="single" w:color="auto" w:sz="4" w:space="0"/>
              <w:left w:val="single" w:color="auto" w:sz="4" w:space="0"/>
              <w:bottom w:val="single" w:color="auto" w:sz="4" w:space="0"/>
              <w:right w:val="single" w:color="auto" w:sz="4" w:space="0"/>
            </w:tcBorders>
            <w:noWrap/>
            <w:vAlign w:val="center"/>
          </w:tcPr>
          <w:p w14:paraId="3399D9A0">
            <w:pPr>
              <w:topLinePunct/>
              <w:spacing w:line="440" w:lineRule="exact"/>
              <w:jc w:val="center"/>
              <w:rPr>
                <w:color w:val="auto"/>
                <w:szCs w:val="21"/>
                <w:highlight w:val="none"/>
              </w:rPr>
            </w:pPr>
          </w:p>
        </w:tc>
        <w:tc>
          <w:tcPr>
            <w:tcW w:w="4991" w:type="dxa"/>
            <w:gridSpan w:val="7"/>
            <w:tcBorders>
              <w:top w:val="single" w:color="auto" w:sz="4" w:space="0"/>
              <w:left w:val="single" w:color="auto" w:sz="4" w:space="0"/>
              <w:bottom w:val="single" w:color="auto" w:sz="4" w:space="0"/>
            </w:tcBorders>
            <w:noWrap/>
            <w:vAlign w:val="center"/>
          </w:tcPr>
          <w:p w14:paraId="06BAB858">
            <w:pPr>
              <w:topLinePunct/>
              <w:spacing w:line="440" w:lineRule="exact"/>
              <w:ind w:firstLine="105" w:firstLineChars="50"/>
              <w:jc w:val="center"/>
              <w:rPr>
                <w:color w:val="auto"/>
                <w:szCs w:val="21"/>
                <w:highlight w:val="none"/>
              </w:rPr>
            </w:pPr>
            <w:r>
              <w:rPr>
                <w:rFonts w:hint="eastAsia"/>
                <w:color w:val="auto"/>
                <w:szCs w:val="21"/>
                <w:highlight w:val="none"/>
              </w:rPr>
              <w:t>员工总人数：</w:t>
            </w:r>
          </w:p>
        </w:tc>
      </w:tr>
      <w:tr w14:paraId="202FB4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58" w:hRule="atLeast"/>
        </w:trPr>
        <w:tc>
          <w:tcPr>
            <w:tcW w:w="1728" w:type="dxa"/>
            <w:tcBorders>
              <w:top w:val="single" w:color="auto" w:sz="4" w:space="0"/>
              <w:bottom w:val="single" w:color="auto" w:sz="4" w:space="0"/>
              <w:right w:val="single" w:color="auto" w:sz="4" w:space="0"/>
            </w:tcBorders>
            <w:noWrap/>
            <w:vAlign w:val="center"/>
          </w:tcPr>
          <w:p w14:paraId="5F6AB94A">
            <w:pPr>
              <w:topLinePunct/>
              <w:spacing w:line="440" w:lineRule="exact"/>
              <w:jc w:val="center"/>
              <w:rPr>
                <w:color w:val="auto"/>
                <w:szCs w:val="21"/>
                <w:highlight w:val="none"/>
              </w:rPr>
            </w:pPr>
            <w:r>
              <w:rPr>
                <w:rFonts w:hint="eastAsia"/>
                <w:color w:val="auto"/>
                <w:szCs w:val="21"/>
                <w:highlight w:val="none"/>
              </w:rPr>
              <w:t>企业资质等级</w:t>
            </w:r>
          </w:p>
        </w:tc>
        <w:tc>
          <w:tcPr>
            <w:tcW w:w="1849" w:type="dxa"/>
            <w:gridSpan w:val="2"/>
            <w:tcBorders>
              <w:top w:val="single" w:color="auto" w:sz="4" w:space="0"/>
              <w:left w:val="single" w:color="auto" w:sz="4" w:space="0"/>
              <w:bottom w:val="single" w:color="auto" w:sz="4" w:space="0"/>
              <w:right w:val="single" w:color="auto" w:sz="4" w:space="0"/>
            </w:tcBorders>
            <w:noWrap/>
            <w:vAlign w:val="center"/>
          </w:tcPr>
          <w:p w14:paraId="7458E43A">
            <w:pPr>
              <w:topLinePunct/>
              <w:spacing w:line="440" w:lineRule="exact"/>
              <w:jc w:val="center"/>
              <w:rPr>
                <w:color w:val="auto"/>
                <w:szCs w:val="21"/>
                <w:highlight w:val="none"/>
              </w:rPr>
            </w:pPr>
          </w:p>
        </w:tc>
        <w:tc>
          <w:tcPr>
            <w:tcW w:w="840" w:type="dxa"/>
            <w:vMerge w:val="restart"/>
            <w:tcBorders>
              <w:top w:val="single" w:color="auto" w:sz="4" w:space="0"/>
              <w:left w:val="single" w:color="auto" w:sz="4" w:space="0"/>
              <w:bottom w:val="single" w:color="auto" w:sz="4" w:space="0"/>
              <w:right w:val="single" w:color="auto" w:sz="4" w:space="0"/>
            </w:tcBorders>
            <w:noWrap/>
            <w:vAlign w:val="center"/>
          </w:tcPr>
          <w:p w14:paraId="5D5482C1">
            <w:pPr>
              <w:topLinePunct/>
              <w:spacing w:line="440" w:lineRule="exact"/>
              <w:jc w:val="center"/>
              <w:rPr>
                <w:color w:val="auto"/>
                <w:szCs w:val="21"/>
                <w:highlight w:val="none"/>
              </w:rPr>
            </w:pPr>
            <w:r>
              <w:rPr>
                <w:rFonts w:hint="eastAsia"/>
                <w:color w:val="auto"/>
                <w:szCs w:val="21"/>
                <w:highlight w:val="none"/>
              </w:rPr>
              <w:t>其中</w:t>
            </w:r>
          </w:p>
        </w:tc>
        <w:tc>
          <w:tcPr>
            <w:tcW w:w="2299" w:type="dxa"/>
            <w:gridSpan w:val="4"/>
            <w:tcBorders>
              <w:top w:val="single" w:color="auto" w:sz="4" w:space="0"/>
              <w:left w:val="single" w:color="auto" w:sz="4" w:space="0"/>
              <w:bottom w:val="single" w:color="auto" w:sz="4" w:space="0"/>
              <w:right w:val="single" w:color="auto" w:sz="4" w:space="0"/>
            </w:tcBorders>
            <w:noWrap/>
            <w:vAlign w:val="center"/>
          </w:tcPr>
          <w:p w14:paraId="764A7396">
            <w:pPr>
              <w:topLinePunct/>
              <w:spacing w:line="440" w:lineRule="exact"/>
              <w:jc w:val="center"/>
              <w:rPr>
                <w:color w:val="auto"/>
                <w:szCs w:val="21"/>
                <w:highlight w:val="none"/>
              </w:rPr>
            </w:pPr>
            <w:r>
              <w:rPr>
                <w:rFonts w:hint="eastAsia"/>
                <w:color w:val="auto"/>
                <w:szCs w:val="21"/>
                <w:highlight w:val="none"/>
              </w:rPr>
              <w:t>项目经理</w:t>
            </w:r>
          </w:p>
        </w:tc>
        <w:tc>
          <w:tcPr>
            <w:tcW w:w="1852" w:type="dxa"/>
            <w:gridSpan w:val="2"/>
            <w:tcBorders>
              <w:top w:val="single" w:color="auto" w:sz="4" w:space="0"/>
              <w:left w:val="single" w:color="auto" w:sz="4" w:space="0"/>
              <w:bottom w:val="single" w:color="auto" w:sz="4" w:space="0"/>
            </w:tcBorders>
            <w:noWrap/>
            <w:vAlign w:val="center"/>
          </w:tcPr>
          <w:p w14:paraId="0DF498E0">
            <w:pPr>
              <w:topLinePunct/>
              <w:spacing w:line="440" w:lineRule="exact"/>
              <w:jc w:val="center"/>
              <w:rPr>
                <w:color w:val="auto"/>
                <w:szCs w:val="21"/>
                <w:highlight w:val="none"/>
              </w:rPr>
            </w:pPr>
          </w:p>
        </w:tc>
      </w:tr>
      <w:tr w14:paraId="00CA5D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0" w:hRule="atLeast"/>
        </w:trPr>
        <w:tc>
          <w:tcPr>
            <w:tcW w:w="1728" w:type="dxa"/>
            <w:tcBorders>
              <w:top w:val="single" w:color="auto" w:sz="4" w:space="0"/>
              <w:bottom w:val="single" w:color="auto" w:sz="4" w:space="0"/>
              <w:right w:val="single" w:color="auto" w:sz="4" w:space="0"/>
            </w:tcBorders>
            <w:noWrap/>
            <w:vAlign w:val="center"/>
          </w:tcPr>
          <w:p w14:paraId="2C7971DE">
            <w:pPr>
              <w:topLinePunct/>
              <w:spacing w:line="440" w:lineRule="exact"/>
              <w:jc w:val="center"/>
              <w:rPr>
                <w:color w:val="auto"/>
                <w:szCs w:val="21"/>
                <w:highlight w:val="none"/>
              </w:rPr>
            </w:pPr>
            <w:r>
              <w:rPr>
                <w:rFonts w:hint="eastAsia"/>
                <w:color w:val="auto"/>
                <w:szCs w:val="21"/>
                <w:highlight w:val="none"/>
              </w:rPr>
              <w:t>营业执照号</w:t>
            </w:r>
          </w:p>
        </w:tc>
        <w:tc>
          <w:tcPr>
            <w:tcW w:w="1849" w:type="dxa"/>
            <w:gridSpan w:val="2"/>
            <w:tcBorders>
              <w:top w:val="single" w:color="auto" w:sz="4" w:space="0"/>
              <w:left w:val="single" w:color="auto" w:sz="4" w:space="0"/>
              <w:bottom w:val="single" w:color="auto" w:sz="4" w:space="0"/>
              <w:right w:val="single" w:color="auto" w:sz="4" w:space="0"/>
            </w:tcBorders>
            <w:noWrap/>
            <w:vAlign w:val="center"/>
          </w:tcPr>
          <w:p w14:paraId="3545DD2E">
            <w:pPr>
              <w:topLinePunct/>
              <w:spacing w:line="440" w:lineRule="exact"/>
              <w:jc w:val="center"/>
              <w:rPr>
                <w:color w:val="auto"/>
                <w:szCs w:val="21"/>
                <w:highlight w:val="none"/>
              </w:rPr>
            </w:pPr>
          </w:p>
        </w:tc>
        <w:tc>
          <w:tcPr>
            <w:tcW w:w="840" w:type="dxa"/>
            <w:vMerge w:val="continue"/>
            <w:tcBorders>
              <w:top w:val="single" w:color="auto" w:sz="4" w:space="0"/>
              <w:left w:val="single" w:color="auto" w:sz="4" w:space="0"/>
              <w:bottom w:val="single" w:color="auto" w:sz="4" w:space="0"/>
              <w:right w:val="single" w:color="auto" w:sz="4" w:space="0"/>
            </w:tcBorders>
            <w:noWrap/>
            <w:vAlign w:val="center"/>
          </w:tcPr>
          <w:p w14:paraId="3B93B1C6">
            <w:pPr>
              <w:topLinePunct/>
              <w:spacing w:line="440" w:lineRule="exact"/>
              <w:jc w:val="center"/>
              <w:rPr>
                <w:color w:val="auto"/>
                <w:szCs w:val="21"/>
                <w:highlight w:val="none"/>
              </w:rPr>
            </w:pPr>
          </w:p>
        </w:tc>
        <w:tc>
          <w:tcPr>
            <w:tcW w:w="2299" w:type="dxa"/>
            <w:gridSpan w:val="4"/>
            <w:tcBorders>
              <w:top w:val="single" w:color="auto" w:sz="4" w:space="0"/>
              <w:left w:val="single" w:color="auto" w:sz="4" w:space="0"/>
              <w:bottom w:val="single" w:color="auto" w:sz="4" w:space="0"/>
              <w:right w:val="single" w:color="auto" w:sz="4" w:space="0"/>
            </w:tcBorders>
            <w:noWrap/>
            <w:vAlign w:val="center"/>
          </w:tcPr>
          <w:p w14:paraId="192CCAE2">
            <w:pPr>
              <w:topLinePunct/>
              <w:spacing w:line="440" w:lineRule="exact"/>
              <w:jc w:val="center"/>
              <w:rPr>
                <w:color w:val="auto"/>
                <w:szCs w:val="21"/>
                <w:highlight w:val="none"/>
              </w:rPr>
            </w:pPr>
            <w:r>
              <w:rPr>
                <w:rFonts w:hint="eastAsia"/>
                <w:color w:val="auto"/>
                <w:szCs w:val="21"/>
                <w:highlight w:val="none"/>
              </w:rPr>
              <w:t>高级职称人员</w:t>
            </w:r>
          </w:p>
        </w:tc>
        <w:tc>
          <w:tcPr>
            <w:tcW w:w="1852" w:type="dxa"/>
            <w:gridSpan w:val="2"/>
            <w:tcBorders>
              <w:top w:val="single" w:color="auto" w:sz="4" w:space="0"/>
              <w:left w:val="single" w:color="auto" w:sz="4" w:space="0"/>
              <w:bottom w:val="single" w:color="auto" w:sz="4" w:space="0"/>
            </w:tcBorders>
            <w:noWrap/>
            <w:vAlign w:val="center"/>
          </w:tcPr>
          <w:p w14:paraId="389B8D15">
            <w:pPr>
              <w:topLinePunct/>
              <w:spacing w:line="440" w:lineRule="exact"/>
              <w:jc w:val="center"/>
              <w:rPr>
                <w:color w:val="auto"/>
                <w:szCs w:val="21"/>
                <w:highlight w:val="none"/>
              </w:rPr>
            </w:pPr>
          </w:p>
        </w:tc>
      </w:tr>
      <w:tr w14:paraId="684D0E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4" w:hRule="atLeast"/>
        </w:trPr>
        <w:tc>
          <w:tcPr>
            <w:tcW w:w="1728" w:type="dxa"/>
            <w:tcBorders>
              <w:top w:val="single" w:color="auto" w:sz="4" w:space="0"/>
              <w:bottom w:val="single" w:color="auto" w:sz="4" w:space="0"/>
              <w:right w:val="single" w:color="auto" w:sz="4" w:space="0"/>
            </w:tcBorders>
            <w:noWrap/>
            <w:vAlign w:val="center"/>
          </w:tcPr>
          <w:p w14:paraId="5707E367">
            <w:pPr>
              <w:topLinePunct/>
              <w:spacing w:line="440" w:lineRule="exact"/>
              <w:jc w:val="center"/>
              <w:rPr>
                <w:color w:val="auto"/>
                <w:szCs w:val="21"/>
                <w:highlight w:val="none"/>
              </w:rPr>
            </w:pPr>
            <w:r>
              <w:rPr>
                <w:rFonts w:hint="eastAsia"/>
                <w:color w:val="auto"/>
                <w:szCs w:val="21"/>
                <w:highlight w:val="none"/>
              </w:rPr>
              <w:t>注册资金</w:t>
            </w:r>
          </w:p>
        </w:tc>
        <w:tc>
          <w:tcPr>
            <w:tcW w:w="1849" w:type="dxa"/>
            <w:gridSpan w:val="2"/>
            <w:tcBorders>
              <w:top w:val="single" w:color="auto" w:sz="4" w:space="0"/>
              <w:left w:val="single" w:color="auto" w:sz="4" w:space="0"/>
              <w:bottom w:val="single" w:color="auto" w:sz="4" w:space="0"/>
              <w:right w:val="single" w:color="auto" w:sz="4" w:space="0"/>
            </w:tcBorders>
            <w:noWrap/>
            <w:vAlign w:val="center"/>
          </w:tcPr>
          <w:p w14:paraId="13BA0703">
            <w:pPr>
              <w:topLinePunct/>
              <w:spacing w:line="440" w:lineRule="exact"/>
              <w:jc w:val="center"/>
              <w:rPr>
                <w:color w:val="auto"/>
                <w:szCs w:val="21"/>
                <w:highlight w:val="none"/>
              </w:rPr>
            </w:pPr>
          </w:p>
        </w:tc>
        <w:tc>
          <w:tcPr>
            <w:tcW w:w="840" w:type="dxa"/>
            <w:vMerge w:val="continue"/>
            <w:tcBorders>
              <w:top w:val="single" w:color="auto" w:sz="4" w:space="0"/>
              <w:left w:val="single" w:color="auto" w:sz="4" w:space="0"/>
              <w:bottom w:val="single" w:color="auto" w:sz="4" w:space="0"/>
              <w:right w:val="single" w:color="auto" w:sz="4" w:space="0"/>
            </w:tcBorders>
            <w:noWrap/>
            <w:vAlign w:val="center"/>
          </w:tcPr>
          <w:p w14:paraId="6F4B28AD">
            <w:pPr>
              <w:topLinePunct/>
              <w:spacing w:line="440" w:lineRule="exact"/>
              <w:jc w:val="center"/>
              <w:rPr>
                <w:color w:val="auto"/>
                <w:szCs w:val="21"/>
                <w:highlight w:val="none"/>
              </w:rPr>
            </w:pPr>
          </w:p>
        </w:tc>
        <w:tc>
          <w:tcPr>
            <w:tcW w:w="2299" w:type="dxa"/>
            <w:gridSpan w:val="4"/>
            <w:tcBorders>
              <w:top w:val="single" w:color="auto" w:sz="4" w:space="0"/>
              <w:left w:val="single" w:color="auto" w:sz="4" w:space="0"/>
              <w:bottom w:val="single" w:color="auto" w:sz="4" w:space="0"/>
              <w:right w:val="single" w:color="auto" w:sz="4" w:space="0"/>
            </w:tcBorders>
            <w:noWrap/>
            <w:vAlign w:val="center"/>
          </w:tcPr>
          <w:p w14:paraId="04B11465">
            <w:pPr>
              <w:topLinePunct/>
              <w:spacing w:line="440" w:lineRule="exact"/>
              <w:jc w:val="center"/>
              <w:rPr>
                <w:color w:val="auto"/>
                <w:szCs w:val="21"/>
                <w:highlight w:val="none"/>
              </w:rPr>
            </w:pPr>
            <w:r>
              <w:rPr>
                <w:rFonts w:hint="eastAsia"/>
                <w:color w:val="auto"/>
                <w:szCs w:val="21"/>
                <w:highlight w:val="none"/>
              </w:rPr>
              <w:t>中级职称人员</w:t>
            </w:r>
          </w:p>
        </w:tc>
        <w:tc>
          <w:tcPr>
            <w:tcW w:w="1852" w:type="dxa"/>
            <w:gridSpan w:val="2"/>
            <w:tcBorders>
              <w:top w:val="single" w:color="auto" w:sz="4" w:space="0"/>
              <w:left w:val="single" w:color="auto" w:sz="4" w:space="0"/>
              <w:bottom w:val="single" w:color="auto" w:sz="4" w:space="0"/>
            </w:tcBorders>
            <w:noWrap/>
            <w:vAlign w:val="center"/>
          </w:tcPr>
          <w:p w14:paraId="51BEF4A3">
            <w:pPr>
              <w:topLinePunct/>
              <w:spacing w:line="440" w:lineRule="exact"/>
              <w:jc w:val="center"/>
              <w:rPr>
                <w:color w:val="auto"/>
                <w:szCs w:val="21"/>
                <w:highlight w:val="none"/>
              </w:rPr>
            </w:pPr>
          </w:p>
        </w:tc>
      </w:tr>
      <w:tr w14:paraId="49E3DF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6" w:hRule="atLeast"/>
        </w:trPr>
        <w:tc>
          <w:tcPr>
            <w:tcW w:w="1728" w:type="dxa"/>
            <w:tcBorders>
              <w:top w:val="single" w:color="auto" w:sz="4" w:space="0"/>
              <w:bottom w:val="single" w:color="auto" w:sz="4" w:space="0"/>
              <w:right w:val="single" w:color="auto" w:sz="4" w:space="0"/>
            </w:tcBorders>
            <w:noWrap/>
            <w:vAlign w:val="center"/>
          </w:tcPr>
          <w:p w14:paraId="7A374EC0">
            <w:pPr>
              <w:topLinePunct/>
              <w:spacing w:line="440" w:lineRule="exact"/>
              <w:jc w:val="center"/>
              <w:rPr>
                <w:rFonts w:hint="eastAsia"/>
                <w:color w:val="auto"/>
                <w:szCs w:val="21"/>
                <w:highlight w:val="none"/>
                <w:lang w:eastAsia="zh-CN"/>
              </w:rPr>
            </w:pPr>
            <w:r>
              <w:rPr>
                <w:rFonts w:hint="eastAsia"/>
                <w:color w:val="auto"/>
                <w:szCs w:val="21"/>
                <w:highlight w:val="none"/>
                <w:lang w:eastAsia="zh-CN"/>
              </w:rPr>
              <w:t>基本账户</w:t>
            </w:r>
          </w:p>
          <w:p w14:paraId="3FFF7363">
            <w:pPr>
              <w:topLinePunct/>
              <w:spacing w:line="440" w:lineRule="exact"/>
              <w:jc w:val="center"/>
              <w:rPr>
                <w:color w:val="auto"/>
                <w:szCs w:val="21"/>
                <w:highlight w:val="none"/>
              </w:rPr>
            </w:pPr>
            <w:r>
              <w:rPr>
                <w:rFonts w:hint="eastAsia"/>
                <w:color w:val="auto"/>
                <w:szCs w:val="21"/>
                <w:highlight w:val="none"/>
              </w:rPr>
              <w:t>开户银行</w:t>
            </w:r>
          </w:p>
        </w:tc>
        <w:tc>
          <w:tcPr>
            <w:tcW w:w="1849" w:type="dxa"/>
            <w:gridSpan w:val="2"/>
            <w:tcBorders>
              <w:top w:val="single" w:color="auto" w:sz="4" w:space="0"/>
              <w:left w:val="single" w:color="auto" w:sz="4" w:space="0"/>
              <w:bottom w:val="single" w:color="auto" w:sz="4" w:space="0"/>
              <w:right w:val="single" w:color="auto" w:sz="4" w:space="0"/>
            </w:tcBorders>
            <w:noWrap/>
            <w:vAlign w:val="center"/>
          </w:tcPr>
          <w:p w14:paraId="00885A61">
            <w:pPr>
              <w:topLinePunct/>
              <w:spacing w:line="440" w:lineRule="exact"/>
              <w:jc w:val="center"/>
              <w:rPr>
                <w:color w:val="auto"/>
                <w:szCs w:val="21"/>
                <w:highlight w:val="none"/>
              </w:rPr>
            </w:pPr>
          </w:p>
        </w:tc>
        <w:tc>
          <w:tcPr>
            <w:tcW w:w="840" w:type="dxa"/>
            <w:vMerge w:val="continue"/>
            <w:tcBorders>
              <w:top w:val="single" w:color="auto" w:sz="4" w:space="0"/>
              <w:left w:val="single" w:color="auto" w:sz="4" w:space="0"/>
              <w:bottom w:val="single" w:color="auto" w:sz="4" w:space="0"/>
              <w:right w:val="single" w:color="auto" w:sz="4" w:space="0"/>
            </w:tcBorders>
            <w:noWrap/>
            <w:vAlign w:val="center"/>
          </w:tcPr>
          <w:p w14:paraId="4795F6F4">
            <w:pPr>
              <w:topLinePunct/>
              <w:spacing w:line="440" w:lineRule="exact"/>
              <w:jc w:val="center"/>
              <w:rPr>
                <w:color w:val="auto"/>
                <w:szCs w:val="21"/>
                <w:highlight w:val="none"/>
              </w:rPr>
            </w:pPr>
          </w:p>
        </w:tc>
        <w:tc>
          <w:tcPr>
            <w:tcW w:w="2299" w:type="dxa"/>
            <w:gridSpan w:val="4"/>
            <w:tcBorders>
              <w:top w:val="single" w:color="auto" w:sz="4" w:space="0"/>
              <w:left w:val="single" w:color="auto" w:sz="4" w:space="0"/>
              <w:bottom w:val="single" w:color="auto" w:sz="4" w:space="0"/>
              <w:right w:val="single" w:color="auto" w:sz="4" w:space="0"/>
            </w:tcBorders>
            <w:noWrap/>
            <w:vAlign w:val="center"/>
          </w:tcPr>
          <w:p w14:paraId="2E6E958B">
            <w:pPr>
              <w:topLinePunct/>
              <w:spacing w:line="440" w:lineRule="exact"/>
              <w:jc w:val="center"/>
              <w:rPr>
                <w:color w:val="auto"/>
                <w:szCs w:val="21"/>
                <w:highlight w:val="none"/>
              </w:rPr>
            </w:pPr>
            <w:r>
              <w:rPr>
                <w:rFonts w:hint="eastAsia"/>
                <w:color w:val="auto"/>
                <w:szCs w:val="21"/>
                <w:highlight w:val="none"/>
              </w:rPr>
              <w:t>初级职称人员</w:t>
            </w:r>
          </w:p>
        </w:tc>
        <w:tc>
          <w:tcPr>
            <w:tcW w:w="1852" w:type="dxa"/>
            <w:gridSpan w:val="2"/>
            <w:tcBorders>
              <w:top w:val="single" w:color="auto" w:sz="4" w:space="0"/>
              <w:left w:val="single" w:color="auto" w:sz="4" w:space="0"/>
              <w:bottom w:val="single" w:color="auto" w:sz="4" w:space="0"/>
            </w:tcBorders>
            <w:noWrap/>
            <w:vAlign w:val="center"/>
          </w:tcPr>
          <w:p w14:paraId="5D9B9CAC">
            <w:pPr>
              <w:topLinePunct/>
              <w:spacing w:line="440" w:lineRule="exact"/>
              <w:jc w:val="center"/>
              <w:rPr>
                <w:color w:val="auto"/>
                <w:szCs w:val="21"/>
                <w:highlight w:val="none"/>
              </w:rPr>
            </w:pPr>
          </w:p>
        </w:tc>
      </w:tr>
      <w:tr w14:paraId="06FE82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6" w:hRule="atLeast"/>
        </w:trPr>
        <w:tc>
          <w:tcPr>
            <w:tcW w:w="1728" w:type="dxa"/>
            <w:tcBorders>
              <w:top w:val="single" w:color="auto" w:sz="4" w:space="0"/>
              <w:bottom w:val="single" w:color="auto" w:sz="4" w:space="0"/>
              <w:right w:val="single" w:color="auto" w:sz="4" w:space="0"/>
            </w:tcBorders>
            <w:noWrap/>
            <w:vAlign w:val="center"/>
          </w:tcPr>
          <w:p w14:paraId="16063978">
            <w:pPr>
              <w:topLinePunct/>
              <w:spacing w:line="440" w:lineRule="exact"/>
              <w:jc w:val="center"/>
              <w:rPr>
                <w:color w:val="auto"/>
                <w:szCs w:val="21"/>
                <w:highlight w:val="none"/>
              </w:rPr>
            </w:pPr>
            <w:r>
              <w:rPr>
                <w:rFonts w:hint="eastAsia"/>
                <w:color w:val="auto"/>
                <w:szCs w:val="21"/>
                <w:highlight w:val="none"/>
                <w:lang w:eastAsia="zh-CN"/>
              </w:rPr>
              <w:t>基本账户</w:t>
            </w:r>
            <w:r>
              <w:rPr>
                <w:rFonts w:hint="eastAsia"/>
                <w:color w:val="auto"/>
                <w:szCs w:val="21"/>
                <w:highlight w:val="none"/>
              </w:rPr>
              <w:t>账号</w:t>
            </w:r>
          </w:p>
        </w:tc>
        <w:tc>
          <w:tcPr>
            <w:tcW w:w="1849" w:type="dxa"/>
            <w:gridSpan w:val="2"/>
            <w:tcBorders>
              <w:top w:val="single" w:color="auto" w:sz="4" w:space="0"/>
              <w:left w:val="single" w:color="auto" w:sz="4" w:space="0"/>
              <w:bottom w:val="single" w:color="auto" w:sz="4" w:space="0"/>
              <w:right w:val="single" w:color="auto" w:sz="4" w:space="0"/>
            </w:tcBorders>
            <w:noWrap/>
            <w:vAlign w:val="center"/>
          </w:tcPr>
          <w:p w14:paraId="7C1E6488">
            <w:pPr>
              <w:topLinePunct/>
              <w:spacing w:line="440" w:lineRule="exact"/>
              <w:jc w:val="center"/>
              <w:rPr>
                <w:color w:val="auto"/>
                <w:szCs w:val="21"/>
                <w:highlight w:val="none"/>
              </w:rPr>
            </w:pPr>
          </w:p>
        </w:tc>
        <w:tc>
          <w:tcPr>
            <w:tcW w:w="840" w:type="dxa"/>
            <w:vMerge w:val="continue"/>
            <w:tcBorders>
              <w:top w:val="single" w:color="auto" w:sz="4" w:space="0"/>
              <w:left w:val="single" w:color="auto" w:sz="4" w:space="0"/>
              <w:bottom w:val="single" w:color="auto" w:sz="4" w:space="0"/>
              <w:right w:val="single" w:color="auto" w:sz="4" w:space="0"/>
            </w:tcBorders>
            <w:noWrap/>
            <w:vAlign w:val="center"/>
          </w:tcPr>
          <w:p w14:paraId="1E400E40">
            <w:pPr>
              <w:topLinePunct/>
              <w:spacing w:line="440" w:lineRule="exact"/>
              <w:jc w:val="center"/>
              <w:rPr>
                <w:color w:val="auto"/>
                <w:szCs w:val="21"/>
                <w:highlight w:val="none"/>
              </w:rPr>
            </w:pPr>
          </w:p>
        </w:tc>
        <w:tc>
          <w:tcPr>
            <w:tcW w:w="2299" w:type="dxa"/>
            <w:gridSpan w:val="4"/>
            <w:tcBorders>
              <w:top w:val="single" w:color="auto" w:sz="4" w:space="0"/>
              <w:left w:val="single" w:color="auto" w:sz="4" w:space="0"/>
              <w:bottom w:val="single" w:color="auto" w:sz="4" w:space="0"/>
              <w:right w:val="single" w:color="auto" w:sz="4" w:space="0"/>
            </w:tcBorders>
            <w:noWrap/>
            <w:vAlign w:val="center"/>
          </w:tcPr>
          <w:p w14:paraId="1D28D081">
            <w:pPr>
              <w:topLinePunct/>
              <w:spacing w:line="440" w:lineRule="exact"/>
              <w:jc w:val="center"/>
              <w:rPr>
                <w:color w:val="auto"/>
                <w:highlight w:val="none"/>
              </w:rPr>
            </w:pPr>
            <w:r>
              <w:rPr>
                <w:rFonts w:hint="eastAsia"/>
                <w:color w:val="auto"/>
                <w:szCs w:val="21"/>
                <w:highlight w:val="none"/>
              </w:rPr>
              <w:t>技工</w:t>
            </w:r>
          </w:p>
        </w:tc>
        <w:tc>
          <w:tcPr>
            <w:tcW w:w="1852" w:type="dxa"/>
            <w:gridSpan w:val="2"/>
            <w:tcBorders>
              <w:top w:val="single" w:color="auto" w:sz="4" w:space="0"/>
              <w:left w:val="single" w:color="auto" w:sz="4" w:space="0"/>
              <w:bottom w:val="single" w:color="auto" w:sz="4" w:space="0"/>
            </w:tcBorders>
            <w:noWrap/>
            <w:vAlign w:val="center"/>
          </w:tcPr>
          <w:p w14:paraId="7314C25F">
            <w:pPr>
              <w:topLinePunct/>
              <w:spacing w:line="440" w:lineRule="exact"/>
              <w:jc w:val="center"/>
              <w:rPr>
                <w:color w:val="auto"/>
                <w:szCs w:val="21"/>
                <w:highlight w:val="none"/>
              </w:rPr>
            </w:pPr>
          </w:p>
        </w:tc>
      </w:tr>
      <w:tr w14:paraId="7B03C6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43" w:hRule="atLeast"/>
        </w:trPr>
        <w:tc>
          <w:tcPr>
            <w:tcW w:w="1728" w:type="dxa"/>
            <w:tcBorders>
              <w:top w:val="single" w:color="auto" w:sz="4" w:space="0"/>
              <w:right w:val="single" w:color="auto" w:sz="4" w:space="0"/>
            </w:tcBorders>
            <w:noWrap/>
            <w:vAlign w:val="center"/>
          </w:tcPr>
          <w:p w14:paraId="6D8398E5">
            <w:pPr>
              <w:topLinePunct/>
              <w:spacing w:line="440" w:lineRule="exact"/>
              <w:ind w:firstLine="210" w:firstLineChars="100"/>
              <w:jc w:val="center"/>
              <w:rPr>
                <w:color w:val="auto"/>
                <w:szCs w:val="21"/>
                <w:highlight w:val="none"/>
              </w:rPr>
            </w:pPr>
            <w:r>
              <w:rPr>
                <w:rFonts w:hint="eastAsia"/>
                <w:color w:val="auto"/>
                <w:szCs w:val="21"/>
                <w:highlight w:val="none"/>
              </w:rPr>
              <w:t>经营范围</w:t>
            </w:r>
          </w:p>
        </w:tc>
        <w:tc>
          <w:tcPr>
            <w:tcW w:w="6840" w:type="dxa"/>
            <w:gridSpan w:val="9"/>
            <w:tcBorders>
              <w:top w:val="single" w:color="auto" w:sz="4" w:space="0"/>
              <w:left w:val="single" w:color="auto" w:sz="4" w:space="0"/>
            </w:tcBorders>
            <w:noWrap/>
            <w:vAlign w:val="center"/>
          </w:tcPr>
          <w:p w14:paraId="7F91529B">
            <w:pPr>
              <w:topLinePunct/>
              <w:spacing w:line="440" w:lineRule="exact"/>
              <w:rPr>
                <w:color w:val="auto"/>
                <w:szCs w:val="21"/>
                <w:highlight w:val="none"/>
              </w:rPr>
            </w:pPr>
          </w:p>
        </w:tc>
      </w:tr>
      <w:tr w14:paraId="2F3886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1728" w:type="dxa"/>
            <w:tcBorders>
              <w:top w:val="single" w:color="auto" w:sz="4" w:space="0"/>
              <w:bottom w:val="single" w:color="auto" w:sz="4" w:space="0"/>
              <w:right w:val="single" w:color="auto" w:sz="4" w:space="0"/>
            </w:tcBorders>
            <w:noWrap/>
            <w:vAlign w:val="center"/>
          </w:tcPr>
          <w:p w14:paraId="68DA2792">
            <w:pPr>
              <w:topLinePunct/>
              <w:spacing w:line="440" w:lineRule="exact"/>
              <w:jc w:val="center"/>
              <w:rPr>
                <w:color w:val="auto"/>
                <w:szCs w:val="21"/>
                <w:highlight w:val="none"/>
              </w:rPr>
            </w:pPr>
            <w:r>
              <w:rPr>
                <w:rFonts w:hint="eastAsia"/>
                <w:color w:val="auto"/>
                <w:szCs w:val="21"/>
                <w:highlight w:val="none"/>
              </w:rPr>
              <w:t>备注</w:t>
            </w:r>
          </w:p>
        </w:tc>
        <w:tc>
          <w:tcPr>
            <w:tcW w:w="6840" w:type="dxa"/>
            <w:gridSpan w:val="9"/>
            <w:tcBorders>
              <w:top w:val="single" w:color="auto" w:sz="4" w:space="0"/>
              <w:left w:val="single" w:color="auto" w:sz="4" w:space="0"/>
              <w:bottom w:val="single" w:color="auto" w:sz="4" w:space="0"/>
            </w:tcBorders>
            <w:noWrap/>
            <w:vAlign w:val="center"/>
          </w:tcPr>
          <w:p w14:paraId="42F3BF45">
            <w:pPr>
              <w:topLinePunct/>
              <w:spacing w:line="440" w:lineRule="exact"/>
              <w:jc w:val="center"/>
              <w:rPr>
                <w:color w:val="auto"/>
                <w:szCs w:val="21"/>
                <w:highlight w:val="none"/>
              </w:rPr>
            </w:pPr>
          </w:p>
        </w:tc>
      </w:tr>
    </w:tbl>
    <w:p w14:paraId="29F61316">
      <w:pPr>
        <w:keepNext w:val="0"/>
        <w:keepLines w:val="0"/>
        <w:widowControl/>
        <w:suppressLineNumbers w:val="0"/>
        <w:jc w:val="left"/>
        <w:rPr>
          <w:color w:val="auto"/>
          <w:highlight w:val="none"/>
        </w:rPr>
      </w:pPr>
      <w:r>
        <w:rPr>
          <w:rFonts w:hint="eastAsia" w:ascii="宋体" w:hAnsi="宋体" w:eastAsia="宋体" w:cs="宋体"/>
          <w:color w:val="auto"/>
          <w:kern w:val="0"/>
          <w:sz w:val="21"/>
          <w:szCs w:val="21"/>
          <w:highlight w:val="none"/>
          <w:lang w:val="en-US" w:eastAsia="zh-CN" w:bidi="ar"/>
        </w:rPr>
        <w:t xml:space="preserve">备注：1.本表后应附营业执照、企业资质证书、安全生产许可证、基本账户开户许可证 </w:t>
      </w:r>
    </w:p>
    <w:p w14:paraId="6D5B08F9">
      <w:pPr>
        <w:keepNext w:val="0"/>
        <w:keepLines w:val="0"/>
        <w:widowControl/>
        <w:suppressLineNumbers w:val="0"/>
        <w:ind w:firstLine="840" w:firstLineChars="400"/>
        <w:jc w:val="left"/>
        <w:rPr>
          <w:color w:val="auto"/>
          <w:highlight w:val="none"/>
        </w:rPr>
      </w:pPr>
      <w:r>
        <w:rPr>
          <w:rFonts w:hint="eastAsia" w:ascii="宋体" w:hAnsi="宋体" w:eastAsia="宋体" w:cs="宋体"/>
          <w:color w:val="auto"/>
          <w:kern w:val="0"/>
          <w:sz w:val="21"/>
          <w:szCs w:val="21"/>
          <w:highlight w:val="none"/>
          <w:lang w:val="en-US" w:eastAsia="zh-CN" w:bidi="ar"/>
        </w:rPr>
        <w:t xml:space="preserve">（基本存款账户信息）、质量、环境、职业健康安全管理体系认证证书等材料。 </w:t>
      </w:r>
    </w:p>
    <w:p w14:paraId="2417DB66">
      <w:pPr>
        <w:keepNext w:val="0"/>
        <w:keepLines w:val="0"/>
        <w:widowControl/>
        <w:suppressLineNumbers w:val="0"/>
        <w:ind w:firstLine="630" w:firstLineChars="300"/>
        <w:jc w:val="left"/>
        <w:rPr>
          <w:color w:val="auto"/>
          <w:highlight w:val="none"/>
        </w:rPr>
      </w:pPr>
      <w:r>
        <w:rPr>
          <w:rFonts w:hint="eastAsia" w:ascii="宋体" w:hAnsi="宋体" w:eastAsia="宋体" w:cs="宋体"/>
          <w:color w:val="auto"/>
          <w:kern w:val="0"/>
          <w:sz w:val="21"/>
          <w:szCs w:val="21"/>
          <w:highlight w:val="none"/>
          <w:lang w:val="en-US" w:eastAsia="zh-CN" w:bidi="ar"/>
        </w:rPr>
        <w:t>2.联合体投标的，联合体各成员应分别填写。</w:t>
      </w:r>
    </w:p>
    <w:p w14:paraId="2FAB00A5">
      <w:pPr>
        <w:topLinePunct/>
        <w:spacing w:line="440" w:lineRule="exact"/>
        <w:rPr>
          <w:color w:val="auto"/>
          <w:sz w:val="20"/>
          <w:highlight w:val="none"/>
        </w:rPr>
      </w:pPr>
      <w:r>
        <w:rPr>
          <w:color w:val="auto"/>
          <w:sz w:val="20"/>
          <w:highlight w:val="none"/>
        </w:rPr>
        <w:br w:type="page"/>
      </w:r>
    </w:p>
    <w:p w14:paraId="1598F7E1">
      <w:pPr>
        <w:keepNext w:val="0"/>
        <w:keepLines w:val="0"/>
        <w:widowControl/>
        <w:suppressLineNumbers w:val="0"/>
        <w:jc w:val="center"/>
        <w:rPr>
          <w:rFonts w:ascii="黑体" w:hAnsi="宋体" w:eastAsia="黑体" w:cs="黑体"/>
          <w:color w:val="auto"/>
          <w:kern w:val="0"/>
          <w:sz w:val="24"/>
          <w:szCs w:val="24"/>
          <w:highlight w:val="none"/>
          <w:lang w:val="en-US" w:eastAsia="zh-CN" w:bidi="ar"/>
        </w:rPr>
      </w:pPr>
      <w:bookmarkStart w:id="1859" w:name="_Toc247527849"/>
      <w:bookmarkStart w:id="1860" w:name="_Toc321"/>
      <w:bookmarkStart w:id="1861" w:name="_Toc144974877"/>
      <w:bookmarkStart w:id="1862" w:name="_Toc13046"/>
      <w:bookmarkStart w:id="1863" w:name="_Toc17931"/>
      <w:bookmarkStart w:id="1864" w:name="_Toc152042598"/>
      <w:bookmarkStart w:id="1865" w:name="_Toc247514301"/>
      <w:bookmarkStart w:id="1866" w:name="_Toc7956838"/>
      <w:bookmarkStart w:id="1867" w:name="_Toc152045809"/>
      <w:r>
        <w:rPr>
          <w:rFonts w:hint="default" w:ascii="Times New Roman" w:hAnsi="Times New Roman" w:eastAsia="宋体" w:cs="Times New Roman"/>
          <w:color w:val="auto"/>
          <w:kern w:val="0"/>
          <w:sz w:val="24"/>
          <w:szCs w:val="24"/>
          <w:highlight w:val="none"/>
          <w:lang w:val="en-US" w:eastAsia="zh-CN" w:bidi="ar"/>
        </w:rPr>
        <w:t xml:space="preserve">1-2 </w:t>
      </w:r>
      <w:r>
        <w:rPr>
          <w:rFonts w:ascii="黑体" w:hAnsi="宋体" w:eastAsia="黑体" w:cs="黑体"/>
          <w:color w:val="auto"/>
          <w:kern w:val="0"/>
          <w:sz w:val="24"/>
          <w:szCs w:val="24"/>
          <w:highlight w:val="none"/>
          <w:lang w:val="en-US" w:eastAsia="zh-CN" w:bidi="ar"/>
        </w:rPr>
        <w:t>关联单位情况说明</w:t>
      </w:r>
    </w:p>
    <w:p w14:paraId="4D08C044">
      <w:pPr>
        <w:keepNext w:val="0"/>
        <w:keepLines w:val="0"/>
        <w:widowControl/>
        <w:suppressLineNumbers w:val="0"/>
        <w:jc w:val="center"/>
        <w:rPr>
          <w:rFonts w:ascii="黑体" w:hAnsi="宋体" w:eastAsia="黑体" w:cs="黑体"/>
          <w:color w:val="auto"/>
          <w:kern w:val="0"/>
          <w:sz w:val="24"/>
          <w:szCs w:val="24"/>
          <w:highlight w:val="none"/>
          <w:lang w:val="en-US" w:eastAsia="zh-CN" w:bidi="ar"/>
        </w:rPr>
      </w:pPr>
    </w:p>
    <w:tbl>
      <w:tblPr>
        <w:tblStyle w:val="43"/>
        <w:tblW w:w="92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00"/>
      </w:tblGrid>
      <w:tr w14:paraId="2B739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1" w:hRule="atLeast"/>
          <w:jc w:val="center"/>
        </w:trPr>
        <w:tc>
          <w:tcPr>
            <w:tcW w:w="9200" w:type="dxa"/>
            <w:noWrap w:val="0"/>
            <w:vAlign w:val="top"/>
          </w:tcPr>
          <w:p w14:paraId="097EA5B3">
            <w:pPr>
              <w:keepNext w:val="0"/>
              <w:keepLines w:val="0"/>
              <w:widowControl/>
              <w:suppressLineNumbers w:val="0"/>
              <w:jc w:val="left"/>
              <w:rPr>
                <w:rFonts w:hint="eastAsia" w:ascii="宋体" w:hAnsi="宋体" w:eastAsia="宋体" w:cs="宋体"/>
                <w:color w:val="auto"/>
                <w:kern w:val="0"/>
                <w:sz w:val="21"/>
                <w:szCs w:val="21"/>
                <w:highlight w:val="none"/>
                <w:lang w:val="en-US" w:eastAsia="zh-CN" w:bidi="ar"/>
              </w:rPr>
            </w:pPr>
          </w:p>
          <w:p w14:paraId="10651EBB">
            <w:pPr>
              <w:keepNext w:val="0"/>
              <w:keepLines w:val="0"/>
              <w:widowControl/>
              <w:suppressLineNumbers w:val="0"/>
              <w:jc w:val="left"/>
              <w:rPr>
                <w:color w:val="auto"/>
                <w:highlight w:val="none"/>
              </w:rPr>
            </w:pPr>
            <w:r>
              <w:rPr>
                <w:rFonts w:hint="eastAsia" w:ascii="宋体" w:hAnsi="宋体" w:eastAsia="宋体" w:cs="宋体"/>
                <w:color w:val="auto"/>
                <w:kern w:val="0"/>
                <w:sz w:val="21"/>
                <w:szCs w:val="21"/>
                <w:highlight w:val="none"/>
                <w:lang w:val="en-US" w:eastAsia="zh-CN" w:bidi="ar"/>
              </w:rPr>
              <w:t>单位负责人与本单位负责人为同一人的单位：</w:t>
            </w:r>
          </w:p>
          <w:p w14:paraId="4BCA6A8E">
            <w:pPr>
              <w:keepNext w:val="0"/>
              <w:keepLines w:val="0"/>
              <w:widowControl/>
              <w:suppressLineNumbers w:val="0"/>
              <w:jc w:val="center"/>
              <w:rPr>
                <w:rFonts w:ascii="黑体" w:hAnsi="宋体" w:eastAsia="黑体" w:cs="黑体"/>
                <w:color w:val="auto"/>
                <w:kern w:val="0"/>
                <w:sz w:val="24"/>
                <w:szCs w:val="24"/>
                <w:highlight w:val="none"/>
                <w:vertAlign w:val="baseline"/>
                <w:lang w:val="en-US" w:eastAsia="zh-CN" w:bidi="ar"/>
              </w:rPr>
            </w:pPr>
          </w:p>
          <w:p w14:paraId="773B9247">
            <w:pPr>
              <w:keepNext w:val="0"/>
              <w:keepLines w:val="0"/>
              <w:widowControl/>
              <w:suppressLineNumbers w:val="0"/>
              <w:jc w:val="center"/>
              <w:rPr>
                <w:rFonts w:ascii="黑体" w:hAnsi="宋体" w:eastAsia="黑体" w:cs="黑体"/>
                <w:color w:val="auto"/>
                <w:kern w:val="0"/>
                <w:sz w:val="24"/>
                <w:szCs w:val="24"/>
                <w:highlight w:val="none"/>
                <w:vertAlign w:val="baseline"/>
                <w:lang w:val="en-US" w:eastAsia="zh-CN" w:bidi="ar"/>
              </w:rPr>
            </w:pPr>
          </w:p>
          <w:p w14:paraId="75AB15B3">
            <w:pPr>
              <w:keepNext w:val="0"/>
              <w:keepLines w:val="0"/>
              <w:widowControl/>
              <w:suppressLineNumbers w:val="0"/>
              <w:jc w:val="center"/>
              <w:rPr>
                <w:rFonts w:ascii="黑体" w:hAnsi="宋体" w:eastAsia="黑体" w:cs="黑体"/>
                <w:color w:val="auto"/>
                <w:kern w:val="0"/>
                <w:sz w:val="24"/>
                <w:szCs w:val="24"/>
                <w:highlight w:val="none"/>
                <w:vertAlign w:val="baseline"/>
                <w:lang w:val="en-US" w:eastAsia="zh-CN" w:bidi="ar"/>
              </w:rPr>
            </w:pPr>
          </w:p>
          <w:p w14:paraId="104B5348">
            <w:pPr>
              <w:keepNext w:val="0"/>
              <w:keepLines w:val="0"/>
              <w:widowControl/>
              <w:suppressLineNumbers w:val="0"/>
              <w:jc w:val="center"/>
              <w:rPr>
                <w:rFonts w:ascii="黑体" w:hAnsi="宋体" w:eastAsia="黑体" w:cs="黑体"/>
                <w:color w:val="auto"/>
                <w:kern w:val="0"/>
                <w:sz w:val="24"/>
                <w:szCs w:val="24"/>
                <w:highlight w:val="none"/>
                <w:vertAlign w:val="baseline"/>
                <w:lang w:val="en-US" w:eastAsia="zh-CN" w:bidi="ar"/>
              </w:rPr>
            </w:pPr>
          </w:p>
          <w:p w14:paraId="4325E02F">
            <w:pPr>
              <w:keepNext w:val="0"/>
              <w:keepLines w:val="0"/>
              <w:widowControl/>
              <w:suppressLineNumbers w:val="0"/>
              <w:jc w:val="center"/>
              <w:rPr>
                <w:rFonts w:ascii="黑体" w:hAnsi="宋体" w:eastAsia="黑体" w:cs="黑体"/>
                <w:color w:val="auto"/>
                <w:kern w:val="0"/>
                <w:sz w:val="24"/>
                <w:szCs w:val="24"/>
                <w:highlight w:val="none"/>
                <w:vertAlign w:val="baseline"/>
                <w:lang w:val="en-US" w:eastAsia="zh-CN" w:bidi="ar"/>
              </w:rPr>
            </w:pPr>
          </w:p>
          <w:p w14:paraId="5D885C39">
            <w:pPr>
              <w:keepNext w:val="0"/>
              <w:keepLines w:val="0"/>
              <w:widowControl/>
              <w:suppressLineNumbers w:val="0"/>
              <w:jc w:val="left"/>
              <w:rPr>
                <w:color w:val="auto"/>
                <w:highlight w:val="none"/>
              </w:rPr>
            </w:pPr>
            <w:r>
              <w:rPr>
                <w:rFonts w:hint="eastAsia" w:ascii="宋体" w:hAnsi="宋体" w:eastAsia="宋体" w:cs="宋体"/>
                <w:color w:val="auto"/>
                <w:kern w:val="0"/>
                <w:sz w:val="21"/>
                <w:szCs w:val="21"/>
                <w:highlight w:val="none"/>
                <w:lang w:val="en-US" w:eastAsia="zh-CN" w:bidi="ar"/>
              </w:rPr>
              <w:t>与本单位存在控股与被控股关系的单位：</w:t>
            </w:r>
          </w:p>
          <w:p w14:paraId="704CF325">
            <w:pPr>
              <w:keepNext w:val="0"/>
              <w:keepLines w:val="0"/>
              <w:widowControl/>
              <w:suppressLineNumbers w:val="0"/>
              <w:jc w:val="center"/>
              <w:rPr>
                <w:rFonts w:ascii="黑体" w:hAnsi="宋体" w:eastAsia="黑体" w:cs="黑体"/>
                <w:color w:val="auto"/>
                <w:kern w:val="0"/>
                <w:sz w:val="24"/>
                <w:szCs w:val="24"/>
                <w:highlight w:val="none"/>
                <w:vertAlign w:val="baseline"/>
                <w:lang w:val="en-US" w:eastAsia="zh-CN" w:bidi="ar"/>
              </w:rPr>
            </w:pPr>
          </w:p>
          <w:p w14:paraId="02A78F80">
            <w:pPr>
              <w:keepNext w:val="0"/>
              <w:keepLines w:val="0"/>
              <w:widowControl/>
              <w:suppressLineNumbers w:val="0"/>
              <w:jc w:val="center"/>
              <w:rPr>
                <w:rFonts w:ascii="黑体" w:hAnsi="宋体" w:eastAsia="黑体" w:cs="黑体"/>
                <w:color w:val="auto"/>
                <w:kern w:val="0"/>
                <w:sz w:val="24"/>
                <w:szCs w:val="24"/>
                <w:highlight w:val="none"/>
                <w:vertAlign w:val="baseline"/>
                <w:lang w:val="en-US" w:eastAsia="zh-CN" w:bidi="ar"/>
              </w:rPr>
            </w:pPr>
          </w:p>
          <w:p w14:paraId="47CF2B26">
            <w:pPr>
              <w:keepNext w:val="0"/>
              <w:keepLines w:val="0"/>
              <w:widowControl/>
              <w:suppressLineNumbers w:val="0"/>
              <w:jc w:val="center"/>
              <w:rPr>
                <w:rFonts w:ascii="黑体" w:hAnsi="宋体" w:eastAsia="黑体" w:cs="黑体"/>
                <w:color w:val="auto"/>
                <w:kern w:val="0"/>
                <w:sz w:val="24"/>
                <w:szCs w:val="24"/>
                <w:highlight w:val="none"/>
                <w:vertAlign w:val="baseline"/>
                <w:lang w:val="en-US" w:eastAsia="zh-CN" w:bidi="ar"/>
              </w:rPr>
            </w:pPr>
          </w:p>
          <w:p w14:paraId="67A92179">
            <w:pPr>
              <w:keepNext w:val="0"/>
              <w:keepLines w:val="0"/>
              <w:widowControl/>
              <w:suppressLineNumbers w:val="0"/>
              <w:jc w:val="center"/>
              <w:rPr>
                <w:rFonts w:ascii="黑体" w:hAnsi="宋体" w:eastAsia="黑体" w:cs="黑体"/>
                <w:color w:val="auto"/>
                <w:kern w:val="0"/>
                <w:sz w:val="24"/>
                <w:szCs w:val="24"/>
                <w:highlight w:val="none"/>
                <w:vertAlign w:val="baseline"/>
                <w:lang w:val="en-US" w:eastAsia="zh-CN" w:bidi="ar"/>
              </w:rPr>
            </w:pPr>
          </w:p>
          <w:p w14:paraId="12F164E4">
            <w:pPr>
              <w:keepNext w:val="0"/>
              <w:keepLines w:val="0"/>
              <w:widowControl/>
              <w:suppressLineNumbers w:val="0"/>
              <w:jc w:val="center"/>
              <w:rPr>
                <w:rFonts w:ascii="黑体" w:hAnsi="宋体" w:eastAsia="黑体" w:cs="黑体"/>
                <w:color w:val="auto"/>
                <w:kern w:val="0"/>
                <w:sz w:val="24"/>
                <w:szCs w:val="24"/>
                <w:highlight w:val="none"/>
                <w:vertAlign w:val="baseline"/>
                <w:lang w:val="en-US" w:eastAsia="zh-CN" w:bidi="ar"/>
              </w:rPr>
            </w:pPr>
          </w:p>
          <w:p w14:paraId="16BDA058">
            <w:pPr>
              <w:keepNext w:val="0"/>
              <w:keepLines w:val="0"/>
              <w:widowControl/>
              <w:suppressLineNumbers w:val="0"/>
              <w:jc w:val="left"/>
              <w:rPr>
                <w:color w:val="auto"/>
                <w:highlight w:val="none"/>
              </w:rPr>
            </w:pPr>
            <w:r>
              <w:rPr>
                <w:rFonts w:hint="eastAsia" w:ascii="宋体" w:hAnsi="宋体" w:eastAsia="宋体" w:cs="宋体"/>
                <w:color w:val="auto"/>
                <w:kern w:val="0"/>
                <w:sz w:val="21"/>
                <w:szCs w:val="21"/>
                <w:highlight w:val="none"/>
                <w:lang w:val="en-US" w:eastAsia="zh-CN" w:bidi="ar"/>
              </w:rPr>
              <w:t>与本单位存在管理与被管理关系的单位：</w:t>
            </w:r>
          </w:p>
          <w:p w14:paraId="52079113">
            <w:pPr>
              <w:keepNext w:val="0"/>
              <w:keepLines w:val="0"/>
              <w:widowControl/>
              <w:suppressLineNumbers w:val="0"/>
              <w:jc w:val="center"/>
              <w:rPr>
                <w:rFonts w:ascii="黑体" w:hAnsi="宋体" w:eastAsia="黑体" w:cs="黑体"/>
                <w:color w:val="auto"/>
                <w:kern w:val="0"/>
                <w:sz w:val="24"/>
                <w:szCs w:val="24"/>
                <w:highlight w:val="none"/>
                <w:vertAlign w:val="baseline"/>
                <w:lang w:val="en-US" w:eastAsia="zh-CN" w:bidi="ar"/>
              </w:rPr>
            </w:pPr>
          </w:p>
        </w:tc>
      </w:tr>
    </w:tbl>
    <w:p w14:paraId="414BAC9E">
      <w:pPr>
        <w:keepNext w:val="0"/>
        <w:keepLines w:val="0"/>
        <w:widowControl/>
        <w:suppressLineNumbers w:val="0"/>
        <w:jc w:val="center"/>
        <w:rPr>
          <w:rFonts w:ascii="黑体" w:hAnsi="宋体" w:eastAsia="黑体" w:cs="黑体"/>
          <w:color w:val="auto"/>
          <w:kern w:val="0"/>
          <w:sz w:val="24"/>
          <w:szCs w:val="24"/>
          <w:highlight w:val="none"/>
          <w:lang w:val="en-US" w:eastAsia="zh-CN" w:bidi="ar"/>
        </w:rPr>
      </w:pPr>
    </w:p>
    <w:p w14:paraId="0F7334ED">
      <w:pPr>
        <w:keepNext w:val="0"/>
        <w:keepLines w:val="0"/>
        <w:widowControl/>
        <w:suppressLineNumbers w:val="0"/>
        <w:ind w:firstLine="420" w:firstLineChars="200"/>
        <w:jc w:val="left"/>
        <w:rPr>
          <w:color w:val="auto"/>
          <w:highlight w:val="none"/>
        </w:rPr>
      </w:pPr>
      <w:r>
        <w:rPr>
          <w:rFonts w:hint="eastAsia" w:ascii="宋体" w:hAnsi="宋体" w:eastAsia="宋体" w:cs="宋体"/>
          <w:color w:val="auto"/>
          <w:kern w:val="0"/>
          <w:sz w:val="21"/>
          <w:szCs w:val="21"/>
          <w:highlight w:val="none"/>
          <w:lang w:val="en-US" w:eastAsia="zh-CN" w:bidi="ar"/>
        </w:rPr>
        <w:t xml:space="preserve">备注：1.投标人应当如实披露相关关联单位的情况。没有相关关联单位的明确填“无”。 </w:t>
      </w:r>
    </w:p>
    <w:p w14:paraId="315A4B95">
      <w:pPr>
        <w:keepNext w:val="0"/>
        <w:keepLines w:val="0"/>
        <w:widowControl/>
        <w:suppressLineNumbers w:val="0"/>
        <w:ind w:firstLine="1050" w:firstLineChars="5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2.联合体投标的，联合体各成员应分别填写。</w:t>
      </w:r>
    </w:p>
    <w:p w14:paraId="00668352">
      <w:pPr>
        <w:keepNext w:val="0"/>
        <w:keepLines w:val="0"/>
        <w:widowControl/>
        <w:suppressLineNumbers w:val="0"/>
        <w:ind w:firstLine="1050" w:firstLineChars="500"/>
        <w:jc w:val="left"/>
        <w:rPr>
          <w:rFonts w:hint="eastAsia" w:ascii="宋体" w:hAnsi="宋体" w:eastAsia="宋体" w:cs="宋体"/>
          <w:color w:val="auto"/>
          <w:kern w:val="0"/>
          <w:sz w:val="21"/>
          <w:szCs w:val="21"/>
          <w:highlight w:val="none"/>
          <w:lang w:val="en-US" w:eastAsia="zh-CN" w:bidi="ar"/>
        </w:rPr>
      </w:pPr>
    </w:p>
    <w:p w14:paraId="0188EEC8">
      <w:pPr>
        <w:keepNext w:val="0"/>
        <w:keepLines w:val="0"/>
        <w:widowControl/>
        <w:suppressLineNumbers w:val="0"/>
        <w:jc w:val="center"/>
        <w:rPr>
          <w:rFonts w:hint="default" w:ascii="Times New Roman" w:hAnsi="Times New Roman" w:eastAsia="宋体" w:cs="Times New Roman"/>
          <w:color w:val="auto"/>
          <w:kern w:val="0"/>
          <w:sz w:val="24"/>
          <w:szCs w:val="24"/>
          <w:highlight w:val="none"/>
          <w:lang w:val="en-US" w:eastAsia="zh-CN" w:bidi="ar"/>
        </w:rPr>
      </w:pPr>
    </w:p>
    <w:p w14:paraId="3A158C66">
      <w:pPr>
        <w:keepNext w:val="0"/>
        <w:keepLines w:val="0"/>
        <w:widowControl/>
        <w:suppressLineNumbers w:val="0"/>
        <w:jc w:val="center"/>
        <w:rPr>
          <w:rFonts w:hint="default" w:ascii="Times New Roman" w:hAnsi="Times New Roman" w:eastAsia="宋体" w:cs="Times New Roman"/>
          <w:color w:val="auto"/>
          <w:kern w:val="0"/>
          <w:sz w:val="24"/>
          <w:szCs w:val="24"/>
          <w:highlight w:val="none"/>
          <w:lang w:val="en-US" w:eastAsia="zh-CN" w:bidi="ar"/>
        </w:rPr>
      </w:pPr>
    </w:p>
    <w:p w14:paraId="2B0F7617">
      <w:pPr>
        <w:keepNext w:val="0"/>
        <w:keepLines w:val="0"/>
        <w:widowControl/>
        <w:suppressLineNumbers w:val="0"/>
        <w:jc w:val="center"/>
        <w:rPr>
          <w:rFonts w:hint="default" w:ascii="Times New Roman" w:hAnsi="Times New Roman" w:eastAsia="宋体" w:cs="Times New Roman"/>
          <w:color w:val="auto"/>
          <w:kern w:val="0"/>
          <w:sz w:val="24"/>
          <w:szCs w:val="24"/>
          <w:highlight w:val="none"/>
          <w:lang w:val="en-US" w:eastAsia="zh-CN" w:bidi="ar"/>
        </w:rPr>
      </w:pPr>
    </w:p>
    <w:p w14:paraId="600E4331">
      <w:pPr>
        <w:keepNext w:val="0"/>
        <w:keepLines w:val="0"/>
        <w:widowControl/>
        <w:suppressLineNumbers w:val="0"/>
        <w:jc w:val="center"/>
        <w:rPr>
          <w:rFonts w:hint="default" w:ascii="Times New Roman" w:hAnsi="Times New Roman" w:eastAsia="宋体" w:cs="Times New Roman"/>
          <w:color w:val="auto"/>
          <w:kern w:val="0"/>
          <w:sz w:val="24"/>
          <w:szCs w:val="24"/>
          <w:highlight w:val="none"/>
          <w:lang w:val="en-US" w:eastAsia="zh-CN" w:bidi="ar"/>
        </w:rPr>
      </w:pPr>
    </w:p>
    <w:p w14:paraId="79BACAF2">
      <w:pPr>
        <w:keepNext w:val="0"/>
        <w:keepLines w:val="0"/>
        <w:widowControl/>
        <w:suppressLineNumbers w:val="0"/>
        <w:jc w:val="center"/>
        <w:rPr>
          <w:rFonts w:hint="default" w:ascii="Times New Roman" w:hAnsi="Times New Roman" w:eastAsia="宋体" w:cs="Times New Roman"/>
          <w:color w:val="auto"/>
          <w:kern w:val="0"/>
          <w:sz w:val="24"/>
          <w:szCs w:val="24"/>
          <w:highlight w:val="none"/>
          <w:lang w:val="en-US" w:eastAsia="zh-CN" w:bidi="ar"/>
        </w:rPr>
      </w:pPr>
    </w:p>
    <w:p w14:paraId="60249A5E">
      <w:pPr>
        <w:keepNext w:val="0"/>
        <w:keepLines w:val="0"/>
        <w:widowControl/>
        <w:suppressLineNumbers w:val="0"/>
        <w:jc w:val="center"/>
        <w:rPr>
          <w:rFonts w:hint="default" w:ascii="Times New Roman" w:hAnsi="Times New Roman" w:eastAsia="宋体" w:cs="Times New Roman"/>
          <w:color w:val="auto"/>
          <w:kern w:val="0"/>
          <w:sz w:val="24"/>
          <w:szCs w:val="24"/>
          <w:highlight w:val="none"/>
          <w:lang w:val="en-US" w:eastAsia="zh-CN" w:bidi="ar"/>
        </w:rPr>
      </w:pPr>
    </w:p>
    <w:p w14:paraId="0C7CC325">
      <w:pPr>
        <w:keepNext w:val="0"/>
        <w:keepLines w:val="0"/>
        <w:widowControl/>
        <w:suppressLineNumbers w:val="0"/>
        <w:jc w:val="center"/>
        <w:rPr>
          <w:rFonts w:hint="default" w:ascii="Times New Roman" w:hAnsi="Times New Roman" w:eastAsia="宋体" w:cs="Times New Roman"/>
          <w:color w:val="auto"/>
          <w:kern w:val="0"/>
          <w:sz w:val="24"/>
          <w:szCs w:val="24"/>
          <w:highlight w:val="none"/>
          <w:lang w:val="en-US" w:eastAsia="zh-CN" w:bidi="ar"/>
        </w:rPr>
      </w:pPr>
    </w:p>
    <w:p w14:paraId="1B4D55E2">
      <w:pPr>
        <w:keepNext w:val="0"/>
        <w:keepLines w:val="0"/>
        <w:widowControl/>
        <w:suppressLineNumbers w:val="0"/>
        <w:jc w:val="center"/>
        <w:rPr>
          <w:rFonts w:hint="default" w:ascii="Times New Roman" w:hAnsi="Times New Roman" w:eastAsia="宋体" w:cs="Times New Roman"/>
          <w:color w:val="auto"/>
          <w:kern w:val="0"/>
          <w:sz w:val="24"/>
          <w:szCs w:val="24"/>
          <w:highlight w:val="none"/>
          <w:lang w:val="en-US" w:eastAsia="zh-CN" w:bidi="ar"/>
        </w:rPr>
      </w:pPr>
    </w:p>
    <w:p w14:paraId="4A4BF184">
      <w:pPr>
        <w:keepNext w:val="0"/>
        <w:keepLines w:val="0"/>
        <w:widowControl/>
        <w:suppressLineNumbers w:val="0"/>
        <w:jc w:val="center"/>
        <w:rPr>
          <w:rFonts w:hint="default" w:ascii="Times New Roman" w:hAnsi="Times New Roman" w:eastAsia="宋体" w:cs="Times New Roman"/>
          <w:color w:val="auto"/>
          <w:kern w:val="0"/>
          <w:sz w:val="24"/>
          <w:szCs w:val="24"/>
          <w:highlight w:val="none"/>
          <w:lang w:val="en-US" w:eastAsia="zh-CN" w:bidi="ar"/>
        </w:rPr>
      </w:pPr>
    </w:p>
    <w:p w14:paraId="229827BF">
      <w:pPr>
        <w:keepNext w:val="0"/>
        <w:keepLines w:val="0"/>
        <w:widowControl/>
        <w:suppressLineNumbers w:val="0"/>
        <w:jc w:val="center"/>
        <w:rPr>
          <w:rFonts w:hint="default" w:ascii="Times New Roman" w:hAnsi="Times New Roman" w:eastAsia="宋体" w:cs="Times New Roman"/>
          <w:color w:val="auto"/>
          <w:kern w:val="0"/>
          <w:sz w:val="24"/>
          <w:szCs w:val="24"/>
          <w:highlight w:val="none"/>
          <w:lang w:val="en-US" w:eastAsia="zh-CN" w:bidi="ar"/>
        </w:rPr>
      </w:pPr>
    </w:p>
    <w:p w14:paraId="47068BFF">
      <w:pPr>
        <w:keepNext w:val="0"/>
        <w:keepLines w:val="0"/>
        <w:widowControl/>
        <w:suppressLineNumbers w:val="0"/>
        <w:jc w:val="center"/>
        <w:rPr>
          <w:rFonts w:hint="default" w:ascii="Times New Roman" w:hAnsi="Times New Roman" w:eastAsia="宋体" w:cs="Times New Roman"/>
          <w:color w:val="auto"/>
          <w:kern w:val="0"/>
          <w:sz w:val="24"/>
          <w:szCs w:val="24"/>
          <w:highlight w:val="none"/>
          <w:lang w:val="en-US" w:eastAsia="zh-CN" w:bidi="ar"/>
        </w:rPr>
      </w:pPr>
    </w:p>
    <w:p w14:paraId="228153D1">
      <w:pPr>
        <w:keepNext w:val="0"/>
        <w:keepLines w:val="0"/>
        <w:widowControl/>
        <w:suppressLineNumbers w:val="0"/>
        <w:jc w:val="center"/>
        <w:rPr>
          <w:rFonts w:hint="default" w:ascii="Times New Roman" w:hAnsi="Times New Roman" w:eastAsia="宋体" w:cs="Times New Roman"/>
          <w:color w:val="auto"/>
          <w:kern w:val="0"/>
          <w:sz w:val="24"/>
          <w:szCs w:val="24"/>
          <w:highlight w:val="none"/>
          <w:lang w:val="en-US" w:eastAsia="zh-CN" w:bidi="ar"/>
        </w:rPr>
      </w:pPr>
    </w:p>
    <w:p w14:paraId="4A36CC36">
      <w:pPr>
        <w:keepNext w:val="0"/>
        <w:keepLines w:val="0"/>
        <w:widowControl/>
        <w:suppressLineNumbers w:val="0"/>
        <w:jc w:val="center"/>
        <w:rPr>
          <w:rFonts w:hint="default" w:ascii="Times New Roman" w:hAnsi="Times New Roman" w:eastAsia="宋体" w:cs="Times New Roman"/>
          <w:color w:val="auto"/>
          <w:kern w:val="0"/>
          <w:sz w:val="24"/>
          <w:szCs w:val="24"/>
          <w:highlight w:val="none"/>
          <w:lang w:val="en-US" w:eastAsia="zh-CN" w:bidi="ar"/>
        </w:rPr>
      </w:pPr>
    </w:p>
    <w:p w14:paraId="0874648D">
      <w:pPr>
        <w:keepNext w:val="0"/>
        <w:keepLines w:val="0"/>
        <w:widowControl/>
        <w:suppressLineNumbers w:val="0"/>
        <w:jc w:val="center"/>
        <w:rPr>
          <w:rFonts w:hint="default" w:ascii="Times New Roman" w:hAnsi="Times New Roman" w:eastAsia="宋体" w:cs="Times New Roman"/>
          <w:color w:val="auto"/>
          <w:kern w:val="0"/>
          <w:sz w:val="24"/>
          <w:szCs w:val="24"/>
          <w:highlight w:val="none"/>
          <w:lang w:val="en-US" w:eastAsia="zh-CN" w:bidi="ar"/>
        </w:rPr>
      </w:pPr>
    </w:p>
    <w:p w14:paraId="76342472">
      <w:pPr>
        <w:keepNext w:val="0"/>
        <w:keepLines w:val="0"/>
        <w:widowControl/>
        <w:suppressLineNumbers w:val="0"/>
        <w:jc w:val="center"/>
        <w:rPr>
          <w:rFonts w:hint="default" w:ascii="Times New Roman" w:hAnsi="Times New Roman" w:eastAsia="宋体" w:cs="Times New Roman"/>
          <w:color w:val="auto"/>
          <w:kern w:val="0"/>
          <w:sz w:val="24"/>
          <w:szCs w:val="24"/>
          <w:highlight w:val="none"/>
          <w:lang w:val="en-US" w:eastAsia="zh-CN" w:bidi="ar"/>
        </w:rPr>
      </w:pPr>
    </w:p>
    <w:p w14:paraId="6CC87EE3">
      <w:pPr>
        <w:keepNext w:val="0"/>
        <w:keepLines w:val="0"/>
        <w:widowControl/>
        <w:suppressLineNumbers w:val="0"/>
        <w:jc w:val="center"/>
        <w:rPr>
          <w:rFonts w:hint="default" w:ascii="Times New Roman" w:hAnsi="Times New Roman" w:eastAsia="宋体" w:cs="Times New Roman"/>
          <w:color w:val="auto"/>
          <w:kern w:val="0"/>
          <w:sz w:val="24"/>
          <w:szCs w:val="24"/>
          <w:highlight w:val="none"/>
          <w:lang w:val="en-US" w:eastAsia="zh-CN" w:bidi="ar"/>
        </w:rPr>
      </w:pPr>
    </w:p>
    <w:p w14:paraId="22F0441A">
      <w:pPr>
        <w:keepNext w:val="0"/>
        <w:keepLines w:val="0"/>
        <w:widowControl/>
        <w:suppressLineNumbers w:val="0"/>
        <w:jc w:val="center"/>
        <w:rPr>
          <w:rFonts w:hint="default" w:ascii="Times New Roman" w:hAnsi="Times New Roman" w:eastAsia="宋体" w:cs="Times New Roman"/>
          <w:color w:val="auto"/>
          <w:kern w:val="0"/>
          <w:sz w:val="24"/>
          <w:szCs w:val="24"/>
          <w:highlight w:val="none"/>
          <w:lang w:val="en-US" w:eastAsia="zh-CN" w:bidi="ar"/>
        </w:rPr>
      </w:pPr>
    </w:p>
    <w:p w14:paraId="4DDDFD06">
      <w:pPr>
        <w:keepNext w:val="0"/>
        <w:keepLines w:val="0"/>
        <w:widowControl/>
        <w:suppressLineNumbers w:val="0"/>
        <w:jc w:val="center"/>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1-3 企业在辽基本信息登记单</w:t>
      </w:r>
    </w:p>
    <w:p w14:paraId="7A5DD15E">
      <w:pPr>
        <w:keepNext w:val="0"/>
        <w:keepLines w:val="0"/>
        <w:widowControl/>
        <w:suppressLineNumbers w:val="0"/>
        <w:jc w:val="center"/>
        <w:rPr>
          <w:rFonts w:ascii="黑体" w:hAnsi="宋体" w:eastAsia="黑体" w:cs="黑体"/>
          <w:color w:val="auto"/>
          <w:kern w:val="0"/>
          <w:sz w:val="24"/>
          <w:szCs w:val="24"/>
          <w:highlight w:val="none"/>
          <w:lang w:val="en-US" w:eastAsia="zh-CN" w:bidi="ar"/>
        </w:rPr>
      </w:pPr>
    </w:p>
    <w:tbl>
      <w:tblPr>
        <w:tblStyle w:val="42"/>
        <w:tblW w:w="856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08"/>
        <w:gridCol w:w="2220"/>
        <w:gridCol w:w="156"/>
        <w:gridCol w:w="2064"/>
        <w:gridCol w:w="78"/>
        <w:gridCol w:w="2142"/>
      </w:tblGrid>
      <w:tr w14:paraId="3C8DC6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908" w:type="dxa"/>
            <w:tcBorders>
              <w:top w:val="single" w:color="auto" w:sz="4" w:space="0"/>
              <w:bottom w:val="single" w:color="auto" w:sz="4" w:space="0"/>
              <w:right w:val="single" w:color="auto" w:sz="4" w:space="0"/>
            </w:tcBorders>
            <w:noWrap/>
            <w:vAlign w:val="center"/>
          </w:tcPr>
          <w:p w14:paraId="4B4284E8">
            <w:pPr>
              <w:topLinePunct/>
              <w:spacing w:line="440" w:lineRule="exact"/>
              <w:jc w:val="center"/>
              <w:rPr>
                <w:color w:val="auto"/>
                <w:szCs w:val="21"/>
                <w:highlight w:val="none"/>
              </w:rPr>
            </w:pPr>
            <w:r>
              <w:rPr>
                <w:rFonts w:hint="eastAsia"/>
                <w:color w:val="auto"/>
                <w:szCs w:val="21"/>
                <w:highlight w:val="none"/>
                <w:lang w:eastAsia="zh-CN"/>
              </w:rPr>
              <w:t>单位</w:t>
            </w:r>
            <w:r>
              <w:rPr>
                <w:rFonts w:hint="eastAsia"/>
                <w:color w:val="auto"/>
                <w:szCs w:val="21"/>
                <w:highlight w:val="none"/>
              </w:rPr>
              <w:t>名称</w:t>
            </w:r>
          </w:p>
        </w:tc>
        <w:tc>
          <w:tcPr>
            <w:tcW w:w="6660" w:type="dxa"/>
            <w:gridSpan w:val="5"/>
            <w:tcBorders>
              <w:top w:val="single" w:color="auto" w:sz="4" w:space="0"/>
              <w:left w:val="single" w:color="auto" w:sz="4" w:space="0"/>
              <w:bottom w:val="single" w:color="auto" w:sz="4" w:space="0"/>
            </w:tcBorders>
            <w:noWrap/>
            <w:vAlign w:val="center"/>
          </w:tcPr>
          <w:p w14:paraId="367E1B63">
            <w:pPr>
              <w:topLinePunct/>
              <w:spacing w:line="440" w:lineRule="exact"/>
              <w:jc w:val="center"/>
              <w:rPr>
                <w:color w:val="auto"/>
                <w:szCs w:val="21"/>
                <w:highlight w:val="none"/>
              </w:rPr>
            </w:pPr>
          </w:p>
        </w:tc>
      </w:tr>
      <w:tr w14:paraId="57173A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trPr>
        <w:tc>
          <w:tcPr>
            <w:tcW w:w="1908" w:type="dxa"/>
            <w:tcBorders>
              <w:top w:val="single" w:color="auto" w:sz="4" w:space="0"/>
              <w:bottom w:val="single" w:color="auto" w:sz="4" w:space="0"/>
              <w:right w:val="single" w:color="auto" w:sz="4" w:space="0"/>
            </w:tcBorders>
            <w:noWrap/>
            <w:vAlign w:val="center"/>
          </w:tcPr>
          <w:p w14:paraId="7D9ACA61">
            <w:pPr>
              <w:keepNext w:val="0"/>
              <w:keepLines w:val="0"/>
              <w:widowControl/>
              <w:suppressLineNumbers w:val="0"/>
              <w:jc w:val="left"/>
              <w:rPr>
                <w:color w:val="auto"/>
                <w:szCs w:val="21"/>
                <w:highlight w:val="none"/>
              </w:rPr>
            </w:pPr>
            <w:r>
              <w:rPr>
                <w:rFonts w:hint="eastAsia" w:ascii="宋体" w:hAnsi="宋体" w:eastAsia="宋体" w:cs="宋体"/>
                <w:color w:val="auto"/>
                <w:kern w:val="0"/>
                <w:sz w:val="21"/>
                <w:szCs w:val="21"/>
                <w:highlight w:val="none"/>
                <w:lang w:val="en-US" w:eastAsia="zh-CN" w:bidi="ar"/>
              </w:rPr>
              <w:t>法定代表人姓名</w:t>
            </w:r>
          </w:p>
        </w:tc>
        <w:tc>
          <w:tcPr>
            <w:tcW w:w="2376" w:type="dxa"/>
            <w:gridSpan w:val="2"/>
            <w:tcBorders>
              <w:top w:val="single" w:color="auto" w:sz="4" w:space="0"/>
              <w:left w:val="single" w:color="auto" w:sz="4" w:space="0"/>
              <w:bottom w:val="single" w:color="auto" w:sz="4" w:space="0"/>
              <w:right w:val="single" w:color="auto" w:sz="4" w:space="0"/>
            </w:tcBorders>
            <w:noWrap/>
            <w:vAlign w:val="center"/>
          </w:tcPr>
          <w:p w14:paraId="00684CD5">
            <w:pPr>
              <w:topLinePunct/>
              <w:spacing w:line="440" w:lineRule="exact"/>
              <w:jc w:val="center"/>
              <w:rPr>
                <w:color w:val="auto"/>
                <w:szCs w:val="21"/>
                <w:highlight w:val="none"/>
              </w:rPr>
            </w:pPr>
          </w:p>
        </w:tc>
        <w:tc>
          <w:tcPr>
            <w:tcW w:w="2142" w:type="dxa"/>
            <w:gridSpan w:val="2"/>
            <w:tcBorders>
              <w:top w:val="single" w:color="auto" w:sz="4" w:space="0"/>
              <w:left w:val="single" w:color="auto" w:sz="4" w:space="0"/>
              <w:bottom w:val="single" w:color="auto" w:sz="4" w:space="0"/>
              <w:right w:val="single" w:color="auto" w:sz="4" w:space="0"/>
            </w:tcBorders>
            <w:noWrap/>
            <w:vAlign w:val="center"/>
          </w:tcPr>
          <w:p w14:paraId="1C4CFA0F">
            <w:pPr>
              <w:keepNext w:val="0"/>
              <w:keepLines w:val="0"/>
              <w:widowControl/>
              <w:suppressLineNumbers w:val="0"/>
              <w:jc w:val="center"/>
              <w:rPr>
                <w:color w:val="auto"/>
                <w:szCs w:val="21"/>
                <w:highlight w:val="none"/>
              </w:rPr>
            </w:pPr>
            <w:r>
              <w:rPr>
                <w:rFonts w:hint="eastAsia" w:ascii="宋体" w:hAnsi="宋体" w:eastAsia="宋体" w:cs="宋体"/>
                <w:color w:val="auto"/>
                <w:kern w:val="0"/>
                <w:sz w:val="21"/>
                <w:szCs w:val="21"/>
                <w:highlight w:val="none"/>
                <w:lang w:val="en-US" w:eastAsia="zh-CN" w:bidi="ar"/>
              </w:rPr>
              <w:t>公司所在地</w:t>
            </w:r>
          </w:p>
        </w:tc>
        <w:tc>
          <w:tcPr>
            <w:tcW w:w="2142" w:type="dxa"/>
            <w:tcBorders>
              <w:top w:val="single" w:color="auto" w:sz="4" w:space="0"/>
              <w:left w:val="single" w:color="auto" w:sz="4" w:space="0"/>
              <w:bottom w:val="single" w:color="auto" w:sz="4" w:space="0"/>
            </w:tcBorders>
            <w:noWrap/>
            <w:vAlign w:val="center"/>
          </w:tcPr>
          <w:p w14:paraId="5049FE70">
            <w:pPr>
              <w:topLinePunct/>
              <w:spacing w:line="440" w:lineRule="exact"/>
              <w:jc w:val="center"/>
              <w:rPr>
                <w:color w:val="auto"/>
                <w:szCs w:val="21"/>
                <w:highlight w:val="none"/>
              </w:rPr>
            </w:pPr>
          </w:p>
        </w:tc>
      </w:tr>
      <w:tr w14:paraId="594113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4" w:hRule="atLeast"/>
        </w:trPr>
        <w:tc>
          <w:tcPr>
            <w:tcW w:w="1908" w:type="dxa"/>
            <w:tcBorders>
              <w:top w:val="single" w:color="auto" w:sz="4" w:space="0"/>
              <w:bottom w:val="single" w:color="auto" w:sz="4" w:space="0"/>
              <w:right w:val="single" w:color="auto" w:sz="4" w:space="0"/>
            </w:tcBorders>
            <w:noWrap/>
            <w:vAlign w:val="center"/>
          </w:tcPr>
          <w:p w14:paraId="5193B800">
            <w:pPr>
              <w:keepNext w:val="0"/>
              <w:keepLines w:val="0"/>
              <w:widowControl/>
              <w:suppressLineNumbers w:val="0"/>
              <w:jc w:val="left"/>
              <w:rPr>
                <w:color w:val="auto"/>
                <w:szCs w:val="21"/>
                <w:highlight w:val="none"/>
              </w:rPr>
            </w:pPr>
            <w:r>
              <w:rPr>
                <w:rFonts w:hint="eastAsia" w:ascii="宋体" w:hAnsi="宋体" w:eastAsia="宋体" w:cs="宋体"/>
                <w:color w:val="auto"/>
                <w:kern w:val="0"/>
                <w:sz w:val="21"/>
                <w:szCs w:val="21"/>
                <w:highlight w:val="none"/>
                <w:lang w:val="en-US" w:eastAsia="zh-CN" w:bidi="ar"/>
              </w:rPr>
              <w:t>安全生产许可证号</w:t>
            </w:r>
          </w:p>
        </w:tc>
        <w:tc>
          <w:tcPr>
            <w:tcW w:w="6660" w:type="dxa"/>
            <w:gridSpan w:val="5"/>
            <w:tcBorders>
              <w:top w:val="single" w:color="auto" w:sz="4" w:space="0"/>
              <w:left w:val="single" w:color="auto" w:sz="4" w:space="0"/>
              <w:bottom w:val="single" w:color="auto" w:sz="4" w:space="0"/>
            </w:tcBorders>
            <w:noWrap/>
            <w:vAlign w:val="center"/>
          </w:tcPr>
          <w:p w14:paraId="56E428F9">
            <w:pPr>
              <w:topLinePunct/>
              <w:spacing w:line="440" w:lineRule="exact"/>
              <w:jc w:val="center"/>
              <w:rPr>
                <w:color w:val="auto"/>
                <w:szCs w:val="21"/>
                <w:highlight w:val="none"/>
              </w:rPr>
            </w:pPr>
          </w:p>
        </w:tc>
      </w:tr>
      <w:tr w14:paraId="698577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1908" w:type="dxa"/>
            <w:tcBorders>
              <w:top w:val="single" w:color="auto" w:sz="4" w:space="0"/>
              <w:bottom w:val="single" w:color="auto" w:sz="4" w:space="0"/>
              <w:right w:val="single" w:color="auto" w:sz="4" w:space="0"/>
            </w:tcBorders>
            <w:noWrap/>
            <w:vAlign w:val="center"/>
          </w:tcPr>
          <w:p w14:paraId="6D909E97">
            <w:pPr>
              <w:keepNext w:val="0"/>
              <w:keepLines w:val="0"/>
              <w:widowControl/>
              <w:suppressLineNumbers w:val="0"/>
              <w:jc w:val="center"/>
              <w:rPr>
                <w:color w:val="auto"/>
                <w:szCs w:val="21"/>
                <w:highlight w:val="none"/>
              </w:rPr>
            </w:pPr>
            <w:r>
              <w:rPr>
                <w:rFonts w:hint="eastAsia" w:ascii="宋体" w:hAnsi="宋体" w:eastAsia="宋体" w:cs="宋体"/>
                <w:color w:val="auto"/>
                <w:kern w:val="0"/>
                <w:sz w:val="21"/>
                <w:szCs w:val="21"/>
                <w:highlight w:val="none"/>
                <w:lang w:val="en-US" w:eastAsia="zh-CN" w:bidi="ar"/>
              </w:rPr>
              <w:t>资质证书号</w:t>
            </w:r>
          </w:p>
        </w:tc>
        <w:tc>
          <w:tcPr>
            <w:tcW w:w="6660" w:type="dxa"/>
            <w:gridSpan w:val="5"/>
            <w:tcBorders>
              <w:top w:val="single" w:color="auto" w:sz="4" w:space="0"/>
              <w:left w:val="single" w:color="auto" w:sz="4" w:space="0"/>
              <w:bottom w:val="single" w:color="auto" w:sz="4" w:space="0"/>
            </w:tcBorders>
            <w:noWrap/>
            <w:vAlign w:val="center"/>
          </w:tcPr>
          <w:p w14:paraId="20331C2E">
            <w:pPr>
              <w:topLinePunct/>
              <w:spacing w:line="440" w:lineRule="exact"/>
              <w:jc w:val="center"/>
              <w:rPr>
                <w:color w:val="auto"/>
                <w:szCs w:val="21"/>
                <w:highlight w:val="none"/>
              </w:rPr>
            </w:pPr>
            <w:r>
              <w:rPr>
                <w:rFonts w:hint="eastAsia"/>
                <w:color w:val="auto"/>
                <w:szCs w:val="21"/>
                <w:highlight w:val="none"/>
                <w:lang w:val="en-US" w:eastAsia="zh-CN"/>
              </w:rPr>
              <w:t>资质类别及等级</w:t>
            </w:r>
          </w:p>
        </w:tc>
      </w:tr>
      <w:tr w14:paraId="42A9F4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1908" w:type="dxa"/>
            <w:tcBorders>
              <w:top w:val="single" w:color="auto" w:sz="4" w:space="0"/>
              <w:bottom w:val="single" w:color="auto" w:sz="4" w:space="0"/>
              <w:right w:val="single" w:color="auto" w:sz="4" w:space="0"/>
            </w:tcBorders>
            <w:noWrap/>
            <w:vAlign w:val="center"/>
          </w:tcPr>
          <w:p w14:paraId="7CC7C3D6">
            <w:pPr>
              <w:keepNext w:val="0"/>
              <w:keepLines w:val="0"/>
              <w:widowControl/>
              <w:suppressLineNumbers w:val="0"/>
              <w:jc w:val="center"/>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w:t>
            </w:r>
          </w:p>
        </w:tc>
        <w:tc>
          <w:tcPr>
            <w:tcW w:w="6660" w:type="dxa"/>
            <w:gridSpan w:val="5"/>
            <w:tcBorders>
              <w:top w:val="single" w:color="auto" w:sz="4" w:space="0"/>
              <w:left w:val="single" w:color="auto" w:sz="4" w:space="0"/>
              <w:bottom w:val="single" w:color="auto" w:sz="4" w:space="0"/>
            </w:tcBorders>
            <w:noWrap/>
            <w:vAlign w:val="center"/>
          </w:tcPr>
          <w:p w14:paraId="29B2A026">
            <w:pPr>
              <w:topLinePunct/>
              <w:spacing w:line="440" w:lineRule="exact"/>
              <w:jc w:val="center"/>
              <w:rPr>
                <w:rFonts w:hint="eastAsia"/>
                <w:color w:val="auto"/>
                <w:szCs w:val="21"/>
                <w:highlight w:val="none"/>
                <w:lang w:val="en-US" w:eastAsia="zh-CN"/>
              </w:rPr>
            </w:pPr>
          </w:p>
        </w:tc>
      </w:tr>
      <w:tr w14:paraId="02F7C2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1908" w:type="dxa"/>
            <w:tcBorders>
              <w:top w:val="single" w:color="auto" w:sz="4" w:space="0"/>
              <w:bottom w:val="single" w:color="auto" w:sz="4" w:space="0"/>
              <w:right w:val="single" w:color="auto" w:sz="4" w:space="0"/>
            </w:tcBorders>
            <w:noWrap/>
            <w:vAlign w:val="center"/>
          </w:tcPr>
          <w:p w14:paraId="45378248">
            <w:pPr>
              <w:keepNext w:val="0"/>
              <w:keepLines w:val="0"/>
              <w:widowControl/>
              <w:suppressLineNumbers w:val="0"/>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w:t>
            </w:r>
          </w:p>
        </w:tc>
        <w:tc>
          <w:tcPr>
            <w:tcW w:w="6660" w:type="dxa"/>
            <w:gridSpan w:val="5"/>
            <w:tcBorders>
              <w:top w:val="single" w:color="auto" w:sz="4" w:space="0"/>
              <w:left w:val="single" w:color="auto" w:sz="4" w:space="0"/>
              <w:bottom w:val="single" w:color="auto" w:sz="4" w:space="0"/>
            </w:tcBorders>
            <w:noWrap/>
            <w:vAlign w:val="center"/>
          </w:tcPr>
          <w:p w14:paraId="47D9D4E6">
            <w:pPr>
              <w:topLinePunct/>
              <w:spacing w:line="440" w:lineRule="exact"/>
              <w:jc w:val="center"/>
              <w:rPr>
                <w:rFonts w:hint="eastAsia"/>
                <w:color w:val="auto"/>
                <w:szCs w:val="21"/>
                <w:highlight w:val="none"/>
                <w:lang w:val="en-US" w:eastAsia="zh-CN"/>
              </w:rPr>
            </w:pPr>
          </w:p>
        </w:tc>
      </w:tr>
      <w:tr w14:paraId="22AC7E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1908" w:type="dxa"/>
            <w:tcBorders>
              <w:top w:val="single" w:color="auto" w:sz="4" w:space="0"/>
              <w:bottom w:val="single" w:color="auto" w:sz="4" w:space="0"/>
              <w:right w:val="single" w:color="auto" w:sz="4" w:space="0"/>
            </w:tcBorders>
            <w:noWrap/>
            <w:vAlign w:val="center"/>
          </w:tcPr>
          <w:p w14:paraId="1112F627">
            <w:pPr>
              <w:keepNext w:val="0"/>
              <w:keepLines w:val="0"/>
              <w:widowControl/>
              <w:suppressLineNumbers w:val="0"/>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w:t>
            </w:r>
          </w:p>
        </w:tc>
        <w:tc>
          <w:tcPr>
            <w:tcW w:w="6660" w:type="dxa"/>
            <w:gridSpan w:val="5"/>
            <w:tcBorders>
              <w:top w:val="single" w:color="auto" w:sz="4" w:space="0"/>
              <w:left w:val="single" w:color="auto" w:sz="4" w:space="0"/>
              <w:bottom w:val="single" w:color="auto" w:sz="4" w:space="0"/>
            </w:tcBorders>
            <w:noWrap/>
            <w:vAlign w:val="center"/>
          </w:tcPr>
          <w:p w14:paraId="161D6964">
            <w:pPr>
              <w:topLinePunct/>
              <w:spacing w:line="440" w:lineRule="exact"/>
              <w:jc w:val="center"/>
              <w:rPr>
                <w:rFonts w:hint="eastAsia"/>
                <w:color w:val="auto"/>
                <w:szCs w:val="21"/>
                <w:highlight w:val="none"/>
                <w:lang w:val="en-US" w:eastAsia="zh-CN"/>
              </w:rPr>
            </w:pPr>
          </w:p>
        </w:tc>
      </w:tr>
      <w:tr w14:paraId="068F0D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1908" w:type="dxa"/>
            <w:tcBorders>
              <w:top w:val="single" w:color="auto" w:sz="4" w:space="0"/>
              <w:bottom w:val="single" w:color="auto" w:sz="4" w:space="0"/>
              <w:right w:val="single" w:color="auto" w:sz="4" w:space="0"/>
            </w:tcBorders>
            <w:noWrap/>
            <w:vAlign w:val="center"/>
          </w:tcPr>
          <w:p w14:paraId="52DA4ADF">
            <w:pPr>
              <w:topLinePunct/>
              <w:spacing w:line="440" w:lineRule="exact"/>
              <w:jc w:val="center"/>
              <w:rPr>
                <w:color w:val="auto"/>
                <w:szCs w:val="21"/>
                <w:highlight w:val="none"/>
              </w:rPr>
            </w:pPr>
            <w:r>
              <w:rPr>
                <w:rFonts w:hint="eastAsia" w:ascii="宋体" w:hAnsi="宋体" w:eastAsia="宋体" w:cs="宋体"/>
                <w:color w:val="auto"/>
                <w:kern w:val="0"/>
                <w:sz w:val="21"/>
                <w:szCs w:val="21"/>
                <w:highlight w:val="none"/>
                <w:lang w:val="en-US" w:eastAsia="zh-CN" w:bidi="ar"/>
              </w:rPr>
              <w:t>企业归属地</w:t>
            </w:r>
          </w:p>
        </w:tc>
        <w:tc>
          <w:tcPr>
            <w:tcW w:w="6660" w:type="dxa"/>
            <w:gridSpan w:val="5"/>
            <w:tcBorders>
              <w:top w:val="single" w:color="auto" w:sz="4" w:space="0"/>
              <w:left w:val="single" w:color="auto" w:sz="4" w:space="0"/>
              <w:bottom w:val="single" w:color="auto" w:sz="4" w:space="0"/>
            </w:tcBorders>
            <w:noWrap/>
            <w:vAlign w:val="center"/>
          </w:tcPr>
          <w:p w14:paraId="369283BB">
            <w:pPr>
              <w:keepNext w:val="0"/>
              <w:keepLines w:val="0"/>
              <w:widowControl/>
              <w:suppressLineNumbers w:val="0"/>
              <w:jc w:val="center"/>
              <w:rPr>
                <w:color w:val="auto"/>
                <w:szCs w:val="21"/>
                <w:highlight w:val="none"/>
              </w:rPr>
            </w:pPr>
            <w:r>
              <w:rPr>
                <w:rFonts w:hint="eastAsia" w:ascii="宋体" w:hAnsi="宋体" w:eastAsia="宋体" w:cs="宋体"/>
                <w:color w:val="auto"/>
                <w:kern w:val="0"/>
                <w:sz w:val="21"/>
                <w:szCs w:val="21"/>
                <w:highlight w:val="none"/>
                <w:lang w:val="en-US" w:eastAsia="zh-CN" w:bidi="ar"/>
              </w:rPr>
              <w:t>□省内企业     □省外企业</w:t>
            </w:r>
          </w:p>
        </w:tc>
      </w:tr>
      <w:tr w14:paraId="1D2598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908" w:type="dxa"/>
            <w:tcBorders>
              <w:top w:val="single" w:color="auto" w:sz="4" w:space="0"/>
              <w:bottom w:val="single" w:color="auto" w:sz="4" w:space="0"/>
              <w:right w:val="single" w:color="auto" w:sz="4" w:space="0"/>
            </w:tcBorders>
            <w:noWrap/>
            <w:vAlign w:val="center"/>
          </w:tcPr>
          <w:p w14:paraId="790D6C60">
            <w:pPr>
              <w:keepNext w:val="0"/>
              <w:keepLines w:val="0"/>
              <w:widowControl/>
              <w:suppressLineNumbers w:val="0"/>
              <w:jc w:val="center"/>
              <w:rPr>
                <w:color w:val="auto"/>
                <w:szCs w:val="21"/>
                <w:highlight w:val="none"/>
              </w:rPr>
            </w:pPr>
            <w:r>
              <w:rPr>
                <w:rFonts w:hint="eastAsia"/>
                <w:color w:val="auto"/>
                <w:szCs w:val="21"/>
                <w:highlight w:val="none"/>
                <w:lang w:val="en-US" w:eastAsia="zh-CN"/>
              </w:rPr>
              <w:t>在辽负责人姓名</w:t>
            </w:r>
          </w:p>
        </w:tc>
        <w:tc>
          <w:tcPr>
            <w:tcW w:w="2220" w:type="dxa"/>
            <w:tcBorders>
              <w:top w:val="single" w:color="auto" w:sz="4" w:space="0"/>
              <w:left w:val="single" w:color="auto" w:sz="4" w:space="0"/>
              <w:bottom w:val="single" w:color="auto" w:sz="4" w:space="0"/>
              <w:right w:val="single" w:color="auto" w:sz="4" w:space="0"/>
            </w:tcBorders>
            <w:noWrap/>
            <w:vAlign w:val="center"/>
          </w:tcPr>
          <w:p w14:paraId="7640D90D">
            <w:pPr>
              <w:topLinePunct/>
              <w:spacing w:line="440" w:lineRule="exact"/>
              <w:jc w:val="center"/>
              <w:rPr>
                <w:color w:val="auto"/>
                <w:szCs w:val="21"/>
                <w:highlight w:val="none"/>
              </w:rPr>
            </w:pPr>
          </w:p>
        </w:tc>
        <w:tc>
          <w:tcPr>
            <w:tcW w:w="2220" w:type="dxa"/>
            <w:gridSpan w:val="2"/>
            <w:tcBorders>
              <w:top w:val="single" w:color="auto" w:sz="4" w:space="0"/>
              <w:left w:val="single" w:color="auto" w:sz="4" w:space="0"/>
              <w:bottom w:val="single" w:color="auto" w:sz="4" w:space="0"/>
            </w:tcBorders>
            <w:noWrap/>
            <w:vAlign w:val="center"/>
          </w:tcPr>
          <w:p w14:paraId="570A8ADC">
            <w:pPr>
              <w:topLinePunct/>
              <w:spacing w:line="440" w:lineRule="exact"/>
              <w:ind w:firstLine="105" w:firstLineChars="50"/>
              <w:jc w:val="center"/>
              <w:rPr>
                <w:rFonts w:hint="eastAsia" w:eastAsia="宋体"/>
                <w:color w:val="auto"/>
                <w:szCs w:val="21"/>
                <w:highlight w:val="none"/>
                <w:lang w:eastAsia="zh-CN"/>
              </w:rPr>
            </w:pPr>
            <w:r>
              <w:rPr>
                <w:rFonts w:hint="eastAsia"/>
                <w:color w:val="auto"/>
                <w:szCs w:val="21"/>
                <w:highlight w:val="none"/>
                <w:lang w:eastAsia="zh-CN"/>
              </w:rPr>
              <w:t>电话</w:t>
            </w:r>
          </w:p>
        </w:tc>
        <w:tc>
          <w:tcPr>
            <w:tcW w:w="2220" w:type="dxa"/>
            <w:gridSpan w:val="2"/>
            <w:tcBorders>
              <w:top w:val="single" w:color="auto" w:sz="4" w:space="0"/>
              <w:left w:val="single" w:color="auto" w:sz="4" w:space="0"/>
              <w:bottom w:val="single" w:color="auto" w:sz="4" w:space="0"/>
            </w:tcBorders>
            <w:noWrap/>
            <w:vAlign w:val="center"/>
          </w:tcPr>
          <w:p w14:paraId="62E8E8B7">
            <w:pPr>
              <w:topLinePunct/>
              <w:spacing w:line="440" w:lineRule="exact"/>
              <w:ind w:firstLine="105" w:firstLineChars="50"/>
              <w:jc w:val="center"/>
              <w:rPr>
                <w:rFonts w:hint="eastAsia"/>
                <w:color w:val="auto"/>
                <w:szCs w:val="21"/>
                <w:highlight w:val="none"/>
              </w:rPr>
            </w:pPr>
          </w:p>
        </w:tc>
      </w:tr>
      <w:tr w14:paraId="6D7CAC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908" w:type="dxa"/>
            <w:tcBorders>
              <w:top w:val="single" w:color="auto" w:sz="4" w:space="0"/>
              <w:right w:val="single" w:color="auto" w:sz="4" w:space="0"/>
            </w:tcBorders>
            <w:noWrap/>
            <w:vAlign w:val="center"/>
          </w:tcPr>
          <w:p w14:paraId="1A1F0895">
            <w:pPr>
              <w:keepNext w:val="0"/>
              <w:keepLines w:val="0"/>
              <w:widowControl/>
              <w:suppressLineNumbers w:val="0"/>
              <w:jc w:val="center"/>
              <w:rPr>
                <w:color w:val="auto"/>
                <w:szCs w:val="21"/>
                <w:highlight w:val="none"/>
              </w:rPr>
            </w:pPr>
            <w:r>
              <w:rPr>
                <w:rFonts w:hint="eastAsia" w:ascii="宋体" w:hAnsi="宋体" w:eastAsia="宋体" w:cs="宋体"/>
                <w:color w:val="auto"/>
                <w:kern w:val="0"/>
                <w:sz w:val="21"/>
                <w:szCs w:val="21"/>
                <w:highlight w:val="none"/>
                <w:lang w:val="en-US" w:eastAsia="zh-CN" w:bidi="ar"/>
              </w:rPr>
              <w:t>入辽登记有效期</w:t>
            </w:r>
          </w:p>
        </w:tc>
        <w:tc>
          <w:tcPr>
            <w:tcW w:w="6660" w:type="dxa"/>
            <w:gridSpan w:val="5"/>
            <w:tcBorders>
              <w:top w:val="single" w:color="auto" w:sz="4" w:space="0"/>
              <w:left w:val="single" w:color="auto" w:sz="4" w:space="0"/>
            </w:tcBorders>
            <w:noWrap/>
            <w:vAlign w:val="center"/>
          </w:tcPr>
          <w:p w14:paraId="05192CD7">
            <w:pPr>
              <w:topLinePunct/>
              <w:spacing w:line="440" w:lineRule="exact"/>
              <w:jc w:val="center"/>
              <w:rPr>
                <w:rFonts w:hint="eastAsia" w:eastAsia="宋体"/>
                <w:color w:val="auto"/>
                <w:szCs w:val="21"/>
                <w:highlight w:val="none"/>
                <w:lang w:eastAsia="zh-CN"/>
              </w:rPr>
            </w:pPr>
            <w:r>
              <w:rPr>
                <w:rFonts w:hint="eastAsia"/>
                <w:color w:val="auto"/>
                <w:szCs w:val="21"/>
                <w:highlight w:val="none"/>
                <w:lang w:eastAsia="zh-CN"/>
              </w:rPr>
              <w:t>年</w:t>
            </w:r>
            <w:r>
              <w:rPr>
                <w:rFonts w:hint="eastAsia"/>
                <w:color w:val="auto"/>
                <w:szCs w:val="21"/>
                <w:highlight w:val="none"/>
                <w:lang w:val="en-US" w:eastAsia="zh-CN"/>
              </w:rPr>
              <w:t xml:space="preserve">   </w:t>
            </w:r>
            <w:r>
              <w:rPr>
                <w:rFonts w:hint="eastAsia"/>
                <w:color w:val="auto"/>
                <w:szCs w:val="21"/>
                <w:highlight w:val="none"/>
                <w:lang w:eastAsia="zh-CN"/>
              </w:rPr>
              <w:t>月</w:t>
            </w:r>
            <w:r>
              <w:rPr>
                <w:rFonts w:hint="eastAsia"/>
                <w:color w:val="auto"/>
                <w:szCs w:val="21"/>
                <w:highlight w:val="none"/>
                <w:lang w:val="en-US" w:eastAsia="zh-CN"/>
              </w:rPr>
              <w:t xml:space="preserve">   </w:t>
            </w:r>
            <w:r>
              <w:rPr>
                <w:rFonts w:hint="eastAsia"/>
                <w:color w:val="auto"/>
                <w:szCs w:val="21"/>
                <w:highlight w:val="none"/>
                <w:lang w:eastAsia="zh-CN"/>
              </w:rPr>
              <w:t>日</w:t>
            </w:r>
          </w:p>
        </w:tc>
      </w:tr>
    </w:tbl>
    <w:p w14:paraId="100C47B2">
      <w:pPr>
        <w:keepNext w:val="0"/>
        <w:keepLines w:val="0"/>
        <w:widowControl/>
        <w:suppressLineNumbers w:val="0"/>
        <w:jc w:val="left"/>
        <w:rPr>
          <w:color w:val="auto"/>
          <w:highlight w:val="none"/>
        </w:rPr>
      </w:pPr>
      <w:r>
        <w:rPr>
          <w:rFonts w:hint="eastAsia" w:ascii="宋体" w:hAnsi="宋体" w:eastAsia="宋体" w:cs="宋体"/>
          <w:color w:val="auto"/>
          <w:kern w:val="0"/>
          <w:sz w:val="21"/>
          <w:szCs w:val="21"/>
          <w:highlight w:val="none"/>
          <w:lang w:val="en-US" w:eastAsia="zh-CN" w:bidi="ar"/>
        </w:rPr>
        <w:t>备注：联合体投标的，联合体各成员均应附在辽基本信息登记单。</w:t>
      </w:r>
    </w:p>
    <w:p w14:paraId="2BE98F33">
      <w:pPr>
        <w:outlineLvl w:val="9"/>
        <w:rPr>
          <w:rFonts w:hint="eastAsia"/>
          <w:color w:val="auto"/>
          <w:highlight w:val="none"/>
        </w:rPr>
      </w:pPr>
    </w:p>
    <w:p w14:paraId="013D510E">
      <w:pPr>
        <w:outlineLvl w:val="9"/>
        <w:rPr>
          <w:rFonts w:hint="eastAsia"/>
          <w:color w:val="auto"/>
          <w:highlight w:val="none"/>
        </w:rPr>
      </w:pPr>
    </w:p>
    <w:p w14:paraId="09244BCE">
      <w:pPr>
        <w:outlineLvl w:val="9"/>
        <w:rPr>
          <w:rFonts w:hint="eastAsia"/>
          <w:color w:val="auto"/>
          <w:highlight w:val="none"/>
        </w:rPr>
      </w:pPr>
    </w:p>
    <w:p w14:paraId="56BA3A7D">
      <w:pPr>
        <w:outlineLvl w:val="9"/>
        <w:rPr>
          <w:rFonts w:hint="eastAsia"/>
          <w:color w:val="auto"/>
          <w:highlight w:val="none"/>
        </w:rPr>
      </w:pPr>
    </w:p>
    <w:p w14:paraId="3E6192C9">
      <w:pPr>
        <w:outlineLvl w:val="9"/>
        <w:rPr>
          <w:rFonts w:hint="eastAsia"/>
          <w:color w:val="auto"/>
          <w:highlight w:val="none"/>
        </w:rPr>
      </w:pPr>
    </w:p>
    <w:p w14:paraId="24E37B23">
      <w:pPr>
        <w:outlineLvl w:val="9"/>
        <w:rPr>
          <w:rFonts w:hint="eastAsia"/>
          <w:color w:val="auto"/>
          <w:highlight w:val="none"/>
        </w:rPr>
      </w:pPr>
    </w:p>
    <w:p w14:paraId="584D1D1E">
      <w:pPr>
        <w:outlineLvl w:val="9"/>
        <w:rPr>
          <w:rFonts w:hint="eastAsia"/>
          <w:color w:val="auto"/>
          <w:highlight w:val="none"/>
        </w:rPr>
      </w:pPr>
    </w:p>
    <w:p w14:paraId="00A38DB8">
      <w:pPr>
        <w:outlineLvl w:val="9"/>
        <w:rPr>
          <w:rFonts w:hint="eastAsia"/>
          <w:color w:val="auto"/>
          <w:highlight w:val="none"/>
        </w:rPr>
      </w:pPr>
    </w:p>
    <w:p w14:paraId="7D93014F">
      <w:pPr>
        <w:outlineLvl w:val="9"/>
        <w:rPr>
          <w:rFonts w:hint="eastAsia"/>
          <w:color w:val="auto"/>
          <w:highlight w:val="none"/>
        </w:rPr>
      </w:pPr>
    </w:p>
    <w:p w14:paraId="353FED1F">
      <w:pPr>
        <w:outlineLvl w:val="9"/>
        <w:rPr>
          <w:rFonts w:hint="eastAsia"/>
          <w:color w:val="auto"/>
          <w:highlight w:val="none"/>
        </w:rPr>
      </w:pPr>
    </w:p>
    <w:p w14:paraId="16ECDF5F">
      <w:pPr>
        <w:outlineLvl w:val="9"/>
        <w:rPr>
          <w:rFonts w:hint="eastAsia"/>
          <w:color w:val="auto"/>
          <w:highlight w:val="none"/>
        </w:rPr>
      </w:pPr>
    </w:p>
    <w:p w14:paraId="2C08B8B9">
      <w:pPr>
        <w:outlineLvl w:val="9"/>
        <w:rPr>
          <w:rFonts w:hint="eastAsia"/>
          <w:color w:val="auto"/>
          <w:highlight w:val="none"/>
        </w:rPr>
      </w:pPr>
    </w:p>
    <w:p w14:paraId="5CA82680">
      <w:pPr>
        <w:outlineLvl w:val="9"/>
        <w:rPr>
          <w:rFonts w:hint="eastAsia"/>
          <w:color w:val="auto"/>
          <w:highlight w:val="none"/>
        </w:rPr>
      </w:pPr>
    </w:p>
    <w:p w14:paraId="1BD64B13">
      <w:pPr>
        <w:rPr>
          <w:rFonts w:hint="eastAsia"/>
          <w:color w:val="auto"/>
          <w:highlight w:val="none"/>
        </w:rPr>
      </w:pPr>
    </w:p>
    <w:p w14:paraId="25AAD23E">
      <w:pPr>
        <w:rPr>
          <w:rFonts w:hint="eastAsia"/>
          <w:color w:val="auto"/>
          <w:highlight w:val="none"/>
        </w:rPr>
      </w:pPr>
    </w:p>
    <w:p w14:paraId="04239AB8">
      <w:pPr>
        <w:rPr>
          <w:rFonts w:hint="eastAsia"/>
          <w:color w:val="auto"/>
          <w:highlight w:val="none"/>
        </w:rPr>
        <w:sectPr>
          <w:pgSz w:w="11906" w:h="16838"/>
          <w:pgMar w:top="1440" w:right="991" w:bottom="1440" w:left="1276" w:header="851" w:footer="992" w:gutter="0"/>
          <w:pgNumType w:fmt="decimal"/>
          <w:cols w:space="720" w:num="1"/>
          <w:docGrid w:type="lines" w:linePitch="312" w:charSpace="0"/>
        </w:sectPr>
      </w:pPr>
    </w:p>
    <w:p w14:paraId="526C9B10">
      <w:pPr>
        <w:keepNext w:val="0"/>
        <w:keepLines w:val="0"/>
        <w:widowControl/>
        <w:suppressLineNumbers w:val="0"/>
        <w:jc w:val="center"/>
        <w:rPr>
          <w:color w:val="auto"/>
          <w:highlight w:val="none"/>
        </w:rPr>
      </w:pPr>
      <w:r>
        <w:rPr>
          <w:rFonts w:hint="default" w:ascii="Times New Roman" w:hAnsi="Times New Roman" w:eastAsia="宋体" w:cs="Times New Roman"/>
          <w:color w:val="auto"/>
          <w:kern w:val="0"/>
          <w:sz w:val="24"/>
          <w:szCs w:val="24"/>
          <w:highlight w:val="none"/>
          <w:lang w:val="en-US" w:eastAsia="zh-CN" w:bidi="ar"/>
        </w:rPr>
        <w:t>1-</w:t>
      </w:r>
      <w:r>
        <w:rPr>
          <w:rFonts w:hint="eastAsia" w:cs="Times New Roman"/>
          <w:color w:val="auto"/>
          <w:kern w:val="0"/>
          <w:sz w:val="24"/>
          <w:szCs w:val="24"/>
          <w:highlight w:val="none"/>
          <w:lang w:val="en-US" w:eastAsia="zh-CN" w:bidi="ar"/>
        </w:rPr>
        <w:t>4</w:t>
      </w:r>
      <w:r>
        <w:rPr>
          <w:rFonts w:hint="default" w:ascii="Times New Roman" w:hAnsi="Times New Roman" w:eastAsia="宋体" w:cs="Times New Roman"/>
          <w:color w:val="auto"/>
          <w:kern w:val="0"/>
          <w:sz w:val="24"/>
          <w:szCs w:val="24"/>
          <w:highlight w:val="none"/>
          <w:lang w:val="en-US" w:eastAsia="zh-CN" w:bidi="ar"/>
        </w:rPr>
        <w:t xml:space="preserve"> </w:t>
      </w:r>
      <w:r>
        <w:rPr>
          <w:rFonts w:ascii="黑体" w:hAnsi="宋体" w:eastAsia="黑体" w:cs="黑体"/>
          <w:color w:val="auto"/>
          <w:kern w:val="0"/>
          <w:sz w:val="24"/>
          <w:szCs w:val="24"/>
          <w:highlight w:val="none"/>
          <w:lang w:val="en-US" w:eastAsia="zh-CN" w:bidi="ar"/>
        </w:rPr>
        <w:t>项目管理机构主要人员表</w:t>
      </w:r>
    </w:p>
    <w:tbl>
      <w:tblPr>
        <w:tblStyle w:val="42"/>
        <w:tblW w:w="504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20"/>
        <w:gridCol w:w="994"/>
        <w:gridCol w:w="803"/>
        <w:gridCol w:w="522"/>
        <w:gridCol w:w="732"/>
        <w:gridCol w:w="732"/>
        <w:gridCol w:w="941"/>
        <w:gridCol w:w="1007"/>
        <w:gridCol w:w="465"/>
        <w:gridCol w:w="596"/>
        <w:gridCol w:w="696"/>
        <w:gridCol w:w="1043"/>
        <w:gridCol w:w="973"/>
        <w:gridCol w:w="974"/>
        <w:gridCol w:w="979"/>
        <w:gridCol w:w="1097"/>
        <w:gridCol w:w="917"/>
      </w:tblGrid>
      <w:tr w14:paraId="7B929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8" w:hRule="atLeast"/>
        </w:trPr>
        <w:tc>
          <w:tcPr>
            <w:tcW w:w="621" w:type="dxa"/>
            <w:vMerge w:val="restart"/>
            <w:noWrap w:val="0"/>
            <w:vAlign w:val="center"/>
          </w:tcPr>
          <w:p w14:paraId="09B4F842">
            <w:pPr>
              <w:keepNext w:val="0"/>
              <w:keepLines w:val="0"/>
              <w:widowControl w:val="0"/>
              <w:suppressLineNumbers w:val="0"/>
              <w:spacing w:before="0" w:beforeAutospacing="0" w:after="0" w:afterAutospacing="0"/>
              <w:ind w:left="0" w:leftChars="0" w:right="0" w:rightChars="0"/>
              <w:jc w:val="center"/>
              <w:rPr>
                <w:color w:val="auto"/>
                <w:szCs w:val="21"/>
                <w:highlight w:val="none"/>
              </w:rPr>
            </w:pPr>
            <w:r>
              <w:rPr>
                <w:rFonts w:hint="eastAsia" w:ascii="Times New Roman" w:hAnsi="Times New Roman" w:eastAsia="宋体" w:cs="宋体"/>
                <w:color w:val="auto"/>
                <w:kern w:val="2"/>
                <w:sz w:val="21"/>
                <w:szCs w:val="21"/>
                <w:highlight w:val="none"/>
                <w:lang w:val="en-US" w:eastAsia="zh-CN" w:bidi="ar"/>
              </w:rPr>
              <w:t>序号</w:t>
            </w:r>
          </w:p>
        </w:tc>
        <w:tc>
          <w:tcPr>
            <w:tcW w:w="993" w:type="dxa"/>
            <w:vMerge w:val="restart"/>
            <w:noWrap w:val="0"/>
            <w:vAlign w:val="center"/>
          </w:tcPr>
          <w:p w14:paraId="793CA7EF">
            <w:pPr>
              <w:keepNext w:val="0"/>
              <w:keepLines w:val="0"/>
              <w:widowControl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eastAsia="宋体" w:cs="宋体"/>
                <w:color w:val="auto"/>
                <w:kern w:val="2"/>
                <w:sz w:val="21"/>
                <w:szCs w:val="21"/>
                <w:highlight w:val="none"/>
                <w:lang w:val="en-US" w:eastAsia="zh-CN" w:bidi="ar"/>
              </w:rPr>
              <w:t>岗位</w:t>
            </w:r>
          </w:p>
          <w:p w14:paraId="5353B434">
            <w:pPr>
              <w:keepNext w:val="0"/>
              <w:keepLines w:val="0"/>
              <w:widowControl w:val="0"/>
              <w:suppressLineNumbers w:val="0"/>
              <w:spacing w:before="0" w:beforeAutospacing="0" w:after="0" w:afterAutospacing="0"/>
              <w:ind w:left="0" w:leftChars="0" w:right="0" w:rightChars="0"/>
              <w:jc w:val="center"/>
              <w:rPr>
                <w:rFonts w:hint="default"/>
                <w:color w:val="auto"/>
                <w:szCs w:val="21"/>
                <w:highlight w:val="none"/>
              </w:rPr>
            </w:pPr>
            <w:r>
              <w:rPr>
                <w:rFonts w:hint="eastAsia" w:ascii="Times New Roman" w:hAnsi="Times New Roman" w:eastAsia="宋体" w:cs="宋体"/>
                <w:color w:val="auto"/>
                <w:kern w:val="2"/>
                <w:sz w:val="21"/>
                <w:szCs w:val="21"/>
                <w:highlight w:val="none"/>
                <w:lang w:val="en-US" w:eastAsia="zh-CN" w:bidi="ar"/>
              </w:rPr>
              <w:t>（职务）</w:t>
            </w:r>
          </w:p>
        </w:tc>
        <w:tc>
          <w:tcPr>
            <w:tcW w:w="803" w:type="dxa"/>
            <w:vMerge w:val="restart"/>
            <w:noWrap w:val="0"/>
            <w:vAlign w:val="center"/>
          </w:tcPr>
          <w:p w14:paraId="09982D75">
            <w:pPr>
              <w:keepNext w:val="0"/>
              <w:keepLines w:val="0"/>
              <w:widowControl w:val="0"/>
              <w:suppressLineNumbers w:val="0"/>
              <w:spacing w:before="0" w:beforeAutospacing="0" w:after="0" w:afterAutospacing="0" w:line="240" w:lineRule="exact"/>
              <w:ind w:left="0" w:leftChars="0" w:right="0" w:rightChars="0"/>
              <w:jc w:val="center"/>
              <w:rPr>
                <w:color w:val="auto"/>
                <w:szCs w:val="21"/>
                <w:highlight w:val="none"/>
              </w:rPr>
            </w:pPr>
            <w:r>
              <w:rPr>
                <w:rFonts w:hint="eastAsia" w:ascii="Times New Roman" w:hAnsi="Times New Roman" w:eastAsia="宋体" w:cs="宋体"/>
                <w:color w:val="auto"/>
                <w:kern w:val="2"/>
                <w:sz w:val="21"/>
                <w:szCs w:val="21"/>
                <w:highlight w:val="none"/>
                <w:lang w:val="en-US" w:eastAsia="zh-CN" w:bidi="ar"/>
              </w:rPr>
              <w:t>姓名</w:t>
            </w:r>
          </w:p>
        </w:tc>
        <w:tc>
          <w:tcPr>
            <w:tcW w:w="522" w:type="dxa"/>
            <w:vMerge w:val="restart"/>
            <w:noWrap w:val="0"/>
            <w:vAlign w:val="center"/>
          </w:tcPr>
          <w:p w14:paraId="5F585569">
            <w:pPr>
              <w:keepNext w:val="0"/>
              <w:keepLines w:val="0"/>
              <w:widowControl w:val="0"/>
              <w:suppressLineNumbers w:val="0"/>
              <w:spacing w:before="0" w:beforeAutospacing="0" w:after="0" w:afterAutospacing="0" w:line="240" w:lineRule="exact"/>
              <w:ind w:left="0" w:leftChars="0" w:right="0" w:rightChars="0"/>
              <w:jc w:val="center"/>
              <w:rPr>
                <w:color w:val="auto"/>
                <w:szCs w:val="21"/>
                <w:highlight w:val="none"/>
              </w:rPr>
            </w:pPr>
            <w:r>
              <w:rPr>
                <w:rFonts w:hint="eastAsia" w:ascii="Times New Roman" w:hAnsi="Times New Roman" w:eastAsia="宋体" w:cs="宋体"/>
                <w:color w:val="auto"/>
                <w:kern w:val="2"/>
                <w:sz w:val="21"/>
                <w:szCs w:val="21"/>
                <w:highlight w:val="none"/>
                <w:lang w:val="en-US" w:eastAsia="zh-CN" w:bidi="ar"/>
              </w:rPr>
              <w:t>性别</w:t>
            </w:r>
          </w:p>
        </w:tc>
        <w:tc>
          <w:tcPr>
            <w:tcW w:w="732" w:type="dxa"/>
            <w:vMerge w:val="restart"/>
            <w:noWrap w:val="0"/>
            <w:vAlign w:val="center"/>
          </w:tcPr>
          <w:p w14:paraId="3F5CF3CC">
            <w:pPr>
              <w:keepNext w:val="0"/>
              <w:keepLines w:val="0"/>
              <w:widowControl w:val="0"/>
              <w:suppressLineNumbers w:val="0"/>
              <w:spacing w:before="0" w:beforeAutospacing="0" w:after="0" w:afterAutospacing="0" w:line="240" w:lineRule="exact"/>
              <w:ind w:left="0" w:leftChars="0" w:right="0" w:rightChars="0"/>
              <w:jc w:val="center"/>
              <w:rPr>
                <w:color w:val="auto"/>
                <w:szCs w:val="21"/>
                <w:highlight w:val="none"/>
              </w:rPr>
            </w:pPr>
            <w:r>
              <w:rPr>
                <w:rFonts w:hint="eastAsia" w:ascii="Times New Roman" w:hAnsi="Times New Roman" w:eastAsia="宋体" w:cs="宋体"/>
                <w:color w:val="auto"/>
                <w:kern w:val="2"/>
                <w:sz w:val="21"/>
                <w:szCs w:val="21"/>
                <w:highlight w:val="none"/>
                <w:lang w:val="en-US" w:eastAsia="zh-CN" w:bidi="ar"/>
              </w:rPr>
              <w:t>年龄</w:t>
            </w:r>
          </w:p>
        </w:tc>
        <w:tc>
          <w:tcPr>
            <w:tcW w:w="732" w:type="dxa"/>
            <w:vMerge w:val="restart"/>
            <w:noWrap w:val="0"/>
            <w:vAlign w:val="center"/>
          </w:tcPr>
          <w:p w14:paraId="4D9A53E9">
            <w:pPr>
              <w:keepNext w:val="0"/>
              <w:keepLines w:val="0"/>
              <w:widowControl w:val="0"/>
              <w:suppressLineNumbers w:val="0"/>
              <w:spacing w:before="0" w:beforeAutospacing="0" w:after="0" w:afterAutospacing="0" w:line="240" w:lineRule="exact"/>
              <w:ind w:left="0" w:leftChars="0" w:right="0" w:rightChars="0"/>
              <w:jc w:val="center"/>
              <w:rPr>
                <w:color w:val="auto"/>
                <w:szCs w:val="21"/>
                <w:highlight w:val="none"/>
              </w:rPr>
            </w:pPr>
            <w:r>
              <w:rPr>
                <w:rFonts w:hint="eastAsia" w:ascii="Times New Roman" w:hAnsi="Times New Roman" w:eastAsia="宋体" w:cs="宋体"/>
                <w:color w:val="auto"/>
                <w:kern w:val="2"/>
                <w:sz w:val="21"/>
                <w:szCs w:val="21"/>
                <w:highlight w:val="none"/>
                <w:lang w:val="en-US" w:eastAsia="zh-CN" w:bidi="ar"/>
              </w:rPr>
              <w:t>学历</w:t>
            </w:r>
          </w:p>
        </w:tc>
        <w:tc>
          <w:tcPr>
            <w:tcW w:w="940" w:type="dxa"/>
            <w:vMerge w:val="restart"/>
            <w:noWrap w:val="0"/>
            <w:vAlign w:val="center"/>
          </w:tcPr>
          <w:p w14:paraId="7C22AA8B">
            <w:pPr>
              <w:keepNext w:val="0"/>
              <w:keepLines w:val="0"/>
              <w:widowControl w:val="0"/>
              <w:suppressLineNumbers w:val="0"/>
              <w:spacing w:before="0" w:beforeAutospacing="0" w:after="0" w:afterAutospacing="0" w:line="240" w:lineRule="exact"/>
              <w:ind w:left="0" w:leftChars="0" w:right="0" w:rightChars="0"/>
              <w:jc w:val="center"/>
              <w:rPr>
                <w:color w:val="auto"/>
                <w:szCs w:val="21"/>
                <w:highlight w:val="none"/>
              </w:rPr>
            </w:pPr>
            <w:r>
              <w:rPr>
                <w:rFonts w:hint="eastAsia" w:ascii="Times New Roman" w:hAnsi="Times New Roman" w:eastAsia="宋体" w:cs="宋体"/>
                <w:color w:val="auto"/>
                <w:kern w:val="2"/>
                <w:sz w:val="21"/>
                <w:szCs w:val="21"/>
                <w:highlight w:val="none"/>
                <w:lang w:val="en-US" w:eastAsia="zh-CN" w:bidi="ar"/>
              </w:rPr>
              <w:t>所学专业</w:t>
            </w:r>
          </w:p>
        </w:tc>
        <w:tc>
          <w:tcPr>
            <w:tcW w:w="1006" w:type="dxa"/>
            <w:vMerge w:val="restart"/>
            <w:noWrap w:val="0"/>
            <w:vAlign w:val="center"/>
          </w:tcPr>
          <w:p w14:paraId="72B9CF21">
            <w:pPr>
              <w:keepNext w:val="0"/>
              <w:keepLines w:val="0"/>
              <w:widowControl w:val="0"/>
              <w:suppressLineNumbers w:val="0"/>
              <w:spacing w:before="0" w:beforeAutospacing="0" w:after="0" w:afterAutospacing="0"/>
              <w:ind w:left="0" w:leftChars="0" w:right="0" w:rightChars="0"/>
              <w:jc w:val="center"/>
              <w:rPr>
                <w:rFonts w:hint="eastAsia"/>
                <w:color w:val="auto"/>
                <w:szCs w:val="21"/>
                <w:highlight w:val="none"/>
              </w:rPr>
            </w:pPr>
            <w:r>
              <w:rPr>
                <w:rFonts w:hint="eastAsia" w:ascii="Times New Roman" w:hAnsi="Times New Roman" w:eastAsia="宋体" w:cs="宋体"/>
                <w:color w:val="auto"/>
                <w:kern w:val="2"/>
                <w:sz w:val="21"/>
                <w:szCs w:val="21"/>
                <w:highlight w:val="none"/>
                <w:lang w:val="en-US" w:eastAsia="zh-CN" w:bidi="ar"/>
              </w:rPr>
              <w:t>专业工作年限</w:t>
            </w:r>
          </w:p>
        </w:tc>
        <w:tc>
          <w:tcPr>
            <w:tcW w:w="1757" w:type="dxa"/>
            <w:gridSpan w:val="3"/>
            <w:noWrap w:val="0"/>
            <w:vAlign w:val="center"/>
          </w:tcPr>
          <w:p w14:paraId="64FABAC1">
            <w:pPr>
              <w:keepNext w:val="0"/>
              <w:keepLines w:val="0"/>
              <w:widowControl w:val="0"/>
              <w:suppressLineNumbers w:val="0"/>
              <w:spacing w:before="0" w:beforeAutospacing="0" w:after="0" w:afterAutospacing="0"/>
              <w:ind w:left="0" w:leftChars="0" w:right="0" w:rightChars="0"/>
              <w:jc w:val="center"/>
              <w:rPr>
                <w:color w:val="auto"/>
                <w:szCs w:val="21"/>
                <w:highlight w:val="none"/>
              </w:rPr>
            </w:pPr>
            <w:r>
              <w:rPr>
                <w:rFonts w:hint="eastAsia" w:ascii="Times New Roman" w:hAnsi="Times New Roman" w:eastAsia="宋体" w:cs="宋体"/>
                <w:color w:val="auto"/>
                <w:kern w:val="2"/>
                <w:sz w:val="21"/>
                <w:szCs w:val="21"/>
                <w:highlight w:val="none"/>
                <w:lang w:val="en-US" w:eastAsia="zh-CN" w:bidi="ar"/>
              </w:rPr>
              <w:t>专业技术职称</w:t>
            </w:r>
          </w:p>
        </w:tc>
        <w:tc>
          <w:tcPr>
            <w:tcW w:w="3965" w:type="dxa"/>
            <w:gridSpan w:val="4"/>
            <w:noWrap w:val="0"/>
            <w:vAlign w:val="center"/>
          </w:tcPr>
          <w:p w14:paraId="4AB24893">
            <w:pPr>
              <w:keepNext w:val="0"/>
              <w:keepLines w:val="0"/>
              <w:widowControl w:val="0"/>
              <w:suppressLineNumbers w:val="0"/>
              <w:spacing w:before="0" w:beforeAutospacing="0" w:after="0" w:afterAutospacing="0" w:line="420" w:lineRule="exact"/>
              <w:ind w:left="0" w:leftChars="0" w:right="0" w:rightChars="0"/>
              <w:jc w:val="center"/>
              <w:rPr>
                <w:color w:val="auto"/>
                <w:szCs w:val="21"/>
                <w:highlight w:val="none"/>
              </w:rPr>
            </w:pPr>
            <w:r>
              <w:rPr>
                <w:rFonts w:hint="eastAsia" w:ascii="宋体" w:hAnsi="宋体" w:eastAsia="宋体" w:cs="宋体"/>
                <w:color w:val="auto"/>
                <w:kern w:val="2"/>
                <w:sz w:val="21"/>
                <w:szCs w:val="21"/>
                <w:highlight w:val="none"/>
                <w:lang w:val="en-US" w:eastAsia="zh-CN" w:bidi="ar"/>
              </w:rPr>
              <w:t>执业或职业资格证明</w:t>
            </w:r>
          </w:p>
        </w:tc>
        <w:tc>
          <w:tcPr>
            <w:tcW w:w="1096" w:type="dxa"/>
            <w:vMerge w:val="restart"/>
            <w:noWrap w:val="0"/>
            <w:vAlign w:val="center"/>
          </w:tcPr>
          <w:p w14:paraId="6D2FBA67">
            <w:pPr>
              <w:keepNext w:val="0"/>
              <w:keepLines w:val="0"/>
              <w:widowControl w:val="0"/>
              <w:suppressLineNumbers w:val="0"/>
              <w:spacing w:before="0" w:beforeAutospacing="0" w:after="0" w:afterAutospacing="0" w:line="420" w:lineRule="exact"/>
              <w:ind w:left="0" w:leftChars="0" w:right="0" w:rightChars="0"/>
              <w:jc w:val="center"/>
              <w:rPr>
                <w:color w:val="auto"/>
                <w:szCs w:val="21"/>
                <w:highlight w:val="none"/>
              </w:rPr>
            </w:pPr>
            <w:r>
              <w:rPr>
                <w:rFonts w:hint="eastAsia" w:ascii="宋体" w:hAnsi="宋体" w:eastAsia="宋体" w:cs="宋体"/>
                <w:color w:val="auto"/>
                <w:kern w:val="2"/>
                <w:sz w:val="21"/>
                <w:szCs w:val="21"/>
                <w:highlight w:val="none"/>
                <w:lang w:val="en-US" w:eastAsia="zh-CN" w:bidi="ar"/>
              </w:rPr>
              <w:t>社会保险</w:t>
            </w:r>
          </w:p>
        </w:tc>
        <w:tc>
          <w:tcPr>
            <w:tcW w:w="916" w:type="dxa"/>
            <w:vMerge w:val="restart"/>
            <w:noWrap w:val="0"/>
            <w:vAlign w:val="center"/>
          </w:tcPr>
          <w:p w14:paraId="3C4CA5D1">
            <w:pPr>
              <w:keepNext w:val="0"/>
              <w:keepLines w:val="0"/>
              <w:widowControl w:val="0"/>
              <w:suppressLineNumbers w:val="0"/>
              <w:spacing w:before="0" w:beforeAutospacing="0" w:after="0" w:afterAutospacing="0" w:line="420" w:lineRule="exact"/>
              <w:ind w:left="0" w:right="0"/>
              <w:jc w:val="center"/>
              <w:rPr>
                <w:color w:val="auto"/>
                <w:szCs w:val="21"/>
                <w:highlight w:val="none"/>
              </w:rPr>
            </w:pPr>
            <w:r>
              <w:rPr>
                <w:rFonts w:hint="eastAsia" w:ascii="Times New Roman" w:hAnsi="Times New Roman" w:eastAsia="宋体" w:cs="宋体"/>
                <w:color w:val="auto"/>
                <w:kern w:val="2"/>
                <w:sz w:val="21"/>
                <w:szCs w:val="21"/>
                <w:highlight w:val="none"/>
                <w:lang w:val="en-US" w:eastAsia="zh-CN" w:bidi="ar"/>
              </w:rPr>
              <w:t>执业或</w:t>
            </w:r>
          </w:p>
          <w:p w14:paraId="45D1D13A">
            <w:pPr>
              <w:keepNext w:val="0"/>
              <w:keepLines w:val="0"/>
              <w:widowControl w:val="0"/>
              <w:suppressLineNumbers w:val="0"/>
              <w:spacing w:before="0" w:beforeAutospacing="0" w:after="0" w:afterAutospacing="0" w:line="420" w:lineRule="exact"/>
              <w:ind w:left="0" w:leftChars="0" w:right="0" w:rightChars="0"/>
              <w:jc w:val="center"/>
              <w:rPr>
                <w:color w:val="auto"/>
                <w:szCs w:val="21"/>
                <w:highlight w:val="none"/>
                <w:vertAlign w:val="superscript"/>
              </w:rPr>
            </w:pPr>
            <w:r>
              <w:rPr>
                <w:rFonts w:hint="eastAsia" w:ascii="Times New Roman" w:hAnsi="Times New Roman" w:eastAsia="宋体" w:cs="宋体"/>
                <w:color w:val="auto"/>
                <w:kern w:val="2"/>
                <w:sz w:val="21"/>
                <w:szCs w:val="21"/>
                <w:highlight w:val="none"/>
                <w:lang w:val="en-US" w:eastAsia="zh-CN" w:bidi="ar"/>
              </w:rPr>
              <w:t>职业单位</w:t>
            </w:r>
          </w:p>
        </w:tc>
      </w:tr>
      <w:tr w14:paraId="19482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8" w:hRule="atLeast"/>
        </w:trPr>
        <w:tc>
          <w:tcPr>
            <w:tcW w:w="621" w:type="dxa"/>
            <w:vMerge w:val="continue"/>
            <w:noWrap w:val="0"/>
            <w:vAlign w:val="center"/>
          </w:tcPr>
          <w:p w14:paraId="2CE045E0">
            <w:pPr>
              <w:rPr>
                <w:color w:val="auto"/>
                <w:szCs w:val="21"/>
                <w:highlight w:val="none"/>
              </w:rPr>
            </w:pPr>
          </w:p>
        </w:tc>
        <w:tc>
          <w:tcPr>
            <w:tcW w:w="993" w:type="dxa"/>
            <w:vMerge w:val="continue"/>
            <w:noWrap w:val="0"/>
            <w:vAlign w:val="center"/>
          </w:tcPr>
          <w:p w14:paraId="1E2F16AA">
            <w:pPr>
              <w:rPr>
                <w:color w:val="auto"/>
                <w:szCs w:val="21"/>
                <w:highlight w:val="none"/>
              </w:rPr>
            </w:pPr>
          </w:p>
        </w:tc>
        <w:tc>
          <w:tcPr>
            <w:tcW w:w="803" w:type="dxa"/>
            <w:vMerge w:val="continue"/>
            <w:noWrap w:val="0"/>
            <w:vAlign w:val="center"/>
          </w:tcPr>
          <w:p w14:paraId="39ABB34A">
            <w:pPr>
              <w:rPr>
                <w:color w:val="auto"/>
                <w:szCs w:val="21"/>
                <w:highlight w:val="none"/>
              </w:rPr>
            </w:pPr>
          </w:p>
        </w:tc>
        <w:tc>
          <w:tcPr>
            <w:tcW w:w="522" w:type="dxa"/>
            <w:vMerge w:val="continue"/>
            <w:noWrap w:val="0"/>
            <w:vAlign w:val="center"/>
          </w:tcPr>
          <w:p w14:paraId="7DA59FCD">
            <w:pPr>
              <w:rPr>
                <w:color w:val="auto"/>
                <w:szCs w:val="21"/>
                <w:highlight w:val="none"/>
              </w:rPr>
            </w:pPr>
          </w:p>
        </w:tc>
        <w:tc>
          <w:tcPr>
            <w:tcW w:w="732" w:type="dxa"/>
            <w:vMerge w:val="continue"/>
            <w:noWrap w:val="0"/>
            <w:vAlign w:val="center"/>
          </w:tcPr>
          <w:p w14:paraId="2A1D9740">
            <w:pPr>
              <w:rPr>
                <w:color w:val="auto"/>
                <w:szCs w:val="21"/>
                <w:highlight w:val="none"/>
              </w:rPr>
            </w:pPr>
          </w:p>
        </w:tc>
        <w:tc>
          <w:tcPr>
            <w:tcW w:w="732" w:type="dxa"/>
            <w:vMerge w:val="continue"/>
            <w:noWrap w:val="0"/>
            <w:vAlign w:val="center"/>
          </w:tcPr>
          <w:p w14:paraId="097F847F">
            <w:pPr>
              <w:rPr>
                <w:color w:val="auto"/>
                <w:szCs w:val="21"/>
                <w:highlight w:val="none"/>
              </w:rPr>
            </w:pPr>
          </w:p>
        </w:tc>
        <w:tc>
          <w:tcPr>
            <w:tcW w:w="940" w:type="dxa"/>
            <w:vMerge w:val="continue"/>
            <w:noWrap w:val="0"/>
            <w:vAlign w:val="center"/>
          </w:tcPr>
          <w:p w14:paraId="0D335D7D">
            <w:pPr>
              <w:rPr>
                <w:color w:val="auto"/>
                <w:szCs w:val="21"/>
                <w:highlight w:val="none"/>
              </w:rPr>
            </w:pPr>
          </w:p>
        </w:tc>
        <w:tc>
          <w:tcPr>
            <w:tcW w:w="1006" w:type="dxa"/>
            <w:vMerge w:val="continue"/>
            <w:noWrap w:val="0"/>
            <w:vAlign w:val="center"/>
          </w:tcPr>
          <w:p w14:paraId="2FAD0D08">
            <w:pPr>
              <w:rPr>
                <w:color w:val="auto"/>
                <w:szCs w:val="21"/>
                <w:highlight w:val="none"/>
              </w:rPr>
            </w:pPr>
          </w:p>
        </w:tc>
        <w:tc>
          <w:tcPr>
            <w:tcW w:w="465" w:type="dxa"/>
            <w:noWrap w:val="0"/>
            <w:vAlign w:val="center"/>
          </w:tcPr>
          <w:p w14:paraId="592B8396">
            <w:pPr>
              <w:keepNext w:val="0"/>
              <w:keepLines w:val="0"/>
              <w:widowControl w:val="0"/>
              <w:suppressLineNumbers w:val="0"/>
              <w:spacing w:before="0" w:beforeAutospacing="0" w:after="0" w:afterAutospacing="0"/>
              <w:ind w:left="0" w:leftChars="0" w:right="0" w:rightChars="0"/>
              <w:jc w:val="center"/>
              <w:rPr>
                <w:color w:val="auto"/>
                <w:szCs w:val="21"/>
                <w:highlight w:val="none"/>
              </w:rPr>
            </w:pPr>
            <w:r>
              <w:rPr>
                <w:rFonts w:hint="eastAsia" w:ascii="Times New Roman" w:hAnsi="Times New Roman" w:eastAsia="宋体" w:cs="宋体"/>
                <w:color w:val="auto"/>
                <w:kern w:val="2"/>
                <w:sz w:val="21"/>
                <w:szCs w:val="21"/>
                <w:highlight w:val="none"/>
                <w:lang w:val="en-US" w:eastAsia="zh-CN" w:bidi="ar"/>
              </w:rPr>
              <w:t>级别</w:t>
            </w:r>
          </w:p>
        </w:tc>
        <w:tc>
          <w:tcPr>
            <w:tcW w:w="596" w:type="dxa"/>
            <w:noWrap w:val="0"/>
            <w:vAlign w:val="center"/>
          </w:tcPr>
          <w:p w14:paraId="38FB3975">
            <w:pPr>
              <w:keepNext w:val="0"/>
              <w:keepLines w:val="0"/>
              <w:widowControl w:val="0"/>
              <w:suppressLineNumbers w:val="0"/>
              <w:spacing w:before="0" w:beforeAutospacing="0" w:after="0" w:afterAutospacing="0"/>
              <w:ind w:left="0" w:leftChars="0" w:right="0" w:rightChars="0"/>
              <w:jc w:val="center"/>
              <w:rPr>
                <w:color w:val="auto"/>
                <w:szCs w:val="21"/>
                <w:highlight w:val="none"/>
              </w:rPr>
            </w:pPr>
            <w:r>
              <w:rPr>
                <w:rFonts w:hint="eastAsia" w:ascii="Times New Roman" w:hAnsi="Times New Roman" w:eastAsia="宋体" w:cs="宋体"/>
                <w:color w:val="auto"/>
                <w:kern w:val="2"/>
                <w:sz w:val="21"/>
                <w:szCs w:val="21"/>
                <w:highlight w:val="none"/>
                <w:lang w:val="en-US" w:eastAsia="zh-CN" w:bidi="ar"/>
              </w:rPr>
              <w:t>职称专业</w:t>
            </w:r>
          </w:p>
        </w:tc>
        <w:tc>
          <w:tcPr>
            <w:tcW w:w="696" w:type="dxa"/>
            <w:noWrap w:val="0"/>
            <w:vAlign w:val="center"/>
          </w:tcPr>
          <w:p w14:paraId="4DB477FF">
            <w:pPr>
              <w:keepNext w:val="0"/>
              <w:keepLines w:val="0"/>
              <w:widowControl w:val="0"/>
              <w:suppressLineNumbers w:val="0"/>
              <w:spacing w:before="0" w:beforeAutospacing="0" w:after="0" w:afterAutospacing="0"/>
              <w:ind w:left="0" w:leftChars="0" w:right="0" w:rightChars="0"/>
              <w:jc w:val="center"/>
              <w:rPr>
                <w:color w:val="auto"/>
                <w:highlight w:val="none"/>
              </w:rPr>
            </w:pPr>
            <w:r>
              <w:rPr>
                <w:rFonts w:hint="eastAsia" w:ascii="Times New Roman" w:hAnsi="Times New Roman" w:eastAsia="宋体" w:cs="宋体"/>
                <w:color w:val="auto"/>
                <w:kern w:val="2"/>
                <w:sz w:val="21"/>
                <w:szCs w:val="21"/>
                <w:highlight w:val="none"/>
                <w:lang w:val="en-US" w:eastAsia="zh-CN" w:bidi="ar"/>
              </w:rPr>
              <w:t>职称专业类别</w:t>
            </w:r>
          </w:p>
        </w:tc>
        <w:tc>
          <w:tcPr>
            <w:tcW w:w="1042" w:type="dxa"/>
            <w:noWrap w:val="0"/>
            <w:vAlign w:val="center"/>
          </w:tcPr>
          <w:p w14:paraId="60762C26">
            <w:pPr>
              <w:keepNext w:val="0"/>
              <w:keepLines w:val="0"/>
              <w:widowControl w:val="0"/>
              <w:suppressLineNumbers w:val="0"/>
              <w:spacing w:before="0" w:beforeAutospacing="0" w:after="0" w:afterAutospacing="0"/>
              <w:ind w:left="0" w:leftChars="0" w:right="0" w:rightChars="0"/>
              <w:jc w:val="center"/>
              <w:rPr>
                <w:rFonts w:hint="eastAsia" w:ascii="宋体" w:hAnsi="宋体"/>
                <w:color w:val="auto"/>
                <w:szCs w:val="21"/>
                <w:highlight w:val="none"/>
              </w:rPr>
            </w:pPr>
            <w:r>
              <w:rPr>
                <w:rFonts w:hint="eastAsia" w:ascii="宋体" w:hAnsi="宋体" w:eastAsia="宋体" w:cs="宋体"/>
                <w:color w:val="auto"/>
                <w:kern w:val="2"/>
                <w:sz w:val="21"/>
                <w:szCs w:val="21"/>
                <w:highlight w:val="none"/>
                <w:lang w:val="en-US" w:eastAsia="zh-CN" w:bidi="ar"/>
              </w:rPr>
              <w:t>证书名称</w:t>
            </w:r>
          </w:p>
        </w:tc>
        <w:tc>
          <w:tcPr>
            <w:tcW w:w="972" w:type="dxa"/>
            <w:noWrap w:val="0"/>
            <w:vAlign w:val="center"/>
          </w:tcPr>
          <w:p w14:paraId="1313BAE6">
            <w:pPr>
              <w:keepNext w:val="0"/>
              <w:keepLines w:val="0"/>
              <w:widowControl w:val="0"/>
              <w:suppressLineNumbers w:val="0"/>
              <w:spacing w:before="0" w:beforeAutospacing="0" w:after="0" w:afterAutospacing="0"/>
              <w:ind w:left="0" w:leftChars="0" w:right="0" w:rightChars="0"/>
              <w:jc w:val="center"/>
              <w:rPr>
                <w:rFonts w:hint="eastAsia" w:ascii="宋体" w:hAnsi="宋体"/>
                <w:color w:val="auto"/>
                <w:szCs w:val="21"/>
                <w:highlight w:val="none"/>
              </w:rPr>
            </w:pPr>
            <w:r>
              <w:rPr>
                <w:rFonts w:hint="eastAsia" w:ascii="宋体" w:hAnsi="宋体" w:eastAsia="宋体" w:cs="宋体"/>
                <w:color w:val="auto"/>
                <w:kern w:val="2"/>
                <w:sz w:val="21"/>
                <w:szCs w:val="21"/>
                <w:highlight w:val="none"/>
                <w:lang w:val="en-US" w:eastAsia="zh-CN" w:bidi="ar"/>
              </w:rPr>
              <w:t>级别</w:t>
            </w:r>
          </w:p>
        </w:tc>
        <w:tc>
          <w:tcPr>
            <w:tcW w:w="973" w:type="dxa"/>
            <w:noWrap w:val="0"/>
            <w:vAlign w:val="center"/>
          </w:tcPr>
          <w:p w14:paraId="25183F86">
            <w:pPr>
              <w:keepNext w:val="0"/>
              <w:keepLines w:val="0"/>
              <w:widowControl w:val="0"/>
              <w:suppressLineNumbers w:val="0"/>
              <w:spacing w:before="0" w:beforeAutospacing="0" w:after="0" w:afterAutospacing="0"/>
              <w:ind w:left="0" w:leftChars="0" w:right="0" w:rightChars="0"/>
              <w:jc w:val="center"/>
              <w:rPr>
                <w:rFonts w:hint="eastAsia" w:ascii="宋体" w:hAnsi="宋体"/>
                <w:color w:val="auto"/>
                <w:szCs w:val="21"/>
                <w:highlight w:val="none"/>
              </w:rPr>
            </w:pPr>
            <w:r>
              <w:rPr>
                <w:rFonts w:hint="eastAsia" w:ascii="宋体" w:hAnsi="宋体" w:eastAsia="宋体" w:cs="宋体"/>
                <w:color w:val="auto"/>
                <w:kern w:val="2"/>
                <w:sz w:val="21"/>
                <w:szCs w:val="21"/>
                <w:highlight w:val="none"/>
                <w:lang w:val="en-US" w:eastAsia="zh-CN" w:bidi="ar"/>
              </w:rPr>
              <w:t>证号</w:t>
            </w:r>
          </w:p>
        </w:tc>
        <w:tc>
          <w:tcPr>
            <w:tcW w:w="978" w:type="dxa"/>
            <w:noWrap w:val="0"/>
            <w:vAlign w:val="center"/>
          </w:tcPr>
          <w:p w14:paraId="53402922">
            <w:pPr>
              <w:keepNext w:val="0"/>
              <w:keepLines w:val="0"/>
              <w:widowControl w:val="0"/>
              <w:suppressLineNumbers w:val="0"/>
              <w:spacing w:before="0" w:beforeAutospacing="0" w:after="0" w:afterAutospacing="0"/>
              <w:ind w:left="0" w:leftChars="0" w:right="0" w:rightChars="0"/>
              <w:jc w:val="center"/>
              <w:rPr>
                <w:rFonts w:hint="eastAsia" w:ascii="宋体" w:hAnsi="宋体"/>
                <w:color w:val="auto"/>
                <w:szCs w:val="21"/>
                <w:highlight w:val="none"/>
              </w:rPr>
            </w:pPr>
            <w:r>
              <w:rPr>
                <w:rFonts w:hint="eastAsia" w:ascii="宋体" w:hAnsi="宋体" w:eastAsia="宋体" w:cs="宋体"/>
                <w:color w:val="auto"/>
                <w:kern w:val="2"/>
                <w:sz w:val="21"/>
                <w:szCs w:val="21"/>
                <w:highlight w:val="none"/>
                <w:lang w:val="en-US" w:eastAsia="zh-CN" w:bidi="ar"/>
              </w:rPr>
              <w:t>专业</w:t>
            </w:r>
          </w:p>
        </w:tc>
        <w:tc>
          <w:tcPr>
            <w:tcW w:w="1096" w:type="dxa"/>
            <w:vMerge w:val="continue"/>
            <w:noWrap w:val="0"/>
            <w:vAlign w:val="center"/>
          </w:tcPr>
          <w:p w14:paraId="3C899FD7">
            <w:pPr>
              <w:rPr>
                <w:color w:val="auto"/>
                <w:szCs w:val="21"/>
                <w:highlight w:val="none"/>
              </w:rPr>
            </w:pPr>
          </w:p>
        </w:tc>
        <w:tc>
          <w:tcPr>
            <w:tcW w:w="916" w:type="dxa"/>
            <w:vMerge w:val="continue"/>
            <w:noWrap w:val="0"/>
            <w:vAlign w:val="center"/>
          </w:tcPr>
          <w:p w14:paraId="205D1BC9">
            <w:pPr>
              <w:rPr>
                <w:color w:val="auto"/>
                <w:szCs w:val="21"/>
                <w:highlight w:val="none"/>
              </w:rPr>
            </w:pPr>
          </w:p>
        </w:tc>
      </w:tr>
      <w:tr w14:paraId="1FB50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7" w:hRule="exact"/>
        </w:trPr>
        <w:tc>
          <w:tcPr>
            <w:tcW w:w="621" w:type="dxa"/>
            <w:noWrap w:val="0"/>
            <w:vAlign w:val="center"/>
          </w:tcPr>
          <w:p w14:paraId="1387E38B">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r>
              <w:rPr>
                <w:rFonts w:hint="default" w:ascii="Times New Roman" w:hAnsi="Times New Roman" w:eastAsia="宋体" w:cs="Times New Roman"/>
                <w:color w:val="auto"/>
                <w:kern w:val="2"/>
                <w:sz w:val="21"/>
                <w:szCs w:val="21"/>
                <w:highlight w:val="none"/>
                <w:lang w:val="en-US" w:eastAsia="zh-CN" w:bidi="ar"/>
              </w:rPr>
              <w:t>1</w:t>
            </w:r>
          </w:p>
        </w:tc>
        <w:tc>
          <w:tcPr>
            <w:tcW w:w="993" w:type="dxa"/>
            <w:noWrap w:val="0"/>
            <w:vAlign w:val="center"/>
          </w:tcPr>
          <w:p w14:paraId="13316ABC">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803" w:type="dxa"/>
            <w:noWrap w:val="0"/>
            <w:vAlign w:val="center"/>
          </w:tcPr>
          <w:p w14:paraId="7ADDF022">
            <w:pPr>
              <w:keepNext w:val="0"/>
              <w:keepLines w:val="0"/>
              <w:widowControl w:val="0"/>
              <w:suppressLineNumbers w:val="0"/>
              <w:spacing w:before="0" w:beforeAutospacing="0" w:after="0" w:afterAutospacing="0" w:line="240" w:lineRule="exact"/>
              <w:ind w:left="0" w:leftChars="0" w:right="0" w:rightChars="0"/>
              <w:jc w:val="center"/>
              <w:rPr>
                <w:color w:val="auto"/>
                <w:szCs w:val="21"/>
                <w:highlight w:val="none"/>
              </w:rPr>
            </w:pPr>
          </w:p>
        </w:tc>
        <w:tc>
          <w:tcPr>
            <w:tcW w:w="522" w:type="dxa"/>
            <w:noWrap w:val="0"/>
            <w:vAlign w:val="center"/>
          </w:tcPr>
          <w:p w14:paraId="6032B4AE">
            <w:pPr>
              <w:keepNext w:val="0"/>
              <w:keepLines w:val="0"/>
              <w:widowControl w:val="0"/>
              <w:suppressLineNumbers w:val="0"/>
              <w:spacing w:before="0" w:beforeAutospacing="0" w:after="0" w:afterAutospacing="0" w:line="240" w:lineRule="exact"/>
              <w:ind w:left="0" w:leftChars="0" w:right="0" w:rightChars="0"/>
              <w:jc w:val="center"/>
              <w:rPr>
                <w:color w:val="auto"/>
                <w:szCs w:val="21"/>
                <w:highlight w:val="none"/>
              </w:rPr>
            </w:pPr>
          </w:p>
        </w:tc>
        <w:tc>
          <w:tcPr>
            <w:tcW w:w="732" w:type="dxa"/>
            <w:noWrap w:val="0"/>
            <w:vAlign w:val="center"/>
          </w:tcPr>
          <w:p w14:paraId="54304B63">
            <w:pPr>
              <w:keepNext w:val="0"/>
              <w:keepLines w:val="0"/>
              <w:widowControl w:val="0"/>
              <w:suppressLineNumbers w:val="0"/>
              <w:spacing w:before="0" w:beforeAutospacing="0" w:after="0" w:afterAutospacing="0" w:line="240" w:lineRule="exact"/>
              <w:ind w:left="0" w:leftChars="0" w:right="0" w:rightChars="0"/>
              <w:jc w:val="center"/>
              <w:rPr>
                <w:color w:val="auto"/>
                <w:szCs w:val="21"/>
                <w:highlight w:val="none"/>
              </w:rPr>
            </w:pPr>
          </w:p>
        </w:tc>
        <w:tc>
          <w:tcPr>
            <w:tcW w:w="732" w:type="dxa"/>
            <w:noWrap w:val="0"/>
            <w:vAlign w:val="center"/>
          </w:tcPr>
          <w:p w14:paraId="77CF3E68">
            <w:pPr>
              <w:keepNext w:val="0"/>
              <w:keepLines w:val="0"/>
              <w:widowControl w:val="0"/>
              <w:suppressLineNumbers w:val="0"/>
              <w:spacing w:before="0" w:beforeAutospacing="0" w:after="0" w:afterAutospacing="0" w:line="240" w:lineRule="exact"/>
              <w:ind w:left="0" w:leftChars="0" w:right="0" w:rightChars="0"/>
              <w:jc w:val="center"/>
              <w:rPr>
                <w:color w:val="auto"/>
                <w:szCs w:val="21"/>
                <w:highlight w:val="none"/>
              </w:rPr>
            </w:pPr>
          </w:p>
        </w:tc>
        <w:tc>
          <w:tcPr>
            <w:tcW w:w="940" w:type="dxa"/>
            <w:noWrap w:val="0"/>
            <w:vAlign w:val="center"/>
          </w:tcPr>
          <w:p w14:paraId="380A3445">
            <w:pPr>
              <w:keepNext w:val="0"/>
              <w:keepLines w:val="0"/>
              <w:widowControl w:val="0"/>
              <w:suppressLineNumbers w:val="0"/>
              <w:spacing w:before="0" w:beforeAutospacing="0" w:after="0" w:afterAutospacing="0" w:line="240" w:lineRule="exact"/>
              <w:ind w:left="0" w:leftChars="0" w:right="0" w:rightChars="0"/>
              <w:jc w:val="center"/>
              <w:rPr>
                <w:color w:val="auto"/>
                <w:szCs w:val="21"/>
                <w:highlight w:val="none"/>
              </w:rPr>
            </w:pPr>
          </w:p>
        </w:tc>
        <w:tc>
          <w:tcPr>
            <w:tcW w:w="1006" w:type="dxa"/>
            <w:noWrap w:val="0"/>
            <w:vAlign w:val="center"/>
          </w:tcPr>
          <w:p w14:paraId="25F7246A">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465" w:type="dxa"/>
            <w:noWrap w:val="0"/>
            <w:vAlign w:val="center"/>
          </w:tcPr>
          <w:p w14:paraId="7D036557">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596" w:type="dxa"/>
            <w:noWrap w:val="0"/>
            <w:vAlign w:val="center"/>
          </w:tcPr>
          <w:p w14:paraId="6F6D8172">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696" w:type="dxa"/>
            <w:noWrap w:val="0"/>
            <w:vAlign w:val="center"/>
          </w:tcPr>
          <w:p w14:paraId="2F2A5D60">
            <w:pPr>
              <w:keepNext w:val="0"/>
              <w:keepLines w:val="0"/>
              <w:widowControl w:val="0"/>
              <w:suppressLineNumbers w:val="0"/>
              <w:spacing w:before="0" w:beforeAutospacing="0" w:after="0" w:afterAutospacing="0"/>
              <w:ind w:left="0" w:leftChars="0" w:right="0" w:rightChars="0"/>
              <w:jc w:val="center"/>
              <w:rPr>
                <w:color w:val="auto"/>
                <w:highlight w:val="none"/>
              </w:rPr>
            </w:pPr>
          </w:p>
        </w:tc>
        <w:tc>
          <w:tcPr>
            <w:tcW w:w="1042" w:type="dxa"/>
            <w:noWrap w:val="0"/>
            <w:vAlign w:val="center"/>
          </w:tcPr>
          <w:p w14:paraId="309E76A8">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972" w:type="dxa"/>
            <w:noWrap w:val="0"/>
            <w:vAlign w:val="center"/>
          </w:tcPr>
          <w:p w14:paraId="3AF33BE0">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973" w:type="dxa"/>
            <w:noWrap w:val="0"/>
            <w:vAlign w:val="center"/>
          </w:tcPr>
          <w:p w14:paraId="4D860A48">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978" w:type="dxa"/>
            <w:noWrap w:val="0"/>
            <w:vAlign w:val="center"/>
          </w:tcPr>
          <w:p w14:paraId="78134973">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1096" w:type="dxa"/>
            <w:noWrap w:val="0"/>
            <w:vAlign w:val="center"/>
          </w:tcPr>
          <w:p w14:paraId="5232EEEE">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916" w:type="dxa"/>
            <w:noWrap w:val="0"/>
            <w:vAlign w:val="center"/>
          </w:tcPr>
          <w:p w14:paraId="5FED222C">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r>
      <w:tr w14:paraId="3D04B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7" w:hRule="exact"/>
        </w:trPr>
        <w:tc>
          <w:tcPr>
            <w:tcW w:w="621" w:type="dxa"/>
            <w:noWrap w:val="0"/>
            <w:vAlign w:val="center"/>
          </w:tcPr>
          <w:p w14:paraId="062EBDEA">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r>
              <w:rPr>
                <w:rFonts w:hint="default" w:ascii="Times New Roman" w:hAnsi="Times New Roman" w:eastAsia="宋体" w:cs="Times New Roman"/>
                <w:color w:val="auto"/>
                <w:kern w:val="2"/>
                <w:sz w:val="21"/>
                <w:szCs w:val="21"/>
                <w:highlight w:val="none"/>
                <w:lang w:val="en-US" w:eastAsia="zh-CN" w:bidi="ar"/>
              </w:rPr>
              <w:t>2</w:t>
            </w:r>
          </w:p>
        </w:tc>
        <w:tc>
          <w:tcPr>
            <w:tcW w:w="993" w:type="dxa"/>
            <w:noWrap w:val="0"/>
            <w:vAlign w:val="center"/>
          </w:tcPr>
          <w:p w14:paraId="2CB9E4E3">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803" w:type="dxa"/>
            <w:noWrap w:val="0"/>
            <w:vAlign w:val="center"/>
          </w:tcPr>
          <w:p w14:paraId="70306643">
            <w:pPr>
              <w:keepNext w:val="0"/>
              <w:keepLines w:val="0"/>
              <w:widowControl w:val="0"/>
              <w:suppressLineNumbers w:val="0"/>
              <w:spacing w:before="0" w:beforeAutospacing="0" w:after="0" w:afterAutospacing="0" w:line="240" w:lineRule="exact"/>
              <w:ind w:left="0" w:leftChars="0" w:right="0" w:rightChars="0"/>
              <w:jc w:val="center"/>
              <w:rPr>
                <w:color w:val="auto"/>
                <w:szCs w:val="21"/>
                <w:highlight w:val="none"/>
              </w:rPr>
            </w:pPr>
          </w:p>
        </w:tc>
        <w:tc>
          <w:tcPr>
            <w:tcW w:w="522" w:type="dxa"/>
            <w:noWrap w:val="0"/>
            <w:vAlign w:val="center"/>
          </w:tcPr>
          <w:p w14:paraId="0EF35ADB">
            <w:pPr>
              <w:keepNext w:val="0"/>
              <w:keepLines w:val="0"/>
              <w:widowControl w:val="0"/>
              <w:suppressLineNumbers w:val="0"/>
              <w:spacing w:before="0" w:beforeAutospacing="0" w:after="0" w:afterAutospacing="0" w:line="240" w:lineRule="exact"/>
              <w:ind w:left="0" w:leftChars="0" w:right="0" w:rightChars="0"/>
              <w:jc w:val="center"/>
              <w:rPr>
                <w:color w:val="auto"/>
                <w:szCs w:val="21"/>
                <w:highlight w:val="none"/>
              </w:rPr>
            </w:pPr>
          </w:p>
        </w:tc>
        <w:tc>
          <w:tcPr>
            <w:tcW w:w="732" w:type="dxa"/>
            <w:noWrap w:val="0"/>
            <w:vAlign w:val="center"/>
          </w:tcPr>
          <w:p w14:paraId="280FC863">
            <w:pPr>
              <w:keepNext w:val="0"/>
              <w:keepLines w:val="0"/>
              <w:widowControl w:val="0"/>
              <w:suppressLineNumbers w:val="0"/>
              <w:spacing w:before="0" w:beforeAutospacing="0" w:after="0" w:afterAutospacing="0" w:line="240" w:lineRule="exact"/>
              <w:ind w:left="0" w:leftChars="0" w:right="0" w:rightChars="0"/>
              <w:jc w:val="center"/>
              <w:rPr>
                <w:color w:val="auto"/>
                <w:szCs w:val="21"/>
                <w:highlight w:val="none"/>
              </w:rPr>
            </w:pPr>
          </w:p>
        </w:tc>
        <w:tc>
          <w:tcPr>
            <w:tcW w:w="732" w:type="dxa"/>
            <w:noWrap w:val="0"/>
            <w:vAlign w:val="center"/>
          </w:tcPr>
          <w:p w14:paraId="3AEAF541">
            <w:pPr>
              <w:keepNext w:val="0"/>
              <w:keepLines w:val="0"/>
              <w:widowControl w:val="0"/>
              <w:suppressLineNumbers w:val="0"/>
              <w:spacing w:before="0" w:beforeAutospacing="0" w:after="0" w:afterAutospacing="0" w:line="240" w:lineRule="exact"/>
              <w:ind w:left="0" w:leftChars="0" w:right="0" w:rightChars="0"/>
              <w:jc w:val="center"/>
              <w:rPr>
                <w:color w:val="auto"/>
                <w:szCs w:val="21"/>
                <w:highlight w:val="none"/>
              </w:rPr>
            </w:pPr>
          </w:p>
        </w:tc>
        <w:tc>
          <w:tcPr>
            <w:tcW w:w="940" w:type="dxa"/>
            <w:noWrap w:val="0"/>
            <w:vAlign w:val="center"/>
          </w:tcPr>
          <w:p w14:paraId="1620BA12">
            <w:pPr>
              <w:keepNext w:val="0"/>
              <w:keepLines w:val="0"/>
              <w:widowControl w:val="0"/>
              <w:suppressLineNumbers w:val="0"/>
              <w:spacing w:before="0" w:beforeAutospacing="0" w:after="0" w:afterAutospacing="0" w:line="240" w:lineRule="exact"/>
              <w:ind w:left="0" w:leftChars="0" w:right="0" w:rightChars="0"/>
              <w:jc w:val="center"/>
              <w:rPr>
                <w:color w:val="auto"/>
                <w:szCs w:val="21"/>
                <w:highlight w:val="none"/>
              </w:rPr>
            </w:pPr>
          </w:p>
        </w:tc>
        <w:tc>
          <w:tcPr>
            <w:tcW w:w="1006" w:type="dxa"/>
            <w:noWrap w:val="0"/>
            <w:vAlign w:val="center"/>
          </w:tcPr>
          <w:p w14:paraId="01F18CE4">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465" w:type="dxa"/>
            <w:noWrap w:val="0"/>
            <w:vAlign w:val="center"/>
          </w:tcPr>
          <w:p w14:paraId="2307C0CB">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596" w:type="dxa"/>
            <w:noWrap w:val="0"/>
            <w:vAlign w:val="center"/>
          </w:tcPr>
          <w:p w14:paraId="21AA916D">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696" w:type="dxa"/>
            <w:noWrap w:val="0"/>
            <w:vAlign w:val="center"/>
          </w:tcPr>
          <w:p w14:paraId="28B411B7">
            <w:pPr>
              <w:keepNext w:val="0"/>
              <w:keepLines w:val="0"/>
              <w:widowControl w:val="0"/>
              <w:suppressLineNumbers w:val="0"/>
              <w:spacing w:before="0" w:beforeAutospacing="0" w:after="0" w:afterAutospacing="0"/>
              <w:ind w:left="0" w:leftChars="0" w:right="0" w:rightChars="0"/>
              <w:jc w:val="center"/>
              <w:rPr>
                <w:color w:val="auto"/>
                <w:highlight w:val="none"/>
              </w:rPr>
            </w:pPr>
          </w:p>
        </w:tc>
        <w:tc>
          <w:tcPr>
            <w:tcW w:w="1042" w:type="dxa"/>
            <w:noWrap w:val="0"/>
            <w:vAlign w:val="center"/>
          </w:tcPr>
          <w:p w14:paraId="7BF0197E">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972" w:type="dxa"/>
            <w:noWrap w:val="0"/>
            <w:vAlign w:val="center"/>
          </w:tcPr>
          <w:p w14:paraId="61D81160">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973" w:type="dxa"/>
            <w:noWrap w:val="0"/>
            <w:vAlign w:val="center"/>
          </w:tcPr>
          <w:p w14:paraId="0680CBC4">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978" w:type="dxa"/>
            <w:noWrap w:val="0"/>
            <w:vAlign w:val="center"/>
          </w:tcPr>
          <w:p w14:paraId="2B4E3569">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1096" w:type="dxa"/>
            <w:noWrap w:val="0"/>
            <w:vAlign w:val="center"/>
          </w:tcPr>
          <w:p w14:paraId="124B6718">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916" w:type="dxa"/>
            <w:noWrap w:val="0"/>
            <w:vAlign w:val="center"/>
          </w:tcPr>
          <w:p w14:paraId="1708A124">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r>
      <w:tr w14:paraId="43A7F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7" w:hRule="exact"/>
        </w:trPr>
        <w:tc>
          <w:tcPr>
            <w:tcW w:w="621" w:type="dxa"/>
            <w:noWrap w:val="0"/>
            <w:vAlign w:val="center"/>
          </w:tcPr>
          <w:p w14:paraId="0196D466">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r>
              <w:rPr>
                <w:rFonts w:hint="default" w:ascii="Times New Roman" w:hAnsi="Times New Roman" w:eastAsia="宋体" w:cs="Times New Roman"/>
                <w:color w:val="auto"/>
                <w:kern w:val="2"/>
                <w:sz w:val="21"/>
                <w:szCs w:val="21"/>
                <w:highlight w:val="none"/>
                <w:lang w:val="en-US" w:eastAsia="zh-CN" w:bidi="ar"/>
              </w:rPr>
              <w:t>3</w:t>
            </w:r>
          </w:p>
        </w:tc>
        <w:tc>
          <w:tcPr>
            <w:tcW w:w="993" w:type="dxa"/>
            <w:noWrap w:val="0"/>
            <w:vAlign w:val="center"/>
          </w:tcPr>
          <w:p w14:paraId="23A2961E">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803" w:type="dxa"/>
            <w:noWrap w:val="0"/>
            <w:vAlign w:val="center"/>
          </w:tcPr>
          <w:p w14:paraId="1A0F0272">
            <w:pPr>
              <w:keepNext w:val="0"/>
              <w:keepLines w:val="0"/>
              <w:widowControl w:val="0"/>
              <w:suppressLineNumbers w:val="0"/>
              <w:spacing w:before="0" w:beforeAutospacing="0" w:after="0" w:afterAutospacing="0" w:line="240" w:lineRule="exact"/>
              <w:ind w:left="0" w:leftChars="0" w:right="0" w:rightChars="0"/>
              <w:jc w:val="center"/>
              <w:rPr>
                <w:color w:val="auto"/>
                <w:szCs w:val="21"/>
                <w:highlight w:val="none"/>
              </w:rPr>
            </w:pPr>
          </w:p>
        </w:tc>
        <w:tc>
          <w:tcPr>
            <w:tcW w:w="522" w:type="dxa"/>
            <w:noWrap w:val="0"/>
            <w:vAlign w:val="center"/>
          </w:tcPr>
          <w:p w14:paraId="62963630">
            <w:pPr>
              <w:keepNext w:val="0"/>
              <w:keepLines w:val="0"/>
              <w:widowControl w:val="0"/>
              <w:suppressLineNumbers w:val="0"/>
              <w:spacing w:before="0" w:beforeAutospacing="0" w:after="0" w:afterAutospacing="0" w:line="240" w:lineRule="exact"/>
              <w:ind w:left="0" w:leftChars="0" w:right="0" w:rightChars="0"/>
              <w:jc w:val="center"/>
              <w:rPr>
                <w:color w:val="auto"/>
                <w:szCs w:val="21"/>
                <w:highlight w:val="none"/>
              </w:rPr>
            </w:pPr>
          </w:p>
        </w:tc>
        <w:tc>
          <w:tcPr>
            <w:tcW w:w="732" w:type="dxa"/>
            <w:noWrap w:val="0"/>
            <w:vAlign w:val="center"/>
          </w:tcPr>
          <w:p w14:paraId="5707F345">
            <w:pPr>
              <w:keepNext w:val="0"/>
              <w:keepLines w:val="0"/>
              <w:widowControl w:val="0"/>
              <w:suppressLineNumbers w:val="0"/>
              <w:spacing w:before="0" w:beforeAutospacing="0" w:after="0" w:afterAutospacing="0" w:line="240" w:lineRule="exact"/>
              <w:ind w:left="0" w:leftChars="0" w:right="0" w:rightChars="0"/>
              <w:jc w:val="center"/>
              <w:rPr>
                <w:color w:val="auto"/>
                <w:szCs w:val="21"/>
                <w:highlight w:val="none"/>
              </w:rPr>
            </w:pPr>
          </w:p>
        </w:tc>
        <w:tc>
          <w:tcPr>
            <w:tcW w:w="732" w:type="dxa"/>
            <w:noWrap w:val="0"/>
            <w:vAlign w:val="center"/>
          </w:tcPr>
          <w:p w14:paraId="251FFB8C">
            <w:pPr>
              <w:keepNext w:val="0"/>
              <w:keepLines w:val="0"/>
              <w:widowControl w:val="0"/>
              <w:suppressLineNumbers w:val="0"/>
              <w:spacing w:before="0" w:beforeAutospacing="0" w:after="0" w:afterAutospacing="0" w:line="240" w:lineRule="exact"/>
              <w:ind w:left="0" w:leftChars="0" w:right="0" w:rightChars="0"/>
              <w:jc w:val="center"/>
              <w:rPr>
                <w:color w:val="auto"/>
                <w:szCs w:val="21"/>
                <w:highlight w:val="none"/>
              </w:rPr>
            </w:pPr>
          </w:p>
        </w:tc>
        <w:tc>
          <w:tcPr>
            <w:tcW w:w="940" w:type="dxa"/>
            <w:noWrap w:val="0"/>
            <w:vAlign w:val="center"/>
          </w:tcPr>
          <w:p w14:paraId="5AE2BF10">
            <w:pPr>
              <w:keepNext w:val="0"/>
              <w:keepLines w:val="0"/>
              <w:widowControl w:val="0"/>
              <w:suppressLineNumbers w:val="0"/>
              <w:spacing w:before="0" w:beforeAutospacing="0" w:after="0" w:afterAutospacing="0" w:line="240" w:lineRule="exact"/>
              <w:ind w:left="0" w:leftChars="0" w:right="0" w:rightChars="0"/>
              <w:jc w:val="center"/>
              <w:rPr>
                <w:color w:val="auto"/>
                <w:szCs w:val="21"/>
                <w:highlight w:val="none"/>
              </w:rPr>
            </w:pPr>
          </w:p>
        </w:tc>
        <w:tc>
          <w:tcPr>
            <w:tcW w:w="1006" w:type="dxa"/>
            <w:noWrap w:val="0"/>
            <w:vAlign w:val="center"/>
          </w:tcPr>
          <w:p w14:paraId="2194C55A">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465" w:type="dxa"/>
            <w:noWrap w:val="0"/>
            <w:vAlign w:val="center"/>
          </w:tcPr>
          <w:p w14:paraId="50D4928C">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596" w:type="dxa"/>
            <w:noWrap w:val="0"/>
            <w:vAlign w:val="center"/>
          </w:tcPr>
          <w:p w14:paraId="7F491EC9">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696" w:type="dxa"/>
            <w:noWrap w:val="0"/>
            <w:vAlign w:val="center"/>
          </w:tcPr>
          <w:p w14:paraId="1DD63BC8">
            <w:pPr>
              <w:keepNext w:val="0"/>
              <w:keepLines w:val="0"/>
              <w:widowControl w:val="0"/>
              <w:suppressLineNumbers w:val="0"/>
              <w:spacing w:before="0" w:beforeAutospacing="0" w:after="0" w:afterAutospacing="0"/>
              <w:ind w:left="0" w:leftChars="0" w:right="0" w:rightChars="0"/>
              <w:jc w:val="center"/>
              <w:rPr>
                <w:color w:val="auto"/>
                <w:highlight w:val="none"/>
              </w:rPr>
            </w:pPr>
          </w:p>
        </w:tc>
        <w:tc>
          <w:tcPr>
            <w:tcW w:w="1042" w:type="dxa"/>
            <w:noWrap w:val="0"/>
            <w:vAlign w:val="center"/>
          </w:tcPr>
          <w:p w14:paraId="1AAE5D46">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972" w:type="dxa"/>
            <w:noWrap w:val="0"/>
            <w:vAlign w:val="center"/>
          </w:tcPr>
          <w:p w14:paraId="50A2A7D2">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973" w:type="dxa"/>
            <w:noWrap w:val="0"/>
            <w:vAlign w:val="center"/>
          </w:tcPr>
          <w:p w14:paraId="4CE0555E">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978" w:type="dxa"/>
            <w:noWrap w:val="0"/>
            <w:vAlign w:val="center"/>
          </w:tcPr>
          <w:p w14:paraId="69D4B892">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1096" w:type="dxa"/>
            <w:noWrap w:val="0"/>
            <w:vAlign w:val="center"/>
          </w:tcPr>
          <w:p w14:paraId="0E5161F9">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916" w:type="dxa"/>
            <w:noWrap w:val="0"/>
            <w:vAlign w:val="center"/>
          </w:tcPr>
          <w:p w14:paraId="694059F4">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r>
      <w:tr w14:paraId="3574E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7" w:hRule="exact"/>
        </w:trPr>
        <w:tc>
          <w:tcPr>
            <w:tcW w:w="621" w:type="dxa"/>
            <w:noWrap w:val="0"/>
            <w:vAlign w:val="center"/>
          </w:tcPr>
          <w:p w14:paraId="1F77ECBC">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r>
              <w:rPr>
                <w:rFonts w:hint="default" w:ascii="Times New Roman" w:hAnsi="Times New Roman" w:eastAsia="宋体" w:cs="Times New Roman"/>
                <w:color w:val="auto"/>
                <w:kern w:val="2"/>
                <w:sz w:val="21"/>
                <w:szCs w:val="21"/>
                <w:highlight w:val="none"/>
                <w:lang w:val="en-US" w:eastAsia="zh-CN" w:bidi="ar"/>
              </w:rPr>
              <w:t>4</w:t>
            </w:r>
          </w:p>
        </w:tc>
        <w:tc>
          <w:tcPr>
            <w:tcW w:w="993" w:type="dxa"/>
            <w:noWrap w:val="0"/>
            <w:vAlign w:val="center"/>
          </w:tcPr>
          <w:p w14:paraId="04528CF0">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803" w:type="dxa"/>
            <w:noWrap w:val="0"/>
            <w:vAlign w:val="center"/>
          </w:tcPr>
          <w:p w14:paraId="3CC15E1A">
            <w:pPr>
              <w:keepNext w:val="0"/>
              <w:keepLines w:val="0"/>
              <w:widowControl w:val="0"/>
              <w:suppressLineNumbers w:val="0"/>
              <w:spacing w:before="0" w:beforeAutospacing="0" w:after="0" w:afterAutospacing="0" w:line="240" w:lineRule="exact"/>
              <w:ind w:left="0" w:leftChars="0" w:right="0" w:rightChars="0"/>
              <w:jc w:val="center"/>
              <w:rPr>
                <w:color w:val="auto"/>
                <w:szCs w:val="21"/>
                <w:highlight w:val="none"/>
              </w:rPr>
            </w:pPr>
          </w:p>
        </w:tc>
        <w:tc>
          <w:tcPr>
            <w:tcW w:w="522" w:type="dxa"/>
            <w:noWrap w:val="0"/>
            <w:vAlign w:val="center"/>
          </w:tcPr>
          <w:p w14:paraId="328D232D">
            <w:pPr>
              <w:keepNext w:val="0"/>
              <w:keepLines w:val="0"/>
              <w:widowControl w:val="0"/>
              <w:suppressLineNumbers w:val="0"/>
              <w:spacing w:before="0" w:beforeAutospacing="0" w:after="0" w:afterAutospacing="0" w:line="240" w:lineRule="exact"/>
              <w:ind w:left="0" w:leftChars="0" w:right="0" w:rightChars="0"/>
              <w:jc w:val="center"/>
              <w:rPr>
                <w:color w:val="auto"/>
                <w:szCs w:val="21"/>
                <w:highlight w:val="none"/>
              </w:rPr>
            </w:pPr>
          </w:p>
        </w:tc>
        <w:tc>
          <w:tcPr>
            <w:tcW w:w="732" w:type="dxa"/>
            <w:noWrap w:val="0"/>
            <w:vAlign w:val="center"/>
          </w:tcPr>
          <w:p w14:paraId="12DAE150">
            <w:pPr>
              <w:keepNext w:val="0"/>
              <w:keepLines w:val="0"/>
              <w:widowControl w:val="0"/>
              <w:suppressLineNumbers w:val="0"/>
              <w:spacing w:before="0" w:beforeAutospacing="0" w:after="0" w:afterAutospacing="0" w:line="240" w:lineRule="exact"/>
              <w:ind w:left="0" w:leftChars="0" w:right="0" w:rightChars="0"/>
              <w:jc w:val="center"/>
              <w:rPr>
                <w:color w:val="auto"/>
                <w:szCs w:val="21"/>
                <w:highlight w:val="none"/>
              </w:rPr>
            </w:pPr>
          </w:p>
        </w:tc>
        <w:tc>
          <w:tcPr>
            <w:tcW w:w="732" w:type="dxa"/>
            <w:noWrap w:val="0"/>
            <w:vAlign w:val="center"/>
          </w:tcPr>
          <w:p w14:paraId="06183B6A">
            <w:pPr>
              <w:keepNext w:val="0"/>
              <w:keepLines w:val="0"/>
              <w:widowControl w:val="0"/>
              <w:suppressLineNumbers w:val="0"/>
              <w:spacing w:before="0" w:beforeAutospacing="0" w:after="0" w:afterAutospacing="0" w:line="240" w:lineRule="exact"/>
              <w:ind w:left="0" w:leftChars="0" w:right="0" w:rightChars="0"/>
              <w:jc w:val="center"/>
              <w:rPr>
                <w:color w:val="auto"/>
                <w:szCs w:val="21"/>
                <w:highlight w:val="none"/>
              </w:rPr>
            </w:pPr>
          </w:p>
        </w:tc>
        <w:tc>
          <w:tcPr>
            <w:tcW w:w="940" w:type="dxa"/>
            <w:noWrap w:val="0"/>
            <w:vAlign w:val="center"/>
          </w:tcPr>
          <w:p w14:paraId="02F29190">
            <w:pPr>
              <w:keepNext w:val="0"/>
              <w:keepLines w:val="0"/>
              <w:widowControl w:val="0"/>
              <w:suppressLineNumbers w:val="0"/>
              <w:spacing w:before="0" w:beforeAutospacing="0" w:after="0" w:afterAutospacing="0" w:line="240" w:lineRule="exact"/>
              <w:ind w:left="0" w:leftChars="0" w:right="0" w:rightChars="0"/>
              <w:jc w:val="center"/>
              <w:rPr>
                <w:color w:val="auto"/>
                <w:szCs w:val="21"/>
                <w:highlight w:val="none"/>
              </w:rPr>
            </w:pPr>
          </w:p>
        </w:tc>
        <w:tc>
          <w:tcPr>
            <w:tcW w:w="1006" w:type="dxa"/>
            <w:noWrap w:val="0"/>
            <w:vAlign w:val="center"/>
          </w:tcPr>
          <w:p w14:paraId="2C08EC24">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465" w:type="dxa"/>
            <w:noWrap w:val="0"/>
            <w:vAlign w:val="center"/>
          </w:tcPr>
          <w:p w14:paraId="6595C898">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596" w:type="dxa"/>
            <w:noWrap w:val="0"/>
            <w:vAlign w:val="center"/>
          </w:tcPr>
          <w:p w14:paraId="40ABF360">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696" w:type="dxa"/>
            <w:noWrap w:val="0"/>
            <w:vAlign w:val="center"/>
          </w:tcPr>
          <w:p w14:paraId="4B2B8E2E">
            <w:pPr>
              <w:keepNext w:val="0"/>
              <w:keepLines w:val="0"/>
              <w:widowControl w:val="0"/>
              <w:suppressLineNumbers w:val="0"/>
              <w:spacing w:before="0" w:beforeAutospacing="0" w:after="0" w:afterAutospacing="0"/>
              <w:ind w:left="0" w:leftChars="0" w:right="0" w:rightChars="0"/>
              <w:jc w:val="center"/>
              <w:rPr>
                <w:color w:val="auto"/>
                <w:highlight w:val="none"/>
              </w:rPr>
            </w:pPr>
          </w:p>
        </w:tc>
        <w:tc>
          <w:tcPr>
            <w:tcW w:w="1042" w:type="dxa"/>
            <w:noWrap w:val="0"/>
            <w:vAlign w:val="center"/>
          </w:tcPr>
          <w:p w14:paraId="5E058BF7">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972" w:type="dxa"/>
            <w:noWrap w:val="0"/>
            <w:vAlign w:val="center"/>
          </w:tcPr>
          <w:p w14:paraId="24EC5764">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973" w:type="dxa"/>
            <w:noWrap w:val="0"/>
            <w:vAlign w:val="center"/>
          </w:tcPr>
          <w:p w14:paraId="12AEB197">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978" w:type="dxa"/>
            <w:noWrap w:val="0"/>
            <w:vAlign w:val="center"/>
          </w:tcPr>
          <w:p w14:paraId="15E997E6">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1096" w:type="dxa"/>
            <w:noWrap w:val="0"/>
            <w:vAlign w:val="center"/>
          </w:tcPr>
          <w:p w14:paraId="6EE03F87">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916" w:type="dxa"/>
            <w:noWrap w:val="0"/>
            <w:vAlign w:val="center"/>
          </w:tcPr>
          <w:p w14:paraId="1351E8A3">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r>
      <w:tr w14:paraId="753DB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7" w:hRule="exact"/>
        </w:trPr>
        <w:tc>
          <w:tcPr>
            <w:tcW w:w="621" w:type="dxa"/>
            <w:noWrap w:val="0"/>
            <w:vAlign w:val="center"/>
          </w:tcPr>
          <w:p w14:paraId="78C8F2DC">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r>
              <w:rPr>
                <w:rFonts w:hint="default" w:ascii="Times New Roman" w:hAnsi="Times New Roman" w:eastAsia="宋体" w:cs="Times New Roman"/>
                <w:color w:val="auto"/>
                <w:kern w:val="2"/>
                <w:sz w:val="21"/>
                <w:szCs w:val="21"/>
                <w:highlight w:val="none"/>
                <w:lang w:val="en-US" w:eastAsia="zh-CN" w:bidi="ar"/>
              </w:rPr>
              <w:t>5</w:t>
            </w:r>
          </w:p>
        </w:tc>
        <w:tc>
          <w:tcPr>
            <w:tcW w:w="993" w:type="dxa"/>
            <w:noWrap w:val="0"/>
            <w:vAlign w:val="center"/>
          </w:tcPr>
          <w:p w14:paraId="7FE010CF">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803" w:type="dxa"/>
            <w:noWrap w:val="0"/>
            <w:vAlign w:val="center"/>
          </w:tcPr>
          <w:p w14:paraId="3B468BFD">
            <w:pPr>
              <w:keepNext w:val="0"/>
              <w:keepLines w:val="0"/>
              <w:widowControl w:val="0"/>
              <w:suppressLineNumbers w:val="0"/>
              <w:spacing w:before="0" w:beforeAutospacing="0" w:after="0" w:afterAutospacing="0" w:line="240" w:lineRule="exact"/>
              <w:ind w:left="0" w:leftChars="0" w:right="0" w:rightChars="0"/>
              <w:jc w:val="center"/>
              <w:rPr>
                <w:color w:val="auto"/>
                <w:szCs w:val="21"/>
                <w:highlight w:val="none"/>
              </w:rPr>
            </w:pPr>
          </w:p>
        </w:tc>
        <w:tc>
          <w:tcPr>
            <w:tcW w:w="522" w:type="dxa"/>
            <w:noWrap w:val="0"/>
            <w:vAlign w:val="center"/>
          </w:tcPr>
          <w:p w14:paraId="11E5E913">
            <w:pPr>
              <w:keepNext w:val="0"/>
              <w:keepLines w:val="0"/>
              <w:widowControl w:val="0"/>
              <w:suppressLineNumbers w:val="0"/>
              <w:spacing w:before="0" w:beforeAutospacing="0" w:after="0" w:afterAutospacing="0" w:line="240" w:lineRule="exact"/>
              <w:ind w:left="0" w:leftChars="0" w:right="0" w:rightChars="0"/>
              <w:jc w:val="center"/>
              <w:rPr>
                <w:color w:val="auto"/>
                <w:szCs w:val="21"/>
                <w:highlight w:val="none"/>
              </w:rPr>
            </w:pPr>
          </w:p>
        </w:tc>
        <w:tc>
          <w:tcPr>
            <w:tcW w:w="732" w:type="dxa"/>
            <w:noWrap w:val="0"/>
            <w:vAlign w:val="center"/>
          </w:tcPr>
          <w:p w14:paraId="26F36872">
            <w:pPr>
              <w:keepNext w:val="0"/>
              <w:keepLines w:val="0"/>
              <w:widowControl w:val="0"/>
              <w:suppressLineNumbers w:val="0"/>
              <w:spacing w:before="0" w:beforeAutospacing="0" w:after="0" w:afterAutospacing="0" w:line="240" w:lineRule="exact"/>
              <w:ind w:left="0" w:leftChars="0" w:right="0" w:rightChars="0"/>
              <w:jc w:val="center"/>
              <w:rPr>
                <w:color w:val="auto"/>
                <w:szCs w:val="21"/>
                <w:highlight w:val="none"/>
              </w:rPr>
            </w:pPr>
          </w:p>
        </w:tc>
        <w:tc>
          <w:tcPr>
            <w:tcW w:w="732" w:type="dxa"/>
            <w:noWrap w:val="0"/>
            <w:vAlign w:val="center"/>
          </w:tcPr>
          <w:p w14:paraId="2B29E8C9">
            <w:pPr>
              <w:keepNext w:val="0"/>
              <w:keepLines w:val="0"/>
              <w:widowControl w:val="0"/>
              <w:suppressLineNumbers w:val="0"/>
              <w:spacing w:before="0" w:beforeAutospacing="0" w:after="0" w:afterAutospacing="0" w:line="240" w:lineRule="exact"/>
              <w:ind w:left="0" w:leftChars="0" w:right="0" w:rightChars="0"/>
              <w:jc w:val="center"/>
              <w:rPr>
                <w:color w:val="auto"/>
                <w:szCs w:val="21"/>
                <w:highlight w:val="none"/>
              </w:rPr>
            </w:pPr>
          </w:p>
        </w:tc>
        <w:tc>
          <w:tcPr>
            <w:tcW w:w="940" w:type="dxa"/>
            <w:noWrap w:val="0"/>
            <w:vAlign w:val="center"/>
          </w:tcPr>
          <w:p w14:paraId="348BAFD7">
            <w:pPr>
              <w:keepNext w:val="0"/>
              <w:keepLines w:val="0"/>
              <w:widowControl w:val="0"/>
              <w:suppressLineNumbers w:val="0"/>
              <w:spacing w:before="0" w:beforeAutospacing="0" w:after="0" w:afterAutospacing="0" w:line="240" w:lineRule="exact"/>
              <w:ind w:left="0" w:leftChars="0" w:right="0" w:rightChars="0"/>
              <w:jc w:val="center"/>
              <w:rPr>
                <w:color w:val="auto"/>
                <w:szCs w:val="21"/>
                <w:highlight w:val="none"/>
              </w:rPr>
            </w:pPr>
          </w:p>
        </w:tc>
        <w:tc>
          <w:tcPr>
            <w:tcW w:w="1006" w:type="dxa"/>
            <w:noWrap w:val="0"/>
            <w:vAlign w:val="center"/>
          </w:tcPr>
          <w:p w14:paraId="41CB46F3">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465" w:type="dxa"/>
            <w:noWrap w:val="0"/>
            <w:vAlign w:val="center"/>
          </w:tcPr>
          <w:p w14:paraId="07421B7C">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596" w:type="dxa"/>
            <w:noWrap w:val="0"/>
            <w:vAlign w:val="center"/>
          </w:tcPr>
          <w:p w14:paraId="50CE9089">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696" w:type="dxa"/>
            <w:noWrap w:val="0"/>
            <w:vAlign w:val="center"/>
          </w:tcPr>
          <w:p w14:paraId="13564284">
            <w:pPr>
              <w:keepNext w:val="0"/>
              <w:keepLines w:val="0"/>
              <w:widowControl w:val="0"/>
              <w:suppressLineNumbers w:val="0"/>
              <w:spacing w:before="0" w:beforeAutospacing="0" w:after="0" w:afterAutospacing="0"/>
              <w:ind w:left="0" w:leftChars="0" w:right="0" w:rightChars="0"/>
              <w:jc w:val="center"/>
              <w:rPr>
                <w:color w:val="auto"/>
                <w:highlight w:val="none"/>
              </w:rPr>
            </w:pPr>
          </w:p>
        </w:tc>
        <w:tc>
          <w:tcPr>
            <w:tcW w:w="1042" w:type="dxa"/>
            <w:noWrap w:val="0"/>
            <w:vAlign w:val="center"/>
          </w:tcPr>
          <w:p w14:paraId="253C3763">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972" w:type="dxa"/>
            <w:noWrap w:val="0"/>
            <w:vAlign w:val="center"/>
          </w:tcPr>
          <w:p w14:paraId="280BD6A1">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973" w:type="dxa"/>
            <w:noWrap w:val="0"/>
            <w:vAlign w:val="center"/>
          </w:tcPr>
          <w:p w14:paraId="046513BC">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978" w:type="dxa"/>
            <w:noWrap w:val="0"/>
            <w:vAlign w:val="center"/>
          </w:tcPr>
          <w:p w14:paraId="6257B117">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1096" w:type="dxa"/>
            <w:noWrap w:val="0"/>
            <w:vAlign w:val="center"/>
          </w:tcPr>
          <w:p w14:paraId="1A643ECF">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916" w:type="dxa"/>
            <w:noWrap w:val="0"/>
            <w:vAlign w:val="center"/>
          </w:tcPr>
          <w:p w14:paraId="35279311">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r>
      <w:tr w14:paraId="54AFA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7" w:hRule="exact"/>
        </w:trPr>
        <w:tc>
          <w:tcPr>
            <w:tcW w:w="621" w:type="dxa"/>
            <w:noWrap w:val="0"/>
            <w:vAlign w:val="center"/>
          </w:tcPr>
          <w:p w14:paraId="5104B271">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r>
              <w:rPr>
                <w:rFonts w:hint="default" w:ascii="Times New Roman" w:hAnsi="Times New Roman" w:eastAsia="宋体" w:cs="Times New Roman"/>
                <w:color w:val="auto"/>
                <w:kern w:val="2"/>
                <w:sz w:val="21"/>
                <w:szCs w:val="21"/>
                <w:highlight w:val="none"/>
                <w:lang w:val="en-US" w:eastAsia="zh-CN" w:bidi="ar"/>
              </w:rPr>
              <w:t>6</w:t>
            </w:r>
          </w:p>
        </w:tc>
        <w:tc>
          <w:tcPr>
            <w:tcW w:w="993" w:type="dxa"/>
            <w:noWrap w:val="0"/>
            <w:vAlign w:val="center"/>
          </w:tcPr>
          <w:p w14:paraId="4309BB1E">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803" w:type="dxa"/>
            <w:noWrap w:val="0"/>
            <w:vAlign w:val="center"/>
          </w:tcPr>
          <w:p w14:paraId="5B9A808F">
            <w:pPr>
              <w:keepNext w:val="0"/>
              <w:keepLines w:val="0"/>
              <w:widowControl w:val="0"/>
              <w:suppressLineNumbers w:val="0"/>
              <w:spacing w:before="0" w:beforeAutospacing="0" w:after="0" w:afterAutospacing="0" w:line="240" w:lineRule="exact"/>
              <w:ind w:left="0" w:leftChars="0" w:right="0" w:rightChars="0"/>
              <w:jc w:val="center"/>
              <w:rPr>
                <w:color w:val="auto"/>
                <w:szCs w:val="21"/>
                <w:highlight w:val="none"/>
              </w:rPr>
            </w:pPr>
          </w:p>
        </w:tc>
        <w:tc>
          <w:tcPr>
            <w:tcW w:w="522" w:type="dxa"/>
            <w:noWrap w:val="0"/>
            <w:vAlign w:val="center"/>
          </w:tcPr>
          <w:p w14:paraId="3DE65851">
            <w:pPr>
              <w:keepNext w:val="0"/>
              <w:keepLines w:val="0"/>
              <w:widowControl w:val="0"/>
              <w:suppressLineNumbers w:val="0"/>
              <w:spacing w:before="0" w:beforeAutospacing="0" w:after="0" w:afterAutospacing="0" w:line="240" w:lineRule="exact"/>
              <w:ind w:left="0" w:leftChars="0" w:right="0" w:rightChars="0"/>
              <w:jc w:val="center"/>
              <w:rPr>
                <w:color w:val="auto"/>
                <w:szCs w:val="21"/>
                <w:highlight w:val="none"/>
              </w:rPr>
            </w:pPr>
          </w:p>
        </w:tc>
        <w:tc>
          <w:tcPr>
            <w:tcW w:w="732" w:type="dxa"/>
            <w:noWrap w:val="0"/>
            <w:vAlign w:val="center"/>
          </w:tcPr>
          <w:p w14:paraId="16E132AB">
            <w:pPr>
              <w:keepNext w:val="0"/>
              <w:keepLines w:val="0"/>
              <w:widowControl w:val="0"/>
              <w:suppressLineNumbers w:val="0"/>
              <w:spacing w:before="0" w:beforeAutospacing="0" w:after="0" w:afterAutospacing="0" w:line="240" w:lineRule="exact"/>
              <w:ind w:left="0" w:leftChars="0" w:right="0" w:rightChars="0"/>
              <w:jc w:val="center"/>
              <w:rPr>
                <w:color w:val="auto"/>
                <w:szCs w:val="21"/>
                <w:highlight w:val="none"/>
              </w:rPr>
            </w:pPr>
          </w:p>
        </w:tc>
        <w:tc>
          <w:tcPr>
            <w:tcW w:w="732" w:type="dxa"/>
            <w:noWrap w:val="0"/>
            <w:vAlign w:val="center"/>
          </w:tcPr>
          <w:p w14:paraId="02EF33DD">
            <w:pPr>
              <w:keepNext w:val="0"/>
              <w:keepLines w:val="0"/>
              <w:widowControl w:val="0"/>
              <w:suppressLineNumbers w:val="0"/>
              <w:spacing w:before="0" w:beforeAutospacing="0" w:after="0" w:afterAutospacing="0" w:line="240" w:lineRule="exact"/>
              <w:ind w:left="0" w:leftChars="0" w:right="0" w:rightChars="0"/>
              <w:jc w:val="center"/>
              <w:rPr>
                <w:color w:val="auto"/>
                <w:szCs w:val="21"/>
                <w:highlight w:val="none"/>
              </w:rPr>
            </w:pPr>
          </w:p>
        </w:tc>
        <w:tc>
          <w:tcPr>
            <w:tcW w:w="940" w:type="dxa"/>
            <w:noWrap w:val="0"/>
            <w:vAlign w:val="center"/>
          </w:tcPr>
          <w:p w14:paraId="3F5F71E9">
            <w:pPr>
              <w:keepNext w:val="0"/>
              <w:keepLines w:val="0"/>
              <w:widowControl w:val="0"/>
              <w:suppressLineNumbers w:val="0"/>
              <w:spacing w:before="0" w:beforeAutospacing="0" w:after="0" w:afterAutospacing="0" w:line="240" w:lineRule="exact"/>
              <w:ind w:left="0" w:leftChars="0" w:right="0" w:rightChars="0"/>
              <w:jc w:val="center"/>
              <w:rPr>
                <w:color w:val="auto"/>
                <w:szCs w:val="21"/>
                <w:highlight w:val="none"/>
              </w:rPr>
            </w:pPr>
          </w:p>
        </w:tc>
        <w:tc>
          <w:tcPr>
            <w:tcW w:w="1006" w:type="dxa"/>
            <w:noWrap w:val="0"/>
            <w:vAlign w:val="center"/>
          </w:tcPr>
          <w:p w14:paraId="1A91A7C7">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465" w:type="dxa"/>
            <w:noWrap w:val="0"/>
            <w:vAlign w:val="center"/>
          </w:tcPr>
          <w:p w14:paraId="6C915C1E">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596" w:type="dxa"/>
            <w:noWrap w:val="0"/>
            <w:vAlign w:val="center"/>
          </w:tcPr>
          <w:p w14:paraId="77EE3B70">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696" w:type="dxa"/>
            <w:noWrap w:val="0"/>
            <w:vAlign w:val="center"/>
          </w:tcPr>
          <w:p w14:paraId="7DDF704C">
            <w:pPr>
              <w:keepNext w:val="0"/>
              <w:keepLines w:val="0"/>
              <w:widowControl w:val="0"/>
              <w:suppressLineNumbers w:val="0"/>
              <w:spacing w:before="0" w:beforeAutospacing="0" w:after="0" w:afterAutospacing="0"/>
              <w:ind w:left="0" w:leftChars="0" w:right="0" w:rightChars="0"/>
              <w:jc w:val="center"/>
              <w:rPr>
                <w:color w:val="auto"/>
                <w:highlight w:val="none"/>
              </w:rPr>
            </w:pPr>
          </w:p>
        </w:tc>
        <w:tc>
          <w:tcPr>
            <w:tcW w:w="1042" w:type="dxa"/>
            <w:noWrap w:val="0"/>
            <w:vAlign w:val="center"/>
          </w:tcPr>
          <w:p w14:paraId="7A063ABF">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972" w:type="dxa"/>
            <w:noWrap w:val="0"/>
            <w:vAlign w:val="center"/>
          </w:tcPr>
          <w:p w14:paraId="114B57BD">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973" w:type="dxa"/>
            <w:noWrap w:val="0"/>
            <w:vAlign w:val="center"/>
          </w:tcPr>
          <w:p w14:paraId="64D530B9">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978" w:type="dxa"/>
            <w:noWrap w:val="0"/>
            <w:vAlign w:val="center"/>
          </w:tcPr>
          <w:p w14:paraId="0CE50020">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1096" w:type="dxa"/>
            <w:noWrap w:val="0"/>
            <w:vAlign w:val="center"/>
          </w:tcPr>
          <w:p w14:paraId="48E95E14">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916" w:type="dxa"/>
            <w:noWrap w:val="0"/>
            <w:vAlign w:val="center"/>
          </w:tcPr>
          <w:p w14:paraId="3CADA994">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r>
      <w:tr w14:paraId="1AA32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7" w:hRule="exact"/>
        </w:trPr>
        <w:tc>
          <w:tcPr>
            <w:tcW w:w="621" w:type="dxa"/>
            <w:noWrap w:val="0"/>
            <w:vAlign w:val="center"/>
          </w:tcPr>
          <w:p w14:paraId="1366B479">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r>
              <w:rPr>
                <w:rFonts w:hint="default" w:ascii="Times New Roman" w:hAnsi="Times New Roman" w:eastAsia="宋体" w:cs="Times New Roman"/>
                <w:color w:val="auto"/>
                <w:kern w:val="2"/>
                <w:sz w:val="21"/>
                <w:szCs w:val="21"/>
                <w:highlight w:val="none"/>
                <w:lang w:val="en-US" w:eastAsia="zh-CN" w:bidi="ar"/>
              </w:rPr>
              <w:t>7</w:t>
            </w:r>
          </w:p>
        </w:tc>
        <w:tc>
          <w:tcPr>
            <w:tcW w:w="993" w:type="dxa"/>
            <w:noWrap w:val="0"/>
            <w:vAlign w:val="center"/>
          </w:tcPr>
          <w:p w14:paraId="4D42061F">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803" w:type="dxa"/>
            <w:noWrap w:val="0"/>
            <w:vAlign w:val="center"/>
          </w:tcPr>
          <w:p w14:paraId="1B7943E1">
            <w:pPr>
              <w:keepNext w:val="0"/>
              <w:keepLines w:val="0"/>
              <w:widowControl w:val="0"/>
              <w:suppressLineNumbers w:val="0"/>
              <w:spacing w:before="0" w:beforeAutospacing="0" w:after="0" w:afterAutospacing="0" w:line="240" w:lineRule="exact"/>
              <w:ind w:left="0" w:leftChars="0" w:right="0" w:rightChars="0"/>
              <w:jc w:val="center"/>
              <w:rPr>
                <w:color w:val="auto"/>
                <w:szCs w:val="21"/>
                <w:highlight w:val="none"/>
              </w:rPr>
            </w:pPr>
          </w:p>
        </w:tc>
        <w:tc>
          <w:tcPr>
            <w:tcW w:w="522" w:type="dxa"/>
            <w:noWrap w:val="0"/>
            <w:vAlign w:val="center"/>
          </w:tcPr>
          <w:p w14:paraId="7D5ACA59">
            <w:pPr>
              <w:keepNext w:val="0"/>
              <w:keepLines w:val="0"/>
              <w:widowControl w:val="0"/>
              <w:suppressLineNumbers w:val="0"/>
              <w:spacing w:before="0" w:beforeAutospacing="0" w:after="0" w:afterAutospacing="0" w:line="240" w:lineRule="exact"/>
              <w:ind w:left="0" w:leftChars="0" w:right="0" w:rightChars="0"/>
              <w:jc w:val="center"/>
              <w:rPr>
                <w:color w:val="auto"/>
                <w:szCs w:val="21"/>
                <w:highlight w:val="none"/>
              </w:rPr>
            </w:pPr>
          </w:p>
        </w:tc>
        <w:tc>
          <w:tcPr>
            <w:tcW w:w="732" w:type="dxa"/>
            <w:noWrap w:val="0"/>
            <w:vAlign w:val="center"/>
          </w:tcPr>
          <w:p w14:paraId="4EB14E34">
            <w:pPr>
              <w:keepNext w:val="0"/>
              <w:keepLines w:val="0"/>
              <w:widowControl w:val="0"/>
              <w:suppressLineNumbers w:val="0"/>
              <w:spacing w:before="0" w:beforeAutospacing="0" w:after="0" w:afterAutospacing="0" w:line="240" w:lineRule="exact"/>
              <w:ind w:left="0" w:leftChars="0" w:right="0" w:rightChars="0"/>
              <w:jc w:val="center"/>
              <w:rPr>
                <w:color w:val="auto"/>
                <w:szCs w:val="21"/>
                <w:highlight w:val="none"/>
              </w:rPr>
            </w:pPr>
          </w:p>
        </w:tc>
        <w:tc>
          <w:tcPr>
            <w:tcW w:w="732" w:type="dxa"/>
            <w:noWrap w:val="0"/>
            <w:vAlign w:val="center"/>
          </w:tcPr>
          <w:p w14:paraId="2BDBA7AC">
            <w:pPr>
              <w:keepNext w:val="0"/>
              <w:keepLines w:val="0"/>
              <w:widowControl w:val="0"/>
              <w:suppressLineNumbers w:val="0"/>
              <w:spacing w:before="0" w:beforeAutospacing="0" w:after="0" w:afterAutospacing="0" w:line="240" w:lineRule="exact"/>
              <w:ind w:left="0" w:leftChars="0" w:right="0" w:rightChars="0"/>
              <w:jc w:val="center"/>
              <w:rPr>
                <w:color w:val="auto"/>
                <w:szCs w:val="21"/>
                <w:highlight w:val="none"/>
              </w:rPr>
            </w:pPr>
          </w:p>
        </w:tc>
        <w:tc>
          <w:tcPr>
            <w:tcW w:w="940" w:type="dxa"/>
            <w:noWrap w:val="0"/>
            <w:vAlign w:val="center"/>
          </w:tcPr>
          <w:p w14:paraId="292E9CD5">
            <w:pPr>
              <w:keepNext w:val="0"/>
              <w:keepLines w:val="0"/>
              <w:widowControl w:val="0"/>
              <w:suppressLineNumbers w:val="0"/>
              <w:spacing w:before="0" w:beforeAutospacing="0" w:after="0" w:afterAutospacing="0" w:line="240" w:lineRule="exact"/>
              <w:ind w:left="0" w:leftChars="0" w:right="0" w:rightChars="0"/>
              <w:jc w:val="center"/>
              <w:rPr>
                <w:color w:val="auto"/>
                <w:szCs w:val="21"/>
                <w:highlight w:val="none"/>
              </w:rPr>
            </w:pPr>
          </w:p>
        </w:tc>
        <w:tc>
          <w:tcPr>
            <w:tcW w:w="1006" w:type="dxa"/>
            <w:noWrap w:val="0"/>
            <w:vAlign w:val="center"/>
          </w:tcPr>
          <w:p w14:paraId="1B699363">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465" w:type="dxa"/>
            <w:noWrap w:val="0"/>
            <w:vAlign w:val="center"/>
          </w:tcPr>
          <w:p w14:paraId="4534F318">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596" w:type="dxa"/>
            <w:noWrap w:val="0"/>
            <w:vAlign w:val="center"/>
          </w:tcPr>
          <w:p w14:paraId="38E2D120">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696" w:type="dxa"/>
            <w:noWrap w:val="0"/>
            <w:vAlign w:val="center"/>
          </w:tcPr>
          <w:p w14:paraId="4A580A21">
            <w:pPr>
              <w:keepNext w:val="0"/>
              <w:keepLines w:val="0"/>
              <w:widowControl w:val="0"/>
              <w:suppressLineNumbers w:val="0"/>
              <w:spacing w:before="0" w:beforeAutospacing="0" w:after="0" w:afterAutospacing="0"/>
              <w:ind w:left="0" w:leftChars="0" w:right="0" w:rightChars="0"/>
              <w:jc w:val="center"/>
              <w:rPr>
                <w:color w:val="auto"/>
                <w:highlight w:val="none"/>
              </w:rPr>
            </w:pPr>
          </w:p>
        </w:tc>
        <w:tc>
          <w:tcPr>
            <w:tcW w:w="1042" w:type="dxa"/>
            <w:noWrap w:val="0"/>
            <w:vAlign w:val="center"/>
          </w:tcPr>
          <w:p w14:paraId="30EF1F92">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972" w:type="dxa"/>
            <w:noWrap w:val="0"/>
            <w:vAlign w:val="center"/>
          </w:tcPr>
          <w:p w14:paraId="3F403B9B">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973" w:type="dxa"/>
            <w:noWrap w:val="0"/>
            <w:vAlign w:val="center"/>
          </w:tcPr>
          <w:p w14:paraId="472C8C9B">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978" w:type="dxa"/>
            <w:noWrap w:val="0"/>
            <w:vAlign w:val="center"/>
          </w:tcPr>
          <w:p w14:paraId="79032F9E">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1096" w:type="dxa"/>
            <w:noWrap w:val="0"/>
            <w:vAlign w:val="center"/>
          </w:tcPr>
          <w:p w14:paraId="69B06E30">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916" w:type="dxa"/>
            <w:noWrap w:val="0"/>
            <w:vAlign w:val="center"/>
          </w:tcPr>
          <w:p w14:paraId="31AE5ED4">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r>
      <w:tr w14:paraId="7C553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7" w:hRule="exact"/>
        </w:trPr>
        <w:tc>
          <w:tcPr>
            <w:tcW w:w="621" w:type="dxa"/>
            <w:noWrap w:val="0"/>
            <w:vAlign w:val="center"/>
          </w:tcPr>
          <w:p w14:paraId="1C41DA40">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r>
              <w:rPr>
                <w:rFonts w:hint="default" w:ascii="Times New Roman" w:hAnsi="Times New Roman" w:eastAsia="宋体" w:cs="Times New Roman"/>
                <w:color w:val="auto"/>
                <w:kern w:val="2"/>
                <w:sz w:val="21"/>
                <w:szCs w:val="21"/>
                <w:highlight w:val="none"/>
                <w:lang w:val="en-US" w:eastAsia="zh-CN" w:bidi="ar"/>
              </w:rPr>
              <w:t>8</w:t>
            </w:r>
          </w:p>
        </w:tc>
        <w:tc>
          <w:tcPr>
            <w:tcW w:w="993" w:type="dxa"/>
            <w:noWrap w:val="0"/>
            <w:vAlign w:val="center"/>
          </w:tcPr>
          <w:p w14:paraId="002089CE">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803" w:type="dxa"/>
            <w:noWrap w:val="0"/>
            <w:vAlign w:val="center"/>
          </w:tcPr>
          <w:p w14:paraId="7453F730">
            <w:pPr>
              <w:keepNext w:val="0"/>
              <w:keepLines w:val="0"/>
              <w:widowControl w:val="0"/>
              <w:suppressLineNumbers w:val="0"/>
              <w:spacing w:before="0" w:beforeAutospacing="0" w:after="0" w:afterAutospacing="0" w:line="240" w:lineRule="exact"/>
              <w:ind w:left="0" w:leftChars="0" w:right="0" w:rightChars="0"/>
              <w:jc w:val="center"/>
              <w:rPr>
                <w:color w:val="auto"/>
                <w:szCs w:val="21"/>
                <w:highlight w:val="none"/>
              </w:rPr>
            </w:pPr>
          </w:p>
        </w:tc>
        <w:tc>
          <w:tcPr>
            <w:tcW w:w="522" w:type="dxa"/>
            <w:noWrap w:val="0"/>
            <w:vAlign w:val="center"/>
          </w:tcPr>
          <w:p w14:paraId="75F99205">
            <w:pPr>
              <w:keepNext w:val="0"/>
              <w:keepLines w:val="0"/>
              <w:widowControl w:val="0"/>
              <w:suppressLineNumbers w:val="0"/>
              <w:spacing w:before="0" w:beforeAutospacing="0" w:after="0" w:afterAutospacing="0" w:line="240" w:lineRule="exact"/>
              <w:ind w:left="0" w:leftChars="0" w:right="0" w:rightChars="0"/>
              <w:jc w:val="center"/>
              <w:rPr>
                <w:color w:val="auto"/>
                <w:szCs w:val="21"/>
                <w:highlight w:val="none"/>
              </w:rPr>
            </w:pPr>
          </w:p>
        </w:tc>
        <w:tc>
          <w:tcPr>
            <w:tcW w:w="732" w:type="dxa"/>
            <w:noWrap w:val="0"/>
            <w:vAlign w:val="center"/>
          </w:tcPr>
          <w:p w14:paraId="4A369282">
            <w:pPr>
              <w:keepNext w:val="0"/>
              <w:keepLines w:val="0"/>
              <w:widowControl w:val="0"/>
              <w:suppressLineNumbers w:val="0"/>
              <w:spacing w:before="0" w:beforeAutospacing="0" w:after="0" w:afterAutospacing="0" w:line="240" w:lineRule="exact"/>
              <w:ind w:left="0" w:leftChars="0" w:right="0" w:rightChars="0"/>
              <w:jc w:val="center"/>
              <w:rPr>
                <w:color w:val="auto"/>
                <w:szCs w:val="21"/>
                <w:highlight w:val="none"/>
              </w:rPr>
            </w:pPr>
          </w:p>
        </w:tc>
        <w:tc>
          <w:tcPr>
            <w:tcW w:w="732" w:type="dxa"/>
            <w:noWrap w:val="0"/>
            <w:vAlign w:val="center"/>
          </w:tcPr>
          <w:p w14:paraId="51E285D9">
            <w:pPr>
              <w:keepNext w:val="0"/>
              <w:keepLines w:val="0"/>
              <w:widowControl w:val="0"/>
              <w:suppressLineNumbers w:val="0"/>
              <w:spacing w:before="0" w:beforeAutospacing="0" w:after="0" w:afterAutospacing="0" w:line="240" w:lineRule="exact"/>
              <w:ind w:left="0" w:leftChars="0" w:right="0" w:rightChars="0"/>
              <w:jc w:val="center"/>
              <w:rPr>
                <w:color w:val="auto"/>
                <w:szCs w:val="21"/>
                <w:highlight w:val="none"/>
              </w:rPr>
            </w:pPr>
          </w:p>
        </w:tc>
        <w:tc>
          <w:tcPr>
            <w:tcW w:w="940" w:type="dxa"/>
            <w:noWrap w:val="0"/>
            <w:vAlign w:val="center"/>
          </w:tcPr>
          <w:p w14:paraId="0F6443A3">
            <w:pPr>
              <w:keepNext w:val="0"/>
              <w:keepLines w:val="0"/>
              <w:widowControl w:val="0"/>
              <w:suppressLineNumbers w:val="0"/>
              <w:spacing w:before="0" w:beforeAutospacing="0" w:after="0" w:afterAutospacing="0" w:line="240" w:lineRule="exact"/>
              <w:ind w:left="0" w:leftChars="0" w:right="0" w:rightChars="0"/>
              <w:jc w:val="center"/>
              <w:rPr>
                <w:color w:val="auto"/>
                <w:szCs w:val="21"/>
                <w:highlight w:val="none"/>
              </w:rPr>
            </w:pPr>
          </w:p>
        </w:tc>
        <w:tc>
          <w:tcPr>
            <w:tcW w:w="1006" w:type="dxa"/>
            <w:noWrap w:val="0"/>
            <w:vAlign w:val="center"/>
          </w:tcPr>
          <w:p w14:paraId="3ED38FCE">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465" w:type="dxa"/>
            <w:noWrap w:val="0"/>
            <w:vAlign w:val="center"/>
          </w:tcPr>
          <w:p w14:paraId="3CD50611">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596" w:type="dxa"/>
            <w:noWrap w:val="0"/>
            <w:vAlign w:val="center"/>
          </w:tcPr>
          <w:p w14:paraId="64ABEF46">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696" w:type="dxa"/>
            <w:noWrap w:val="0"/>
            <w:vAlign w:val="center"/>
          </w:tcPr>
          <w:p w14:paraId="151E205B">
            <w:pPr>
              <w:keepNext w:val="0"/>
              <w:keepLines w:val="0"/>
              <w:widowControl w:val="0"/>
              <w:suppressLineNumbers w:val="0"/>
              <w:spacing w:before="0" w:beforeAutospacing="0" w:after="0" w:afterAutospacing="0"/>
              <w:ind w:left="0" w:leftChars="0" w:right="0" w:rightChars="0"/>
              <w:jc w:val="center"/>
              <w:rPr>
                <w:color w:val="auto"/>
                <w:highlight w:val="none"/>
              </w:rPr>
            </w:pPr>
          </w:p>
        </w:tc>
        <w:tc>
          <w:tcPr>
            <w:tcW w:w="1042" w:type="dxa"/>
            <w:noWrap w:val="0"/>
            <w:vAlign w:val="center"/>
          </w:tcPr>
          <w:p w14:paraId="492DA6B8">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972" w:type="dxa"/>
            <w:noWrap w:val="0"/>
            <w:vAlign w:val="center"/>
          </w:tcPr>
          <w:p w14:paraId="737D73B2">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973" w:type="dxa"/>
            <w:noWrap w:val="0"/>
            <w:vAlign w:val="center"/>
          </w:tcPr>
          <w:p w14:paraId="6052AC29">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978" w:type="dxa"/>
            <w:noWrap w:val="0"/>
            <w:vAlign w:val="center"/>
          </w:tcPr>
          <w:p w14:paraId="1F0C4A48">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1096" w:type="dxa"/>
            <w:noWrap w:val="0"/>
            <w:vAlign w:val="center"/>
          </w:tcPr>
          <w:p w14:paraId="15227321">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916" w:type="dxa"/>
            <w:noWrap w:val="0"/>
            <w:vAlign w:val="center"/>
          </w:tcPr>
          <w:p w14:paraId="7F880AED">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r>
      <w:tr w14:paraId="7CD19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7" w:hRule="exact"/>
        </w:trPr>
        <w:tc>
          <w:tcPr>
            <w:tcW w:w="621" w:type="dxa"/>
            <w:noWrap w:val="0"/>
            <w:vAlign w:val="center"/>
          </w:tcPr>
          <w:p w14:paraId="77F89144">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r>
              <w:rPr>
                <w:rFonts w:hint="default" w:ascii="Times New Roman" w:hAnsi="Times New Roman" w:eastAsia="宋体" w:cs="Times New Roman"/>
                <w:color w:val="auto"/>
                <w:kern w:val="2"/>
                <w:sz w:val="21"/>
                <w:szCs w:val="21"/>
                <w:highlight w:val="none"/>
                <w:lang w:val="en-US" w:eastAsia="zh-CN" w:bidi="ar"/>
              </w:rPr>
              <w:t>9</w:t>
            </w:r>
          </w:p>
        </w:tc>
        <w:tc>
          <w:tcPr>
            <w:tcW w:w="993" w:type="dxa"/>
            <w:noWrap w:val="0"/>
            <w:vAlign w:val="center"/>
          </w:tcPr>
          <w:p w14:paraId="764181D9">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803" w:type="dxa"/>
            <w:noWrap w:val="0"/>
            <w:vAlign w:val="center"/>
          </w:tcPr>
          <w:p w14:paraId="285C8255">
            <w:pPr>
              <w:keepNext w:val="0"/>
              <w:keepLines w:val="0"/>
              <w:widowControl w:val="0"/>
              <w:suppressLineNumbers w:val="0"/>
              <w:spacing w:before="0" w:beforeAutospacing="0" w:after="0" w:afterAutospacing="0" w:line="240" w:lineRule="exact"/>
              <w:ind w:left="0" w:leftChars="0" w:right="0" w:rightChars="0"/>
              <w:jc w:val="center"/>
              <w:rPr>
                <w:color w:val="auto"/>
                <w:szCs w:val="21"/>
                <w:highlight w:val="none"/>
              </w:rPr>
            </w:pPr>
          </w:p>
        </w:tc>
        <w:tc>
          <w:tcPr>
            <w:tcW w:w="522" w:type="dxa"/>
            <w:noWrap w:val="0"/>
            <w:vAlign w:val="center"/>
          </w:tcPr>
          <w:p w14:paraId="01F9C90F">
            <w:pPr>
              <w:keepNext w:val="0"/>
              <w:keepLines w:val="0"/>
              <w:widowControl w:val="0"/>
              <w:suppressLineNumbers w:val="0"/>
              <w:spacing w:before="0" w:beforeAutospacing="0" w:after="0" w:afterAutospacing="0" w:line="240" w:lineRule="exact"/>
              <w:ind w:left="0" w:leftChars="0" w:right="0" w:rightChars="0"/>
              <w:jc w:val="center"/>
              <w:rPr>
                <w:color w:val="auto"/>
                <w:szCs w:val="21"/>
                <w:highlight w:val="none"/>
              </w:rPr>
            </w:pPr>
          </w:p>
        </w:tc>
        <w:tc>
          <w:tcPr>
            <w:tcW w:w="732" w:type="dxa"/>
            <w:noWrap w:val="0"/>
            <w:vAlign w:val="center"/>
          </w:tcPr>
          <w:p w14:paraId="523D44C4">
            <w:pPr>
              <w:keepNext w:val="0"/>
              <w:keepLines w:val="0"/>
              <w:widowControl w:val="0"/>
              <w:suppressLineNumbers w:val="0"/>
              <w:spacing w:before="0" w:beforeAutospacing="0" w:after="0" w:afterAutospacing="0" w:line="240" w:lineRule="exact"/>
              <w:ind w:left="0" w:leftChars="0" w:right="0" w:rightChars="0"/>
              <w:jc w:val="center"/>
              <w:rPr>
                <w:color w:val="auto"/>
                <w:szCs w:val="21"/>
                <w:highlight w:val="none"/>
              </w:rPr>
            </w:pPr>
          </w:p>
        </w:tc>
        <w:tc>
          <w:tcPr>
            <w:tcW w:w="732" w:type="dxa"/>
            <w:noWrap w:val="0"/>
            <w:vAlign w:val="center"/>
          </w:tcPr>
          <w:p w14:paraId="2FFAFF2D">
            <w:pPr>
              <w:keepNext w:val="0"/>
              <w:keepLines w:val="0"/>
              <w:widowControl w:val="0"/>
              <w:suppressLineNumbers w:val="0"/>
              <w:spacing w:before="0" w:beforeAutospacing="0" w:after="0" w:afterAutospacing="0" w:line="240" w:lineRule="exact"/>
              <w:ind w:left="0" w:leftChars="0" w:right="0" w:rightChars="0"/>
              <w:jc w:val="center"/>
              <w:rPr>
                <w:color w:val="auto"/>
                <w:szCs w:val="21"/>
                <w:highlight w:val="none"/>
              </w:rPr>
            </w:pPr>
          </w:p>
        </w:tc>
        <w:tc>
          <w:tcPr>
            <w:tcW w:w="940" w:type="dxa"/>
            <w:noWrap w:val="0"/>
            <w:vAlign w:val="center"/>
          </w:tcPr>
          <w:p w14:paraId="37FF047C">
            <w:pPr>
              <w:keepNext w:val="0"/>
              <w:keepLines w:val="0"/>
              <w:widowControl w:val="0"/>
              <w:suppressLineNumbers w:val="0"/>
              <w:spacing w:before="0" w:beforeAutospacing="0" w:after="0" w:afterAutospacing="0" w:line="240" w:lineRule="exact"/>
              <w:ind w:left="0" w:leftChars="0" w:right="0" w:rightChars="0"/>
              <w:jc w:val="center"/>
              <w:rPr>
                <w:color w:val="auto"/>
                <w:szCs w:val="21"/>
                <w:highlight w:val="none"/>
              </w:rPr>
            </w:pPr>
          </w:p>
        </w:tc>
        <w:tc>
          <w:tcPr>
            <w:tcW w:w="1006" w:type="dxa"/>
            <w:noWrap w:val="0"/>
            <w:vAlign w:val="center"/>
          </w:tcPr>
          <w:p w14:paraId="54A50940">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465" w:type="dxa"/>
            <w:noWrap w:val="0"/>
            <w:vAlign w:val="center"/>
          </w:tcPr>
          <w:p w14:paraId="51A229BC">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596" w:type="dxa"/>
            <w:noWrap w:val="0"/>
            <w:vAlign w:val="center"/>
          </w:tcPr>
          <w:p w14:paraId="01F57C6A">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696" w:type="dxa"/>
            <w:noWrap w:val="0"/>
            <w:vAlign w:val="center"/>
          </w:tcPr>
          <w:p w14:paraId="07489507">
            <w:pPr>
              <w:keepNext w:val="0"/>
              <w:keepLines w:val="0"/>
              <w:widowControl w:val="0"/>
              <w:suppressLineNumbers w:val="0"/>
              <w:spacing w:before="0" w:beforeAutospacing="0" w:after="0" w:afterAutospacing="0"/>
              <w:ind w:left="0" w:leftChars="0" w:right="0" w:rightChars="0"/>
              <w:jc w:val="center"/>
              <w:rPr>
                <w:color w:val="auto"/>
                <w:highlight w:val="none"/>
              </w:rPr>
            </w:pPr>
          </w:p>
        </w:tc>
        <w:tc>
          <w:tcPr>
            <w:tcW w:w="1042" w:type="dxa"/>
            <w:noWrap w:val="0"/>
            <w:vAlign w:val="center"/>
          </w:tcPr>
          <w:p w14:paraId="7D25295D">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972" w:type="dxa"/>
            <w:noWrap w:val="0"/>
            <w:vAlign w:val="center"/>
          </w:tcPr>
          <w:p w14:paraId="1EDD5561">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973" w:type="dxa"/>
            <w:noWrap w:val="0"/>
            <w:vAlign w:val="center"/>
          </w:tcPr>
          <w:p w14:paraId="4DB4C249">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978" w:type="dxa"/>
            <w:noWrap w:val="0"/>
            <w:vAlign w:val="center"/>
          </w:tcPr>
          <w:p w14:paraId="470BB647">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1096" w:type="dxa"/>
            <w:noWrap w:val="0"/>
            <w:vAlign w:val="center"/>
          </w:tcPr>
          <w:p w14:paraId="6BF04AA8">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916" w:type="dxa"/>
            <w:noWrap w:val="0"/>
            <w:vAlign w:val="center"/>
          </w:tcPr>
          <w:p w14:paraId="033A6E26">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r>
      <w:tr w14:paraId="56F1B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9" w:hRule="exact"/>
        </w:trPr>
        <w:tc>
          <w:tcPr>
            <w:tcW w:w="621" w:type="dxa"/>
            <w:noWrap w:val="0"/>
            <w:vAlign w:val="center"/>
          </w:tcPr>
          <w:p w14:paraId="5DF0C8F9">
            <w:pPr>
              <w:keepNext w:val="0"/>
              <w:keepLines w:val="0"/>
              <w:widowControl w:val="0"/>
              <w:suppressLineNumbers w:val="0"/>
              <w:spacing w:before="0" w:beforeAutospacing="0" w:after="0" w:afterAutospacing="0"/>
              <w:ind w:left="0" w:leftChars="0" w:right="0" w:rightChars="0"/>
              <w:jc w:val="center"/>
              <w:rPr>
                <w:rFonts w:ascii="宋体" w:hAnsi="宋体" w:cs="宋体"/>
                <w:color w:val="auto"/>
                <w:szCs w:val="21"/>
                <w:highlight w:val="none"/>
              </w:rPr>
            </w:pPr>
            <w:r>
              <w:rPr>
                <w:rFonts w:hint="eastAsia" w:ascii="宋体" w:hAnsi="宋体" w:eastAsia="宋体" w:cs="宋体"/>
                <w:color w:val="auto"/>
                <w:kern w:val="2"/>
                <w:sz w:val="21"/>
                <w:szCs w:val="21"/>
                <w:highlight w:val="none"/>
                <w:lang w:val="en-US" w:eastAsia="zh-CN" w:bidi="ar"/>
              </w:rPr>
              <w:t>…</w:t>
            </w:r>
          </w:p>
        </w:tc>
        <w:tc>
          <w:tcPr>
            <w:tcW w:w="993" w:type="dxa"/>
            <w:noWrap w:val="0"/>
            <w:vAlign w:val="center"/>
          </w:tcPr>
          <w:p w14:paraId="254EF44B">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803" w:type="dxa"/>
            <w:noWrap w:val="0"/>
            <w:vAlign w:val="center"/>
          </w:tcPr>
          <w:p w14:paraId="5D5BB492">
            <w:pPr>
              <w:keepNext w:val="0"/>
              <w:keepLines w:val="0"/>
              <w:widowControl w:val="0"/>
              <w:suppressLineNumbers w:val="0"/>
              <w:spacing w:before="0" w:beforeAutospacing="0" w:after="0" w:afterAutospacing="0" w:line="240" w:lineRule="exact"/>
              <w:ind w:left="0" w:leftChars="0" w:right="0" w:rightChars="0"/>
              <w:jc w:val="center"/>
              <w:rPr>
                <w:color w:val="auto"/>
                <w:szCs w:val="21"/>
                <w:highlight w:val="none"/>
              </w:rPr>
            </w:pPr>
          </w:p>
        </w:tc>
        <w:tc>
          <w:tcPr>
            <w:tcW w:w="522" w:type="dxa"/>
            <w:noWrap w:val="0"/>
            <w:vAlign w:val="center"/>
          </w:tcPr>
          <w:p w14:paraId="485A06BD">
            <w:pPr>
              <w:keepNext w:val="0"/>
              <w:keepLines w:val="0"/>
              <w:widowControl w:val="0"/>
              <w:suppressLineNumbers w:val="0"/>
              <w:spacing w:before="0" w:beforeAutospacing="0" w:after="0" w:afterAutospacing="0" w:line="240" w:lineRule="exact"/>
              <w:ind w:left="0" w:leftChars="0" w:right="0" w:rightChars="0"/>
              <w:jc w:val="center"/>
              <w:rPr>
                <w:color w:val="auto"/>
                <w:szCs w:val="21"/>
                <w:highlight w:val="none"/>
              </w:rPr>
            </w:pPr>
          </w:p>
        </w:tc>
        <w:tc>
          <w:tcPr>
            <w:tcW w:w="732" w:type="dxa"/>
            <w:noWrap w:val="0"/>
            <w:vAlign w:val="center"/>
          </w:tcPr>
          <w:p w14:paraId="0EC79AE1">
            <w:pPr>
              <w:keepNext w:val="0"/>
              <w:keepLines w:val="0"/>
              <w:widowControl w:val="0"/>
              <w:suppressLineNumbers w:val="0"/>
              <w:spacing w:before="0" w:beforeAutospacing="0" w:after="0" w:afterAutospacing="0" w:line="240" w:lineRule="exact"/>
              <w:ind w:left="0" w:leftChars="0" w:right="0" w:rightChars="0"/>
              <w:jc w:val="center"/>
              <w:rPr>
                <w:color w:val="auto"/>
                <w:szCs w:val="21"/>
                <w:highlight w:val="none"/>
              </w:rPr>
            </w:pPr>
          </w:p>
        </w:tc>
        <w:tc>
          <w:tcPr>
            <w:tcW w:w="732" w:type="dxa"/>
            <w:noWrap w:val="0"/>
            <w:vAlign w:val="center"/>
          </w:tcPr>
          <w:p w14:paraId="192F9D0F">
            <w:pPr>
              <w:keepNext w:val="0"/>
              <w:keepLines w:val="0"/>
              <w:widowControl w:val="0"/>
              <w:suppressLineNumbers w:val="0"/>
              <w:spacing w:before="0" w:beforeAutospacing="0" w:after="0" w:afterAutospacing="0" w:line="240" w:lineRule="exact"/>
              <w:ind w:left="0" w:leftChars="0" w:right="0" w:rightChars="0"/>
              <w:jc w:val="center"/>
              <w:rPr>
                <w:color w:val="auto"/>
                <w:szCs w:val="21"/>
                <w:highlight w:val="none"/>
              </w:rPr>
            </w:pPr>
          </w:p>
        </w:tc>
        <w:tc>
          <w:tcPr>
            <w:tcW w:w="940" w:type="dxa"/>
            <w:noWrap w:val="0"/>
            <w:vAlign w:val="center"/>
          </w:tcPr>
          <w:p w14:paraId="25DF6B45">
            <w:pPr>
              <w:keepNext w:val="0"/>
              <w:keepLines w:val="0"/>
              <w:widowControl w:val="0"/>
              <w:suppressLineNumbers w:val="0"/>
              <w:spacing w:before="0" w:beforeAutospacing="0" w:after="0" w:afterAutospacing="0" w:line="240" w:lineRule="exact"/>
              <w:ind w:left="0" w:leftChars="0" w:right="0" w:rightChars="0"/>
              <w:jc w:val="center"/>
              <w:rPr>
                <w:color w:val="auto"/>
                <w:szCs w:val="21"/>
                <w:highlight w:val="none"/>
              </w:rPr>
            </w:pPr>
          </w:p>
        </w:tc>
        <w:tc>
          <w:tcPr>
            <w:tcW w:w="1006" w:type="dxa"/>
            <w:noWrap w:val="0"/>
            <w:vAlign w:val="center"/>
          </w:tcPr>
          <w:p w14:paraId="414C6FB5">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465" w:type="dxa"/>
            <w:noWrap w:val="0"/>
            <w:vAlign w:val="center"/>
          </w:tcPr>
          <w:p w14:paraId="0935B64E">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596" w:type="dxa"/>
            <w:noWrap w:val="0"/>
            <w:vAlign w:val="center"/>
          </w:tcPr>
          <w:p w14:paraId="6229F689">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696" w:type="dxa"/>
            <w:noWrap w:val="0"/>
            <w:vAlign w:val="center"/>
          </w:tcPr>
          <w:p w14:paraId="1C345077">
            <w:pPr>
              <w:keepNext w:val="0"/>
              <w:keepLines w:val="0"/>
              <w:widowControl w:val="0"/>
              <w:suppressLineNumbers w:val="0"/>
              <w:spacing w:before="0" w:beforeAutospacing="0" w:after="0" w:afterAutospacing="0"/>
              <w:ind w:left="0" w:leftChars="0" w:right="0" w:rightChars="0"/>
              <w:jc w:val="center"/>
              <w:rPr>
                <w:color w:val="auto"/>
                <w:highlight w:val="none"/>
              </w:rPr>
            </w:pPr>
          </w:p>
        </w:tc>
        <w:tc>
          <w:tcPr>
            <w:tcW w:w="1042" w:type="dxa"/>
            <w:noWrap w:val="0"/>
            <w:vAlign w:val="center"/>
          </w:tcPr>
          <w:p w14:paraId="71E394CB">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972" w:type="dxa"/>
            <w:noWrap w:val="0"/>
            <w:vAlign w:val="center"/>
          </w:tcPr>
          <w:p w14:paraId="40933CDE">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973" w:type="dxa"/>
            <w:noWrap w:val="0"/>
            <w:vAlign w:val="center"/>
          </w:tcPr>
          <w:p w14:paraId="49526232">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978" w:type="dxa"/>
            <w:noWrap w:val="0"/>
            <w:vAlign w:val="center"/>
          </w:tcPr>
          <w:p w14:paraId="2FCA230D">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1096" w:type="dxa"/>
            <w:noWrap w:val="0"/>
            <w:vAlign w:val="center"/>
          </w:tcPr>
          <w:p w14:paraId="6A0017B0">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c>
          <w:tcPr>
            <w:tcW w:w="916" w:type="dxa"/>
            <w:noWrap w:val="0"/>
            <w:vAlign w:val="center"/>
          </w:tcPr>
          <w:p w14:paraId="2AB455AA">
            <w:pPr>
              <w:keepNext w:val="0"/>
              <w:keepLines w:val="0"/>
              <w:widowControl w:val="0"/>
              <w:suppressLineNumbers w:val="0"/>
              <w:spacing w:before="0" w:beforeAutospacing="0" w:after="0" w:afterAutospacing="0"/>
              <w:ind w:left="0" w:leftChars="0" w:right="0" w:rightChars="0"/>
              <w:jc w:val="center"/>
              <w:rPr>
                <w:color w:val="auto"/>
                <w:szCs w:val="21"/>
                <w:highlight w:val="none"/>
              </w:rPr>
            </w:pPr>
          </w:p>
        </w:tc>
      </w:tr>
    </w:tbl>
    <w:p w14:paraId="32059104">
      <w:pPr>
        <w:keepNext w:val="0"/>
        <w:keepLines w:val="0"/>
        <w:widowControl/>
        <w:suppressLineNumbers w:val="0"/>
        <w:spacing w:line="360" w:lineRule="auto"/>
        <w:jc w:val="left"/>
        <w:rPr>
          <w:color w:val="auto"/>
          <w:highlight w:val="none"/>
        </w:rPr>
      </w:pPr>
      <w:r>
        <w:rPr>
          <w:rFonts w:hint="eastAsia" w:ascii="宋体" w:hAnsi="宋体" w:eastAsia="宋体" w:cs="宋体"/>
          <w:color w:val="auto"/>
          <w:kern w:val="0"/>
          <w:sz w:val="21"/>
          <w:szCs w:val="21"/>
          <w:highlight w:val="none"/>
          <w:lang w:val="en-US" w:eastAsia="zh-CN" w:bidi="ar"/>
        </w:rPr>
        <w:t xml:space="preserve">注：1.执业、职业单位是指拟投入的项目管理机构人员目前是否在投标人处注册执业或岗位登记。 </w:t>
      </w:r>
    </w:p>
    <w:p w14:paraId="2AAFED4E">
      <w:pPr>
        <w:keepNext w:val="0"/>
        <w:keepLines w:val="0"/>
        <w:widowControl/>
        <w:suppressLineNumbers w:val="0"/>
        <w:spacing w:line="360" w:lineRule="auto"/>
        <w:ind w:firstLine="420" w:firstLineChars="200"/>
        <w:jc w:val="left"/>
        <w:rPr>
          <w:color w:val="auto"/>
          <w:highlight w:val="none"/>
        </w:rPr>
      </w:pPr>
      <w:r>
        <w:rPr>
          <w:rFonts w:hint="eastAsia" w:ascii="宋体" w:hAnsi="宋体" w:eastAsia="宋体" w:cs="宋体"/>
          <w:color w:val="auto"/>
          <w:kern w:val="0"/>
          <w:sz w:val="21"/>
          <w:szCs w:val="21"/>
          <w:highlight w:val="none"/>
          <w:lang w:val="en-US" w:eastAsia="zh-CN" w:bidi="ar"/>
        </w:rPr>
        <w:t>2.附项目管理机构主要人员社会保险证明。社会保险证明中缴费单位应与投标单位（或其分公司）一致。</w:t>
      </w:r>
    </w:p>
    <w:p w14:paraId="5A8C25CB">
      <w:pPr>
        <w:rPr>
          <w:rFonts w:hint="eastAsia"/>
          <w:color w:val="auto"/>
          <w:highlight w:val="none"/>
        </w:rPr>
        <w:sectPr>
          <w:pgSz w:w="16838" w:h="11906" w:orient="landscape"/>
          <w:pgMar w:top="1276" w:right="1440" w:bottom="991" w:left="1440" w:header="851" w:footer="992" w:gutter="0"/>
          <w:pgNumType w:fmt="decimal"/>
          <w:cols w:space="720" w:num="1"/>
          <w:docGrid w:type="lines" w:linePitch="312" w:charSpace="0"/>
        </w:sectPr>
      </w:pPr>
    </w:p>
    <w:p w14:paraId="7B10A961">
      <w:pPr>
        <w:pStyle w:val="190"/>
        <w:jc w:val="center"/>
        <w:rPr>
          <w:b/>
          <w:bCs/>
          <w:color w:val="auto"/>
          <w:highlight w:val="none"/>
        </w:rPr>
      </w:pPr>
      <w:r>
        <w:rPr>
          <w:b/>
          <w:bCs/>
          <w:color w:val="auto"/>
          <w:highlight w:val="none"/>
          <w:lang w:val="en-US" w:eastAsia="zh-CN"/>
        </w:rPr>
        <w:t>1-5 主要人员简历表</w:t>
      </w:r>
    </w:p>
    <w:p w14:paraId="544BE147">
      <w:pPr>
        <w:pStyle w:val="190"/>
        <w:jc w:val="center"/>
        <w:rPr>
          <w:color w:val="auto"/>
          <w:highlight w:val="none"/>
        </w:rPr>
      </w:pPr>
    </w:p>
    <w:tbl>
      <w:tblPr>
        <w:tblStyle w:val="42"/>
        <w:tblW w:w="96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1"/>
        <w:gridCol w:w="1034"/>
        <w:gridCol w:w="1250"/>
        <w:gridCol w:w="1401"/>
        <w:gridCol w:w="2316"/>
        <w:gridCol w:w="2355"/>
      </w:tblGrid>
      <w:tr w14:paraId="28B2F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301" w:type="dxa"/>
            <w:noWrap w:val="0"/>
            <w:vAlign w:val="center"/>
          </w:tcPr>
          <w:p w14:paraId="6B7EE2AA">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姓  名</w:t>
            </w:r>
          </w:p>
        </w:tc>
        <w:tc>
          <w:tcPr>
            <w:tcW w:w="1034" w:type="dxa"/>
            <w:noWrap w:val="0"/>
            <w:vAlign w:val="center"/>
          </w:tcPr>
          <w:p w14:paraId="080403DE">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250" w:type="dxa"/>
            <w:noWrap w:val="0"/>
            <w:vAlign w:val="center"/>
          </w:tcPr>
          <w:p w14:paraId="038E2467">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年  龄</w:t>
            </w:r>
          </w:p>
        </w:tc>
        <w:tc>
          <w:tcPr>
            <w:tcW w:w="1401" w:type="dxa"/>
            <w:noWrap w:val="0"/>
            <w:vAlign w:val="center"/>
          </w:tcPr>
          <w:p w14:paraId="137C53CA">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2316" w:type="dxa"/>
            <w:noWrap w:val="0"/>
            <w:vAlign w:val="center"/>
          </w:tcPr>
          <w:p w14:paraId="2E7ED172">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学历</w:t>
            </w:r>
          </w:p>
        </w:tc>
        <w:tc>
          <w:tcPr>
            <w:tcW w:w="2355" w:type="dxa"/>
            <w:noWrap w:val="0"/>
            <w:vAlign w:val="center"/>
          </w:tcPr>
          <w:p w14:paraId="240C6FE5">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r>
      <w:tr w14:paraId="5807E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301" w:type="dxa"/>
            <w:noWrap w:val="0"/>
            <w:vAlign w:val="center"/>
          </w:tcPr>
          <w:p w14:paraId="4F5D1A4E">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职  称</w:t>
            </w:r>
          </w:p>
        </w:tc>
        <w:tc>
          <w:tcPr>
            <w:tcW w:w="1034" w:type="dxa"/>
            <w:noWrap w:val="0"/>
            <w:vAlign w:val="center"/>
          </w:tcPr>
          <w:p w14:paraId="12B8DA1D">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1250" w:type="dxa"/>
            <w:noWrap w:val="0"/>
            <w:vAlign w:val="center"/>
          </w:tcPr>
          <w:p w14:paraId="001C491F">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职  务</w:t>
            </w:r>
          </w:p>
        </w:tc>
        <w:tc>
          <w:tcPr>
            <w:tcW w:w="1401" w:type="dxa"/>
            <w:noWrap w:val="0"/>
            <w:vAlign w:val="center"/>
          </w:tcPr>
          <w:p w14:paraId="4F28DAAA">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2316" w:type="dxa"/>
            <w:noWrap w:val="0"/>
            <w:vAlign w:val="center"/>
          </w:tcPr>
          <w:p w14:paraId="13C9085C">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拟在本工程任职</w:t>
            </w:r>
          </w:p>
        </w:tc>
        <w:tc>
          <w:tcPr>
            <w:tcW w:w="2355" w:type="dxa"/>
            <w:noWrap w:val="0"/>
            <w:vAlign w:val="center"/>
          </w:tcPr>
          <w:p w14:paraId="60C6885F">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r>
      <w:tr w14:paraId="6591E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1301" w:type="dxa"/>
            <w:noWrap w:val="0"/>
            <w:vAlign w:val="center"/>
          </w:tcPr>
          <w:p w14:paraId="5A0AE5F4">
            <w:pPr>
              <w:keepNext w:val="0"/>
              <w:keepLines w:val="0"/>
              <w:suppressLineNumbers w:val="0"/>
              <w:spacing w:before="0" w:beforeAutospacing="0" w:after="0" w:afterAutospacing="0"/>
              <w:ind w:left="0" w:right="0"/>
              <w:jc w:val="center"/>
              <w:rPr>
                <w:rFonts w:hint="eastAsia" w:ascii="宋体" w:hAnsi="宋体"/>
                <w:color w:val="auto"/>
                <w:szCs w:val="21"/>
                <w:highlight w:val="none"/>
              </w:rPr>
            </w:pPr>
            <w:r>
              <w:rPr>
                <w:rFonts w:hint="eastAsia" w:ascii="宋体" w:hAnsi="宋体"/>
                <w:color w:val="auto"/>
                <w:szCs w:val="21"/>
                <w:highlight w:val="none"/>
              </w:rPr>
              <w:t>毕业</w:t>
            </w:r>
          </w:p>
          <w:p w14:paraId="44701AD2">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学校</w:t>
            </w:r>
          </w:p>
        </w:tc>
        <w:tc>
          <w:tcPr>
            <w:tcW w:w="8356" w:type="dxa"/>
            <w:gridSpan w:val="5"/>
            <w:noWrap w:val="0"/>
            <w:vAlign w:val="center"/>
          </w:tcPr>
          <w:p w14:paraId="36A2708B">
            <w:pPr>
              <w:keepNext w:val="0"/>
              <w:keepLines w:val="0"/>
              <w:suppressLineNumbers w:val="0"/>
              <w:spacing w:before="0" w:beforeAutospacing="0" w:after="0" w:afterAutospacing="0"/>
              <w:ind w:left="0" w:right="0" w:firstLine="840" w:firstLineChars="400"/>
              <w:rPr>
                <w:rFonts w:hint="default" w:ascii="宋体" w:hAnsi="宋体"/>
                <w:color w:val="auto"/>
                <w:szCs w:val="21"/>
                <w:highlight w:val="none"/>
              </w:rPr>
            </w:pPr>
            <w:r>
              <w:rPr>
                <w:rFonts w:hint="eastAsia" w:ascii="宋体" w:hAnsi="宋体"/>
                <w:color w:val="auto"/>
                <w:szCs w:val="21"/>
                <w:highlight w:val="none"/>
              </w:rPr>
              <w:t>年毕业于                  学校            专业</w:t>
            </w:r>
          </w:p>
        </w:tc>
      </w:tr>
      <w:tr w14:paraId="21312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9657" w:type="dxa"/>
            <w:gridSpan w:val="6"/>
            <w:noWrap w:val="0"/>
            <w:vAlign w:val="center"/>
          </w:tcPr>
          <w:p w14:paraId="045A0D36">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主要工作经历</w:t>
            </w:r>
          </w:p>
        </w:tc>
      </w:tr>
      <w:tr w14:paraId="6BE04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301" w:type="dxa"/>
            <w:noWrap w:val="0"/>
            <w:vAlign w:val="center"/>
          </w:tcPr>
          <w:p w14:paraId="3A4A5E9F">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时  间</w:t>
            </w:r>
          </w:p>
        </w:tc>
        <w:tc>
          <w:tcPr>
            <w:tcW w:w="3685" w:type="dxa"/>
            <w:gridSpan w:val="3"/>
            <w:noWrap w:val="0"/>
            <w:vAlign w:val="center"/>
          </w:tcPr>
          <w:p w14:paraId="35722FB8">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参加过的类似项目名称</w:t>
            </w:r>
          </w:p>
        </w:tc>
        <w:tc>
          <w:tcPr>
            <w:tcW w:w="2316" w:type="dxa"/>
            <w:noWrap w:val="0"/>
            <w:vAlign w:val="center"/>
          </w:tcPr>
          <w:p w14:paraId="0719C698">
            <w:pPr>
              <w:keepNext w:val="0"/>
              <w:keepLines w:val="0"/>
              <w:suppressLineNumbers w:val="0"/>
              <w:spacing w:before="0" w:beforeAutospacing="0" w:after="0" w:afterAutospacing="0"/>
              <w:ind w:left="0" w:right="0"/>
              <w:jc w:val="center"/>
              <w:rPr>
                <w:rFonts w:hint="default" w:ascii="宋体" w:hAnsi="宋体"/>
                <w:color w:val="auto"/>
                <w:szCs w:val="21"/>
                <w:highlight w:val="none"/>
              </w:rPr>
            </w:pPr>
            <w:r>
              <w:rPr>
                <w:rFonts w:hint="eastAsia" w:ascii="宋体" w:hAnsi="宋体"/>
                <w:color w:val="auto"/>
                <w:szCs w:val="21"/>
                <w:highlight w:val="none"/>
              </w:rPr>
              <w:t>工程概况说明</w:t>
            </w:r>
          </w:p>
        </w:tc>
        <w:tc>
          <w:tcPr>
            <w:tcW w:w="2355" w:type="dxa"/>
            <w:noWrap w:val="0"/>
            <w:vAlign w:val="center"/>
          </w:tcPr>
          <w:p w14:paraId="6509ED52">
            <w:pPr>
              <w:keepNext w:val="0"/>
              <w:keepLines w:val="0"/>
              <w:widowControl/>
              <w:suppressLineNumbers w:val="0"/>
              <w:jc w:val="left"/>
              <w:rPr>
                <w:rFonts w:hint="default" w:ascii="宋体" w:hAnsi="宋体"/>
                <w:color w:val="auto"/>
                <w:szCs w:val="21"/>
                <w:highlight w:val="none"/>
              </w:rPr>
            </w:pPr>
            <w:r>
              <w:rPr>
                <w:rFonts w:hint="eastAsia" w:ascii="宋体" w:hAnsi="宋体" w:eastAsia="宋体" w:cs="宋体"/>
                <w:color w:val="auto"/>
                <w:kern w:val="0"/>
                <w:sz w:val="21"/>
                <w:szCs w:val="21"/>
                <w:highlight w:val="none"/>
                <w:lang w:val="en-US" w:eastAsia="zh-CN" w:bidi="ar"/>
              </w:rPr>
              <w:t>委托人及联系电话</w:t>
            </w:r>
          </w:p>
        </w:tc>
      </w:tr>
      <w:tr w14:paraId="574AF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301" w:type="dxa"/>
            <w:noWrap w:val="0"/>
            <w:vAlign w:val="center"/>
          </w:tcPr>
          <w:p w14:paraId="59F081F1">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3685" w:type="dxa"/>
            <w:gridSpan w:val="3"/>
            <w:noWrap w:val="0"/>
            <w:vAlign w:val="center"/>
          </w:tcPr>
          <w:p w14:paraId="763D305C">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2316" w:type="dxa"/>
            <w:noWrap w:val="0"/>
            <w:vAlign w:val="center"/>
          </w:tcPr>
          <w:p w14:paraId="4759184B">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2355" w:type="dxa"/>
            <w:noWrap w:val="0"/>
            <w:vAlign w:val="center"/>
          </w:tcPr>
          <w:p w14:paraId="10432B52">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r>
      <w:tr w14:paraId="534E1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301" w:type="dxa"/>
            <w:noWrap w:val="0"/>
            <w:vAlign w:val="center"/>
          </w:tcPr>
          <w:p w14:paraId="7657B767">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3685" w:type="dxa"/>
            <w:gridSpan w:val="3"/>
            <w:noWrap w:val="0"/>
            <w:vAlign w:val="center"/>
          </w:tcPr>
          <w:p w14:paraId="25198552">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2316" w:type="dxa"/>
            <w:noWrap w:val="0"/>
            <w:vAlign w:val="center"/>
          </w:tcPr>
          <w:p w14:paraId="080D3393">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2355" w:type="dxa"/>
            <w:noWrap w:val="0"/>
            <w:vAlign w:val="center"/>
          </w:tcPr>
          <w:p w14:paraId="0CB41C1B">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r>
      <w:tr w14:paraId="787E9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301" w:type="dxa"/>
            <w:noWrap w:val="0"/>
            <w:vAlign w:val="center"/>
          </w:tcPr>
          <w:p w14:paraId="44C684EA">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3685" w:type="dxa"/>
            <w:gridSpan w:val="3"/>
            <w:noWrap w:val="0"/>
            <w:vAlign w:val="center"/>
          </w:tcPr>
          <w:p w14:paraId="5F267C3C">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2316" w:type="dxa"/>
            <w:noWrap w:val="0"/>
            <w:vAlign w:val="center"/>
          </w:tcPr>
          <w:p w14:paraId="2F68074D">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2355" w:type="dxa"/>
            <w:noWrap w:val="0"/>
            <w:vAlign w:val="center"/>
          </w:tcPr>
          <w:p w14:paraId="30132121">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r>
      <w:tr w14:paraId="25075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301" w:type="dxa"/>
            <w:noWrap w:val="0"/>
            <w:vAlign w:val="center"/>
          </w:tcPr>
          <w:p w14:paraId="7B176EFD">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3685" w:type="dxa"/>
            <w:gridSpan w:val="3"/>
            <w:noWrap w:val="0"/>
            <w:vAlign w:val="center"/>
          </w:tcPr>
          <w:p w14:paraId="62089935">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2316" w:type="dxa"/>
            <w:noWrap w:val="0"/>
            <w:vAlign w:val="center"/>
          </w:tcPr>
          <w:p w14:paraId="1A45C7B6">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2355" w:type="dxa"/>
            <w:noWrap w:val="0"/>
            <w:vAlign w:val="center"/>
          </w:tcPr>
          <w:p w14:paraId="2647F900">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r>
      <w:tr w14:paraId="12D26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301" w:type="dxa"/>
            <w:noWrap w:val="0"/>
            <w:vAlign w:val="center"/>
          </w:tcPr>
          <w:p w14:paraId="2B299BD1">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3685" w:type="dxa"/>
            <w:gridSpan w:val="3"/>
            <w:noWrap w:val="0"/>
            <w:vAlign w:val="center"/>
          </w:tcPr>
          <w:p w14:paraId="1679F1EB">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2316" w:type="dxa"/>
            <w:noWrap w:val="0"/>
            <w:vAlign w:val="center"/>
          </w:tcPr>
          <w:p w14:paraId="753AFDA2">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2355" w:type="dxa"/>
            <w:noWrap w:val="0"/>
            <w:vAlign w:val="center"/>
          </w:tcPr>
          <w:p w14:paraId="2DAE084C">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r>
      <w:tr w14:paraId="4174D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301" w:type="dxa"/>
            <w:noWrap w:val="0"/>
            <w:vAlign w:val="center"/>
          </w:tcPr>
          <w:p w14:paraId="10014668">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3685" w:type="dxa"/>
            <w:gridSpan w:val="3"/>
            <w:noWrap w:val="0"/>
            <w:vAlign w:val="center"/>
          </w:tcPr>
          <w:p w14:paraId="6DC7C9C4">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2316" w:type="dxa"/>
            <w:noWrap w:val="0"/>
            <w:vAlign w:val="center"/>
          </w:tcPr>
          <w:p w14:paraId="7EFBB7C5">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2355" w:type="dxa"/>
            <w:noWrap w:val="0"/>
            <w:vAlign w:val="center"/>
          </w:tcPr>
          <w:p w14:paraId="15EDA0A8">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r>
      <w:tr w14:paraId="120F8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301" w:type="dxa"/>
            <w:noWrap w:val="0"/>
            <w:vAlign w:val="center"/>
          </w:tcPr>
          <w:p w14:paraId="21C48317">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3685" w:type="dxa"/>
            <w:gridSpan w:val="3"/>
            <w:noWrap w:val="0"/>
            <w:vAlign w:val="center"/>
          </w:tcPr>
          <w:p w14:paraId="5E5A38ED">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2316" w:type="dxa"/>
            <w:noWrap w:val="0"/>
            <w:vAlign w:val="center"/>
          </w:tcPr>
          <w:p w14:paraId="1A75A2C9">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2355" w:type="dxa"/>
            <w:noWrap w:val="0"/>
            <w:vAlign w:val="center"/>
          </w:tcPr>
          <w:p w14:paraId="2CF492A0">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r>
      <w:tr w14:paraId="6ACAF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301" w:type="dxa"/>
            <w:noWrap w:val="0"/>
            <w:vAlign w:val="center"/>
          </w:tcPr>
          <w:p w14:paraId="2893CDBF">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3685" w:type="dxa"/>
            <w:gridSpan w:val="3"/>
            <w:noWrap w:val="0"/>
            <w:vAlign w:val="center"/>
          </w:tcPr>
          <w:p w14:paraId="0C3275CC">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2316" w:type="dxa"/>
            <w:noWrap w:val="0"/>
            <w:vAlign w:val="center"/>
          </w:tcPr>
          <w:p w14:paraId="044D7B5F">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2355" w:type="dxa"/>
            <w:noWrap w:val="0"/>
            <w:vAlign w:val="center"/>
          </w:tcPr>
          <w:p w14:paraId="63CC69D6">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r>
      <w:tr w14:paraId="4981F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301" w:type="dxa"/>
            <w:noWrap w:val="0"/>
            <w:vAlign w:val="center"/>
          </w:tcPr>
          <w:p w14:paraId="0586C0F3">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3685" w:type="dxa"/>
            <w:gridSpan w:val="3"/>
            <w:noWrap w:val="0"/>
            <w:vAlign w:val="center"/>
          </w:tcPr>
          <w:p w14:paraId="0D0D305A">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2316" w:type="dxa"/>
            <w:noWrap w:val="0"/>
            <w:vAlign w:val="center"/>
          </w:tcPr>
          <w:p w14:paraId="075F97D2">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c>
          <w:tcPr>
            <w:tcW w:w="2355" w:type="dxa"/>
            <w:noWrap w:val="0"/>
            <w:vAlign w:val="center"/>
          </w:tcPr>
          <w:p w14:paraId="710AB81C">
            <w:pPr>
              <w:keepNext w:val="0"/>
              <w:keepLines w:val="0"/>
              <w:suppressLineNumbers w:val="0"/>
              <w:spacing w:before="0" w:beforeAutospacing="0" w:after="0" w:afterAutospacing="0"/>
              <w:ind w:left="0" w:right="0"/>
              <w:jc w:val="center"/>
              <w:rPr>
                <w:rFonts w:hint="default" w:ascii="宋体" w:hAnsi="宋体"/>
                <w:color w:val="auto"/>
                <w:szCs w:val="21"/>
                <w:highlight w:val="none"/>
              </w:rPr>
            </w:pPr>
          </w:p>
        </w:tc>
      </w:tr>
    </w:tbl>
    <w:p w14:paraId="10184468">
      <w:pPr>
        <w:ind w:firstLine="210" w:firstLineChars="100"/>
        <w:rPr>
          <w:rFonts w:hint="eastAsia"/>
          <w:color w:val="auto"/>
          <w:highlight w:val="none"/>
        </w:rPr>
      </w:pPr>
      <w:r>
        <w:rPr>
          <w:rFonts w:hint="eastAsia"/>
          <w:color w:val="auto"/>
          <w:highlight w:val="none"/>
          <w:lang w:val="en-US" w:eastAsia="zh-CN"/>
        </w:rPr>
        <w:t>注：“主要人员简历表”中的项目经理应附项目经理证、身份证、职称证、学历证、养老保险证明，管理过的项目业绩须附合同协议书；设计、施工、采购负责人应附身份证、职称证、学历证、养老保险，以及设计、施工负责人的执业资格证书，管理过的项目业绩须附证明其所任技术职务的企业文件或用户证明；其他主要人员应附职称证（执业证或上岗证书）、养老保险证明。</w:t>
      </w:r>
    </w:p>
    <w:p w14:paraId="466C4E18">
      <w:pPr>
        <w:rPr>
          <w:rFonts w:hint="eastAsia"/>
          <w:color w:val="auto"/>
          <w:highlight w:val="none"/>
        </w:rPr>
      </w:pPr>
    </w:p>
    <w:p w14:paraId="70BB0B6F">
      <w:pPr>
        <w:rPr>
          <w:rFonts w:hint="eastAsia"/>
          <w:color w:val="auto"/>
          <w:highlight w:val="none"/>
        </w:rPr>
      </w:pPr>
    </w:p>
    <w:p w14:paraId="48259998">
      <w:pPr>
        <w:rPr>
          <w:rFonts w:hint="eastAsia"/>
          <w:color w:val="auto"/>
          <w:highlight w:val="none"/>
        </w:rPr>
      </w:pPr>
    </w:p>
    <w:p w14:paraId="4145982C">
      <w:pPr>
        <w:rPr>
          <w:rFonts w:hint="eastAsia"/>
          <w:color w:val="auto"/>
          <w:highlight w:val="none"/>
        </w:rPr>
      </w:pPr>
    </w:p>
    <w:p w14:paraId="1837E4E1">
      <w:pPr>
        <w:rPr>
          <w:rFonts w:hint="eastAsia"/>
          <w:color w:val="auto"/>
          <w:highlight w:val="none"/>
        </w:rPr>
      </w:pPr>
    </w:p>
    <w:p w14:paraId="7AD1B6D5">
      <w:pPr>
        <w:rPr>
          <w:rFonts w:hint="eastAsia"/>
          <w:color w:val="auto"/>
          <w:highlight w:val="none"/>
        </w:rPr>
      </w:pPr>
    </w:p>
    <w:p w14:paraId="291DB0DA">
      <w:pPr>
        <w:rPr>
          <w:rFonts w:hint="eastAsia"/>
          <w:color w:val="auto"/>
          <w:highlight w:val="none"/>
        </w:rPr>
      </w:pPr>
    </w:p>
    <w:p w14:paraId="6B4C686C">
      <w:pPr>
        <w:rPr>
          <w:rFonts w:hint="eastAsia"/>
          <w:color w:val="auto"/>
          <w:highlight w:val="none"/>
        </w:rPr>
      </w:pPr>
    </w:p>
    <w:p w14:paraId="78440455">
      <w:pPr>
        <w:rPr>
          <w:rFonts w:hint="eastAsia"/>
          <w:color w:val="auto"/>
          <w:highlight w:val="none"/>
        </w:rPr>
      </w:pPr>
    </w:p>
    <w:p w14:paraId="1ED3ADA8">
      <w:pPr>
        <w:keepNext w:val="0"/>
        <w:keepLines w:val="0"/>
        <w:widowControl/>
        <w:suppressLineNumbers w:val="0"/>
        <w:jc w:val="center"/>
        <w:rPr>
          <w:rFonts w:ascii="黑体" w:hAnsi="宋体" w:eastAsia="黑体" w:cs="黑体"/>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1-</w:t>
      </w:r>
      <w:r>
        <w:rPr>
          <w:rFonts w:hint="eastAsia" w:cs="Times New Roman"/>
          <w:b/>
          <w:bCs/>
          <w:color w:val="auto"/>
          <w:kern w:val="0"/>
          <w:sz w:val="24"/>
          <w:szCs w:val="24"/>
          <w:highlight w:val="none"/>
          <w:lang w:val="en-US" w:eastAsia="zh-CN" w:bidi="ar"/>
        </w:rPr>
        <w:t>6</w:t>
      </w:r>
      <w:r>
        <w:rPr>
          <w:rFonts w:hint="default" w:ascii="Times New Roman" w:hAnsi="Times New Roman" w:eastAsia="宋体" w:cs="Times New Roman"/>
          <w:b/>
          <w:bCs/>
          <w:color w:val="auto"/>
          <w:kern w:val="0"/>
          <w:sz w:val="24"/>
          <w:szCs w:val="24"/>
          <w:highlight w:val="none"/>
          <w:lang w:val="en-US" w:eastAsia="zh-CN" w:bidi="ar"/>
        </w:rPr>
        <w:t xml:space="preserve"> </w:t>
      </w:r>
      <w:r>
        <w:rPr>
          <w:rFonts w:ascii="黑体" w:hAnsi="宋体" w:eastAsia="黑体" w:cs="黑体"/>
          <w:b/>
          <w:bCs/>
          <w:color w:val="auto"/>
          <w:kern w:val="0"/>
          <w:sz w:val="24"/>
          <w:szCs w:val="24"/>
          <w:highlight w:val="none"/>
          <w:lang w:val="en-US" w:eastAsia="zh-CN" w:bidi="ar"/>
        </w:rPr>
        <w:t>其他主要项目管理人员简历表</w:t>
      </w:r>
    </w:p>
    <w:p w14:paraId="3C4D5E75">
      <w:pPr>
        <w:keepNext w:val="0"/>
        <w:keepLines w:val="0"/>
        <w:widowControl/>
        <w:suppressLineNumbers w:val="0"/>
        <w:jc w:val="center"/>
        <w:rPr>
          <w:rFonts w:ascii="黑体" w:hAnsi="宋体" w:eastAsia="黑体" w:cs="黑体"/>
          <w:color w:val="auto"/>
          <w:kern w:val="0"/>
          <w:sz w:val="24"/>
          <w:szCs w:val="24"/>
          <w:highlight w:val="none"/>
          <w:lang w:val="en-US" w:eastAsia="zh-CN" w:bidi="ar"/>
        </w:rPr>
      </w:pP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6"/>
        <w:gridCol w:w="2735"/>
        <w:gridCol w:w="1724"/>
        <w:gridCol w:w="2737"/>
      </w:tblGrid>
      <w:tr w14:paraId="21C1D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1363" w:type="dxa"/>
            <w:noWrap w:val="0"/>
            <w:vAlign w:val="center"/>
          </w:tcPr>
          <w:p w14:paraId="0B0E45FD">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color w:val="auto"/>
                <w:szCs w:val="21"/>
                <w:highlight w:val="none"/>
              </w:rPr>
            </w:pPr>
            <w:r>
              <w:rPr>
                <w:rFonts w:hint="eastAsia" w:ascii="宋体" w:hAnsi="宋体"/>
                <w:color w:val="auto"/>
                <w:szCs w:val="21"/>
                <w:highlight w:val="none"/>
              </w:rPr>
              <w:t>岗位名称</w:t>
            </w:r>
          </w:p>
          <w:p w14:paraId="51C6D273">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职务</w:t>
            </w:r>
            <w:r>
              <w:rPr>
                <w:rFonts w:hint="eastAsia" w:ascii="宋体" w:hAnsi="宋体"/>
                <w:color w:val="auto"/>
                <w:szCs w:val="21"/>
                <w:highlight w:val="none"/>
                <w:lang w:eastAsia="zh-CN"/>
              </w:rPr>
              <w:t>）</w:t>
            </w:r>
          </w:p>
        </w:tc>
        <w:tc>
          <w:tcPr>
            <w:tcW w:w="7536" w:type="dxa"/>
            <w:gridSpan w:val="3"/>
            <w:noWrap w:val="0"/>
            <w:vAlign w:val="center"/>
          </w:tcPr>
          <w:p w14:paraId="6EC13DE9">
            <w:pPr>
              <w:jc w:val="center"/>
              <w:rPr>
                <w:rFonts w:ascii="宋体" w:hAnsi="宋体"/>
                <w:color w:val="auto"/>
                <w:szCs w:val="21"/>
                <w:highlight w:val="none"/>
              </w:rPr>
            </w:pPr>
          </w:p>
        </w:tc>
      </w:tr>
      <w:tr w14:paraId="770FA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1363" w:type="dxa"/>
            <w:noWrap w:val="0"/>
            <w:vAlign w:val="center"/>
          </w:tcPr>
          <w:p w14:paraId="3566785B">
            <w:pPr>
              <w:jc w:val="center"/>
              <w:rPr>
                <w:rFonts w:ascii="宋体" w:hAnsi="宋体"/>
                <w:color w:val="auto"/>
                <w:szCs w:val="21"/>
                <w:highlight w:val="none"/>
              </w:rPr>
            </w:pPr>
            <w:r>
              <w:rPr>
                <w:rFonts w:hint="eastAsia" w:ascii="宋体" w:hAnsi="宋体"/>
                <w:color w:val="auto"/>
                <w:szCs w:val="21"/>
                <w:highlight w:val="none"/>
              </w:rPr>
              <w:t>姓    名</w:t>
            </w:r>
          </w:p>
        </w:tc>
        <w:tc>
          <w:tcPr>
            <w:tcW w:w="2870" w:type="dxa"/>
            <w:noWrap w:val="0"/>
            <w:vAlign w:val="center"/>
          </w:tcPr>
          <w:p w14:paraId="011D356C">
            <w:pPr>
              <w:jc w:val="center"/>
              <w:rPr>
                <w:rFonts w:ascii="宋体" w:hAnsi="宋体"/>
                <w:color w:val="auto"/>
                <w:szCs w:val="21"/>
                <w:highlight w:val="none"/>
              </w:rPr>
            </w:pPr>
          </w:p>
        </w:tc>
        <w:tc>
          <w:tcPr>
            <w:tcW w:w="1794" w:type="dxa"/>
            <w:noWrap w:val="0"/>
            <w:vAlign w:val="center"/>
          </w:tcPr>
          <w:p w14:paraId="5D6ED3AA">
            <w:pPr>
              <w:jc w:val="center"/>
              <w:rPr>
                <w:rFonts w:ascii="宋体" w:hAnsi="宋体"/>
                <w:color w:val="auto"/>
                <w:szCs w:val="21"/>
                <w:highlight w:val="none"/>
              </w:rPr>
            </w:pPr>
            <w:r>
              <w:rPr>
                <w:rFonts w:hint="eastAsia" w:ascii="宋体" w:hAnsi="宋体"/>
                <w:color w:val="auto"/>
                <w:szCs w:val="21"/>
                <w:highlight w:val="none"/>
              </w:rPr>
              <w:t>年    龄</w:t>
            </w:r>
          </w:p>
        </w:tc>
        <w:tc>
          <w:tcPr>
            <w:tcW w:w="2872" w:type="dxa"/>
            <w:noWrap w:val="0"/>
            <w:vAlign w:val="center"/>
          </w:tcPr>
          <w:p w14:paraId="7D7561D1">
            <w:pPr>
              <w:jc w:val="center"/>
              <w:rPr>
                <w:rFonts w:ascii="宋体" w:hAnsi="宋体"/>
                <w:color w:val="auto"/>
                <w:szCs w:val="21"/>
                <w:highlight w:val="none"/>
              </w:rPr>
            </w:pPr>
          </w:p>
        </w:tc>
      </w:tr>
      <w:tr w14:paraId="0A0C5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1363" w:type="dxa"/>
            <w:noWrap w:val="0"/>
            <w:vAlign w:val="center"/>
          </w:tcPr>
          <w:p w14:paraId="76C805EF">
            <w:pPr>
              <w:jc w:val="center"/>
              <w:rPr>
                <w:rFonts w:ascii="宋体" w:hAnsi="宋体"/>
                <w:color w:val="auto"/>
                <w:szCs w:val="21"/>
                <w:highlight w:val="none"/>
              </w:rPr>
            </w:pPr>
            <w:r>
              <w:rPr>
                <w:rFonts w:hint="eastAsia" w:ascii="宋体" w:hAnsi="宋体"/>
                <w:color w:val="auto"/>
                <w:szCs w:val="21"/>
                <w:highlight w:val="none"/>
              </w:rPr>
              <w:t>性    别</w:t>
            </w:r>
          </w:p>
        </w:tc>
        <w:tc>
          <w:tcPr>
            <w:tcW w:w="2870" w:type="dxa"/>
            <w:noWrap w:val="0"/>
            <w:vAlign w:val="center"/>
          </w:tcPr>
          <w:p w14:paraId="147734D8">
            <w:pPr>
              <w:jc w:val="center"/>
              <w:rPr>
                <w:rFonts w:ascii="宋体" w:hAnsi="宋体"/>
                <w:color w:val="auto"/>
                <w:szCs w:val="21"/>
                <w:highlight w:val="none"/>
              </w:rPr>
            </w:pPr>
          </w:p>
        </w:tc>
        <w:tc>
          <w:tcPr>
            <w:tcW w:w="1794" w:type="dxa"/>
            <w:noWrap w:val="0"/>
            <w:vAlign w:val="center"/>
          </w:tcPr>
          <w:p w14:paraId="23872E43">
            <w:pPr>
              <w:jc w:val="center"/>
              <w:rPr>
                <w:rFonts w:ascii="宋体" w:hAnsi="宋体"/>
                <w:color w:val="auto"/>
                <w:szCs w:val="21"/>
                <w:highlight w:val="none"/>
              </w:rPr>
            </w:pPr>
            <w:r>
              <w:rPr>
                <w:rFonts w:hint="eastAsia" w:ascii="宋体" w:hAnsi="宋体"/>
                <w:color w:val="auto"/>
                <w:szCs w:val="21"/>
                <w:highlight w:val="none"/>
              </w:rPr>
              <w:t>毕业学校</w:t>
            </w:r>
          </w:p>
        </w:tc>
        <w:tc>
          <w:tcPr>
            <w:tcW w:w="2872" w:type="dxa"/>
            <w:noWrap w:val="0"/>
            <w:vAlign w:val="center"/>
          </w:tcPr>
          <w:p w14:paraId="12016338">
            <w:pPr>
              <w:jc w:val="center"/>
              <w:rPr>
                <w:rFonts w:ascii="宋体" w:hAnsi="宋体"/>
                <w:color w:val="auto"/>
                <w:szCs w:val="21"/>
                <w:highlight w:val="none"/>
              </w:rPr>
            </w:pPr>
          </w:p>
        </w:tc>
      </w:tr>
      <w:tr w14:paraId="0A199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1363" w:type="dxa"/>
            <w:noWrap w:val="0"/>
            <w:vAlign w:val="center"/>
          </w:tcPr>
          <w:p w14:paraId="57CE7EA6">
            <w:pPr>
              <w:jc w:val="center"/>
              <w:rPr>
                <w:rFonts w:ascii="宋体" w:hAnsi="宋体"/>
                <w:color w:val="auto"/>
                <w:szCs w:val="21"/>
                <w:highlight w:val="none"/>
              </w:rPr>
            </w:pPr>
            <w:r>
              <w:rPr>
                <w:rFonts w:hint="eastAsia" w:ascii="宋体" w:hAnsi="宋体"/>
                <w:color w:val="auto"/>
                <w:szCs w:val="21"/>
                <w:highlight w:val="none"/>
              </w:rPr>
              <w:t>学历和专业</w:t>
            </w:r>
          </w:p>
        </w:tc>
        <w:tc>
          <w:tcPr>
            <w:tcW w:w="2870" w:type="dxa"/>
            <w:noWrap w:val="0"/>
            <w:vAlign w:val="center"/>
          </w:tcPr>
          <w:p w14:paraId="065932FE">
            <w:pPr>
              <w:jc w:val="center"/>
              <w:rPr>
                <w:rFonts w:ascii="宋体" w:hAnsi="宋体"/>
                <w:color w:val="auto"/>
                <w:szCs w:val="21"/>
                <w:highlight w:val="none"/>
              </w:rPr>
            </w:pPr>
          </w:p>
        </w:tc>
        <w:tc>
          <w:tcPr>
            <w:tcW w:w="1794" w:type="dxa"/>
            <w:noWrap w:val="0"/>
            <w:vAlign w:val="center"/>
          </w:tcPr>
          <w:p w14:paraId="4D94689B">
            <w:pPr>
              <w:jc w:val="center"/>
              <w:rPr>
                <w:rFonts w:ascii="宋体" w:hAnsi="宋体"/>
                <w:color w:val="auto"/>
                <w:szCs w:val="21"/>
                <w:highlight w:val="none"/>
              </w:rPr>
            </w:pPr>
            <w:r>
              <w:rPr>
                <w:rFonts w:hint="eastAsia" w:ascii="宋体" w:hAnsi="宋体"/>
                <w:color w:val="auto"/>
                <w:szCs w:val="21"/>
                <w:highlight w:val="none"/>
              </w:rPr>
              <w:t>毕业时间</w:t>
            </w:r>
          </w:p>
        </w:tc>
        <w:tc>
          <w:tcPr>
            <w:tcW w:w="2872" w:type="dxa"/>
            <w:noWrap w:val="0"/>
            <w:vAlign w:val="center"/>
          </w:tcPr>
          <w:p w14:paraId="736FD77A">
            <w:pPr>
              <w:jc w:val="center"/>
              <w:rPr>
                <w:rFonts w:ascii="宋体" w:hAnsi="宋体"/>
                <w:color w:val="auto"/>
                <w:szCs w:val="21"/>
                <w:highlight w:val="none"/>
              </w:rPr>
            </w:pPr>
          </w:p>
        </w:tc>
      </w:tr>
      <w:tr w14:paraId="68BF9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1363" w:type="dxa"/>
            <w:noWrap w:val="0"/>
            <w:vAlign w:val="center"/>
          </w:tcPr>
          <w:p w14:paraId="32389E5D">
            <w:pPr>
              <w:jc w:val="center"/>
              <w:rPr>
                <w:rFonts w:ascii="宋体" w:hAnsi="宋体"/>
                <w:color w:val="auto"/>
                <w:szCs w:val="21"/>
                <w:highlight w:val="none"/>
              </w:rPr>
            </w:pPr>
            <w:r>
              <w:rPr>
                <w:rFonts w:hint="eastAsia" w:ascii="宋体" w:hAnsi="宋体"/>
                <w:color w:val="auto"/>
                <w:szCs w:val="21"/>
                <w:highlight w:val="none"/>
              </w:rPr>
              <w:t>执业/岗位资格</w:t>
            </w:r>
          </w:p>
        </w:tc>
        <w:tc>
          <w:tcPr>
            <w:tcW w:w="2870" w:type="dxa"/>
            <w:noWrap w:val="0"/>
            <w:vAlign w:val="center"/>
          </w:tcPr>
          <w:p w14:paraId="7A738897">
            <w:pPr>
              <w:jc w:val="center"/>
              <w:rPr>
                <w:rFonts w:ascii="宋体" w:hAnsi="宋体"/>
                <w:color w:val="auto"/>
                <w:szCs w:val="21"/>
                <w:highlight w:val="none"/>
              </w:rPr>
            </w:pPr>
          </w:p>
        </w:tc>
        <w:tc>
          <w:tcPr>
            <w:tcW w:w="1794" w:type="dxa"/>
            <w:noWrap w:val="0"/>
            <w:vAlign w:val="center"/>
          </w:tcPr>
          <w:p w14:paraId="75B70B1D">
            <w:pPr>
              <w:jc w:val="center"/>
              <w:rPr>
                <w:rFonts w:ascii="宋体" w:hAnsi="宋体"/>
                <w:color w:val="auto"/>
                <w:szCs w:val="21"/>
                <w:highlight w:val="none"/>
              </w:rPr>
            </w:pPr>
            <w:r>
              <w:rPr>
                <w:rFonts w:hint="eastAsia" w:ascii="宋体" w:hAnsi="宋体"/>
                <w:color w:val="auto"/>
                <w:szCs w:val="21"/>
                <w:highlight w:val="none"/>
              </w:rPr>
              <w:t>专业职称</w:t>
            </w:r>
          </w:p>
        </w:tc>
        <w:tc>
          <w:tcPr>
            <w:tcW w:w="2872" w:type="dxa"/>
            <w:noWrap w:val="0"/>
            <w:vAlign w:val="center"/>
          </w:tcPr>
          <w:p w14:paraId="1E290AA2">
            <w:pPr>
              <w:jc w:val="center"/>
              <w:rPr>
                <w:rFonts w:ascii="宋体" w:hAnsi="宋体"/>
                <w:color w:val="auto"/>
                <w:szCs w:val="21"/>
                <w:highlight w:val="none"/>
              </w:rPr>
            </w:pPr>
          </w:p>
        </w:tc>
      </w:tr>
      <w:tr w14:paraId="53E6F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1363" w:type="dxa"/>
            <w:noWrap w:val="0"/>
            <w:vAlign w:val="center"/>
          </w:tcPr>
          <w:p w14:paraId="22488ECD">
            <w:pPr>
              <w:jc w:val="center"/>
              <w:rPr>
                <w:rFonts w:ascii="宋体" w:hAnsi="宋体"/>
                <w:color w:val="auto"/>
                <w:szCs w:val="21"/>
                <w:highlight w:val="none"/>
              </w:rPr>
            </w:pPr>
            <w:r>
              <w:rPr>
                <w:rFonts w:hint="eastAsia" w:ascii="宋体" w:hAnsi="宋体"/>
                <w:color w:val="auto"/>
                <w:szCs w:val="21"/>
                <w:highlight w:val="none"/>
              </w:rPr>
              <w:t>执业/岗位</w:t>
            </w:r>
          </w:p>
          <w:p w14:paraId="5BF8CDB7">
            <w:pPr>
              <w:jc w:val="center"/>
              <w:rPr>
                <w:rFonts w:ascii="宋体" w:hAnsi="宋体"/>
                <w:color w:val="auto"/>
                <w:szCs w:val="21"/>
                <w:highlight w:val="none"/>
              </w:rPr>
            </w:pPr>
            <w:r>
              <w:rPr>
                <w:rFonts w:hint="eastAsia" w:ascii="宋体" w:hAnsi="宋体"/>
                <w:color w:val="auto"/>
                <w:szCs w:val="21"/>
                <w:highlight w:val="none"/>
              </w:rPr>
              <w:t>证书编号</w:t>
            </w:r>
          </w:p>
        </w:tc>
        <w:tc>
          <w:tcPr>
            <w:tcW w:w="2870" w:type="dxa"/>
            <w:noWrap w:val="0"/>
            <w:vAlign w:val="center"/>
          </w:tcPr>
          <w:p w14:paraId="6A504033">
            <w:pPr>
              <w:jc w:val="center"/>
              <w:rPr>
                <w:rFonts w:ascii="宋体" w:hAnsi="宋体"/>
                <w:color w:val="auto"/>
                <w:szCs w:val="21"/>
                <w:highlight w:val="none"/>
              </w:rPr>
            </w:pPr>
          </w:p>
        </w:tc>
        <w:tc>
          <w:tcPr>
            <w:tcW w:w="1794" w:type="dxa"/>
            <w:noWrap w:val="0"/>
            <w:vAlign w:val="center"/>
          </w:tcPr>
          <w:p w14:paraId="0D6BE11E">
            <w:pPr>
              <w:jc w:val="center"/>
              <w:rPr>
                <w:rFonts w:ascii="宋体" w:hAnsi="宋体"/>
                <w:color w:val="auto"/>
                <w:szCs w:val="21"/>
                <w:highlight w:val="none"/>
              </w:rPr>
            </w:pPr>
            <w:r>
              <w:rPr>
                <w:rFonts w:hint="eastAsia" w:ascii="宋体" w:hAnsi="宋体"/>
                <w:color w:val="auto"/>
                <w:szCs w:val="21"/>
                <w:highlight w:val="none"/>
              </w:rPr>
              <w:t>专业工作年限</w:t>
            </w:r>
          </w:p>
        </w:tc>
        <w:tc>
          <w:tcPr>
            <w:tcW w:w="2872" w:type="dxa"/>
            <w:noWrap w:val="0"/>
            <w:vAlign w:val="center"/>
          </w:tcPr>
          <w:p w14:paraId="669C56F1">
            <w:pPr>
              <w:jc w:val="center"/>
              <w:rPr>
                <w:rFonts w:ascii="宋体" w:hAnsi="宋体"/>
                <w:color w:val="auto"/>
                <w:szCs w:val="21"/>
                <w:highlight w:val="none"/>
              </w:rPr>
            </w:pPr>
          </w:p>
          <w:p w14:paraId="4BCECE6B">
            <w:pPr>
              <w:jc w:val="center"/>
              <w:rPr>
                <w:rFonts w:ascii="宋体" w:hAnsi="宋体"/>
                <w:color w:val="auto"/>
                <w:szCs w:val="21"/>
                <w:highlight w:val="none"/>
              </w:rPr>
            </w:pPr>
          </w:p>
        </w:tc>
      </w:tr>
      <w:tr w14:paraId="473B5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5" w:hRule="atLeast"/>
          <w:jc w:val="center"/>
        </w:trPr>
        <w:tc>
          <w:tcPr>
            <w:tcW w:w="1363" w:type="dxa"/>
            <w:noWrap w:val="0"/>
            <w:vAlign w:val="center"/>
          </w:tcPr>
          <w:p w14:paraId="47A5C916">
            <w:pPr>
              <w:ind w:firstLine="210" w:firstLineChars="100"/>
              <w:jc w:val="center"/>
              <w:rPr>
                <w:rFonts w:ascii="宋体" w:hAnsi="宋体"/>
                <w:color w:val="auto"/>
                <w:szCs w:val="21"/>
                <w:highlight w:val="none"/>
              </w:rPr>
            </w:pPr>
            <w:r>
              <w:rPr>
                <w:rFonts w:hint="eastAsia" w:ascii="宋体" w:hAnsi="宋体"/>
                <w:color w:val="auto"/>
                <w:szCs w:val="21"/>
                <w:highlight w:val="none"/>
              </w:rPr>
              <w:t>主</w:t>
            </w:r>
          </w:p>
          <w:p w14:paraId="45B017F8">
            <w:pPr>
              <w:ind w:firstLine="210" w:firstLineChars="100"/>
              <w:jc w:val="center"/>
              <w:rPr>
                <w:rFonts w:ascii="宋体" w:hAnsi="宋体"/>
                <w:color w:val="auto"/>
                <w:szCs w:val="21"/>
                <w:highlight w:val="none"/>
              </w:rPr>
            </w:pPr>
            <w:r>
              <w:rPr>
                <w:rFonts w:hint="eastAsia" w:ascii="宋体" w:hAnsi="宋体"/>
                <w:color w:val="auto"/>
                <w:szCs w:val="21"/>
                <w:highlight w:val="none"/>
              </w:rPr>
              <w:t>要</w:t>
            </w:r>
          </w:p>
          <w:p w14:paraId="547246AA">
            <w:pPr>
              <w:ind w:firstLine="210" w:firstLineChars="100"/>
              <w:jc w:val="center"/>
              <w:rPr>
                <w:rFonts w:ascii="宋体" w:hAnsi="宋体"/>
                <w:color w:val="auto"/>
                <w:szCs w:val="21"/>
                <w:highlight w:val="none"/>
              </w:rPr>
            </w:pPr>
            <w:r>
              <w:rPr>
                <w:rFonts w:hint="eastAsia" w:ascii="宋体" w:hAnsi="宋体"/>
                <w:color w:val="auto"/>
                <w:szCs w:val="21"/>
                <w:highlight w:val="none"/>
              </w:rPr>
              <w:t>工</w:t>
            </w:r>
          </w:p>
          <w:p w14:paraId="2E073FEC">
            <w:pPr>
              <w:ind w:firstLine="210" w:firstLineChars="100"/>
              <w:jc w:val="center"/>
              <w:rPr>
                <w:rFonts w:ascii="宋体" w:hAnsi="宋体"/>
                <w:color w:val="auto"/>
                <w:szCs w:val="21"/>
                <w:highlight w:val="none"/>
              </w:rPr>
            </w:pPr>
            <w:r>
              <w:rPr>
                <w:rFonts w:hint="eastAsia" w:ascii="宋体" w:hAnsi="宋体"/>
                <w:color w:val="auto"/>
                <w:szCs w:val="21"/>
                <w:highlight w:val="none"/>
              </w:rPr>
              <w:t>作</w:t>
            </w:r>
          </w:p>
          <w:p w14:paraId="655DD2B9">
            <w:pPr>
              <w:ind w:firstLine="210" w:firstLineChars="100"/>
              <w:jc w:val="center"/>
              <w:rPr>
                <w:rFonts w:ascii="宋体" w:hAnsi="宋体"/>
                <w:color w:val="auto"/>
                <w:szCs w:val="21"/>
                <w:highlight w:val="none"/>
              </w:rPr>
            </w:pPr>
            <w:r>
              <w:rPr>
                <w:rFonts w:hint="eastAsia" w:ascii="宋体" w:hAnsi="宋体"/>
                <w:color w:val="auto"/>
                <w:szCs w:val="21"/>
                <w:highlight w:val="none"/>
              </w:rPr>
              <w:t>业</w:t>
            </w:r>
          </w:p>
          <w:p w14:paraId="6816D23A">
            <w:pPr>
              <w:ind w:firstLine="210" w:firstLineChars="100"/>
              <w:jc w:val="center"/>
              <w:rPr>
                <w:rFonts w:ascii="宋体" w:hAnsi="宋体"/>
                <w:color w:val="auto"/>
                <w:szCs w:val="21"/>
                <w:highlight w:val="none"/>
              </w:rPr>
            </w:pPr>
            <w:r>
              <w:rPr>
                <w:rFonts w:hint="eastAsia" w:ascii="宋体" w:hAnsi="宋体"/>
                <w:color w:val="auto"/>
                <w:szCs w:val="21"/>
                <w:highlight w:val="none"/>
              </w:rPr>
              <w:t>绩</w:t>
            </w:r>
          </w:p>
          <w:p w14:paraId="0AA772C9">
            <w:pPr>
              <w:ind w:firstLine="210" w:firstLineChars="100"/>
              <w:jc w:val="center"/>
              <w:rPr>
                <w:rFonts w:ascii="宋体" w:hAnsi="宋体"/>
                <w:color w:val="auto"/>
                <w:szCs w:val="21"/>
                <w:highlight w:val="none"/>
              </w:rPr>
            </w:pPr>
            <w:r>
              <w:rPr>
                <w:rFonts w:hint="eastAsia" w:ascii="宋体" w:hAnsi="宋体"/>
                <w:color w:val="auto"/>
                <w:szCs w:val="21"/>
                <w:highlight w:val="none"/>
              </w:rPr>
              <w:t>及</w:t>
            </w:r>
          </w:p>
          <w:p w14:paraId="560EBE79">
            <w:pPr>
              <w:ind w:firstLine="210" w:firstLineChars="100"/>
              <w:jc w:val="center"/>
              <w:rPr>
                <w:rFonts w:ascii="宋体" w:hAnsi="宋体"/>
                <w:color w:val="auto"/>
                <w:szCs w:val="21"/>
                <w:highlight w:val="none"/>
              </w:rPr>
            </w:pPr>
            <w:r>
              <w:rPr>
                <w:rFonts w:hint="eastAsia" w:ascii="宋体" w:hAnsi="宋体"/>
                <w:color w:val="auto"/>
                <w:szCs w:val="21"/>
                <w:highlight w:val="none"/>
              </w:rPr>
              <w:t>担</w:t>
            </w:r>
          </w:p>
          <w:p w14:paraId="697465BF">
            <w:pPr>
              <w:ind w:firstLine="210" w:firstLineChars="100"/>
              <w:jc w:val="center"/>
              <w:rPr>
                <w:rFonts w:ascii="宋体" w:hAnsi="宋体"/>
                <w:color w:val="auto"/>
                <w:szCs w:val="21"/>
                <w:highlight w:val="none"/>
              </w:rPr>
            </w:pPr>
            <w:r>
              <w:rPr>
                <w:rFonts w:hint="eastAsia" w:ascii="宋体" w:hAnsi="宋体"/>
                <w:color w:val="auto"/>
                <w:szCs w:val="21"/>
                <w:highlight w:val="none"/>
              </w:rPr>
              <w:t>任</w:t>
            </w:r>
          </w:p>
          <w:p w14:paraId="42C55DEB">
            <w:pPr>
              <w:ind w:firstLine="210" w:firstLineChars="100"/>
              <w:jc w:val="center"/>
              <w:rPr>
                <w:rFonts w:ascii="宋体" w:hAnsi="宋体"/>
                <w:color w:val="auto"/>
                <w:szCs w:val="21"/>
                <w:highlight w:val="none"/>
              </w:rPr>
            </w:pPr>
            <w:r>
              <w:rPr>
                <w:rFonts w:hint="eastAsia" w:ascii="宋体" w:hAnsi="宋体"/>
                <w:color w:val="auto"/>
                <w:szCs w:val="21"/>
                <w:highlight w:val="none"/>
              </w:rPr>
              <w:t>的</w:t>
            </w:r>
          </w:p>
          <w:p w14:paraId="1D0D5BD9">
            <w:pPr>
              <w:ind w:firstLine="210" w:firstLineChars="100"/>
              <w:jc w:val="center"/>
              <w:rPr>
                <w:rFonts w:ascii="宋体" w:hAnsi="宋体"/>
                <w:color w:val="auto"/>
                <w:szCs w:val="21"/>
                <w:highlight w:val="none"/>
              </w:rPr>
            </w:pPr>
            <w:r>
              <w:rPr>
                <w:rFonts w:hint="eastAsia" w:ascii="宋体" w:hAnsi="宋体"/>
                <w:color w:val="auto"/>
                <w:szCs w:val="21"/>
                <w:highlight w:val="none"/>
              </w:rPr>
              <w:t>主</w:t>
            </w:r>
          </w:p>
          <w:p w14:paraId="6E7C6C1A">
            <w:pPr>
              <w:ind w:firstLine="210" w:firstLineChars="100"/>
              <w:jc w:val="center"/>
              <w:rPr>
                <w:rFonts w:ascii="宋体" w:hAnsi="宋体"/>
                <w:color w:val="auto"/>
                <w:szCs w:val="21"/>
                <w:highlight w:val="none"/>
              </w:rPr>
            </w:pPr>
            <w:r>
              <w:rPr>
                <w:rFonts w:hint="eastAsia" w:ascii="宋体" w:hAnsi="宋体"/>
                <w:color w:val="auto"/>
                <w:szCs w:val="21"/>
                <w:highlight w:val="none"/>
              </w:rPr>
              <w:t>要</w:t>
            </w:r>
          </w:p>
          <w:p w14:paraId="39946CD2">
            <w:pPr>
              <w:ind w:firstLine="210" w:firstLineChars="100"/>
              <w:jc w:val="center"/>
              <w:rPr>
                <w:rFonts w:ascii="宋体" w:hAnsi="宋体"/>
                <w:color w:val="auto"/>
                <w:szCs w:val="21"/>
                <w:highlight w:val="none"/>
              </w:rPr>
            </w:pPr>
            <w:r>
              <w:rPr>
                <w:rFonts w:hint="eastAsia" w:ascii="宋体" w:hAnsi="宋体"/>
                <w:color w:val="auto"/>
                <w:szCs w:val="21"/>
                <w:highlight w:val="none"/>
              </w:rPr>
              <w:t>工</w:t>
            </w:r>
          </w:p>
          <w:p w14:paraId="16378D31">
            <w:pPr>
              <w:ind w:firstLine="210" w:firstLineChars="100"/>
              <w:jc w:val="center"/>
              <w:rPr>
                <w:rFonts w:ascii="宋体" w:hAnsi="宋体"/>
                <w:color w:val="auto"/>
                <w:szCs w:val="21"/>
                <w:highlight w:val="none"/>
              </w:rPr>
            </w:pPr>
            <w:r>
              <w:rPr>
                <w:rFonts w:hint="eastAsia" w:ascii="宋体" w:hAnsi="宋体"/>
                <w:color w:val="auto"/>
                <w:szCs w:val="21"/>
                <w:highlight w:val="none"/>
              </w:rPr>
              <w:t>作</w:t>
            </w:r>
          </w:p>
        </w:tc>
        <w:tc>
          <w:tcPr>
            <w:tcW w:w="7536" w:type="dxa"/>
            <w:gridSpan w:val="3"/>
            <w:noWrap w:val="0"/>
            <w:vAlign w:val="center"/>
          </w:tcPr>
          <w:p w14:paraId="2C83B675">
            <w:pPr>
              <w:jc w:val="center"/>
              <w:rPr>
                <w:rFonts w:ascii="宋体" w:hAnsi="宋体"/>
                <w:color w:val="auto"/>
                <w:szCs w:val="21"/>
                <w:highlight w:val="none"/>
              </w:rPr>
            </w:pPr>
          </w:p>
        </w:tc>
      </w:tr>
    </w:tbl>
    <w:p w14:paraId="4A8BCA3E">
      <w:pPr>
        <w:keepNext w:val="0"/>
        <w:keepLines w:val="0"/>
        <w:widowControl/>
        <w:suppressLineNumbers w:val="0"/>
        <w:ind w:firstLine="630" w:firstLineChars="300"/>
        <w:jc w:val="left"/>
        <w:rPr>
          <w:color w:val="auto"/>
          <w:highlight w:val="none"/>
        </w:rPr>
      </w:pPr>
      <w:r>
        <w:rPr>
          <w:rFonts w:hint="eastAsia" w:ascii="宋体" w:hAnsi="宋体" w:eastAsia="宋体" w:cs="宋体"/>
          <w:color w:val="auto"/>
          <w:kern w:val="0"/>
          <w:sz w:val="21"/>
          <w:szCs w:val="21"/>
          <w:highlight w:val="none"/>
          <w:lang w:val="en-US" w:eastAsia="zh-CN" w:bidi="ar"/>
        </w:rPr>
        <w:t>注：提供其他主要项目管理人员的相关证书、职称证书（如有）、学历证书（如有）。</w:t>
      </w:r>
    </w:p>
    <w:p w14:paraId="07465D39">
      <w:pPr>
        <w:pStyle w:val="190"/>
        <w:jc w:val="center"/>
        <w:rPr>
          <w:color w:val="auto"/>
          <w:highlight w:val="none"/>
        </w:rPr>
      </w:pPr>
    </w:p>
    <w:p w14:paraId="408AC280">
      <w:pPr>
        <w:rPr>
          <w:rFonts w:hint="eastAsia"/>
          <w:color w:val="auto"/>
          <w:highlight w:val="none"/>
        </w:rPr>
      </w:pPr>
    </w:p>
    <w:p w14:paraId="181F1CF6">
      <w:pPr>
        <w:rPr>
          <w:rFonts w:hint="eastAsia"/>
          <w:color w:val="auto"/>
          <w:highlight w:val="none"/>
        </w:rPr>
      </w:pPr>
    </w:p>
    <w:p w14:paraId="4ED9D70D">
      <w:pPr>
        <w:rPr>
          <w:rFonts w:hint="eastAsia"/>
          <w:color w:val="auto"/>
          <w:highlight w:val="none"/>
        </w:rPr>
      </w:pPr>
    </w:p>
    <w:p w14:paraId="6252208D">
      <w:pPr>
        <w:rPr>
          <w:rFonts w:hint="eastAsia"/>
          <w:color w:val="auto"/>
          <w:highlight w:val="none"/>
        </w:rPr>
      </w:pPr>
    </w:p>
    <w:p w14:paraId="126548D0">
      <w:pPr>
        <w:rPr>
          <w:rFonts w:hint="eastAsia"/>
          <w:color w:val="auto"/>
          <w:highlight w:val="none"/>
        </w:rPr>
      </w:pPr>
    </w:p>
    <w:p w14:paraId="477710E4">
      <w:pPr>
        <w:rPr>
          <w:rFonts w:hint="eastAsia"/>
          <w:color w:val="auto"/>
          <w:highlight w:val="none"/>
        </w:rPr>
      </w:pPr>
    </w:p>
    <w:p w14:paraId="6C2390AC">
      <w:pPr>
        <w:keepNext w:val="0"/>
        <w:keepLines w:val="0"/>
        <w:widowControl/>
        <w:suppressLineNumbers w:val="0"/>
        <w:jc w:val="center"/>
        <w:rPr>
          <w:b/>
          <w:bCs/>
          <w:color w:val="auto"/>
          <w:highlight w:val="none"/>
        </w:rPr>
      </w:pPr>
      <w:r>
        <w:rPr>
          <w:rFonts w:hint="default" w:ascii="Times New Roman" w:hAnsi="Times New Roman" w:eastAsia="宋体" w:cs="Times New Roman"/>
          <w:b/>
          <w:bCs/>
          <w:color w:val="auto"/>
          <w:kern w:val="0"/>
          <w:sz w:val="24"/>
          <w:szCs w:val="24"/>
          <w:highlight w:val="none"/>
          <w:lang w:val="en-US" w:eastAsia="zh-CN" w:bidi="ar"/>
        </w:rPr>
        <w:t>1-</w:t>
      </w:r>
      <w:r>
        <w:rPr>
          <w:rFonts w:hint="eastAsia" w:cs="Times New Roman"/>
          <w:b/>
          <w:bCs/>
          <w:color w:val="auto"/>
          <w:kern w:val="0"/>
          <w:sz w:val="24"/>
          <w:szCs w:val="24"/>
          <w:highlight w:val="none"/>
          <w:lang w:val="en-US" w:eastAsia="zh-CN" w:bidi="ar"/>
        </w:rPr>
        <w:t>7</w:t>
      </w:r>
      <w:r>
        <w:rPr>
          <w:rFonts w:hint="default" w:ascii="Times New Roman" w:hAnsi="Times New Roman" w:eastAsia="宋体" w:cs="Times New Roman"/>
          <w:b/>
          <w:bCs/>
          <w:color w:val="auto"/>
          <w:kern w:val="0"/>
          <w:sz w:val="24"/>
          <w:szCs w:val="24"/>
          <w:highlight w:val="none"/>
          <w:lang w:val="en-US" w:eastAsia="zh-CN" w:bidi="ar"/>
        </w:rPr>
        <w:t xml:space="preserve"> </w:t>
      </w:r>
      <w:r>
        <w:rPr>
          <w:rFonts w:ascii="黑体" w:hAnsi="宋体" w:eastAsia="黑体" w:cs="黑体"/>
          <w:b/>
          <w:bCs/>
          <w:color w:val="auto"/>
          <w:kern w:val="0"/>
          <w:sz w:val="24"/>
          <w:szCs w:val="24"/>
          <w:highlight w:val="none"/>
          <w:lang w:val="en-US" w:eastAsia="zh-CN" w:bidi="ar"/>
        </w:rPr>
        <w:t>拟投入主要试验检测仪器设备表</w:t>
      </w:r>
    </w:p>
    <w:p w14:paraId="0C6604D6">
      <w:pPr>
        <w:pStyle w:val="190"/>
        <w:rPr>
          <w:color w:val="auto"/>
          <w:highlight w:val="none"/>
        </w:rPr>
      </w:pPr>
    </w:p>
    <w:tbl>
      <w:tblPr>
        <w:tblStyle w:val="43"/>
        <w:tblW w:w="9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1135"/>
        <w:gridCol w:w="952"/>
        <w:gridCol w:w="952"/>
        <w:gridCol w:w="952"/>
        <w:gridCol w:w="952"/>
        <w:gridCol w:w="952"/>
        <w:gridCol w:w="952"/>
        <w:gridCol w:w="952"/>
        <w:gridCol w:w="952"/>
      </w:tblGrid>
      <w:tr w14:paraId="40F3D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769" w:type="dxa"/>
            <w:noWrap w:val="0"/>
            <w:vAlign w:val="center"/>
          </w:tcPr>
          <w:p w14:paraId="054C1376">
            <w:pPr>
              <w:jc w:val="center"/>
              <w:rPr>
                <w:color w:val="auto"/>
                <w:highlight w:val="none"/>
                <w:vertAlign w:val="baseline"/>
              </w:rPr>
            </w:pPr>
            <w:r>
              <w:rPr>
                <w:rFonts w:hint="eastAsia"/>
                <w:color w:val="auto"/>
                <w:highlight w:val="none"/>
              </w:rPr>
              <w:t>序号</w:t>
            </w:r>
          </w:p>
        </w:tc>
        <w:tc>
          <w:tcPr>
            <w:tcW w:w="1135" w:type="dxa"/>
            <w:noWrap w:val="0"/>
            <w:vAlign w:val="center"/>
          </w:tcPr>
          <w:p w14:paraId="35CC3D01">
            <w:pPr>
              <w:jc w:val="center"/>
              <w:rPr>
                <w:color w:val="auto"/>
                <w:highlight w:val="none"/>
                <w:vertAlign w:val="baseline"/>
              </w:rPr>
            </w:pPr>
            <w:r>
              <w:rPr>
                <w:rFonts w:hint="eastAsia"/>
                <w:color w:val="auto"/>
                <w:highlight w:val="none"/>
              </w:rPr>
              <w:t>设备名称</w:t>
            </w:r>
          </w:p>
        </w:tc>
        <w:tc>
          <w:tcPr>
            <w:tcW w:w="952" w:type="dxa"/>
            <w:noWrap w:val="0"/>
            <w:vAlign w:val="center"/>
          </w:tcPr>
          <w:p w14:paraId="1EFAE523">
            <w:pPr>
              <w:keepNext w:val="0"/>
              <w:keepLines w:val="0"/>
              <w:widowControl/>
              <w:suppressLineNumbers w:val="0"/>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型号</w:t>
            </w:r>
          </w:p>
          <w:p w14:paraId="0207F061">
            <w:pPr>
              <w:keepNext w:val="0"/>
              <w:keepLines w:val="0"/>
              <w:widowControl/>
              <w:suppressLineNumbers w:val="0"/>
              <w:jc w:val="center"/>
              <w:rPr>
                <w:color w:val="auto"/>
                <w:highlight w:val="none"/>
                <w:vertAlign w:val="baseline"/>
              </w:rPr>
            </w:pPr>
            <w:r>
              <w:rPr>
                <w:rFonts w:hint="eastAsia" w:ascii="宋体" w:hAnsi="宋体" w:eastAsia="宋体" w:cs="宋体"/>
                <w:color w:val="auto"/>
                <w:kern w:val="0"/>
                <w:sz w:val="21"/>
                <w:szCs w:val="21"/>
                <w:highlight w:val="none"/>
                <w:lang w:val="en-US" w:eastAsia="zh-CN" w:bidi="ar"/>
              </w:rPr>
              <w:t>规格</w:t>
            </w:r>
          </w:p>
        </w:tc>
        <w:tc>
          <w:tcPr>
            <w:tcW w:w="952" w:type="dxa"/>
            <w:noWrap w:val="0"/>
            <w:vAlign w:val="center"/>
          </w:tcPr>
          <w:p w14:paraId="1E52B3D9">
            <w:pPr>
              <w:keepNext w:val="0"/>
              <w:keepLines w:val="0"/>
              <w:widowControl/>
              <w:suppressLineNumbers w:val="0"/>
              <w:jc w:val="center"/>
              <w:rPr>
                <w:color w:val="auto"/>
                <w:highlight w:val="none"/>
                <w:vertAlign w:val="baseline"/>
              </w:rPr>
            </w:pPr>
            <w:r>
              <w:rPr>
                <w:rFonts w:hint="eastAsia" w:ascii="宋体" w:hAnsi="宋体" w:eastAsia="宋体" w:cs="宋体"/>
                <w:color w:val="auto"/>
                <w:kern w:val="0"/>
                <w:sz w:val="21"/>
                <w:szCs w:val="21"/>
                <w:highlight w:val="none"/>
                <w:lang w:val="en-US" w:eastAsia="zh-CN" w:bidi="ar"/>
              </w:rPr>
              <w:t>数量</w:t>
            </w:r>
          </w:p>
        </w:tc>
        <w:tc>
          <w:tcPr>
            <w:tcW w:w="952" w:type="dxa"/>
            <w:noWrap w:val="0"/>
            <w:vAlign w:val="center"/>
          </w:tcPr>
          <w:p w14:paraId="3C03382C">
            <w:pPr>
              <w:keepNext w:val="0"/>
              <w:keepLines w:val="0"/>
              <w:widowControl/>
              <w:suppressLineNumbers w:val="0"/>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国别</w:t>
            </w:r>
          </w:p>
          <w:p w14:paraId="5C7DBD25">
            <w:pPr>
              <w:keepNext w:val="0"/>
              <w:keepLines w:val="0"/>
              <w:widowControl/>
              <w:suppressLineNumbers w:val="0"/>
              <w:jc w:val="center"/>
              <w:rPr>
                <w:color w:val="auto"/>
                <w:highlight w:val="none"/>
                <w:vertAlign w:val="baseline"/>
              </w:rPr>
            </w:pPr>
            <w:r>
              <w:rPr>
                <w:rFonts w:hint="eastAsia" w:ascii="宋体" w:hAnsi="宋体" w:eastAsia="宋体" w:cs="宋体"/>
                <w:color w:val="auto"/>
                <w:kern w:val="0"/>
                <w:sz w:val="21"/>
                <w:szCs w:val="21"/>
                <w:highlight w:val="none"/>
                <w:lang w:val="en-US" w:eastAsia="zh-CN" w:bidi="ar"/>
              </w:rPr>
              <w:t>产地</w:t>
            </w:r>
          </w:p>
        </w:tc>
        <w:tc>
          <w:tcPr>
            <w:tcW w:w="952" w:type="dxa"/>
            <w:noWrap w:val="0"/>
            <w:vAlign w:val="center"/>
          </w:tcPr>
          <w:p w14:paraId="255A5E87">
            <w:pPr>
              <w:keepNext w:val="0"/>
              <w:keepLines w:val="0"/>
              <w:widowControl/>
              <w:suppressLineNumbers w:val="0"/>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制造</w:t>
            </w:r>
          </w:p>
          <w:p w14:paraId="6A847957">
            <w:pPr>
              <w:keepNext w:val="0"/>
              <w:keepLines w:val="0"/>
              <w:widowControl/>
              <w:suppressLineNumbers w:val="0"/>
              <w:jc w:val="center"/>
              <w:rPr>
                <w:color w:val="auto"/>
                <w:highlight w:val="none"/>
                <w:vertAlign w:val="baseline"/>
              </w:rPr>
            </w:pPr>
            <w:r>
              <w:rPr>
                <w:rFonts w:hint="eastAsia" w:ascii="宋体" w:hAnsi="宋体" w:eastAsia="宋体" w:cs="宋体"/>
                <w:color w:val="auto"/>
                <w:kern w:val="0"/>
                <w:sz w:val="21"/>
                <w:szCs w:val="21"/>
                <w:highlight w:val="none"/>
                <w:lang w:val="en-US" w:eastAsia="zh-CN" w:bidi="ar"/>
              </w:rPr>
              <w:t>年份</w:t>
            </w:r>
          </w:p>
        </w:tc>
        <w:tc>
          <w:tcPr>
            <w:tcW w:w="952" w:type="dxa"/>
            <w:noWrap w:val="0"/>
            <w:vAlign w:val="center"/>
          </w:tcPr>
          <w:p w14:paraId="4ADDD489">
            <w:pPr>
              <w:keepNext w:val="0"/>
              <w:keepLines w:val="0"/>
              <w:widowControl/>
              <w:suppressLineNumbers w:val="0"/>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额定功率（kW）</w:t>
            </w:r>
          </w:p>
        </w:tc>
        <w:tc>
          <w:tcPr>
            <w:tcW w:w="952" w:type="dxa"/>
            <w:noWrap w:val="0"/>
            <w:vAlign w:val="center"/>
          </w:tcPr>
          <w:p w14:paraId="55D5A1CB">
            <w:pPr>
              <w:keepNext w:val="0"/>
              <w:keepLines w:val="0"/>
              <w:widowControl/>
              <w:suppressLineNumbers w:val="0"/>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生产</w:t>
            </w:r>
          </w:p>
          <w:p w14:paraId="78F949AD">
            <w:pPr>
              <w:keepNext w:val="0"/>
              <w:keepLines w:val="0"/>
              <w:widowControl/>
              <w:suppressLineNumbers w:val="0"/>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能力</w:t>
            </w:r>
          </w:p>
        </w:tc>
        <w:tc>
          <w:tcPr>
            <w:tcW w:w="952" w:type="dxa"/>
            <w:noWrap w:val="0"/>
            <w:vAlign w:val="center"/>
          </w:tcPr>
          <w:p w14:paraId="25A61F0A">
            <w:pPr>
              <w:keepNext w:val="0"/>
              <w:keepLines w:val="0"/>
              <w:widowControl/>
              <w:suppressLineNumbers w:val="0"/>
              <w:jc w:val="center"/>
              <w:rPr>
                <w:color w:val="auto"/>
                <w:highlight w:val="none"/>
              </w:rPr>
            </w:pPr>
            <w:r>
              <w:rPr>
                <w:rFonts w:hint="eastAsia" w:ascii="宋体" w:hAnsi="宋体" w:eastAsia="宋体" w:cs="宋体"/>
                <w:color w:val="auto"/>
                <w:kern w:val="0"/>
                <w:sz w:val="21"/>
                <w:szCs w:val="21"/>
                <w:highlight w:val="none"/>
                <w:lang w:val="en-US" w:eastAsia="zh-CN" w:bidi="ar"/>
              </w:rPr>
              <w:t>用于施</w:t>
            </w:r>
          </w:p>
          <w:p w14:paraId="10B0EB8E">
            <w:pPr>
              <w:keepNext w:val="0"/>
              <w:keepLines w:val="0"/>
              <w:widowControl/>
              <w:suppressLineNumbers w:val="0"/>
              <w:jc w:val="center"/>
              <w:rPr>
                <w:color w:val="auto"/>
                <w:highlight w:val="none"/>
                <w:vertAlign w:val="baseline"/>
              </w:rPr>
            </w:pPr>
            <w:r>
              <w:rPr>
                <w:rFonts w:hint="eastAsia" w:ascii="宋体" w:hAnsi="宋体" w:eastAsia="宋体" w:cs="宋体"/>
                <w:color w:val="auto"/>
                <w:kern w:val="0"/>
                <w:sz w:val="21"/>
                <w:szCs w:val="21"/>
                <w:highlight w:val="none"/>
                <w:lang w:val="en-US" w:eastAsia="zh-CN" w:bidi="ar"/>
              </w:rPr>
              <w:t>工部位</w:t>
            </w:r>
          </w:p>
        </w:tc>
        <w:tc>
          <w:tcPr>
            <w:tcW w:w="952" w:type="dxa"/>
            <w:noWrap w:val="0"/>
            <w:vAlign w:val="center"/>
          </w:tcPr>
          <w:p w14:paraId="6DA9ACD4">
            <w:pPr>
              <w:keepNext w:val="0"/>
              <w:keepLines w:val="0"/>
              <w:widowControl/>
              <w:suppressLineNumbers w:val="0"/>
              <w:jc w:val="center"/>
              <w:rPr>
                <w:color w:val="auto"/>
                <w:highlight w:val="none"/>
                <w:vertAlign w:val="baseline"/>
              </w:rPr>
            </w:pPr>
            <w:r>
              <w:rPr>
                <w:rFonts w:hint="eastAsia" w:ascii="宋体" w:hAnsi="宋体" w:eastAsia="宋体" w:cs="宋体"/>
                <w:color w:val="auto"/>
                <w:kern w:val="0"/>
                <w:sz w:val="21"/>
                <w:szCs w:val="21"/>
                <w:highlight w:val="none"/>
                <w:lang w:val="en-US" w:eastAsia="zh-CN" w:bidi="ar"/>
              </w:rPr>
              <w:t>备注</w:t>
            </w:r>
          </w:p>
        </w:tc>
      </w:tr>
      <w:tr w14:paraId="674A4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769" w:type="dxa"/>
            <w:noWrap w:val="0"/>
            <w:vAlign w:val="center"/>
          </w:tcPr>
          <w:p w14:paraId="10FD2DC7">
            <w:pPr>
              <w:pStyle w:val="190"/>
              <w:jc w:val="center"/>
              <w:rPr>
                <w:color w:val="auto"/>
                <w:highlight w:val="none"/>
                <w:vertAlign w:val="baseline"/>
              </w:rPr>
            </w:pPr>
          </w:p>
        </w:tc>
        <w:tc>
          <w:tcPr>
            <w:tcW w:w="1135" w:type="dxa"/>
            <w:noWrap w:val="0"/>
            <w:vAlign w:val="center"/>
          </w:tcPr>
          <w:p w14:paraId="5B30BADB">
            <w:pPr>
              <w:pStyle w:val="190"/>
              <w:jc w:val="center"/>
              <w:rPr>
                <w:color w:val="auto"/>
                <w:highlight w:val="none"/>
                <w:vertAlign w:val="baseline"/>
              </w:rPr>
            </w:pPr>
          </w:p>
        </w:tc>
        <w:tc>
          <w:tcPr>
            <w:tcW w:w="952" w:type="dxa"/>
            <w:noWrap w:val="0"/>
            <w:vAlign w:val="center"/>
          </w:tcPr>
          <w:p w14:paraId="49551708">
            <w:pPr>
              <w:pStyle w:val="190"/>
              <w:jc w:val="center"/>
              <w:rPr>
                <w:color w:val="auto"/>
                <w:highlight w:val="none"/>
                <w:vertAlign w:val="baseline"/>
              </w:rPr>
            </w:pPr>
          </w:p>
        </w:tc>
        <w:tc>
          <w:tcPr>
            <w:tcW w:w="952" w:type="dxa"/>
            <w:noWrap w:val="0"/>
            <w:vAlign w:val="center"/>
          </w:tcPr>
          <w:p w14:paraId="1EDBB20C">
            <w:pPr>
              <w:pStyle w:val="190"/>
              <w:jc w:val="center"/>
              <w:rPr>
                <w:color w:val="auto"/>
                <w:highlight w:val="none"/>
                <w:vertAlign w:val="baseline"/>
              </w:rPr>
            </w:pPr>
          </w:p>
        </w:tc>
        <w:tc>
          <w:tcPr>
            <w:tcW w:w="952" w:type="dxa"/>
            <w:noWrap w:val="0"/>
            <w:vAlign w:val="center"/>
          </w:tcPr>
          <w:p w14:paraId="7DBC34C3">
            <w:pPr>
              <w:pStyle w:val="190"/>
              <w:jc w:val="center"/>
              <w:rPr>
                <w:color w:val="auto"/>
                <w:highlight w:val="none"/>
                <w:vertAlign w:val="baseline"/>
              </w:rPr>
            </w:pPr>
          </w:p>
        </w:tc>
        <w:tc>
          <w:tcPr>
            <w:tcW w:w="952" w:type="dxa"/>
            <w:noWrap w:val="0"/>
            <w:vAlign w:val="center"/>
          </w:tcPr>
          <w:p w14:paraId="1495601D">
            <w:pPr>
              <w:pStyle w:val="190"/>
              <w:jc w:val="center"/>
              <w:rPr>
                <w:color w:val="auto"/>
                <w:highlight w:val="none"/>
                <w:vertAlign w:val="baseline"/>
              </w:rPr>
            </w:pPr>
          </w:p>
        </w:tc>
        <w:tc>
          <w:tcPr>
            <w:tcW w:w="952" w:type="dxa"/>
            <w:noWrap w:val="0"/>
            <w:vAlign w:val="center"/>
          </w:tcPr>
          <w:p w14:paraId="398CCBC3">
            <w:pPr>
              <w:pStyle w:val="190"/>
              <w:jc w:val="center"/>
              <w:rPr>
                <w:color w:val="auto"/>
                <w:highlight w:val="none"/>
                <w:vertAlign w:val="baseline"/>
              </w:rPr>
            </w:pPr>
          </w:p>
        </w:tc>
        <w:tc>
          <w:tcPr>
            <w:tcW w:w="952" w:type="dxa"/>
            <w:noWrap w:val="0"/>
            <w:vAlign w:val="center"/>
          </w:tcPr>
          <w:p w14:paraId="3254CD32">
            <w:pPr>
              <w:pStyle w:val="190"/>
              <w:jc w:val="center"/>
              <w:rPr>
                <w:color w:val="auto"/>
                <w:highlight w:val="none"/>
                <w:vertAlign w:val="baseline"/>
              </w:rPr>
            </w:pPr>
          </w:p>
        </w:tc>
        <w:tc>
          <w:tcPr>
            <w:tcW w:w="952" w:type="dxa"/>
            <w:noWrap w:val="0"/>
            <w:vAlign w:val="center"/>
          </w:tcPr>
          <w:p w14:paraId="20E58443">
            <w:pPr>
              <w:pStyle w:val="190"/>
              <w:jc w:val="center"/>
              <w:rPr>
                <w:color w:val="auto"/>
                <w:highlight w:val="none"/>
                <w:vertAlign w:val="baseline"/>
              </w:rPr>
            </w:pPr>
          </w:p>
        </w:tc>
        <w:tc>
          <w:tcPr>
            <w:tcW w:w="952" w:type="dxa"/>
            <w:noWrap w:val="0"/>
            <w:vAlign w:val="center"/>
          </w:tcPr>
          <w:p w14:paraId="67E81E87">
            <w:pPr>
              <w:pStyle w:val="190"/>
              <w:jc w:val="center"/>
              <w:rPr>
                <w:color w:val="auto"/>
                <w:highlight w:val="none"/>
                <w:vertAlign w:val="baseline"/>
              </w:rPr>
            </w:pPr>
          </w:p>
        </w:tc>
      </w:tr>
      <w:tr w14:paraId="1A53E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769" w:type="dxa"/>
            <w:noWrap w:val="0"/>
            <w:vAlign w:val="top"/>
          </w:tcPr>
          <w:p w14:paraId="49907585">
            <w:pPr>
              <w:pStyle w:val="190"/>
              <w:rPr>
                <w:color w:val="auto"/>
                <w:highlight w:val="none"/>
                <w:vertAlign w:val="baseline"/>
              </w:rPr>
            </w:pPr>
          </w:p>
        </w:tc>
        <w:tc>
          <w:tcPr>
            <w:tcW w:w="1135" w:type="dxa"/>
            <w:noWrap w:val="0"/>
            <w:vAlign w:val="top"/>
          </w:tcPr>
          <w:p w14:paraId="6EC6D4B1">
            <w:pPr>
              <w:pStyle w:val="190"/>
              <w:rPr>
                <w:color w:val="auto"/>
                <w:highlight w:val="none"/>
                <w:vertAlign w:val="baseline"/>
              </w:rPr>
            </w:pPr>
          </w:p>
        </w:tc>
        <w:tc>
          <w:tcPr>
            <w:tcW w:w="952" w:type="dxa"/>
            <w:noWrap w:val="0"/>
            <w:vAlign w:val="top"/>
          </w:tcPr>
          <w:p w14:paraId="65EFD4C4">
            <w:pPr>
              <w:pStyle w:val="190"/>
              <w:rPr>
                <w:color w:val="auto"/>
                <w:highlight w:val="none"/>
                <w:vertAlign w:val="baseline"/>
              </w:rPr>
            </w:pPr>
          </w:p>
        </w:tc>
        <w:tc>
          <w:tcPr>
            <w:tcW w:w="952" w:type="dxa"/>
            <w:noWrap w:val="0"/>
            <w:vAlign w:val="top"/>
          </w:tcPr>
          <w:p w14:paraId="4496F46E">
            <w:pPr>
              <w:pStyle w:val="190"/>
              <w:rPr>
                <w:color w:val="auto"/>
                <w:highlight w:val="none"/>
                <w:vertAlign w:val="baseline"/>
              </w:rPr>
            </w:pPr>
          </w:p>
        </w:tc>
        <w:tc>
          <w:tcPr>
            <w:tcW w:w="952" w:type="dxa"/>
            <w:noWrap w:val="0"/>
            <w:vAlign w:val="top"/>
          </w:tcPr>
          <w:p w14:paraId="7C599B42">
            <w:pPr>
              <w:pStyle w:val="190"/>
              <w:rPr>
                <w:color w:val="auto"/>
                <w:highlight w:val="none"/>
                <w:vertAlign w:val="baseline"/>
              </w:rPr>
            </w:pPr>
          </w:p>
        </w:tc>
        <w:tc>
          <w:tcPr>
            <w:tcW w:w="952" w:type="dxa"/>
            <w:noWrap w:val="0"/>
            <w:vAlign w:val="top"/>
          </w:tcPr>
          <w:p w14:paraId="54504135">
            <w:pPr>
              <w:pStyle w:val="190"/>
              <w:rPr>
                <w:color w:val="auto"/>
                <w:highlight w:val="none"/>
                <w:vertAlign w:val="baseline"/>
              </w:rPr>
            </w:pPr>
          </w:p>
        </w:tc>
        <w:tc>
          <w:tcPr>
            <w:tcW w:w="952" w:type="dxa"/>
            <w:noWrap w:val="0"/>
            <w:vAlign w:val="top"/>
          </w:tcPr>
          <w:p w14:paraId="3547F870">
            <w:pPr>
              <w:pStyle w:val="190"/>
              <w:rPr>
                <w:color w:val="auto"/>
                <w:highlight w:val="none"/>
                <w:vertAlign w:val="baseline"/>
              </w:rPr>
            </w:pPr>
          </w:p>
        </w:tc>
        <w:tc>
          <w:tcPr>
            <w:tcW w:w="952" w:type="dxa"/>
            <w:noWrap w:val="0"/>
            <w:vAlign w:val="top"/>
          </w:tcPr>
          <w:p w14:paraId="239FE2FF">
            <w:pPr>
              <w:pStyle w:val="190"/>
              <w:rPr>
                <w:color w:val="auto"/>
                <w:highlight w:val="none"/>
                <w:vertAlign w:val="baseline"/>
              </w:rPr>
            </w:pPr>
          </w:p>
        </w:tc>
        <w:tc>
          <w:tcPr>
            <w:tcW w:w="952" w:type="dxa"/>
            <w:noWrap w:val="0"/>
            <w:vAlign w:val="top"/>
          </w:tcPr>
          <w:p w14:paraId="04EA11E8">
            <w:pPr>
              <w:pStyle w:val="190"/>
              <w:rPr>
                <w:color w:val="auto"/>
                <w:highlight w:val="none"/>
                <w:vertAlign w:val="baseline"/>
              </w:rPr>
            </w:pPr>
          </w:p>
        </w:tc>
        <w:tc>
          <w:tcPr>
            <w:tcW w:w="952" w:type="dxa"/>
            <w:noWrap w:val="0"/>
            <w:vAlign w:val="top"/>
          </w:tcPr>
          <w:p w14:paraId="6E001C75">
            <w:pPr>
              <w:pStyle w:val="190"/>
              <w:rPr>
                <w:color w:val="auto"/>
                <w:highlight w:val="none"/>
                <w:vertAlign w:val="baseline"/>
              </w:rPr>
            </w:pPr>
          </w:p>
        </w:tc>
      </w:tr>
      <w:tr w14:paraId="2D493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769" w:type="dxa"/>
            <w:noWrap w:val="0"/>
            <w:vAlign w:val="top"/>
          </w:tcPr>
          <w:p w14:paraId="4D52CD95">
            <w:pPr>
              <w:pStyle w:val="190"/>
              <w:rPr>
                <w:color w:val="auto"/>
                <w:highlight w:val="none"/>
                <w:vertAlign w:val="baseline"/>
              </w:rPr>
            </w:pPr>
          </w:p>
        </w:tc>
        <w:tc>
          <w:tcPr>
            <w:tcW w:w="1135" w:type="dxa"/>
            <w:noWrap w:val="0"/>
            <w:vAlign w:val="top"/>
          </w:tcPr>
          <w:p w14:paraId="3780591D">
            <w:pPr>
              <w:pStyle w:val="190"/>
              <w:rPr>
                <w:color w:val="auto"/>
                <w:highlight w:val="none"/>
                <w:vertAlign w:val="baseline"/>
              </w:rPr>
            </w:pPr>
          </w:p>
        </w:tc>
        <w:tc>
          <w:tcPr>
            <w:tcW w:w="952" w:type="dxa"/>
            <w:noWrap w:val="0"/>
            <w:vAlign w:val="top"/>
          </w:tcPr>
          <w:p w14:paraId="4A44B6AE">
            <w:pPr>
              <w:pStyle w:val="190"/>
              <w:rPr>
                <w:color w:val="auto"/>
                <w:highlight w:val="none"/>
                <w:vertAlign w:val="baseline"/>
              </w:rPr>
            </w:pPr>
          </w:p>
        </w:tc>
        <w:tc>
          <w:tcPr>
            <w:tcW w:w="952" w:type="dxa"/>
            <w:noWrap w:val="0"/>
            <w:vAlign w:val="top"/>
          </w:tcPr>
          <w:p w14:paraId="7E3F2A3A">
            <w:pPr>
              <w:pStyle w:val="190"/>
              <w:rPr>
                <w:color w:val="auto"/>
                <w:highlight w:val="none"/>
                <w:vertAlign w:val="baseline"/>
              </w:rPr>
            </w:pPr>
          </w:p>
        </w:tc>
        <w:tc>
          <w:tcPr>
            <w:tcW w:w="952" w:type="dxa"/>
            <w:noWrap w:val="0"/>
            <w:vAlign w:val="top"/>
          </w:tcPr>
          <w:p w14:paraId="2A81793F">
            <w:pPr>
              <w:pStyle w:val="190"/>
              <w:rPr>
                <w:color w:val="auto"/>
                <w:highlight w:val="none"/>
                <w:vertAlign w:val="baseline"/>
              </w:rPr>
            </w:pPr>
          </w:p>
        </w:tc>
        <w:tc>
          <w:tcPr>
            <w:tcW w:w="952" w:type="dxa"/>
            <w:noWrap w:val="0"/>
            <w:vAlign w:val="top"/>
          </w:tcPr>
          <w:p w14:paraId="2BE821DA">
            <w:pPr>
              <w:pStyle w:val="190"/>
              <w:rPr>
                <w:color w:val="auto"/>
                <w:highlight w:val="none"/>
                <w:vertAlign w:val="baseline"/>
              </w:rPr>
            </w:pPr>
          </w:p>
        </w:tc>
        <w:tc>
          <w:tcPr>
            <w:tcW w:w="952" w:type="dxa"/>
            <w:noWrap w:val="0"/>
            <w:vAlign w:val="top"/>
          </w:tcPr>
          <w:p w14:paraId="5A846B72">
            <w:pPr>
              <w:pStyle w:val="190"/>
              <w:rPr>
                <w:color w:val="auto"/>
                <w:highlight w:val="none"/>
                <w:vertAlign w:val="baseline"/>
              </w:rPr>
            </w:pPr>
          </w:p>
        </w:tc>
        <w:tc>
          <w:tcPr>
            <w:tcW w:w="952" w:type="dxa"/>
            <w:noWrap w:val="0"/>
            <w:vAlign w:val="top"/>
          </w:tcPr>
          <w:p w14:paraId="576798D7">
            <w:pPr>
              <w:pStyle w:val="190"/>
              <w:rPr>
                <w:color w:val="auto"/>
                <w:highlight w:val="none"/>
                <w:vertAlign w:val="baseline"/>
              </w:rPr>
            </w:pPr>
          </w:p>
        </w:tc>
        <w:tc>
          <w:tcPr>
            <w:tcW w:w="952" w:type="dxa"/>
            <w:noWrap w:val="0"/>
            <w:vAlign w:val="top"/>
          </w:tcPr>
          <w:p w14:paraId="0756DBE0">
            <w:pPr>
              <w:pStyle w:val="190"/>
              <w:rPr>
                <w:color w:val="auto"/>
                <w:highlight w:val="none"/>
                <w:vertAlign w:val="baseline"/>
              </w:rPr>
            </w:pPr>
          </w:p>
        </w:tc>
        <w:tc>
          <w:tcPr>
            <w:tcW w:w="952" w:type="dxa"/>
            <w:noWrap w:val="0"/>
            <w:vAlign w:val="top"/>
          </w:tcPr>
          <w:p w14:paraId="228C2A59">
            <w:pPr>
              <w:pStyle w:val="190"/>
              <w:rPr>
                <w:color w:val="auto"/>
                <w:highlight w:val="none"/>
                <w:vertAlign w:val="baseline"/>
              </w:rPr>
            </w:pPr>
          </w:p>
        </w:tc>
      </w:tr>
      <w:tr w14:paraId="2A78D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769" w:type="dxa"/>
            <w:noWrap w:val="0"/>
            <w:vAlign w:val="top"/>
          </w:tcPr>
          <w:p w14:paraId="44B84AAC">
            <w:pPr>
              <w:pStyle w:val="190"/>
              <w:rPr>
                <w:color w:val="auto"/>
                <w:highlight w:val="none"/>
                <w:vertAlign w:val="baseline"/>
              </w:rPr>
            </w:pPr>
          </w:p>
        </w:tc>
        <w:tc>
          <w:tcPr>
            <w:tcW w:w="1135" w:type="dxa"/>
            <w:noWrap w:val="0"/>
            <w:vAlign w:val="top"/>
          </w:tcPr>
          <w:p w14:paraId="1CEE2E77">
            <w:pPr>
              <w:pStyle w:val="190"/>
              <w:rPr>
                <w:color w:val="auto"/>
                <w:highlight w:val="none"/>
                <w:vertAlign w:val="baseline"/>
              </w:rPr>
            </w:pPr>
          </w:p>
        </w:tc>
        <w:tc>
          <w:tcPr>
            <w:tcW w:w="952" w:type="dxa"/>
            <w:noWrap w:val="0"/>
            <w:vAlign w:val="top"/>
          </w:tcPr>
          <w:p w14:paraId="45E5E99C">
            <w:pPr>
              <w:pStyle w:val="190"/>
              <w:rPr>
                <w:color w:val="auto"/>
                <w:highlight w:val="none"/>
                <w:vertAlign w:val="baseline"/>
              </w:rPr>
            </w:pPr>
          </w:p>
        </w:tc>
        <w:tc>
          <w:tcPr>
            <w:tcW w:w="952" w:type="dxa"/>
            <w:noWrap w:val="0"/>
            <w:vAlign w:val="top"/>
          </w:tcPr>
          <w:p w14:paraId="3E1B9A33">
            <w:pPr>
              <w:pStyle w:val="190"/>
              <w:rPr>
                <w:color w:val="auto"/>
                <w:highlight w:val="none"/>
                <w:vertAlign w:val="baseline"/>
              </w:rPr>
            </w:pPr>
          </w:p>
        </w:tc>
        <w:tc>
          <w:tcPr>
            <w:tcW w:w="952" w:type="dxa"/>
            <w:noWrap w:val="0"/>
            <w:vAlign w:val="top"/>
          </w:tcPr>
          <w:p w14:paraId="06291CBB">
            <w:pPr>
              <w:pStyle w:val="190"/>
              <w:rPr>
                <w:color w:val="auto"/>
                <w:highlight w:val="none"/>
                <w:vertAlign w:val="baseline"/>
              </w:rPr>
            </w:pPr>
          </w:p>
        </w:tc>
        <w:tc>
          <w:tcPr>
            <w:tcW w:w="952" w:type="dxa"/>
            <w:noWrap w:val="0"/>
            <w:vAlign w:val="top"/>
          </w:tcPr>
          <w:p w14:paraId="3F0850EA">
            <w:pPr>
              <w:pStyle w:val="190"/>
              <w:rPr>
                <w:color w:val="auto"/>
                <w:highlight w:val="none"/>
                <w:vertAlign w:val="baseline"/>
              </w:rPr>
            </w:pPr>
          </w:p>
        </w:tc>
        <w:tc>
          <w:tcPr>
            <w:tcW w:w="952" w:type="dxa"/>
            <w:noWrap w:val="0"/>
            <w:vAlign w:val="top"/>
          </w:tcPr>
          <w:p w14:paraId="3EF80882">
            <w:pPr>
              <w:pStyle w:val="190"/>
              <w:rPr>
                <w:color w:val="auto"/>
                <w:highlight w:val="none"/>
                <w:vertAlign w:val="baseline"/>
              </w:rPr>
            </w:pPr>
          </w:p>
        </w:tc>
        <w:tc>
          <w:tcPr>
            <w:tcW w:w="952" w:type="dxa"/>
            <w:noWrap w:val="0"/>
            <w:vAlign w:val="top"/>
          </w:tcPr>
          <w:p w14:paraId="343179BB">
            <w:pPr>
              <w:pStyle w:val="190"/>
              <w:rPr>
                <w:color w:val="auto"/>
                <w:highlight w:val="none"/>
                <w:vertAlign w:val="baseline"/>
              </w:rPr>
            </w:pPr>
          </w:p>
        </w:tc>
        <w:tc>
          <w:tcPr>
            <w:tcW w:w="952" w:type="dxa"/>
            <w:noWrap w:val="0"/>
            <w:vAlign w:val="top"/>
          </w:tcPr>
          <w:p w14:paraId="2F36C899">
            <w:pPr>
              <w:pStyle w:val="190"/>
              <w:rPr>
                <w:color w:val="auto"/>
                <w:highlight w:val="none"/>
                <w:vertAlign w:val="baseline"/>
              </w:rPr>
            </w:pPr>
          </w:p>
        </w:tc>
        <w:tc>
          <w:tcPr>
            <w:tcW w:w="952" w:type="dxa"/>
            <w:noWrap w:val="0"/>
            <w:vAlign w:val="top"/>
          </w:tcPr>
          <w:p w14:paraId="7E07C71C">
            <w:pPr>
              <w:pStyle w:val="190"/>
              <w:rPr>
                <w:color w:val="auto"/>
                <w:highlight w:val="none"/>
                <w:vertAlign w:val="baseline"/>
              </w:rPr>
            </w:pPr>
          </w:p>
        </w:tc>
      </w:tr>
      <w:tr w14:paraId="41064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769" w:type="dxa"/>
            <w:noWrap w:val="0"/>
            <w:vAlign w:val="top"/>
          </w:tcPr>
          <w:p w14:paraId="5743B5F8">
            <w:pPr>
              <w:pStyle w:val="190"/>
              <w:rPr>
                <w:color w:val="auto"/>
                <w:highlight w:val="none"/>
                <w:vertAlign w:val="baseline"/>
              </w:rPr>
            </w:pPr>
          </w:p>
        </w:tc>
        <w:tc>
          <w:tcPr>
            <w:tcW w:w="1135" w:type="dxa"/>
            <w:noWrap w:val="0"/>
            <w:vAlign w:val="top"/>
          </w:tcPr>
          <w:p w14:paraId="44636BB7">
            <w:pPr>
              <w:pStyle w:val="190"/>
              <w:rPr>
                <w:color w:val="auto"/>
                <w:highlight w:val="none"/>
                <w:vertAlign w:val="baseline"/>
              </w:rPr>
            </w:pPr>
          </w:p>
        </w:tc>
        <w:tc>
          <w:tcPr>
            <w:tcW w:w="952" w:type="dxa"/>
            <w:noWrap w:val="0"/>
            <w:vAlign w:val="top"/>
          </w:tcPr>
          <w:p w14:paraId="4E4093BF">
            <w:pPr>
              <w:pStyle w:val="190"/>
              <w:rPr>
                <w:color w:val="auto"/>
                <w:highlight w:val="none"/>
                <w:vertAlign w:val="baseline"/>
              </w:rPr>
            </w:pPr>
          </w:p>
        </w:tc>
        <w:tc>
          <w:tcPr>
            <w:tcW w:w="952" w:type="dxa"/>
            <w:noWrap w:val="0"/>
            <w:vAlign w:val="top"/>
          </w:tcPr>
          <w:p w14:paraId="3007F57B">
            <w:pPr>
              <w:pStyle w:val="190"/>
              <w:rPr>
                <w:color w:val="auto"/>
                <w:highlight w:val="none"/>
                <w:vertAlign w:val="baseline"/>
              </w:rPr>
            </w:pPr>
          </w:p>
        </w:tc>
        <w:tc>
          <w:tcPr>
            <w:tcW w:w="952" w:type="dxa"/>
            <w:noWrap w:val="0"/>
            <w:vAlign w:val="top"/>
          </w:tcPr>
          <w:p w14:paraId="7761B5BB">
            <w:pPr>
              <w:pStyle w:val="190"/>
              <w:rPr>
                <w:color w:val="auto"/>
                <w:highlight w:val="none"/>
                <w:vertAlign w:val="baseline"/>
              </w:rPr>
            </w:pPr>
          </w:p>
        </w:tc>
        <w:tc>
          <w:tcPr>
            <w:tcW w:w="952" w:type="dxa"/>
            <w:noWrap w:val="0"/>
            <w:vAlign w:val="top"/>
          </w:tcPr>
          <w:p w14:paraId="38678BB2">
            <w:pPr>
              <w:pStyle w:val="190"/>
              <w:rPr>
                <w:color w:val="auto"/>
                <w:highlight w:val="none"/>
                <w:vertAlign w:val="baseline"/>
              </w:rPr>
            </w:pPr>
          </w:p>
        </w:tc>
        <w:tc>
          <w:tcPr>
            <w:tcW w:w="952" w:type="dxa"/>
            <w:noWrap w:val="0"/>
            <w:vAlign w:val="top"/>
          </w:tcPr>
          <w:p w14:paraId="1FBBD0D0">
            <w:pPr>
              <w:pStyle w:val="190"/>
              <w:rPr>
                <w:color w:val="auto"/>
                <w:highlight w:val="none"/>
                <w:vertAlign w:val="baseline"/>
              </w:rPr>
            </w:pPr>
          </w:p>
        </w:tc>
        <w:tc>
          <w:tcPr>
            <w:tcW w:w="952" w:type="dxa"/>
            <w:noWrap w:val="0"/>
            <w:vAlign w:val="top"/>
          </w:tcPr>
          <w:p w14:paraId="0091C423">
            <w:pPr>
              <w:pStyle w:val="190"/>
              <w:rPr>
                <w:color w:val="auto"/>
                <w:highlight w:val="none"/>
                <w:vertAlign w:val="baseline"/>
              </w:rPr>
            </w:pPr>
          </w:p>
        </w:tc>
        <w:tc>
          <w:tcPr>
            <w:tcW w:w="952" w:type="dxa"/>
            <w:noWrap w:val="0"/>
            <w:vAlign w:val="top"/>
          </w:tcPr>
          <w:p w14:paraId="707ACC0D">
            <w:pPr>
              <w:pStyle w:val="190"/>
              <w:rPr>
                <w:color w:val="auto"/>
                <w:highlight w:val="none"/>
                <w:vertAlign w:val="baseline"/>
              </w:rPr>
            </w:pPr>
          </w:p>
        </w:tc>
        <w:tc>
          <w:tcPr>
            <w:tcW w:w="952" w:type="dxa"/>
            <w:noWrap w:val="0"/>
            <w:vAlign w:val="top"/>
          </w:tcPr>
          <w:p w14:paraId="60845B8E">
            <w:pPr>
              <w:pStyle w:val="190"/>
              <w:rPr>
                <w:color w:val="auto"/>
                <w:highlight w:val="none"/>
                <w:vertAlign w:val="baseline"/>
              </w:rPr>
            </w:pPr>
          </w:p>
        </w:tc>
      </w:tr>
      <w:tr w14:paraId="13CA3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769" w:type="dxa"/>
            <w:noWrap w:val="0"/>
            <w:vAlign w:val="top"/>
          </w:tcPr>
          <w:p w14:paraId="456033FF">
            <w:pPr>
              <w:pStyle w:val="190"/>
              <w:rPr>
                <w:color w:val="auto"/>
                <w:highlight w:val="none"/>
                <w:vertAlign w:val="baseline"/>
              </w:rPr>
            </w:pPr>
          </w:p>
        </w:tc>
        <w:tc>
          <w:tcPr>
            <w:tcW w:w="1135" w:type="dxa"/>
            <w:noWrap w:val="0"/>
            <w:vAlign w:val="top"/>
          </w:tcPr>
          <w:p w14:paraId="58D00B42">
            <w:pPr>
              <w:pStyle w:val="190"/>
              <w:rPr>
                <w:color w:val="auto"/>
                <w:highlight w:val="none"/>
                <w:vertAlign w:val="baseline"/>
              </w:rPr>
            </w:pPr>
          </w:p>
        </w:tc>
        <w:tc>
          <w:tcPr>
            <w:tcW w:w="952" w:type="dxa"/>
            <w:noWrap w:val="0"/>
            <w:vAlign w:val="top"/>
          </w:tcPr>
          <w:p w14:paraId="10F136F9">
            <w:pPr>
              <w:pStyle w:val="190"/>
              <w:rPr>
                <w:color w:val="auto"/>
                <w:highlight w:val="none"/>
                <w:vertAlign w:val="baseline"/>
              </w:rPr>
            </w:pPr>
          </w:p>
        </w:tc>
        <w:tc>
          <w:tcPr>
            <w:tcW w:w="952" w:type="dxa"/>
            <w:noWrap w:val="0"/>
            <w:vAlign w:val="top"/>
          </w:tcPr>
          <w:p w14:paraId="5F96DE56">
            <w:pPr>
              <w:pStyle w:val="190"/>
              <w:rPr>
                <w:color w:val="auto"/>
                <w:highlight w:val="none"/>
                <w:vertAlign w:val="baseline"/>
              </w:rPr>
            </w:pPr>
          </w:p>
        </w:tc>
        <w:tc>
          <w:tcPr>
            <w:tcW w:w="952" w:type="dxa"/>
            <w:noWrap w:val="0"/>
            <w:vAlign w:val="top"/>
          </w:tcPr>
          <w:p w14:paraId="0DD36D02">
            <w:pPr>
              <w:pStyle w:val="190"/>
              <w:rPr>
                <w:color w:val="auto"/>
                <w:highlight w:val="none"/>
                <w:vertAlign w:val="baseline"/>
              </w:rPr>
            </w:pPr>
          </w:p>
        </w:tc>
        <w:tc>
          <w:tcPr>
            <w:tcW w:w="952" w:type="dxa"/>
            <w:noWrap w:val="0"/>
            <w:vAlign w:val="top"/>
          </w:tcPr>
          <w:p w14:paraId="2A0BA9A0">
            <w:pPr>
              <w:pStyle w:val="190"/>
              <w:rPr>
                <w:color w:val="auto"/>
                <w:highlight w:val="none"/>
                <w:vertAlign w:val="baseline"/>
              </w:rPr>
            </w:pPr>
          </w:p>
        </w:tc>
        <w:tc>
          <w:tcPr>
            <w:tcW w:w="952" w:type="dxa"/>
            <w:noWrap w:val="0"/>
            <w:vAlign w:val="top"/>
          </w:tcPr>
          <w:p w14:paraId="1DD39298">
            <w:pPr>
              <w:pStyle w:val="190"/>
              <w:rPr>
                <w:color w:val="auto"/>
                <w:highlight w:val="none"/>
                <w:vertAlign w:val="baseline"/>
              </w:rPr>
            </w:pPr>
          </w:p>
        </w:tc>
        <w:tc>
          <w:tcPr>
            <w:tcW w:w="952" w:type="dxa"/>
            <w:noWrap w:val="0"/>
            <w:vAlign w:val="top"/>
          </w:tcPr>
          <w:p w14:paraId="2C056773">
            <w:pPr>
              <w:pStyle w:val="190"/>
              <w:rPr>
                <w:color w:val="auto"/>
                <w:highlight w:val="none"/>
                <w:vertAlign w:val="baseline"/>
              </w:rPr>
            </w:pPr>
          </w:p>
        </w:tc>
        <w:tc>
          <w:tcPr>
            <w:tcW w:w="952" w:type="dxa"/>
            <w:noWrap w:val="0"/>
            <w:vAlign w:val="top"/>
          </w:tcPr>
          <w:p w14:paraId="4B3F0927">
            <w:pPr>
              <w:pStyle w:val="190"/>
              <w:rPr>
                <w:color w:val="auto"/>
                <w:highlight w:val="none"/>
                <w:vertAlign w:val="baseline"/>
              </w:rPr>
            </w:pPr>
          </w:p>
        </w:tc>
        <w:tc>
          <w:tcPr>
            <w:tcW w:w="952" w:type="dxa"/>
            <w:noWrap w:val="0"/>
            <w:vAlign w:val="top"/>
          </w:tcPr>
          <w:p w14:paraId="0CD53A6B">
            <w:pPr>
              <w:pStyle w:val="190"/>
              <w:rPr>
                <w:color w:val="auto"/>
                <w:highlight w:val="none"/>
                <w:vertAlign w:val="baseline"/>
              </w:rPr>
            </w:pPr>
          </w:p>
        </w:tc>
      </w:tr>
      <w:tr w14:paraId="561C6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769" w:type="dxa"/>
            <w:noWrap w:val="0"/>
            <w:vAlign w:val="top"/>
          </w:tcPr>
          <w:p w14:paraId="02D5703C">
            <w:pPr>
              <w:pStyle w:val="190"/>
              <w:rPr>
                <w:color w:val="auto"/>
                <w:highlight w:val="none"/>
                <w:vertAlign w:val="baseline"/>
              </w:rPr>
            </w:pPr>
          </w:p>
        </w:tc>
        <w:tc>
          <w:tcPr>
            <w:tcW w:w="1135" w:type="dxa"/>
            <w:noWrap w:val="0"/>
            <w:vAlign w:val="top"/>
          </w:tcPr>
          <w:p w14:paraId="495F7AA0">
            <w:pPr>
              <w:pStyle w:val="190"/>
              <w:rPr>
                <w:color w:val="auto"/>
                <w:highlight w:val="none"/>
                <w:vertAlign w:val="baseline"/>
              </w:rPr>
            </w:pPr>
          </w:p>
        </w:tc>
        <w:tc>
          <w:tcPr>
            <w:tcW w:w="952" w:type="dxa"/>
            <w:noWrap w:val="0"/>
            <w:vAlign w:val="top"/>
          </w:tcPr>
          <w:p w14:paraId="7BCDB034">
            <w:pPr>
              <w:pStyle w:val="190"/>
              <w:rPr>
                <w:color w:val="auto"/>
                <w:highlight w:val="none"/>
                <w:vertAlign w:val="baseline"/>
              </w:rPr>
            </w:pPr>
          </w:p>
        </w:tc>
        <w:tc>
          <w:tcPr>
            <w:tcW w:w="952" w:type="dxa"/>
            <w:noWrap w:val="0"/>
            <w:vAlign w:val="top"/>
          </w:tcPr>
          <w:p w14:paraId="4471ADE9">
            <w:pPr>
              <w:pStyle w:val="190"/>
              <w:rPr>
                <w:color w:val="auto"/>
                <w:highlight w:val="none"/>
                <w:vertAlign w:val="baseline"/>
              </w:rPr>
            </w:pPr>
          </w:p>
        </w:tc>
        <w:tc>
          <w:tcPr>
            <w:tcW w:w="952" w:type="dxa"/>
            <w:noWrap w:val="0"/>
            <w:vAlign w:val="top"/>
          </w:tcPr>
          <w:p w14:paraId="3773BAD4">
            <w:pPr>
              <w:pStyle w:val="190"/>
              <w:rPr>
                <w:color w:val="auto"/>
                <w:highlight w:val="none"/>
                <w:vertAlign w:val="baseline"/>
              </w:rPr>
            </w:pPr>
          </w:p>
        </w:tc>
        <w:tc>
          <w:tcPr>
            <w:tcW w:w="952" w:type="dxa"/>
            <w:noWrap w:val="0"/>
            <w:vAlign w:val="top"/>
          </w:tcPr>
          <w:p w14:paraId="15C7DFEC">
            <w:pPr>
              <w:pStyle w:val="190"/>
              <w:rPr>
                <w:color w:val="auto"/>
                <w:highlight w:val="none"/>
                <w:vertAlign w:val="baseline"/>
              </w:rPr>
            </w:pPr>
          </w:p>
        </w:tc>
        <w:tc>
          <w:tcPr>
            <w:tcW w:w="952" w:type="dxa"/>
            <w:noWrap w:val="0"/>
            <w:vAlign w:val="top"/>
          </w:tcPr>
          <w:p w14:paraId="7D48768E">
            <w:pPr>
              <w:pStyle w:val="190"/>
              <w:rPr>
                <w:color w:val="auto"/>
                <w:highlight w:val="none"/>
                <w:vertAlign w:val="baseline"/>
              </w:rPr>
            </w:pPr>
          </w:p>
        </w:tc>
        <w:tc>
          <w:tcPr>
            <w:tcW w:w="952" w:type="dxa"/>
            <w:noWrap w:val="0"/>
            <w:vAlign w:val="top"/>
          </w:tcPr>
          <w:p w14:paraId="4831AC5F">
            <w:pPr>
              <w:pStyle w:val="190"/>
              <w:rPr>
                <w:color w:val="auto"/>
                <w:highlight w:val="none"/>
                <w:vertAlign w:val="baseline"/>
              </w:rPr>
            </w:pPr>
          </w:p>
        </w:tc>
        <w:tc>
          <w:tcPr>
            <w:tcW w:w="952" w:type="dxa"/>
            <w:noWrap w:val="0"/>
            <w:vAlign w:val="top"/>
          </w:tcPr>
          <w:p w14:paraId="770A8A78">
            <w:pPr>
              <w:pStyle w:val="190"/>
              <w:rPr>
                <w:color w:val="auto"/>
                <w:highlight w:val="none"/>
                <w:vertAlign w:val="baseline"/>
              </w:rPr>
            </w:pPr>
          </w:p>
        </w:tc>
        <w:tc>
          <w:tcPr>
            <w:tcW w:w="952" w:type="dxa"/>
            <w:noWrap w:val="0"/>
            <w:vAlign w:val="top"/>
          </w:tcPr>
          <w:p w14:paraId="2D2D70B1">
            <w:pPr>
              <w:pStyle w:val="190"/>
              <w:rPr>
                <w:color w:val="auto"/>
                <w:highlight w:val="none"/>
                <w:vertAlign w:val="baseline"/>
              </w:rPr>
            </w:pPr>
          </w:p>
        </w:tc>
      </w:tr>
      <w:tr w14:paraId="0D9BD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769" w:type="dxa"/>
            <w:noWrap w:val="0"/>
            <w:vAlign w:val="top"/>
          </w:tcPr>
          <w:p w14:paraId="3F4B944C">
            <w:pPr>
              <w:pStyle w:val="190"/>
              <w:rPr>
                <w:color w:val="auto"/>
                <w:highlight w:val="none"/>
                <w:vertAlign w:val="baseline"/>
              </w:rPr>
            </w:pPr>
          </w:p>
        </w:tc>
        <w:tc>
          <w:tcPr>
            <w:tcW w:w="1135" w:type="dxa"/>
            <w:noWrap w:val="0"/>
            <w:vAlign w:val="top"/>
          </w:tcPr>
          <w:p w14:paraId="5052A38D">
            <w:pPr>
              <w:pStyle w:val="190"/>
              <w:rPr>
                <w:color w:val="auto"/>
                <w:highlight w:val="none"/>
                <w:vertAlign w:val="baseline"/>
              </w:rPr>
            </w:pPr>
          </w:p>
        </w:tc>
        <w:tc>
          <w:tcPr>
            <w:tcW w:w="952" w:type="dxa"/>
            <w:noWrap w:val="0"/>
            <w:vAlign w:val="top"/>
          </w:tcPr>
          <w:p w14:paraId="55D632AD">
            <w:pPr>
              <w:pStyle w:val="190"/>
              <w:rPr>
                <w:color w:val="auto"/>
                <w:highlight w:val="none"/>
                <w:vertAlign w:val="baseline"/>
              </w:rPr>
            </w:pPr>
          </w:p>
        </w:tc>
        <w:tc>
          <w:tcPr>
            <w:tcW w:w="952" w:type="dxa"/>
            <w:noWrap w:val="0"/>
            <w:vAlign w:val="top"/>
          </w:tcPr>
          <w:p w14:paraId="76398DA1">
            <w:pPr>
              <w:pStyle w:val="190"/>
              <w:rPr>
                <w:color w:val="auto"/>
                <w:highlight w:val="none"/>
                <w:vertAlign w:val="baseline"/>
              </w:rPr>
            </w:pPr>
          </w:p>
        </w:tc>
        <w:tc>
          <w:tcPr>
            <w:tcW w:w="952" w:type="dxa"/>
            <w:noWrap w:val="0"/>
            <w:vAlign w:val="top"/>
          </w:tcPr>
          <w:p w14:paraId="2AEF267B">
            <w:pPr>
              <w:pStyle w:val="190"/>
              <w:rPr>
                <w:color w:val="auto"/>
                <w:highlight w:val="none"/>
                <w:vertAlign w:val="baseline"/>
              </w:rPr>
            </w:pPr>
          </w:p>
        </w:tc>
        <w:tc>
          <w:tcPr>
            <w:tcW w:w="952" w:type="dxa"/>
            <w:noWrap w:val="0"/>
            <w:vAlign w:val="top"/>
          </w:tcPr>
          <w:p w14:paraId="676E8312">
            <w:pPr>
              <w:pStyle w:val="190"/>
              <w:rPr>
                <w:color w:val="auto"/>
                <w:highlight w:val="none"/>
                <w:vertAlign w:val="baseline"/>
              </w:rPr>
            </w:pPr>
          </w:p>
        </w:tc>
        <w:tc>
          <w:tcPr>
            <w:tcW w:w="952" w:type="dxa"/>
            <w:noWrap w:val="0"/>
            <w:vAlign w:val="top"/>
          </w:tcPr>
          <w:p w14:paraId="79F4FAAF">
            <w:pPr>
              <w:pStyle w:val="190"/>
              <w:rPr>
                <w:color w:val="auto"/>
                <w:highlight w:val="none"/>
                <w:vertAlign w:val="baseline"/>
              </w:rPr>
            </w:pPr>
          </w:p>
        </w:tc>
        <w:tc>
          <w:tcPr>
            <w:tcW w:w="952" w:type="dxa"/>
            <w:noWrap w:val="0"/>
            <w:vAlign w:val="top"/>
          </w:tcPr>
          <w:p w14:paraId="22C913F5">
            <w:pPr>
              <w:pStyle w:val="190"/>
              <w:rPr>
                <w:color w:val="auto"/>
                <w:highlight w:val="none"/>
                <w:vertAlign w:val="baseline"/>
              </w:rPr>
            </w:pPr>
          </w:p>
        </w:tc>
        <w:tc>
          <w:tcPr>
            <w:tcW w:w="952" w:type="dxa"/>
            <w:noWrap w:val="0"/>
            <w:vAlign w:val="top"/>
          </w:tcPr>
          <w:p w14:paraId="6608DD99">
            <w:pPr>
              <w:pStyle w:val="190"/>
              <w:rPr>
                <w:color w:val="auto"/>
                <w:highlight w:val="none"/>
                <w:vertAlign w:val="baseline"/>
              </w:rPr>
            </w:pPr>
          </w:p>
        </w:tc>
        <w:tc>
          <w:tcPr>
            <w:tcW w:w="952" w:type="dxa"/>
            <w:noWrap w:val="0"/>
            <w:vAlign w:val="top"/>
          </w:tcPr>
          <w:p w14:paraId="48A5E2E5">
            <w:pPr>
              <w:pStyle w:val="190"/>
              <w:rPr>
                <w:color w:val="auto"/>
                <w:highlight w:val="none"/>
                <w:vertAlign w:val="baseline"/>
              </w:rPr>
            </w:pPr>
          </w:p>
        </w:tc>
      </w:tr>
      <w:tr w14:paraId="7795D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769" w:type="dxa"/>
            <w:noWrap w:val="0"/>
            <w:vAlign w:val="top"/>
          </w:tcPr>
          <w:p w14:paraId="641CD4B5">
            <w:pPr>
              <w:pStyle w:val="190"/>
              <w:rPr>
                <w:color w:val="auto"/>
                <w:highlight w:val="none"/>
                <w:vertAlign w:val="baseline"/>
              </w:rPr>
            </w:pPr>
          </w:p>
        </w:tc>
        <w:tc>
          <w:tcPr>
            <w:tcW w:w="1135" w:type="dxa"/>
            <w:noWrap w:val="0"/>
            <w:vAlign w:val="top"/>
          </w:tcPr>
          <w:p w14:paraId="295A301C">
            <w:pPr>
              <w:pStyle w:val="190"/>
              <w:rPr>
                <w:color w:val="auto"/>
                <w:highlight w:val="none"/>
                <w:vertAlign w:val="baseline"/>
              </w:rPr>
            </w:pPr>
          </w:p>
        </w:tc>
        <w:tc>
          <w:tcPr>
            <w:tcW w:w="952" w:type="dxa"/>
            <w:noWrap w:val="0"/>
            <w:vAlign w:val="top"/>
          </w:tcPr>
          <w:p w14:paraId="6C68F807">
            <w:pPr>
              <w:pStyle w:val="190"/>
              <w:rPr>
                <w:color w:val="auto"/>
                <w:highlight w:val="none"/>
                <w:vertAlign w:val="baseline"/>
              </w:rPr>
            </w:pPr>
          </w:p>
        </w:tc>
        <w:tc>
          <w:tcPr>
            <w:tcW w:w="952" w:type="dxa"/>
            <w:noWrap w:val="0"/>
            <w:vAlign w:val="top"/>
          </w:tcPr>
          <w:p w14:paraId="23C59464">
            <w:pPr>
              <w:pStyle w:val="190"/>
              <w:rPr>
                <w:color w:val="auto"/>
                <w:highlight w:val="none"/>
                <w:vertAlign w:val="baseline"/>
              </w:rPr>
            </w:pPr>
          </w:p>
        </w:tc>
        <w:tc>
          <w:tcPr>
            <w:tcW w:w="952" w:type="dxa"/>
            <w:noWrap w:val="0"/>
            <w:vAlign w:val="top"/>
          </w:tcPr>
          <w:p w14:paraId="3DB1C7AA">
            <w:pPr>
              <w:pStyle w:val="190"/>
              <w:rPr>
                <w:color w:val="auto"/>
                <w:highlight w:val="none"/>
                <w:vertAlign w:val="baseline"/>
              </w:rPr>
            </w:pPr>
          </w:p>
        </w:tc>
        <w:tc>
          <w:tcPr>
            <w:tcW w:w="952" w:type="dxa"/>
            <w:noWrap w:val="0"/>
            <w:vAlign w:val="top"/>
          </w:tcPr>
          <w:p w14:paraId="054B5095">
            <w:pPr>
              <w:pStyle w:val="190"/>
              <w:rPr>
                <w:color w:val="auto"/>
                <w:highlight w:val="none"/>
                <w:vertAlign w:val="baseline"/>
              </w:rPr>
            </w:pPr>
          </w:p>
        </w:tc>
        <w:tc>
          <w:tcPr>
            <w:tcW w:w="952" w:type="dxa"/>
            <w:noWrap w:val="0"/>
            <w:vAlign w:val="top"/>
          </w:tcPr>
          <w:p w14:paraId="2361FB24">
            <w:pPr>
              <w:pStyle w:val="190"/>
              <w:rPr>
                <w:color w:val="auto"/>
                <w:highlight w:val="none"/>
                <w:vertAlign w:val="baseline"/>
              </w:rPr>
            </w:pPr>
          </w:p>
        </w:tc>
        <w:tc>
          <w:tcPr>
            <w:tcW w:w="952" w:type="dxa"/>
            <w:noWrap w:val="0"/>
            <w:vAlign w:val="top"/>
          </w:tcPr>
          <w:p w14:paraId="643969D2">
            <w:pPr>
              <w:pStyle w:val="190"/>
              <w:rPr>
                <w:color w:val="auto"/>
                <w:highlight w:val="none"/>
                <w:vertAlign w:val="baseline"/>
              </w:rPr>
            </w:pPr>
          </w:p>
        </w:tc>
        <w:tc>
          <w:tcPr>
            <w:tcW w:w="952" w:type="dxa"/>
            <w:noWrap w:val="0"/>
            <w:vAlign w:val="top"/>
          </w:tcPr>
          <w:p w14:paraId="37AD0BCF">
            <w:pPr>
              <w:pStyle w:val="190"/>
              <w:rPr>
                <w:color w:val="auto"/>
                <w:highlight w:val="none"/>
                <w:vertAlign w:val="baseline"/>
              </w:rPr>
            </w:pPr>
          </w:p>
        </w:tc>
        <w:tc>
          <w:tcPr>
            <w:tcW w:w="952" w:type="dxa"/>
            <w:noWrap w:val="0"/>
            <w:vAlign w:val="top"/>
          </w:tcPr>
          <w:p w14:paraId="2160CD63">
            <w:pPr>
              <w:pStyle w:val="190"/>
              <w:rPr>
                <w:color w:val="auto"/>
                <w:highlight w:val="none"/>
                <w:vertAlign w:val="baseline"/>
              </w:rPr>
            </w:pPr>
          </w:p>
        </w:tc>
      </w:tr>
      <w:tr w14:paraId="6A7F0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769" w:type="dxa"/>
            <w:noWrap w:val="0"/>
            <w:vAlign w:val="top"/>
          </w:tcPr>
          <w:p w14:paraId="1B153A18">
            <w:pPr>
              <w:pStyle w:val="190"/>
              <w:rPr>
                <w:color w:val="auto"/>
                <w:highlight w:val="none"/>
                <w:vertAlign w:val="baseline"/>
              </w:rPr>
            </w:pPr>
          </w:p>
        </w:tc>
        <w:tc>
          <w:tcPr>
            <w:tcW w:w="1135" w:type="dxa"/>
            <w:noWrap w:val="0"/>
            <w:vAlign w:val="top"/>
          </w:tcPr>
          <w:p w14:paraId="09453D83">
            <w:pPr>
              <w:pStyle w:val="190"/>
              <w:rPr>
                <w:color w:val="auto"/>
                <w:highlight w:val="none"/>
                <w:vertAlign w:val="baseline"/>
              </w:rPr>
            </w:pPr>
          </w:p>
        </w:tc>
        <w:tc>
          <w:tcPr>
            <w:tcW w:w="952" w:type="dxa"/>
            <w:noWrap w:val="0"/>
            <w:vAlign w:val="top"/>
          </w:tcPr>
          <w:p w14:paraId="78A698B4">
            <w:pPr>
              <w:pStyle w:val="190"/>
              <w:rPr>
                <w:color w:val="auto"/>
                <w:highlight w:val="none"/>
                <w:vertAlign w:val="baseline"/>
              </w:rPr>
            </w:pPr>
          </w:p>
        </w:tc>
        <w:tc>
          <w:tcPr>
            <w:tcW w:w="952" w:type="dxa"/>
            <w:noWrap w:val="0"/>
            <w:vAlign w:val="top"/>
          </w:tcPr>
          <w:p w14:paraId="2E220DED">
            <w:pPr>
              <w:pStyle w:val="190"/>
              <w:rPr>
                <w:color w:val="auto"/>
                <w:highlight w:val="none"/>
                <w:vertAlign w:val="baseline"/>
              </w:rPr>
            </w:pPr>
          </w:p>
        </w:tc>
        <w:tc>
          <w:tcPr>
            <w:tcW w:w="952" w:type="dxa"/>
            <w:noWrap w:val="0"/>
            <w:vAlign w:val="top"/>
          </w:tcPr>
          <w:p w14:paraId="49998C3C">
            <w:pPr>
              <w:pStyle w:val="190"/>
              <w:rPr>
                <w:color w:val="auto"/>
                <w:highlight w:val="none"/>
                <w:vertAlign w:val="baseline"/>
              </w:rPr>
            </w:pPr>
          </w:p>
        </w:tc>
        <w:tc>
          <w:tcPr>
            <w:tcW w:w="952" w:type="dxa"/>
            <w:noWrap w:val="0"/>
            <w:vAlign w:val="top"/>
          </w:tcPr>
          <w:p w14:paraId="592D9427">
            <w:pPr>
              <w:pStyle w:val="190"/>
              <w:rPr>
                <w:color w:val="auto"/>
                <w:highlight w:val="none"/>
                <w:vertAlign w:val="baseline"/>
              </w:rPr>
            </w:pPr>
          </w:p>
        </w:tc>
        <w:tc>
          <w:tcPr>
            <w:tcW w:w="952" w:type="dxa"/>
            <w:noWrap w:val="0"/>
            <w:vAlign w:val="top"/>
          </w:tcPr>
          <w:p w14:paraId="7074A16A">
            <w:pPr>
              <w:pStyle w:val="190"/>
              <w:rPr>
                <w:color w:val="auto"/>
                <w:highlight w:val="none"/>
                <w:vertAlign w:val="baseline"/>
              </w:rPr>
            </w:pPr>
          </w:p>
        </w:tc>
        <w:tc>
          <w:tcPr>
            <w:tcW w:w="952" w:type="dxa"/>
            <w:noWrap w:val="0"/>
            <w:vAlign w:val="top"/>
          </w:tcPr>
          <w:p w14:paraId="5AE3C6CC">
            <w:pPr>
              <w:pStyle w:val="190"/>
              <w:rPr>
                <w:color w:val="auto"/>
                <w:highlight w:val="none"/>
                <w:vertAlign w:val="baseline"/>
              </w:rPr>
            </w:pPr>
          </w:p>
        </w:tc>
        <w:tc>
          <w:tcPr>
            <w:tcW w:w="952" w:type="dxa"/>
            <w:noWrap w:val="0"/>
            <w:vAlign w:val="top"/>
          </w:tcPr>
          <w:p w14:paraId="230316F1">
            <w:pPr>
              <w:pStyle w:val="190"/>
              <w:rPr>
                <w:color w:val="auto"/>
                <w:highlight w:val="none"/>
                <w:vertAlign w:val="baseline"/>
              </w:rPr>
            </w:pPr>
          </w:p>
        </w:tc>
        <w:tc>
          <w:tcPr>
            <w:tcW w:w="952" w:type="dxa"/>
            <w:noWrap w:val="0"/>
            <w:vAlign w:val="top"/>
          </w:tcPr>
          <w:p w14:paraId="57735BF6">
            <w:pPr>
              <w:pStyle w:val="190"/>
              <w:rPr>
                <w:color w:val="auto"/>
                <w:highlight w:val="none"/>
                <w:vertAlign w:val="baseline"/>
              </w:rPr>
            </w:pPr>
          </w:p>
        </w:tc>
      </w:tr>
      <w:tr w14:paraId="119EA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769" w:type="dxa"/>
            <w:noWrap w:val="0"/>
            <w:vAlign w:val="top"/>
          </w:tcPr>
          <w:p w14:paraId="74AC1C43">
            <w:pPr>
              <w:pStyle w:val="190"/>
              <w:rPr>
                <w:color w:val="auto"/>
                <w:highlight w:val="none"/>
                <w:vertAlign w:val="baseline"/>
              </w:rPr>
            </w:pPr>
          </w:p>
        </w:tc>
        <w:tc>
          <w:tcPr>
            <w:tcW w:w="1135" w:type="dxa"/>
            <w:noWrap w:val="0"/>
            <w:vAlign w:val="top"/>
          </w:tcPr>
          <w:p w14:paraId="5D692C67">
            <w:pPr>
              <w:pStyle w:val="190"/>
              <w:rPr>
                <w:color w:val="auto"/>
                <w:highlight w:val="none"/>
                <w:vertAlign w:val="baseline"/>
              </w:rPr>
            </w:pPr>
          </w:p>
        </w:tc>
        <w:tc>
          <w:tcPr>
            <w:tcW w:w="952" w:type="dxa"/>
            <w:noWrap w:val="0"/>
            <w:vAlign w:val="top"/>
          </w:tcPr>
          <w:p w14:paraId="04D53A39">
            <w:pPr>
              <w:pStyle w:val="190"/>
              <w:rPr>
                <w:color w:val="auto"/>
                <w:highlight w:val="none"/>
                <w:vertAlign w:val="baseline"/>
              </w:rPr>
            </w:pPr>
          </w:p>
        </w:tc>
        <w:tc>
          <w:tcPr>
            <w:tcW w:w="952" w:type="dxa"/>
            <w:noWrap w:val="0"/>
            <w:vAlign w:val="top"/>
          </w:tcPr>
          <w:p w14:paraId="43AA3D26">
            <w:pPr>
              <w:pStyle w:val="190"/>
              <w:rPr>
                <w:color w:val="auto"/>
                <w:highlight w:val="none"/>
                <w:vertAlign w:val="baseline"/>
              </w:rPr>
            </w:pPr>
          </w:p>
        </w:tc>
        <w:tc>
          <w:tcPr>
            <w:tcW w:w="952" w:type="dxa"/>
            <w:noWrap w:val="0"/>
            <w:vAlign w:val="top"/>
          </w:tcPr>
          <w:p w14:paraId="63FF6650">
            <w:pPr>
              <w:pStyle w:val="190"/>
              <w:rPr>
                <w:color w:val="auto"/>
                <w:highlight w:val="none"/>
                <w:vertAlign w:val="baseline"/>
              </w:rPr>
            </w:pPr>
          </w:p>
        </w:tc>
        <w:tc>
          <w:tcPr>
            <w:tcW w:w="952" w:type="dxa"/>
            <w:noWrap w:val="0"/>
            <w:vAlign w:val="top"/>
          </w:tcPr>
          <w:p w14:paraId="3710517A">
            <w:pPr>
              <w:pStyle w:val="190"/>
              <w:rPr>
                <w:color w:val="auto"/>
                <w:highlight w:val="none"/>
                <w:vertAlign w:val="baseline"/>
              </w:rPr>
            </w:pPr>
          </w:p>
        </w:tc>
        <w:tc>
          <w:tcPr>
            <w:tcW w:w="952" w:type="dxa"/>
            <w:noWrap w:val="0"/>
            <w:vAlign w:val="top"/>
          </w:tcPr>
          <w:p w14:paraId="3570D3C6">
            <w:pPr>
              <w:pStyle w:val="190"/>
              <w:rPr>
                <w:color w:val="auto"/>
                <w:highlight w:val="none"/>
                <w:vertAlign w:val="baseline"/>
              </w:rPr>
            </w:pPr>
          </w:p>
        </w:tc>
        <w:tc>
          <w:tcPr>
            <w:tcW w:w="952" w:type="dxa"/>
            <w:noWrap w:val="0"/>
            <w:vAlign w:val="top"/>
          </w:tcPr>
          <w:p w14:paraId="1BDA95DD">
            <w:pPr>
              <w:pStyle w:val="190"/>
              <w:rPr>
                <w:color w:val="auto"/>
                <w:highlight w:val="none"/>
                <w:vertAlign w:val="baseline"/>
              </w:rPr>
            </w:pPr>
          </w:p>
        </w:tc>
        <w:tc>
          <w:tcPr>
            <w:tcW w:w="952" w:type="dxa"/>
            <w:noWrap w:val="0"/>
            <w:vAlign w:val="top"/>
          </w:tcPr>
          <w:p w14:paraId="067B56DB">
            <w:pPr>
              <w:pStyle w:val="190"/>
              <w:rPr>
                <w:color w:val="auto"/>
                <w:highlight w:val="none"/>
                <w:vertAlign w:val="baseline"/>
              </w:rPr>
            </w:pPr>
          </w:p>
        </w:tc>
        <w:tc>
          <w:tcPr>
            <w:tcW w:w="952" w:type="dxa"/>
            <w:noWrap w:val="0"/>
            <w:vAlign w:val="top"/>
          </w:tcPr>
          <w:p w14:paraId="476E16E7">
            <w:pPr>
              <w:pStyle w:val="190"/>
              <w:rPr>
                <w:color w:val="auto"/>
                <w:highlight w:val="none"/>
                <w:vertAlign w:val="baseline"/>
              </w:rPr>
            </w:pPr>
          </w:p>
        </w:tc>
      </w:tr>
      <w:tr w14:paraId="4CC20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769" w:type="dxa"/>
            <w:noWrap w:val="0"/>
            <w:vAlign w:val="top"/>
          </w:tcPr>
          <w:p w14:paraId="5B1E6E2B">
            <w:pPr>
              <w:pStyle w:val="190"/>
              <w:rPr>
                <w:color w:val="auto"/>
                <w:highlight w:val="none"/>
                <w:vertAlign w:val="baseline"/>
              </w:rPr>
            </w:pPr>
          </w:p>
        </w:tc>
        <w:tc>
          <w:tcPr>
            <w:tcW w:w="1135" w:type="dxa"/>
            <w:noWrap w:val="0"/>
            <w:vAlign w:val="top"/>
          </w:tcPr>
          <w:p w14:paraId="5C612F2C">
            <w:pPr>
              <w:pStyle w:val="190"/>
              <w:rPr>
                <w:color w:val="auto"/>
                <w:highlight w:val="none"/>
                <w:vertAlign w:val="baseline"/>
              </w:rPr>
            </w:pPr>
          </w:p>
        </w:tc>
        <w:tc>
          <w:tcPr>
            <w:tcW w:w="952" w:type="dxa"/>
            <w:noWrap w:val="0"/>
            <w:vAlign w:val="top"/>
          </w:tcPr>
          <w:p w14:paraId="45BA40FF">
            <w:pPr>
              <w:pStyle w:val="190"/>
              <w:rPr>
                <w:color w:val="auto"/>
                <w:highlight w:val="none"/>
                <w:vertAlign w:val="baseline"/>
              </w:rPr>
            </w:pPr>
          </w:p>
        </w:tc>
        <w:tc>
          <w:tcPr>
            <w:tcW w:w="952" w:type="dxa"/>
            <w:noWrap w:val="0"/>
            <w:vAlign w:val="top"/>
          </w:tcPr>
          <w:p w14:paraId="4C463234">
            <w:pPr>
              <w:pStyle w:val="190"/>
              <w:rPr>
                <w:color w:val="auto"/>
                <w:highlight w:val="none"/>
                <w:vertAlign w:val="baseline"/>
              </w:rPr>
            </w:pPr>
          </w:p>
        </w:tc>
        <w:tc>
          <w:tcPr>
            <w:tcW w:w="952" w:type="dxa"/>
            <w:noWrap w:val="0"/>
            <w:vAlign w:val="top"/>
          </w:tcPr>
          <w:p w14:paraId="0089D225">
            <w:pPr>
              <w:pStyle w:val="190"/>
              <w:rPr>
                <w:color w:val="auto"/>
                <w:highlight w:val="none"/>
                <w:vertAlign w:val="baseline"/>
              </w:rPr>
            </w:pPr>
          </w:p>
        </w:tc>
        <w:tc>
          <w:tcPr>
            <w:tcW w:w="952" w:type="dxa"/>
            <w:noWrap w:val="0"/>
            <w:vAlign w:val="top"/>
          </w:tcPr>
          <w:p w14:paraId="625B0396">
            <w:pPr>
              <w:pStyle w:val="190"/>
              <w:rPr>
                <w:color w:val="auto"/>
                <w:highlight w:val="none"/>
                <w:vertAlign w:val="baseline"/>
              </w:rPr>
            </w:pPr>
          </w:p>
        </w:tc>
        <w:tc>
          <w:tcPr>
            <w:tcW w:w="952" w:type="dxa"/>
            <w:noWrap w:val="0"/>
            <w:vAlign w:val="top"/>
          </w:tcPr>
          <w:p w14:paraId="373905EE">
            <w:pPr>
              <w:pStyle w:val="190"/>
              <w:rPr>
                <w:color w:val="auto"/>
                <w:highlight w:val="none"/>
                <w:vertAlign w:val="baseline"/>
              </w:rPr>
            </w:pPr>
          </w:p>
        </w:tc>
        <w:tc>
          <w:tcPr>
            <w:tcW w:w="952" w:type="dxa"/>
            <w:noWrap w:val="0"/>
            <w:vAlign w:val="top"/>
          </w:tcPr>
          <w:p w14:paraId="5B6B4BA0">
            <w:pPr>
              <w:pStyle w:val="190"/>
              <w:rPr>
                <w:color w:val="auto"/>
                <w:highlight w:val="none"/>
                <w:vertAlign w:val="baseline"/>
              </w:rPr>
            </w:pPr>
          </w:p>
        </w:tc>
        <w:tc>
          <w:tcPr>
            <w:tcW w:w="952" w:type="dxa"/>
            <w:noWrap w:val="0"/>
            <w:vAlign w:val="top"/>
          </w:tcPr>
          <w:p w14:paraId="22C408C3">
            <w:pPr>
              <w:pStyle w:val="190"/>
              <w:rPr>
                <w:color w:val="auto"/>
                <w:highlight w:val="none"/>
                <w:vertAlign w:val="baseline"/>
              </w:rPr>
            </w:pPr>
          </w:p>
        </w:tc>
        <w:tc>
          <w:tcPr>
            <w:tcW w:w="952" w:type="dxa"/>
            <w:noWrap w:val="0"/>
            <w:vAlign w:val="top"/>
          </w:tcPr>
          <w:p w14:paraId="4ED5353F">
            <w:pPr>
              <w:pStyle w:val="190"/>
              <w:rPr>
                <w:color w:val="auto"/>
                <w:highlight w:val="none"/>
                <w:vertAlign w:val="baseline"/>
              </w:rPr>
            </w:pPr>
          </w:p>
        </w:tc>
      </w:tr>
      <w:tr w14:paraId="6DA5A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769" w:type="dxa"/>
            <w:noWrap w:val="0"/>
            <w:vAlign w:val="top"/>
          </w:tcPr>
          <w:p w14:paraId="41AFB5CF">
            <w:pPr>
              <w:pStyle w:val="190"/>
              <w:rPr>
                <w:color w:val="auto"/>
                <w:highlight w:val="none"/>
                <w:vertAlign w:val="baseline"/>
              </w:rPr>
            </w:pPr>
          </w:p>
        </w:tc>
        <w:tc>
          <w:tcPr>
            <w:tcW w:w="1135" w:type="dxa"/>
            <w:noWrap w:val="0"/>
            <w:vAlign w:val="top"/>
          </w:tcPr>
          <w:p w14:paraId="0E0FD6D2">
            <w:pPr>
              <w:pStyle w:val="190"/>
              <w:rPr>
                <w:color w:val="auto"/>
                <w:highlight w:val="none"/>
                <w:vertAlign w:val="baseline"/>
              </w:rPr>
            </w:pPr>
          </w:p>
        </w:tc>
        <w:tc>
          <w:tcPr>
            <w:tcW w:w="952" w:type="dxa"/>
            <w:noWrap w:val="0"/>
            <w:vAlign w:val="top"/>
          </w:tcPr>
          <w:p w14:paraId="24078AFF">
            <w:pPr>
              <w:pStyle w:val="190"/>
              <w:rPr>
                <w:color w:val="auto"/>
                <w:highlight w:val="none"/>
                <w:vertAlign w:val="baseline"/>
              </w:rPr>
            </w:pPr>
          </w:p>
        </w:tc>
        <w:tc>
          <w:tcPr>
            <w:tcW w:w="952" w:type="dxa"/>
            <w:noWrap w:val="0"/>
            <w:vAlign w:val="top"/>
          </w:tcPr>
          <w:p w14:paraId="3BD5E440">
            <w:pPr>
              <w:pStyle w:val="190"/>
              <w:rPr>
                <w:color w:val="auto"/>
                <w:highlight w:val="none"/>
                <w:vertAlign w:val="baseline"/>
              </w:rPr>
            </w:pPr>
          </w:p>
        </w:tc>
        <w:tc>
          <w:tcPr>
            <w:tcW w:w="952" w:type="dxa"/>
            <w:noWrap w:val="0"/>
            <w:vAlign w:val="top"/>
          </w:tcPr>
          <w:p w14:paraId="74BEF1AE">
            <w:pPr>
              <w:pStyle w:val="190"/>
              <w:rPr>
                <w:color w:val="auto"/>
                <w:highlight w:val="none"/>
                <w:vertAlign w:val="baseline"/>
              </w:rPr>
            </w:pPr>
          </w:p>
        </w:tc>
        <w:tc>
          <w:tcPr>
            <w:tcW w:w="952" w:type="dxa"/>
            <w:noWrap w:val="0"/>
            <w:vAlign w:val="top"/>
          </w:tcPr>
          <w:p w14:paraId="5A5B1F08">
            <w:pPr>
              <w:pStyle w:val="190"/>
              <w:rPr>
                <w:color w:val="auto"/>
                <w:highlight w:val="none"/>
                <w:vertAlign w:val="baseline"/>
              </w:rPr>
            </w:pPr>
          </w:p>
        </w:tc>
        <w:tc>
          <w:tcPr>
            <w:tcW w:w="952" w:type="dxa"/>
            <w:noWrap w:val="0"/>
            <w:vAlign w:val="top"/>
          </w:tcPr>
          <w:p w14:paraId="0FFE468A">
            <w:pPr>
              <w:pStyle w:val="190"/>
              <w:rPr>
                <w:color w:val="auto"/>
                <w:highlight w:val="none"/>
                <w:vertAlign w:val="baseline"/>
              </w:rPr>
            </w:pPr>
          </w:p>
        </w:tc>
        <w:tc>
          <w:tcPr>
            <w:tcW w:w="952" w:type="dxa"/>
            <w:noWrap w:val="0"/>
            <w:vAlign w:val="top"/>
          </w:tcPr>
          <w:p w14:paraId="2A4D3426">
            <w:pPr>
              <w:pStyle w:val="190"/>
              <w:rPr>
                <w:color w:val="auto"/>
                <w:highlight w:val="none"/>
                <w:vertAlign w:val="baseline"/>
              </w:rPr>
            </w:pPr>
          </w:p>
        </w:tc>
        <w:tc>
          <w:tcPr>
            <w:tcW w:w="952" w:type="dxa"/>
            <w:noWrap w:val="0"/>
            <w:vAlign w:val="top"/>
          </w:tcPr>
          <w:p w14:paraId="2E231848">
            <w:pPr>
              <w:pStyle w:val="190"/>
              <w:rPr>
                <w:color w:val="auto"/>
                <w:highlight w:val="none"/>
                <w:vertAlign w:val="baseline"/>
              </w:rPr>
            </w:pPr>
          </w:p>
        </w:tc>
        <w:tc>
          <w:tcPr>
            <w:tcW w:w="952" w:type="dxa"/>
            <w:noWrap w:val="0"/>
            <w:vAlign w:val="top"/>
          </w:tcPr>
          <w:p w14:paraId="3C29EAE1">
            <w:pPr>
              <w:pStyle w:val="190"/>
              <w:rPr>
                <w:color w:val="auto"/>
                <w:highlight w:val="none"/>
                <w:vertAlign w:val="baseline"/>
              </w:rPr>
            </w:pPr>
          </w:p>
        </w:tc>
      </w:tr>
      <w:tr w14:paraId="254FB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769" w:type="dxa"/>
            <w:noWrap w:val="0"/>
            <w:vAlign w:val="top"/>
          </w:tcPr>
          <w:p w14:paraId="21DF6658">
            <w:pPr>
              <w:pStyle w:val="190"/>
              <w:rPr>
                <w:color w:val="auto"/>
                <w:highlight w:val="none"/>
                <w:vertAlign w:val="baseline"/>
              </w:rPr>
            </w:pPr>
          </w:p>
        </w:tc>
        <w:tc>
          <w:tcPr>
            <w:tcW w:w="1135" w:type="dxa"/>
            <w:noWrap w:val="0"/>
            <w:vAlign w:val="top"/>
          </w:tcPr>
          <w:p w14:paraId="235605A0">
            <w:pPr>
              <w:pStyle w:val="190"/>
              <w:rPr>
                <w:color w:val="auto"/>
                <w:highlight w:val="none"/>
                <w:vertAlign w:val="baseline"/>
              </w:rPr>
            </w:pPr>
          </w:p>
        </w:tc>
        <w:tc>
          <w:tcPr>
            <w:tcW w:w="952" w:type="dxa"/>
            <w:noWrap w:val="0"/>
            <w:vAlign w:val="top"/>
          </w:tcPr>
          <w:p w14:paraId="2CCC93D3">
            <w:pPr>
              <w:pStyle w:val="190"/>
              <w:rPr>
                <w:color w:val="auto"/>
                <w:highlight w:val="none"/>
                <w:vertAlign w:val="baseline"/>
              </w:rPr>
            </w:pPr>
          </w:p>
        </w:tc>
        <w:tc>
          <w:tcPr>
            <w:tcW w:w="952" w:type="dxa"/>
            <w:noWrap w:val="0"/>
            <w:vAlign w:val="top"/>
          </w:tcPr>
          <w:p w14:paraId="2B6EC1A3">
            <w:pPr>
              <w:pStyle w:val="190"/>
              <w:rPr>
                <w:color w:val="auto"/>
                <w:highlight w:val="none"/>
                <w:vertAlign w:val="baseline"/>
              </w:rPr>
            </w:pPr>
          </w:p>
        </w:tc>
        <w:tc>
          <w:tcPr>
            <w:tcW w:w="952" w:type="dxa"/>
            <w:noWrap w:val="0"/>
            <w:vAlign w:val="top"/>
          </w:tcPr>
          <w:p w14:paraId="2F17969B">
            <w:pPr>
              <w:pStyle w:val="190"/>
              <w:rPr>
                <w:color w:val="auto"/>
                <w:highlight w:val="none"/>
                <w:vertAlign w:val="baseline"/>
              </w:rPr>
            </w:pPr>
          </w:p>
        </w:tc>
        <w:tc>
          <w:tcPr>
            <w:tcW w:w="952" w:type="dxa"/>
            <w:noWrap w:val="0"/>
            <w:vAlign w:val="top"/>
          </w:tcPr>
          <w:p w14:paraId="46682935">
            <w:pPr>
              <w:pStyle w:val="190"/>
              <w:rPr>
                <w:color w:val="auto"/>
                <w:highlight w:val="none"/>
                <w:vertAlign w:val="baseline"/>
              </w:rPr>
            </w:pPr>
          </w:p>
        </w:tc>
        <w:tc>
          <w:tcPr>
            <w:tcW w:w="952" w:type="dxa"/>
            <w:noWrap w:val="0"/>
            <w:vAlign w:val="top"/>
          </w:tcPr>
          <w:p w14:paraId="3415B7F8">
            <w:pPr>
              <w:pStyle w:val="190"/>
              <w:rPr>
                <w:color w:val="auto"/>
                <w:highlight w:val="none"/>
                <w:vertAlign w:val="baseline"/>
              </w:rPr>
            </w:pPr>
          </w:p>
        </w:tc>
        <w:tc>
          <w:tcPr>
            <w:tcW w:w="952" w:type="dxa"/>
            <w:noWrap w:val="0"/>
            <w:vAlign w:val="top"/>
          </w:tcPr>
          <w:p w14:paraId="7C213617">
            <w:pPr>
              <w:pStyle w:val="190"/>
              <w:rPr>
                <w:color w:val="auto"/>
                <w:highlight w:val="none"/>
                <w:vertAlign w:val="baseline"/>
              </w:rPr>
            </w:pPr>
          </w:p>
        </w:tc>
        <w:tc>
          <w:tcPr>
            <w:tcW w:w="952" w:type="dxa"/>
            <w:noWrap w:val="0"/>
            <w:vAlign w:val="top"/>
          </w:tcPr>
          <w:p w14:paraId="0ECBF4FC">
            <w:pPr>
              <w:pStyle w:val="190"/>
              <w:rPr>
                <w:color w:val="auto"/>
                <w:highlight w:val="none"/>
                <w:vertAlign w:val="baseline"/>
              </w:rPr>
            </w:pPr>
          </w:p>
        </w:tc>
        <w:tc>
          <w:tcPr>
            <w:tcW w:w="952" w:type="dxa"/>
            <w:noWrap w:val="0"/>
            <w:vAlign w:val="top"/>
          </w:tcPr>
          <w:p w14:paraId="39B40F1A">
            <w:pPr>
              <w:pStyle w:val="190"/>
              <w:rPr>
                <w:color w:val="auto"/>
                <w:highlight w:val="none"/>
                <w:vertAlign w:val="baseline"/>
              </w:rPr>
            </w:pPr>
          </w:p>
        </w:tc>
      </w:tr>
      <w:tr w14:paraId="0BA87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769" w:type="dxa"/>
            <w:noWrap w:val="0"/>
            <w:vAlign w:val="top"/>
          </w:tcPr>
          <w:p w14:paraId="2589B84F">
            <w:pPr>
              <w:pStyle w:val="190"/>
              <w:rPr>
                <w:color w:val="auto"/>
                <w:highlight w:val="none"/>
                <w:vertAlign w:val="baseline"/>
              </w:rPr>
            </w:pPr>
          </w:p>
        </w:tc>
        <w:tc>
          <w:tcPr>
            <w:tcW w:w="1135" w:type="dxa"/>
            <w:noWrap w:val="0"/>
            <w:vAlign w:val="top"/>
          </w:tcPr>
          <w:p w14:paraId="4B077D01">
            <w:pPr>
              <w:pStyle w:val="190"/>
              <w:rPr>
                <w:color w:val="auto"/>
                <w:highlight w:val="none"/>
                <w:vertAlign w:val="baseline"/>
              </w:rPr>
            </w:pPr>
          </w:p>
        </w:tc>
        <w:tc>
          <w:tcPr>
            <w:tcW w:w="952" w:type="dxa"/>
            <w:noWrap w:val="0"/>
            <w:vAlign w:val="top"/>
          </w:tcPr>
          <w:p w14:paraId="35DE9439">
            <w:pPr>
              <w:pStyle w:val="190"/>
              <w:rPr>
                <w:color w:val="auto"/>
                <w:highlight w:val="none"/>
                <w:vertAlign w:val="baseline"/>
              </w:rPr>
            </w:pPr>
          </w:p>
        </w:tc>
        <w:tc>
          <w:tcPr>
            <w:tcW w:w="952" w:type="dxa"/>
            <w:noWrap w:val="0"/>
            <w:vAlign w:val="top"/>
          </w:tcPr>
          <w:p w14:paraId="50EC6A32">
            <w:pPr>
              <w:pStyle w:val="190"/>
              <w:rPr>
                <w:color w:val="auto"/>
                <w:highlight w:val="none"/>
                <w:vertAlign w:val="baseline"/>
              </w:rPr>
            </w:pPr>
          </w:p>
        </w:tc>
        <w:tc>
          <w:tcPr>
            <w:tcW w:w="952" w:type="dxa"/>
            <w:noWrap w:val="0"/>
            <w:vAlign w:val="top"/>
          </w:tcPr>
          <w:p w14:paraId="0EA6060C">
            <w:pPr>
              <w:pStyle w:val="190"/>
              <w:rPr>
                <w:color w:val="auto"/>
                <w:highlight w:val="none"/>
                <w:vertAlign w:val="baseline"/>
              </w:rPr>
            </w:pPr>
          </w:p>
        </w:tc>
        <w:tc>
          <w:tcPr>
            <w:tcW w:w="952" w:type="dxa"/>
            <w:noWrap w:val="0"/>
            <w:vAlign w:val="top"/>
          </w:tcPr>
          <w:p w14:paraId="199362A7">
            <w:pPr>
              <w:pStyle w:val="190"/>
              <w:rPr>
                <w:color w:val="auto"/>
                <w:highlight w:val="none"/>
                <w:vertAlign w:val="baseline"/>
              </w:rPr>
            </w:pPr>
          </w:p>
        </w:tc>
        <w:tc>
          <w:tcPr>
            <w:tcW w:w="952" w:type="dxa"/>
            <w:noWrap w:val="0"/>
            <w:vAlign w:val="top"/>
          </w:tcPr>
          <w:p w14:paraId="4D699B8A">
            <w:pPr>
              <w:pStyle w:val="190"/>
              <w:rPr>
                <w:color w:val="auto"/>
                <w:highlight w:val="none"/>
                <w:vertAlign w:val="baseline"/>
              </w:rPr>
            </w:pPr>
          </w:p>
        </w:tc>
        <w:tc>
          <w:tcPr>
            <w:tcW w:w="952" w:type="dxa"/>
            <w:noWrap w:val="0"/>
            <w:vAlign w:val="top"/>
          </w:tcPr>
          <w:p w14:paraId="1E69ED28">
            <w:pPr>
              <w:pStyle w:val="190"/>
              <w:rPr>
                <w:color w:val="auto"/>
                <w:highlight w:val="none"/>
                <w:vertAlign w:val="baseline"/>
              </w:rPr>
            </w:pPr>
          </w:p>
        </w:tc>
        <w:tc>
          <w:tcPr>
            <w:tcW w:w="952" w:type="dxa"/>
            <w:noWrap w:val="0"/>
            <w:vAlign w:val="top"/>
          </w:tcPr>
          <w:p w14:paraId="218ADD4A">
            <w:pPr>
              <w:pStyle w:val="190"/>
              <w:rPr>
                <w:color w:val="auto"/>
                <w:highlight w:val="none"/>
                <w:vertAlign w:val="baseline"/>
              </w:rPr>
            </w:pPr>
          </w:p>
        </w:tc>
        <w:tc>
          <w:tcPr>
            <w:tcW w:w="952" w:type="dxa"/>
            <w:noWrap w:val="0"/>
            <w:vAlign w:val="top"/>
          </w:tcPr>
          <w:p w14:paraId="7BC3B6FB">
            <w:pPr>
              <w:pStyle w:val="190"/>
              <w:rPr>
                <w:color w:val="auto"/>
                <w:highlight w:val="none"/>
                <w:vertAlign w:val="baseline"/>
              </w:rPr>
            </w:pPr>
          </w:p>
        </w:tc>
      </w:tr>
    </w:tbl>
    <w:p w14:paraId="22A1CF7A">
      <w:pPr>
        <w:rPr>
          <w:rFonts w:hint="eastAsia"/>
          <w:color w:val="auto"/>
          <w:highlight w:val="none"/>
        </w:rPr>
      </w:pPr>
    </w:p>
    <w:p w14:paraId="77322741">
      <w:pPr>
        <w:rPr>
          <w:rFonts w:hint="eastAsia"/>
          <w:color w:val="auto"/>
          <w:highlight w:val="none"/>
        </w:rPr>
      </w:pPr>
    </w:p>
    <w:p w14:paraId="1DEA500C">
      <w:pPr>
        <w:rPr>
          <w:rFonts w:hint="eastAsia"/>
          <w:color w:val="auto"/>
          <w:highlight w:val="none"/>
        </w:rPr>
      </w:pPr>
    </w:p>
    <w:p w14:paraId="22AA5775">
      <w:pPr>
        <w:rPr>
          <w:rFonts w:hint="eastAsia"/>
          <w:color w:val="auto"/>
          <w:highlight w:val="none"/>
        </w:rPr>
      </w:pPr>
    </w:p>
    <w:p w14:paraId="6FD7917C">
      <w:pPr>
        <w:rPr>
          <w:rFonts w:hint="eastAsia"/>
          <w:color w:val="auto"/>
          <w:highlight w:val="none"/>
        </w:rPr>
      </w:pPr>
    </w:p>
    <w:p w14:paraId="3F66AC6A">
      <w:pPr>
        <w:rPr>
          <w:rFonts w:hint="eastAsia"/>
          <w:color w:val="auto"/>
          <w:highlight w:val="none"/>
        </w:rPr>
      </w:pPr>
    </w:p>
    <w:p w14:paraId="50F99985">
      <w:pPr>
        <w:rPr>
          <w:rFonts w:hint="eastAsia"/>
          <w:color w:val="auto"/>
          <w:highlight w:val="none"/>
        </w:rPr>
      </w:pPr>
    </w:p>
    <w:p w14:paraId="77C9A98A">
      <w:pPr>
        <w:keepNext w:val="0"/>
        <w:keepLines w:val="0"/>
        <w:widowControl/>
        <w:suppressLineNumbers w:val="0"/>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1-8 拟配备本项目的试验和检测仪器设备表</w:t>
      </w:r>
    </w:p>
    <w:p w14:paraId="4FED7B3A">
      <w:pPr>
        <w:keepNext w:val="0"/>
        <w:keepLines w:val="0"/>
        <w:widowControl/>
        <w:suppressLineNumbers w:val="0"/>
        <w:jc w:val="center"/>
        <w:rPr>
          <w:color w:val="auto"/>
          <w:highlight w:val="none"/>
        </w:rPr>
      </w:pPr>
    </w:p>
    <w:p w14:paraId="5DB68323">
      <w:pPr>
        <w:pStyle w:val="190"/>
        <w:rPr>
          <w:color w:val="auto"/>
          <w:highlight w:val="none"/>
        </w:rPr>
      </w:pPr>
    </w:p>
    <w:tbl>
      <w:tblPr>
        <w:tblStyle w:val="43"/>
        <w:tblW w:w="8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1221"/>
        <w:gridCol w:w="995"/>
        <w:gridCol w:w="995"/>
        <w:gridCol w:w="995"/>
        <w:gridCol w:w="995"/>
        <w:gridCol w:w="1105"/>
        <w:gridCol w:w="1123"/>
        <w:gridCol w:w="758"/>
      </w:tblGrid>
      <w:tr w14:paraId="7C2B0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769" w:type="dxa"/>
            <w:noWrap w:val="0"/>
            <w:vAlign w:val="center"/>
          </w:tcPr>
          <w:p w14:paraId="50675D41">
            <w:pPr>
              <w:jc w:val="center"/>
              <w:rPr>
                <w:color w:val="auto"/>
                <w:highlight w:val="none"/>
                <w:vertAlign w:val="baseline"/>
              </w:rPr>
            </w:pPr>
            <w:r>
              <w:rPr>
                <w:rFonts w:hint="eastAsia"/>
                <w:color w:val="auto"/>
                <w:highlight w:val="none"/>
              </w:rPr>
              <w:t>序号</w:t>
            </w:r>
          </w:p>
        </w:tc>
        <w:tc>
          <w:tcPr>
            <w:tcW w:w="1221" w:type="dxa"/>
            <w:noWrap w:val="0"/>
            <w:vAlign w:val="center"/>
          </w:tcPr>
          <w:p w14:paraId="25A94784">
            <w:pPr>
              <w:jc w:val="center"/>
              <w:rPr>
                <w:color w:val="auto"/>
                <w:highlight w:val="none"/>
                <w:vertAlign w:val="baseline"/>
              </w:rPr>
            </w:pPr>
            <w:r>
              <w:rPr>
                <w:rFonts w:hint="eastAsia"/>
                <w:color w:val="auto"/>
                <w:highlight w:val="none"/>
                <w:lang w:eastAsia="zh-CN"/>
              </w:rPr>
              <w:t>仪器</w:t>
            </w:r>
            <w:r>
              <w:rPr>
                <w:rFonts w:hint="eastAsia"/>
                <w:color w:val="auto"/>
                <w:highlight w:val="none"/>
              </w:rPr>
              <w:t>设备名称</w:t>
            </w:r>
          </w:p>
        </w:tc>
        <w:tc>
          <w:tcPr>
            <w:tcW w:w="995" w:type="dxa"/>
            <w:noWrap w:val="0"/>
            <w:vAlign w:val="center"/>
          </w:tcPr>
          <w:p w14:paraId="6B6888CF">
            <w:pPr>
              <w:keepNext w:val="0"/>
              <w:keepLines w:val="0"/>
              <w:widowControl/>
              <w:suppressLineNumbers w:val="0"/>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型号</w:t>
            </w:r>
          </w:p>
          <w:p w14:paraId="07CBF14C">
            <w:pPr>
              <w:keepNext w:val="0"/>
              <w:keepLines w:val="0"/>
              <w:widowControl/>
              <w:suppressLineNumbers w:val="0"/>
              <w:jc w:val="center"/>
              <w:rPr>
                <w:color w:val="auto"/>
                <w:highlight w:val="none"/>
                <w:vertAlign w:val="baseline"/>
              </w:rPr>
            </w:pPr>
            <w:r>
              <w:rPr>
                <w:rFonts w:hint="eastAsia" w:ascii="宋体" w:hAnsi="宋体" w:eastAsia="宋体" w:cs="宋体"/>
                <w:color w:val="auto"/>
                <w:kern w:val="0"/>
                <w:sz w:val="21"/>
                <w:szCs w:val="21"/>
                <w:highlight w:val="none"/>
                <w:lang w:val="en-US" w:eastAsia="zh-CN" w:bidi="ar"/>
              </w:rPr>
              <w:t>规格</w:t>
            </w:r>
          </w:p>
        </w:tc>
        <w:tc>
          <w:tcPr>
            <w:tcW w:w="995" w:type="dxa"/>
            <w:noWrap w:val="0"/>
            <w:vAlign w:val="center"/>
          </w:tcPr>
          <w:p w14:paraId="44546DC4">
            <w:pPr>
              <w:keepNext w:val="0"/>
              <w:keepLines w:val="0"/>
              <w:widowControl/>
              <w:suppressLineNumbers w:val="0"/>
              <w:jc w:val="center"/>
              <w:rPr>
                <w:color w:val="auto"/>
                <w:highlight w:val="none"/>
                <w:vertAlign w:val="baseline"/>
              </w:rPr>
            </w:pPr>
            <w:r>
              <w:rPr>
                <w:rFonts w:hint="eastAsia" w:ascii="宋体" w:hAnsi="宋体" w:eastAsia="宋体" w:cs="宋体"/>
                <w:color w:val="auto"/>
                <w:kern w:val="0"/>
                <w:sz w:val="21"/>
                <w:szCs w:val="21"/>
                <w:highlight w:val="none"/>
                <w:lang w:val="en-US" w:eastAsia="zh-CN" w:bidi="ar"/>
              </w:rPr>
              <w:t>数量</w:t>
            </w:r>
          </w:p>
        </w:tc>
        <w:tc>
          <w:tcPr>
            <w:tcW w:w="995" w:type="dxa"/>
            <w:noWrap w:val="0"/>
            <w:vAlign w:val="center"/>
          </w:tcPr>
          <w:p w14:paraId="548D22C3">
            <w:pPr>
              <w:keepNext w:val="0"/>
              <w:keepLines w:val="0"/>
              <w:widowControl/>
              <w:suppressLineNumbers w:val="0"/>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国别</w:t>
            </w:r>
          </w:p>
          <w:p w14:paraId="48212D28">
            <w:pPr>
              <w:keepNext w:val="0"/>
              <w:keepLines w:val="0"/>
              <w:widowControl/>
              <w:suppressLineNumbers w:val="0"/>
              <w:jc w:val="center"/>
              <w:rPr>
                <w:color w:val="auto"/>
                <w:highlight w:val="none"/>
                <w:vertAlign w:val="baseline"/>
              </w:rPr>
            </w:pPr>
            <w:r>
              <w:rPr>
                <w:rFonts w:hint="eastAsia" w:ascii="宋体" w:hAnsi="宋体" w:eastAsia="宋体" w:cs="宋体"/>
                <w:color w:val="auto"/>
                <w:kern w:val="0"/>
                <w:sz w:val="21"/>
                <w:szCs w:val="21"/>
                <w:highlight w:val="none"/>
                <w:lang w:val="en-US" w:eastAsia="zh-CN" w:bidi="ar"/>
              </w:rPr>
              <w:t>产地</w:t>
            </w:r>
          </w:p>
        </w:tc>
        <w:tc>
          <w:tcPr>
            <w:tcW w:w="995" w:type="dxa"/>
            <w:noWrap w:val="0"/>
            <w:vAlign w:val="center"/>
          </w:tcPr>
          <w:p w14:paraId="54D244B3">
            <w:pPr>
              <w:keepNext w:val="0"/>
              <w:keepLines w:val="0"/>
              <w:widowControl/>
              <w:suppressLineNumbers w:val="0"/>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制造</w:t>
            </w:r>
          </w:p>
          <w:p w14:paraId="4C22E741">
            <w:pPr>
              <w:keepNext w:val="0"/>
              <w:keepLines w:val="0"/>
              <w:widowControl/>
              <w:suppressLineNumbers w:val="0"/>
              <w:jc w:val="center"/>
              <w:rPr>
                <w:color w:val="auto"/>
                <w:highlight w:val="none"/>
                <w:vertAlign w:val="baseline"/>
              </w:rPr>
            </w:pPr>
            <w:r>
              <w:rPr>
                <w:rFonts w:hint="eastAsia" w:ascii="宋体" w:hAnsi="宋体" w:eastAsia="宋体" w:cs="宋体"/>
                <w:color w:val="auto"/>
                <w:kern w:val="0"/>
                <w:sz w:val="21"/>
                <w:szCs w:val="21"/>
                <w:highlight w:val="none"/>
                <w:lang w:val="en-US" w:eastAsia="zh-CN" w:bidi="ar"/>
              </w:rPr>
              <w:t>年份</w:t>
            </w:r>
          </w:p>
        </w:tc>
        <w:tc>
          <w:tcPr>
            <w:tcW w:w="1105" w:type="dxa"/>
            <w:noWrap w:val="0"/>
            <w:vAlign w:val="center"/>
          </w:tcPr>
          <w:p w14:paraId="6902F817">
            <w:pPr>
              <w:keepNext w:val="0"/>
              <w:keepLines w:val="0"/>
              <w:widowControl/>
              <w:suppressLineNumbers w:val="0"/>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已使用台时数</w:t>
            </w:r>
          </w:p>
        </w:tc>
        <w:tc>
          <w:tcPr>
            <w:tcW w:w="1123" w:type="dxa"/>
            <w:noWrap w:val="0"/>
            <w:vAlign w:val="center"/>
          </w:tcPr>
          <w:p w14:paraId="07624C29">
            <w:pPr>
              <w:keepNext w:val="0"/>
              <w:keepLines w:val="0"/>
              <w:widowControl/>
              <w:suppressLineNumbers w:val="0"/>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用途</w:t>
            </w:r>
          </w:p>
        </w:tc>
        <w:tc>
          <w:tcPr>
            <w:tcW w:w="758" w:type="dxa"/>
            <w:noWrap w:val="0"/>
            <w:vAlign w:val="center"/>
          </w:tcPr>
          <w:p w14:paraId="63ABFB84">
            <w:pPr>
              <w:keepNext w:val="0"/>
              <w:keepLines w:val="0"/>
              <w:widowControl/>
              <w:suppressLineNumbers w:val="0"/>
              <w:jc w:val="center"/>
              <w:rPr>
                <w:color w:val="auto"/>
                <w:highlight w:val="none"/>
                <w:vertAlign w:val="baseline"/>
              </w:rPr>
            </w:pPr>
            <w:r>
              <w:rPr>
                <w:rFonts w:hint="eastAsia" w:ascii="宋体" w:hAnsi="宋体" w:eastAsia="宋体" w:cs="宋体"/>
                <w:color w:val="auto"/>
                <w:kern w:val="0"/>
                <w:sz w:val="21"/>
                <w:szCs w:val="21"/>
                <w:highlight w:val="none"/>
                <w:lang w:val="en-US" w:eastAsia="zh-CN" w:bidi="ar"/>
              </w:rPr>
              <w:t>备注</w:t>
            </w:r>
          </w:p>
        </w:tc>
      </w:tr>
      <w:tr w14:paraId="424F8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69" w:type="dxa"/>
            <w:noWrap w:val="0"/>
            <w:vAlign w:val="center"/>
          </w:tcPr>
          <w:p w14:paraId="7E282C9D">
            <w:pPr>
              <w:pStyle w:val="190"/>
              <w:jc w:val="center"/>
              <w:rPr>
                <w:color w:val="auto"/>
                <w:highlight w:val="none"/>
                <w:vertAlign w:val="baseline"/>
              </w:rPr>
            </w:pPr>
          </w:p>
        </w:tc>
        <w:tc>
          <w:tcPr>
            <w:tcW w:w="1221" w:type="dxa"/>
            <w:noWrap w:val="0"/>
            <w:vAlign w:val="center"/>
          </w:tcPr>
          <w:p w14:paraId="06BF667E">
            <w:pPr>
              <w:pStyle w:val="190"/>
              <w:jc w:val="center"/>
              <w:rPr>
                <w:color w:val="auto"/>
                <w:highlight w:val="none"/>
                <w:vertAlign w:val="baseline"/>
              </w:rPr>
            </w:pPr>
          </w:p>
        </w:tc>
        <w:tc>
          <w:tcPr>
            <w:tcW w:w="995" w:type="dxa"/>
            <w:noWrap w:val="0"/>
            <w:vAlign w:val="center"/>
          </w:tcPr>
          <w:p w14:paraId="6C807E22">
            <w:pPr>
              <w:pStyle w:val="190"/>
              <w:jc w:val="center"/>
              <w:rPr>
                <w:color w:val="auto"/>
                <w:highlight w:val="none"/>
                <w:vertAlign w:val="baseline"/>
              </w:rPr>
            </w:pPr>
          </w:p>
        </w:tc>
        <w:tc>
          <w:tcPr>
            <w:tcW w:w="995" w:type="dxa"/>
            <w:noWrap w:val="0"/>
            <w:vAlign w:val="center"/>
          </w:tcPr>
          <w:p w14:paraId="38BF22B4">
            <w:pPr>
              <w:pStyle w:val="190"/>
              <w:jc w:val="center"/>
              <w:rPr>
                <w:color w:val="auto"/>
                <w:highlight w:val="none"/>
                <w:vertAlign w:val="baseline"/>
              </w:rPr>
            </w:pPr>
          </w:p>
        </w:tc>
        <w:tc>
          <w:tcPr>
            <w:tcW w:w="995" w:type="dxa"/>
            <w:noWrap w:val="0"/>
            <w:vAlign w:val="center"/>
          </w:tcPr>
          <w:p w14:paraId="1B872848">
            <w:pPr>
              <w:pStyle w:val="190"/>
              <w:jc w:val="center"/>
              <w:rPr>
                <w:color w:val="auto"/>
                <w:highlight w:val="none"/>
                <w:vertAlign w:val="baseline"/>
              </w:rPr>
            </w:pPr>
          </w:p>
        </w:tc>
        <w:tc>
          <w:tcPr>
            <w:tcW w:w="995" w:type="dxa"/>
            <w:noWrap w:val="0"/>
            <w:vAlign w:val="center"/>
          </w:tcPr>
          <w:p w14:paraId="586A08E3">
            <w:pPr>
              <w:pStyle w:val="190"/>
              <w:jc w:val="center"/>
              <w:rPr>
                <w:color w:val="auto"/>
                <w:highlight w:val="none"/>
                <w:vertAlign w:val="baseline"/>
              </w:rPr>
            </w:pPr>
          </w:p>
        </w:tc>
        <w:tc>
          <w:tcPr>
            <w:tcW w:w="1105" w:type="dxa"/>
            <w:noWrap w:val="0"/>
            <w:vAlign w:val="center"/>
          </w:tcPr>
          <w:p w14:paraId="13125BB9">
            <w:pPr>
              <w:pStyle w:val="190"/>
              <w:jc w:val="center"/>
              <w:rPr>
                <w:color w:val="auto"/>
                <w:highlight w:val="none"/>
                <w:vertAlign w:val="baseline"/>
              </w:rPr>
            </w:pPr>
          </w:p>
        </w:tc>
        <w:tc>
          <w:tcPr>
            <w:tcW w:w="1123" w:type="dxa"/>
            <w:noWrap w:val="0"/>
            <w:vAlign w:val="center"/>
          </w:tcPr>
          <w:p w14:paraId="264E6451">
            <w:pPr>
              <w:pStyle w:val="190"/>
              <w:jc w:val="center"/>
              <w:rPr>
                <w:color w:val="auto"/>
                <w:highlight w:val="none"/>
                <w:vertAlign w:val="baseline"/>
              </w:rPr>
            </w:pPr>
          </w:p>
        </w:tc>
        <w:tc>
          <w:tcPr>
            <w:tcW w:w="758" w:type="dxa"/>
            <w:noWrap w:val="0"/>
            <w:vAlign w:val="center"/>
          </w:tcPr>
          <w:p w14:paraId="08716996">
            <w:pPr>
              <w:pStyle w:val="190"/>
              <w:jc w:val="center"/>
              <w:rPr>
                <w:color w:val="auto"/>
                <w:highlight w:val="none"/>
                <w:vertAlign w:val="baseline"/>
              </w:rPr>
            </w:pPr>
          </w:p>
        </w:tc>
      </w:tr>
      <w:tr w14:paraId="1F557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769" w:type="dxa"/>
            <w:noWrap w:val="0"/>
            <w:vAlign w:val="top"/>
          </w:tcPr>
          <w:p w14:paraId="043755E3">
            <w:pPr>
              <w:pStyle w:val="190"/>
              <w:rPr>
                <w:color w:val="auto"/>
                <w:highlight w:val="none"/>
                <w:vertAlign w:val="baseline"/>
              </w:rPr>
            </w:pPr>
          </w:p>
        </w:tc>
        <w:tc>
          <w:tcPr>
            <w:tcW w:w="1221" w:type="dxa"/>
            <w:noWrap w:val="0"/>
            <w:vAlign w:val="top"/>
          </w:tcPr>
          <w:p w14:paraId="44F25ED6">
            <w:pPr>
              <w:pStyle w:val="190"/>
              <w:rPr>
                <w:color w:val="auto"/>
                <w:highlight w:val="none"/>
                <w:vertAlign w:val="baseline"/>
              </w:rPr>
            </w:pPr>
          </w:p>
        </w:tc>
        <w:tc>
          <w:tcPr>
            <w:tcW w:w="995" w:type="dxa"/>
            <w:noWrap w:val="0"/>
            <w:vAlign w:val="top"/>
          </w:tcPr>
          <w:p w14:paraId="75AF29CE">
            <w:pPr>
              <w:pStyle w:val="190"/>
              <w:rPr>
                <w:color w:val="auto"/>
                <w:highlight w:val="none"/>
                <w:vertAlign w:val="baseline"/>
              </w:rPr>
            </w:pPr>
          </w:p>
        </w:tc>
        <w:tc>
          <w:tcPr>
            <w:tcW w:w="995" w:type="dxa"/>
            <w:noWrap w:val="0"/>
            <w:vAlign w:val="top"/>
          </w:tcPr>
          <w:p w14:paraId="7F77E213">
            <w:pPr>
              <w:pStyle w:val="190"/>
              <w:rPr>
                <w:color w:val="auto"/>
                <w:highlight w:val="none"/>
                <w:vertAlign w:val="baseline"/>
              </w:rPr>
            </w:pPr>
          </w:p>
        </w:tc>
        <w:tc>
          <w:tcPr>
            <w:tcW w:w="995" w:type="dxa"/>
            <w:noWrap w:val="0"/>
            <w:vAlign w:val="top"/>
          </w:tcPr>
          <w:p w14:paraId="57C533D0">
            <w:pPr>
              <w:pStyle w:val="190"/>
              <w:rPr>
                <w:color w:val="auto"/>
                <w:highlight w:val="none"/>
                <w:vertAlign w:val="baseline"/>
              </w:rPr>
            </w:pPr>
          </w:p>
        </w:tc>
        <w:tc>
          <w:tcPr>
            <w:tcW w:w="995" w:type="dxa"/>
            <w:noWrap w:val="0"/>
            <w:vAlign w:val="top"/>
          </w:tcPr>
          <w:p w14:paraId="5FA3E502">
            <w:pPr>
              <w:pStyle w:val="190"/>
              <w:rPr>
                <w:color w:val="auto"/>
                <w:highlight w:val="none"/>
                <w:vertAlign w:val="baseline"/>
              </w:rPr>
            </w:pPr>
          </w:p>
        </w:tc>
        <w:tc>
          <w:tcPr>
            <w:tcW w:w="1105" w:type="dxa"/>
            <w:noWrap w:val="0"/>
            <w:vAlign w:val="top"/>
          </w:tcPr>
          <w:p w14:paraId="045587BA">
            <w:pPr>
              <w:pStyle w:val="190"/>
              <w:rPr>
                <w:color w:val="auto"/>
                <w:highlight w:val="none"/>
                <w:vertAlign w:val="baseline"/>
              </w:rPr>
            </w:pPr>
          </w:p>
        </w:tc>
        <w:tc>
          <w:tcPr>
            <w:tcW w:w="1123" w:type="dxa"/>
            <w:noWrap w:val="0"/>
            <w:vAlign w:val="top"/>
          </w:tcPr>
          <w:p w14:paraId="600C8A0A">
            <w:pPr>
              <w:pStyle w:val="190"/>
              <w:rPr>
                <w:color w:val="auto"/>
                <w:highlight w:val="none"/>
                <w:vertAlign w:val="baseline"/>
              </w:rPr>
            </w:pPr>
          </w:p>
        </w:tc>
        <w:tc>
          <w:tcPr>
            <w:tcW w:w="758" w:type="dxa"/>
            <w:noWrap w:val="0"/>
            <w:vAlign w:val="top"/>
          </w:tcPr>
          <w:p w14:paraId="320227B9">
            <w:pPr>
              <w:pStyle w:val="190"/>
              <w:rPr>
                <w:color w:val="auto"/>
                <w:highlight w:val="none"/>
                <w:vertAlign w:val="baseline"/>
              </w:rPr>
            </w:pPr>
          </w:p>
        </w:tc>
      </w:tr>
      <w:tr w14:paraId="1545D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69" w:type="dxa"/>
            <w:noWrap w:val="0"/>
            <w:vAlign w:val="top"/>
          </w:tcPr>
          <w:p w14:paraId="32F2BE50">
            <w:pPr>
              <w:pStyle w:val="190"/>
              <w:rPr>
                <w:color w:val="auto"/>
                <w:highlight w:val="none"/>
                <w:vertAlign w:val="baseline"/>
              </w:rPr>
            </w:pPr>
          </w:p>
        </w:tc>
        <w:tc>
          <w:tcPr>
            <w:tcW w:w="1221" w:type="dxa"/>
            <w:noWrap w:val="0"/>
            <w:vAlign w:val="top"/>
          </w:tcPr>
          <w:p w14:paraId="41DD7C9E">
            <w:pPr>
              <w:pStyle w:val="190"/>
              <w:rPr>
                <w:color w:val="auto"/>
                <w:highlight w:val="none"/>
                <w:vertAlign w:val="baseline"/>
              </w:rPr>
            </w:pPr>
          </w:p>
        </w:tc>
        <w:tc>
          <w:tcPr>
            <w:tcW w:w="995" w:type="dxa"/>
            <w:noWrap w:val="0"/>
            <w:vAlign w:val="top"/>
          </w:tcPr>
          <w:p w14:paraId="1C67BAA4">
            <w:pPr>
              <w:pStyle w:val="190"/>
              <w:rPr>
                <w:color w:val="auto"/>
                <w:highlight w:val="none"/>
                <w:vertAlign w:val="baseline"/>
              </w:rPr>
            </w:pPr>
          </w:p>
        </w:tc>
        <w:tc>
          <w:tcPr>
            <w:tcW w:w="995" w:type="dxa"/>
            <w:noWrap w:val="0"/>
            <w:vAlign w:val="top"/>
          </w:tcPr>
          <w:p w14:paraId="667BC6AD">
            <w:pPr>
              <w:pStyle w:val="190"/>
              <w:rPr>
                <w:color w:val="auto"/>
                <w:highlight w:val="none"/>
                <w:vertAlign w:val="baseline"/>
              </w:rPr>
            </w:pPr>
          </w:p>
        </w:tc>
        <w:tc>
          <w:tcPr>
            <w:tcW w:w="995" w:type="dxa"/>
            <w:noWrap w:val="0"/>
            <w:vAlign w:val="top"/>
          </w:tcPr>
          <w:p w14:paraId="3676FBEC">
            <w:pPr>
              <w:pStyle w:val="190"/>
              <w:rPr>
                <w:color w:val="auto"/>
                <w:highlight w:val="none"/>
                <w:vertAlign w:val="baseline"/>
              </w:rPr>
            </w:pPr>
          </w:p>
        </w:tc>
        <w:tc>
          <w:tcPr>
            <w:tcW w:w="995" w:type="dxa"/>
            <w:noWrap w:val="0"/>
            <w:vAlign w:val="top"/>
          </w:tcPr>
          <w:p w14:paraId="6EFA34AE">
            <w:pPr>
              <w:pStyle w:val="190"/>
              <w:rPr>
                <w:color w:val="auto"/>
                <w:highlight w:val="none"/>
                <w:vertAlign w:val="baseline"/>
              </w:rPr>
            </w:pPr>
          </w:p>
        </w:tc>
        <w:tc>
          <w:tcPr>
            <w:tcW w:w="1105" w:type="dxa"/>
            <w:noWrap w:val="0"/>
            <w:vAlign w:val="top"/>
          </w:tcPr>
          <w:p w14:paraId="54AE4B98">
            <w:pPr>
              <w:pStyle w:val="190"/>
              <w:rPr>
                <w:color w:val="auto"/>
                <w:highlight w:val="none"/>
                <w:vertAlign w:val="baseline"/>
              </w:rPr>
            </w:pPr>
          </w:p>
        </w:tc>
        <w:tc>
          <w:tcPr>
            <w:tcW w:w="1123" w:type="dxa"/>
            <w:noWrap w:val="0"/>
            <w:vAlign w:val="top"/>
          </w:tcPr>
          <w:p w14:paraId="57ACD046">
            <w:pPr>
              <w:pStyle w:val="190"/>
              <w:rPr>
                <w:color w:val="auto"/>
                <w:highlight w:val="none"/>
                <w:vertAlign w:val="baseline"/>
              </w:rPr>
            </w:pPr>
          </w:p>
        </w:tc>
        <w:tc>
          <w:tcPr>
            <w:tcW w:w="758" w:type="dxa"/>
            <w:noWrap w:val="0"/>
            <w:vAlign w:val="top"/>
          </w:tcPr>
          <w:p w14:paraId="1C7FC026">
            <w:pPr>
              <w:pStyle w:val="190"/>
              <w:rPr>
                <w:color w:val="auto"/>
                <w:highlight w:val="none"/>
                <w:vertAlign w:val="baseline"/>
              </w:rPr>
            </w:pPr>
          </w:p>
        </w:tc>
      </w:tr>
      <w:tr w14:paraId="0A45F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69" w:type="dxa"/>
            <w:noWrap w:val="0"/>
            <w:vAlign w:val="top"/>
          </w:tcPr>
          <w:p w14:paraId="485404A8">
            <w:pPr>
              <w:pStyle w:val="190"/>
              <w:rPr>
                <w:color w:val="auto"/>
                <w:highlight w:val="none"/>
                <w:vertAlign w:val="baseline"/>
              </w:rPr>
            </w:pPr>
          </w:p>
        </w:tc>
        <w:tc>
          <w:tcPr>
            <w:tcW w:w="1221" w:type="dxa"/>
            <w:noWrap w:val="0"/>
            <w:vAlign w:val="top"/>
          </w:tcPr>
          <w:p w14:paraId="6A0CDC32">
            <w:pPr>
              <w:pStyle w:val="190"/>
              <w:rPr>
                <w:color w:val="auto"/>
                <w:highlight w:val="none"/>
                <w:vertAlign w:val="baseline"/>
              </w:rPr>
            </w:pPr>
          </w:p>
        </w:tc>
        <w:tc>
          <w:tcPr>
            <w:tcW w:w="995" w:type="dxa"/>
            <w:noWrap w:val="0"/>
            <w:vAlign w:val="top"/>
          </w:tcPr>
          <w:p w14:paraId="7B9BC8B5">
            <w:pPr>
              <w:pStyle w:val="190"/>
              <w:rPr>
                <w:color w:val="auto"/>
                <w:highlight w:val="none"/>
                <w:vertAlign w:val="baseline"/>
              </w:rPr>
            </w:pPr>
          </w:p>
        </w:tc>
        <w:tc>
          <w:tcPr>
            <w:tcW w:w="995" w:type="dxa"/>
            <w:noWrap w:val="0"/>
            <w:vAlign w:val="top"/>
          </w:tcPr>
          <w:p w14:paraId="6B5EA45A">
            <w:pPr>
              <w:pStyle w:val="190"/>
              <w:rPr>
                <w:color w:val="auto"/>
                <w:highlight w:val="none"/>
                <w:vertAlign w:val="baseline"/>
              </w:rPr>
            </w:pPr>
          </w:p>
        </w:tc>
        <w:tc>
          <w:tcPr>
            <w:tcW w:w="995" w:type="dxa"/>
            <w:noWrap w:val="0"/>
            <w:vAlign w:val="top"/>
          </w:tcPr>
          <w:p w14:paraId="3CC09FEC">
            <w:pPr>
              <w:pStyle w:val="190"/>
              <w:rPr>
                <w:color w:val="auto"/>
                <w:highlight w:val="none"/>
                <w:vertAlign w:val="baseline"/>
              </w:rPr>
            </w:pPr>
          </w:p>
        </w:tc>
        <w:tc>
          <w:tcPr>
            <w:tcW w:w="995" w:type="dxa"/>
            <w:noWrap w:val="0"/>
            <w:vAlign w:val="top"/>
          </w:tcPr>
          <w:p w14:paraId="13324010">
            <w:pPr>
              <w:pStyle w:val="190"/>
              <w:rPr>
                <w:color w:val="auto"/>
                <w:highlight w:val="none"/>
                <w:vertAlign w:val="baseline"/>
              </w:rPr>
            </w:pPr>
          </w:p>
        </w:tc>
        <w:tc>
          <w:tcPr>
            <w:tcW w:w="1105" w:type="dxa"/>
            <w:noWrap w:val="0"/>
            <w:vAlign w:val="top"/>
          </w:tcPr>
          <w:p w14:paraId="46CBA02A">
            <w:pPr>
              <w:pStyle w:val="190"/>
              <w:rPr>
                <w:color w:val="auto"/>
                <w:highlight w:val="none"/>
                <w:vertAlign w:val="baseline"/>
              </w:rPr>
            </w:pPr>
          </w:p>
        </w:tc>
        <w:tc>
          <w:tcPr>
            <w:tcW w:w="1123" w:type="dxa"/>
            <w:noWrap w:val="0"/>
            <w:vAlign w:val="top"/>
          </w:tcPr>
          <w:p w14:paraId="763ECBD7">
            <w:pPr>
              <w:pStyle w:val="190"/>
              <w:rPr>
                <w:color w:val="auto"/>
                <w:highlight w:val="none"/>
                <w:vertAlign w:val="baseline"/>
              </w:rPr>
            </w:pPr>
          </w:p>
        </w:tc>
        <w:tc>
          <w:tcPr>
            <w:tcW w:w="758" w:type="dxa"/>
            <w:noWrap w:val="0"/>
            <w:vAlign w:val="top"/>
          </w:tcPr>
          <w:p w14:paraId="4CCBA430">
            <w:pPr>
              <w:pStyle w:val="190"/>
              <w:rPr>
                <w:color w:val="auto"/>
                <w:highlight w:val="none"/>
                <w:vertAlign w:val="baseline"/>
              </w:rPr>
            </w:pPr>
          </w:p>
        </w:tc>
      </w:tr>
      <w:tr w14:paraId="3B3C1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69" w:type="dxa"/>
            <w:noWrap w:val="0"/>
            <w:vAlign w:val="top"/>
          </w:tcPr>
          <w:p w14:paraId="5C12084D">
            <w:pPr>
              <w:pStyle w:val="190"/>
              <w:rPr>
                <w:color w:val="auto"/>
                <w:highlight w:val="none"/>
                <w:vertAlign w:val="baseline"/>
              </w:rPr>
            </w:pPr>
          </w:p>
        </w:tc>
        <w:tc>
          <w:tcPr>
            <w:tcW w:w="1221" w:type="dxa"/>
            <w:noWrap w:val="0"/>
            <w:vAlign w:val="top"/>
          </w:tcPr>
          <w:p w14:paraId="0B987351">
            <w:pPr>
              <w:pStyle w:val="190"/>
              <w:rPr>
                <w:color w:val="auto"/>
                <w:highlight w:val="none"/>
                <w:vertAlign w:val="baseline"/>
              </w:rPr>
            </w:pPr>
          </w:p>
        </w:tc>
        <w:tc>
          <w:tcPr>
            <w:tcW w:w="995" w:type="dxa"/>
            <w:noWrap w:val="0"/>
            <w:vAlign w:val="top"/>
          </w:tcPr>
          <w:p w14:paraId="3833AB39">
            <w:pPr>
              <w:pStyle w:val="190"/>
              <w:rPr>
                <w:color w:val="auto"/>
                <w:highlight w:val="none"/>
                <w:vertAlign w:val="baseline"/>
              </w:rPr>
            </w:pPr>
          </w:p>
        </w:tc>
        <w:tc>
          <w:tcPr>
            <w:tcW w:w="995" w:type="dxa"/>
            <w:noWrap w:val="0"/>
            <w:vAlign w:val="top"/>
          </w:tcPr>
          <w:p w14:paraId="429E935D">
            <w:pPr>
              <w:pStyle w:val="190"/>
              <w:rPr>
                <w:color w:val="auto"/>
                <w:highlight w:val="none"/>
                <w:vertAlign w:val="baseline"/>
              </w:rPr>
            </w:pPr>
          </w:p>
        </w:tc>
        <w:tc>
          <w:tcPr>
            <w:tcW w:w="995" w:type="dxa"/>
            <w:noWrap w:val="0"/>
            <w:vAlign w:val="top"/>
          </w:tcPr>
          <w:p w14:paraId="5EADEB7C">
            <w:pPr>
              <w:pStyle w:val="190"/>
              <w:rPr>
                <w:color w:val="auto"/>
                <w:highlight w:val="none"/>
                <w:vertAlign w:val="baseline"/>
              </w:rPr>
            </w:pPr>
          </w:p>
        </w:tc>
        <w:tc>
          <w:tcPr>
            <w:tcW w:w="995" w:type="dxa"/>
            <w:noWrap w:val="0"/>
            <w:vAlign w:val="top"/>
          </w:tcPr>
          <w:p w14:paraId="232570B5">
            <w:pPr>
              <w:pStyle w:val="190"/>
              <w:rPr>
                <w:color w:val="auto"/>
                <w:highlight w:val="none"/>
                <w:vertAlign w:val="baseline"/>
              </w:rPr>
            </w:pPr>
          </w:p>
        </w:tc>
        <w:tc>
          <w:tcPr>
            <w:tcW w:w="1105" w:type="dxa"/>
            <w:noWrap w:val="0"/>
            <w:vAlign w:val="top"/>
          </w:tcPr>
          <w:p w14:paraId="23C69143">
            <w:pPr>
              <w:pStyle w:val="190"/>
              <w:rPr>
                <w:color w:val="auto"/>
                <w:highlight w:val="none"/>
                <w:vertAlign w:val="baseline"/>
              </w:rPr>
            </w:pPr>
          </w:p>
        </w:tc>
        <w:tc>
          <w:tcPr>
            <w:tcW w:w="1123" w:type="dxa"/>
            <w:noWrap w:val="0"/>
            <w:vAlign w:val="top"/>
          </w:tcPr>
          <w:p w14:paraId="1517AB81">
            <w:pPr>
              <w:pStyle w:val="190"/>
              <w:rPr>
                <w:color w:val="auto"/>
                <w:highlight w:val="none"/>
                <w:vertAlign w:val="baseline"/>
              </w:rPr>
            </w:pPr>
          </w:p>
        </w:tc>
        <w:tc>
          <w:tcPr>
            <w:tcW w:w="758" w:type="dxa"/>
            <w:noWrap w:val="0"/>
            <w:vAlign w:val="top"/>
          </w:tcPr>
          <w:p w14:paraId="0BCBC82F">
            <w:pPr>
              <w:pStyle w:val="190"/>
              <w:rPr>
                <w:color w:val="auto"/>
                <w:highlight w:val="none"/>
                <w:vertAlign w:val="baseline"/>
              </w:rPr>
            </w:pPr>
          </w:p>
        </w:tc>
      </w:tr>
      <w:tr w14:paraId="2422C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69" w:type="dxa"/>
            <w:noWrap w:val="0"/>
            <w:vAlign w:val="top"/>
          </w:tcPr>
          <w:p w14:paraId="4A37FF25">
            <w:pPr>
              <w:pStyle w:val="190"/>
              <w:rPr>
                <w:color w:val="auto"/>
                <w:highlight w:val="none"/>
                <w:vertAlign w:val="baseline"/>
              </w:rPr>
            </w:pPr>
          </w:p>
        </w:tc>
        <w:tc>
          <w:tcPr>
            <w:tcW w:w="1221" w:type="dxa"/>
            <w:noWrap w:val="0"/>
            <w:vAlign w:val="top"/>
          </w:tcPr>
          <w:p w14:paraId="0011818A">
            <w:pPr>
              <w:pStyle w:val="190"/>
              <w:rPr>
                <w:color w:val="auto"/>
                <w:highlight w:val="none"/>
                <w:vertAlign w:val="baseline"/>
              </w:rPr>
            </w:pPr>
          </w:p>
        </w:tc>
        <w:tc>
          <w:tcPr>
            <w:tcW w:w="995" w:type="dxa"/>
            <w:noWrap w:val="0"/>
            <w:vAlign w:val="top"/>
          </w:tcPr>
          <w:p w14:paraId="12946D94">
            <w:pPr>
              <w:pStyle w:val="190"/>
              <w:rPr>
                <w:color w:val="auto"/>
                <w:highlight w:val="none"/>
                <w:vertAlign w:val="baseline"/>
              </w:rPr>
            </w:pPr>
          </w:p>
        </w:tc>
        <w:tc>
          <w:tcPr>
            <w:tcW w:w="995" w:type="dxa"/>
            <w:noWrap w:val="0"/>
            <w:vAlign w:val="top"/>
          </w:tcPr>
          <w:p w14:paraId="340DF19B">
            <w:pPr>
              <w:pStyle w:val="190"/>
              <w:rPr>
                <w:color w:val="auto"/>
                <w:highlight w:val="none"/>
                <w:vertAlign w:val="baseline"/>
              </w:rPr>
            </w:pPr>
          </w:p>
        </w:tc>
        <w:tc>
          <w:tcPr>
            <w:tcW w:w="995" w:type="dxa"/>
            <w:noWrap w:val="0"/>
            <w:vAlign w:val="top"/>
          </w:tcPr>
          <w:p w14:paraId="34EAAEC5">
            <w:pPr>
              <w:pStyle w:val="190"/>
              <w:rPr>
                <w:color w:val="auto"/>
                <w:highlight w:val="none"/>
                <w:vertAlign w:val="baseline"/>
              </w:rPr>
            </w:pPr>
          </w:p>
        </w:tc>
        <w:tc>
          <w:tcPr>
            <w:tcW w:w="995" w:type="dxa"/>
            <w:noWrap w:val="0"/>
            <w:vAlign w:val="top"/>
          </w:tcPr>
          <w:p w14:paraId="3C128582">
            <w:pPr>
              <w:pStyle w:val="190"/>
              <w:rPr>
                <w:color w:val="auto"/>
                <w:highlight w:val="none"/>
                <w:vertAlign w:val="baseline"/>
              </w:rPr>
            </w:pPr>
          </w:p>
        </w:tc>
        <w:tc>
          <w:tcPr>
            <w:tcW w:w="1105" w:type="dxa"/>
            <w:noWrap w:val="0"/>
            <w:vAlign w:val="top"/>
          </w:tcPr>
          <w:p w14:paraId="604F60B4">
            <w:pPr>
              <w:pStyle w:val="190"/>
              <w:rPr>
                <w:color w:val="auto"/>
                <w:highlight w:val="none"/>
                <w:vertAlign w:val="baseline"/>
              </w:rPr>
            </w:pPr>
          </w:p>
        </w:tc>
        <w:tc>
          <w:tcPr>
            <w:tcW w:w="1123" w:type="dxa"/>
            <w:noWrap w:val="0"/>
            <w:vAlign w:val="top"/>
          </w:tcPr>
          <w:p w14:paraId="5156BE6E">
            <w:pPr>
              <w:pStyle w:val="190"/>
              <w:rPr>
                <w:color w:val="auto"/>
                <w:highlight w:val="none"/>
                <w:vertAlign w:val="baseline"/>
              </w:rPr>
            </w:pPr>
          </w:p>
        </w:tc>
        <w:tc>
          <w:tcPr>
            <w:tcW w:w="758" w:type="dxa"/>
            <w:noWrap w:val="0"/>
            <w:vAlign w:val="top"/>
          </w:tcPr>
          <w:p w14:paraId="6584F2E1">
            <w:pPr>
              <w:pStyle w:val="190"/>
              <w:rPr>
                <w:color w:val="auto"/>
                <w:highlight w:val="none"/>
                <w:vertAlign w:val="baseline"/>
              </w:rPr>
            </w:pPr>
          </w:p>
        </w:tc>
      </w:tr>
      <w:tr w14:paraId="3409C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69" w:type="dxa"/>
            <w:noWrap w:val="0"/>
            <w:vAlign w:val="top"/>
          </w:tcPr>
          <w:p w14:paraId="34D6AEAC">
            <w:pPr>
              <w:pStyle w:val="190"/>
              <w:rPr>
                <w:color w:val="auto"/>
                <w:highlight w:val="none"/>
                <w:vertAlign w:val="baseline"/>
              </w:rPr>
            </w:pPr>
          </w:p>
        </w:tc>
        <w:tc>
          <w:tcPr>
            <w:tcW w:w="1221" w:type="dxa"/>
            <w:noWrap w:val="0"/>
            <w:vAlign w:val="top"/>
          </w:tcPr>
          <w:p w14:paraId="567BABF1">
            <w:pPr>
              <w:pStyle w:val="190"/>
              <w:rPr>
                <w:color w:val="auto"/>
                <w:highlight w:val="none"/>
                <w:vertAlign w:val="baseline"/>
              </w:rPr>
            </w:pPr>
          </w:p>
        </w:tc>
        <w:tc>
          <w:tcPr>
            <w:tcW w:w="995" w:type="dxa"/>
            <w:noWrap w:val="0"/>
            <w:vAlign w:val="top"/>
          </w:tcPr>
          <w:p w14:paraId="2C709924">
            <w:pPr>
              <w:pStyle w:val="190"/>
              <w:rPr>
                <w:color w:val="auto"/>
                <w:highlight w:val="none"/>
                <w:vertAlign w:val="baseline"/>
              </w:rPr>
            </w:pPr>
          </w:p>
        </w:tc>
        <w:tc>
          <w:tcPr>
            <w:tcW w:w="995" w:type="dxa"/>
            <w:noWrap w:val="0"/>
            <w:vAlign w:val="top"/>
          </w:tcPr>
          <w:p w14:paraId="278EAB6A">
            <w:pPr>
              <w:pStyle w:val="190"/>
              <w:rPr>
                <w:color w:val="auto"/>
                <w:highlight w:val="none"/>
                <w:vertAlign w:val="baseline"/>
              </w:rPr>
            </w:pPr>
          </w:p>
        </w:tc>
        <w:tc>
          <w:tcPr>
            <w:tcW w:w="995" w:type="dxa"/>
            <w:noWrap w:val="0"/>
            <w:vAlign w:val="top"/>
          </w:tcPr>
          <w:p w14:paraId="11CCD126">
            <w:pPr>
              <w:pStyle w:val="190"/>
              <w:rPr>
                <w:color w:val="auto"/>
                <w:highlight w:val="none"/>
                <w:vertAlign w:val="baseline"/>
              </w:rPr>
            </w:pPr>
          </w:p>
        </w:tc>
        <w:tc>
          <w:tcPr>
            <w:tcW w:w="995" w:type="dxa"/>
            <w:noWrap w:val="0"/>
            <w:vAlign w:val="top"/>
          </w:tcPr>
          <w:p w14:paraId="35DFC3DC">
            <w:pPr>
              <w:pStyle w:val="190"/>
              <w:rPr>
                <w:color w:val="auto"/>
                <w:highlight w:val="none"/>
                <w:vertAlign w:val="baseline"/>
              </w:rPr>
            </w:pPr>
          </w:p>
        </w:tc>
        <w:tc>
          <w:tcPr>
            <w:tcW w:w="1105" w:type="dxa"/>
            <w:noWrap w:val="0"/>
            <w:vAlign w:val="top"/>
          </w:tcPr>
          <w:p w14:paraId="5C1C987A">
            <w:pPr>
              <w:pStyle w:val="190"/>
              <w:rPr>
                <w:color w:val="auto"/>
                <w:highlight w:val="none"/>
                <w:vertAlign w:val="baseline"/>
              </w:rPr>
            </w:pPr>
          </w:p>
        </w:tc>
        <w:tc>
          <w:tcPr>
            <w:tcW w:w="1123" w:type="dxa"/>
            <w:noWrap w:val="0"/>
            <w:vAlign w:val="top"/>
          </w:tcPr>
          <w:p w14:paraId="0F855517">
            <w:pPr>
              <w:pStyle w:val="190"/>
              <w:rPr>
                <w:color w:val="auto"/>
                <w:highlight w:val="none"/>
                <w:vertAlign w:val="baseline"/>
              </w:rPr>
            </w:pPr>
          </w:p>
        </w:tc>
        <w:tc>
          <w:tcPr>
            <w:tcW w:w="758" w:type="dxa"/>
            <w:noWrap w:val="0"/>
            <w:vAlign w:val="top"/>
          </w:tcPr>
          <w:p w14:paraId="01BD7C56">
            <w:pPr>
              <w:pStyle w:val="190"/>
              <w:rPr>
                <w:color w:val="auto"/>
                <w:highlight w:val="none"/>
                <w:vertAlign w:val="baseline"/>
              </w:rPr>
            </w:pPr>
          </w:p>
        </w:tc>
      </w:tr>
      <w:tr w14:paraId="0F9B6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769" w:type="dxa"/>
            <w:noWrap w:val="0"/>
            <w:vAlign w:val="top"/>
          </w:tcPr>
          <w:p w14:paraId="0F3DECC6">
            <w:pPr>
              <w:pStyle w:val="190"/>
              <w:rPr>
                <w:color w:val="auto"/>
                <w:highlight w:val="none"/>
                <w:vertAlign w:val="baseline"/>
              </w:rPr>
            </w:pPr>
          </w:p>
        </w:tc>
        <w:tc>
          <w:tcPr>
            <w:tcW w:w="1221" w:type="dxa"/>
            <w:noWrap w:val="0"/>
            <w:vAlign w:val="top"/>
          </w:tcPr>
          <w:p w14:paraId="04E836FB">
            <w:pPr>
              <w:pStyle w:val="190"/>
              <w:rPr>
                <w:color w:val="auto"/>
                <w:highlight w:val="none"/>
                <w:vertAlign w:val="baseline"/>
              </w:rPr>
            </w:pPr>
          </w:p>
        </w:tc>
        <w:tc>
          <w:tcPr>
            <w:tcW w:w="995" w:type="dxa"/>
            <w:noWrap w:val="0"/>
            <w:vAlign w:val="top"/>
          </w:tcPr>
          <w:p w14:paraId="7285692B">
            <w:pPr>
              <w:pStyle w:val="190"/>
              <w:rPr>
                <w:color w:val="auto"/>
                <w:highlight w:val="none"/>
                <w:vertAlign w:val="baseline"/>
              </w:rPr>
            </w:pPr>
          </w:p>
        </w:tc>
        <w:tc>
          <w:tcPr>
            <w:tcW w:w="995" w:type="dxa"/>
            <w:noWrap w:val="0"/>
            <w:vAlign w:val="top"/>
          </w:tcPr>
          <w:p w14:paraId="790921D4">
            <w:pPr>
              <w:pStyle w:val="190"/>
              <w:rPr>
                <w:color w:val="auto"/>
                <w:highlight w:val="none"/>
                <w:vertAlign w:val="baseline"/>
              </w:rPr>
            </w:pPr>
          </w:p>
        </w:tc>
        <w:tc>
          <w:tcPr>
            <w:tcW w:w="995" w:type="dxa"/>
            <w:noWrap w:val="0"/>
            <w:vAlign w:val="top"/>
          </w:tcPr>
          <w:p w14:paraId="1284213D">
            <w:pPr>
              <w:pStyle w:val="190"/>
              <w:rPr>
                <w:color w:val="auto"/>
                <w:highlight w:val="none"/>
                <w:vertAlign w:val="baseline"/>
              </w:rPr>
            </w:pPr>
          </w:p>
        </w:tc>
        <w:tc>
          <w:tcPr>
            <w:tcW w:w="995" w:type="dxa"/>
            <w:noWrap w:val="0"/>
            <w:vAlign w:val="top"/>
          </w:tcPr>
          <w:p w14:paraId="588DAFCE">
            <w:pPr>
              <w:pStyle w:val="190"/>
              <w:rPr>
                <w:color w:val="auto"/>
                <w:highlight w:val="none"/>
                <w:vertAlign w:val="baseline"/>
              </w:rPr>
            </w:pPr>
          </w:p>
        </w:tc>
        <w:tc>
          <w:tcPr>
            <w:tcW w:w="1105" w:type="dxa"/>
            <w:noWrap w:val="0"/>
            <w:vAlign w:val="top"/>
          </w:tcPr>
          <w:p w14:paraId="2B6BEAA1">
            <w:pPr>
              <w:pStyle w:val="190"/>
              <w:rPr>
                <w:color w:val="auto"/>
                <w:highlight w:val="none"/>
                <w:vertAlign w:val="baseline"/>
              </w:rPr>
            </w:pPr>
          </w:p>
        </w:tc>
        <w:tc>
          <w:tcPr>
            <w:tcW w:w="1123" w:type="dxa"/>
            <w:noWrap w:val="0"/>
            <w:vAlign w:val="top"/>
          </w:tcPr>
          <w:p w14:paraId="5424A495">
            <w:pPr>
              <w:pStyle w:val="190"/>
              <w:rPr>
                <w:color w:val="auto"/>
                <w:highlight w:val="none"/>
                <w:vertAlign w:val="baseline"/>
              </w:rPr>
            </w:pPr>
          </w:p>
        </w:tc>
        <w:tc>
          <w:tcPr>
            <w:tcW w:w="758" w:type="dxa"/>
            <w:noWrap w:val="0"/>
            <w:vAlign w:val="top"/>
          </w:tcPr>
          <w:p w14:paraId="17E639EC">
            <w:pPr>
              <w:pStyle w:val="190"/>
              <w:rPr>
                <w:color w:val="auto"/>
                <w:highlight w:val="none"/>
                <w:vertAlign w:val="baseline"/>
              </w:rPr>
            </w:pPr>
          </w:p>
        </w:tc>
      </w:tr>
      <w:tr w14:paraId="7507E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769" w:type="dxa"/>
            <w:noWrap w:val="0"/>
            <w:vAlign w:val="top"/>
          </w:tcPr>
          <w:p w14:paraId="2540DF1C">
            <w:pPr>
              <w:pStyle w:val="190"/>
              <w:rPr>
                <w:color w:val="auto"/>
                <w:highlight w:val="none"/>
                <w:vertAlign w:val="baseline"/>
              </w:rPr>
            </w:pPr>
          </w:p>
        </w:tc>
        <w:tc>
          <w:tcPr>
            <w:tcW w:w="1221" w:type="dxa"/>
            <w:noWrap w:val="0"/>
            <w:vAlign w:val="top"/>
          </w:tcPr>
          <w:p w14:paraId="47E7A8DC">
            <w:pPr>
              <w:pStyle w:val="190"/>
              <w:rPr>
                <w:color w:val="auto"/>
                <w:highlight w:val="none"/>
                <w:vertAlign w:val="baseline"/>
              </w:rPr>
            </w:pPr>
          </w:p>
        </w:tc>
        <w:tc>
          <w:tcPr>
            <w:tcW w:w="995" w:type="dxa"/>
            <w:noWrap w:val="0"/>
            <w:vAlign w:val="top"/>
          </w:tcPr>
          <w:p w14:paraId="2D27731D">
            <w:pPr>
              <w:pStyle w:val="190"/>
              <w:rPr>
                <w:color w:val="auto"/>
                <w:highlight w:val="none"/>
                <w:vertAlign w:val="baseline"/>
              </w:rPr>
            </w:pPr>
          </w:p>
        </w:tc>
        <w:tc>
          <w:tcPr>
            <w:tcW w:w="995" w:type="dxa"/>
            <w:noWrap w:val="0"/>
            <w:vAlign w:val="top"/>
          </w:tcPr>
          <w:p w14:paraId="15F606C3">
            <w:pPr>
              <w:pStyle w:val="190"/>
              <w:rPr>
                <w:color w:val="auto"/>
                <w:highlight w:val="none"/>
                <w:vertAlign w:val="baseline"/>
              </w:rPr>
            </w:pPr>
          </w:p>
        </w:tc>
        <w:tc>
          <w:tcPr>
            <w:tcW w:w="995" w:type="dxa"/>
            <w:noWrap w:val="0"/>
            <w:vAlign w:val="top"/>
          </w:tcPr>
          <w:p w14:paraId="01850449">
            <w:pPr>
              <w:pStyle w:val="190"/>
              <w:rPr>
                <w:color w:val="auto"/>
                <w:highlight w:val="none"/>
                <w:vertAlign w:val="baseline"/>
              </w:rPr>
            </w:pPr>
          </w:p>
        </w:tc>
        <w:tc>
          <w:tcPr>
            <w:tcW w:w="995" w:type="dxa"/>
            <w:noWrap w:val="0"/>
            <w:vAlign w:val="top"/>
          </w:tcPr>
          <w:p w14:paraId="783F54D4">
            <w:pPr>
              <w:pStyle w:val="190"/>
              <w:rPr>
                <w:color w:val="auto"/>
                <w:highlight w:val="none"/>
                <w:vertAlign w:val="baseline"/>
              </w:rPr>
            </w:pPr>
          </w:p>
        </w:tc>
        <w:tc>
          <w:tcPr>
            <w:tcW w:w="1105" w:type="dxa"/>
            <w:noWrap w:val="0"/>
            <w:vAlign w:val="top"/>
          </w:tcPr>
          <w:p w14:paraId="76DC44F3">
            <w:pPr>
              <w:pStyle w:val="190"/>
              <w:rPr>
                <w:color w:val="auto"/>
                <w:highlight w:val="none"/>
                <w:vertAlign w:val="baseline"/>
              </w:rPr>
            </w:pPr>
          </w:p>
        </w:tc>
        <w:tc>
          <w:tcPr>
            <w:tcW w:w="1123" w:type="dxa"/>
            <w:noWrap w:val="0"/>
            <w:vAlign w:val="top"/>
          </w:tcPr>
          <w:p w14:paraId="6BA18BCA">
            <w:pPr>
              <w:pStyle w:val="190"/>
              <w:rPr>
                <w:color w:val="auto"/>
                <w:highlight w:val="none"/>
                <w:vertAlign w:val="baseline"/>
              </w:rPr>
            </w:pPr>
          </w:p>
        </w:tc>
        <w:tc>
          <w:tcPr>
            <w:tcW w:w="758" w:type="dxa"/>
            <w:noWrap w:val="0"/>
            <w:vAlign w:val="top"/>
          </w:tcPr>
          <w:p w14:paraId="094BE1A7">
            <w:pPr>
              <w:pStyle w:val="190"/>
              <w:rPr>
                <w:color w:val="auto"/>
                <w:highlight w:val="none"/>
                <w:vertAlign w:val="baseline"/>
              </w:rPr>
            </w:pPr>
          </w:p>
        </w:tc>
      </w:tr>
      <w:tr w14:paraId="4BB55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769" w:type="dxa"/>
            <w:noWrap w:val="0"/>
            <w:vAlign w:val="top"/>
          </w:tcPr>
          <w:p w14:paraId="1A2D8388">
            <w:pPr>
              <w:pStyle w:val="190"/>
              <w:rPr>
                <w:color w:val="auto"/>
                <w:highlight w:val="none"/>
                <w:vertAlign w:val="baseline"/>
              </w:rPr>
            </w:pPr>
          </w:p>
        </w:tc>
        <w:tc>
          <w:tcPr>
            <w:tcW w:w="1221" w:type="dxa"/>
            <w:noWrap w:val="0"/>
            <w:vAlign w:val="top"/>
          </w:tcPr>
          <w:p w14:paraId="6411B901">
            <w:pPr>
              <w:pStyle w:val="190"/>
              <w:rPr>
                <w:color w:val="auto"/>
                <w:highlight w:val="none"/>
                <w:vertAlign w:val="baseline"/>
              </w:rPr>
            </w:pPr>
          </w:p>
        </w:tc>
        <w:tc>
          <w:tcPr>
            <w:tcW w:w="995" w:type="dxa"/>
            <w:noWrap w:val="0"/>
            <w:vAlign w:val="top"/>
          </w:tcPr>
          <w:p w14:paraId="7FD0FEA1">
            <w:pPr>
              <w:pStyle w:val="190"/>
              <w:rPr>
                <w:color w:val="auto"/>
                <w:highlight w:val="none"/>
                <w:vertAlign w:val="baseline"/>
              </w:rPr>
            </w:pPr>
          </w:p>
        </w:tc>
        <w:tc>
          <w:tcPr>
            <w:tcW w:w="995" w:type="dxa"/>
            <w:noWrap w:val="0"/>
            <w:vAlign w:val="top"/>
          </w:tcPr>
          <w:p w14:paraId="175877B1">
            <w:pPr>
              <w:pStyle w:val="190"/>
              <w:rPr>
                <w:color w:val="auto"/>
                <w:highlight w:val="none"/>
                <w:vertAlign w:val="baseline"/>
              </w:rPr>
            </w:pPr>
          </w:p>
        </w:tc>
        <w:tc>
          <w:tcPr>
            <w:tcW w:w="995" w:type="dxa"/>
            <w:noWrap w:val="0"/>
            <w:vAlign w:val="top"/>
          </w:tcPr>
          <w:p w14:paraId="4EC43580">
            <w:pPr>
              <w:pStyle w:val="190"/>
              <w:rPr>
                <w:color w:val="auto"/>
                <w:highlight w:val="none"/>
                <w:vertAlign w:val="baseline"/>
              </w:rPr>
            </w:pPr>
          </w:p>
        </w:tc>
        <w:tc>
          <w:tcPr>
            <w:tcW w:w="995" w:type="dxa"/>
            <w:noWrap w:val="0"/>
            <w:vAlign w:val="top"/>
          </w:tcPr>
          <w:p w14:paraId="632BAED7">
            <w:pPr>
              <w:pStyle w:val="190"/>
              <w:rPr>
                <w:color w:val="auto"/>
                <w:highlight w:val="none"/>
                <w:vertAlign w:val="baseline"/>
              </w:rPr>
            </w:pPr>
          </w:p>
        </w:tc>
        <w:tc>
          <w:tcPr>
            <w:tcW w:w="1105" w:type="dxa"/>
            <w:noWrap w:val="0"/>
            <w:vAlign w:val="top"/>
          </w:tcPr>
          <w:p w14:paraId="40622574">
            <w:pPr>
              <w:pStyle w:val="190"/>
              <w:rPr>
                <w:color w:val="auto"/>
                <w:highlight w:val="none"/>
                <w:vertAlign w:val="baseline"/>
              </w:rPr>
            </w:pPr>
          </w:p>
        </w:tc>
        <w:tc>
          <w:tcPr>
            <w:tcW w:w="1123" w:type="dxa"/>
            <w:noWrap w:val="0"/>
            <w:vAlign w:val="top"/>
          </w:tcPr>
          <w:p w14:paraId="4F96D579">
            <w:pPr>
              <w:pStyle w:val="190"/>
              <w:rPr>
                <w:color w:val="auto"/>
                <w:highlight w:val="none"/>
                <w:vertAlign w:val="baseline"/>
              </w:rPr>
            </w:pPr>
          </w:p>
        </w:tc>
        <w:tc>
          <w:tcPr>
            <w:tcW w:w="758" w:type="dxa"/>
            <w:noWrap w:val="0"/>
            <w:vAlign w:val="top"/>
          </w:tcPr>
          <w:p w14:paraId="6C2385AD">
            <w:pPr>
              <w:pStyle w:val="190"/>
              <w:rPr>
                <w:color w:val="auto"/>
                <w:highlight w:val="none"/>
                <w:vertAlign w:val="baseline"/>
              </w:rPr>
            </w:pPr>
          </w:p>
        </w:tc>
      </w:tr>
      <w:tr w14:paraId="56608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769" w:type="dxa"/>
            <w:noWrap w:val="0"/>
            <w:vAlign w:val="top"/>
          </w:tcPr>
          <w:p w14:paraId="03ADDE33">
            <w:pPr>
              <w:pStyle w:val="190"/>
              <w:rPr>
                <w:color w:val="auto"/>
                <w:highlight w:val="none"/>
                <w:vertAlign w:val="baseline"/>
              </w:rPr>
            </w:pPr>
          </w:p>
        </w:tc>
        <w:tc>
          <w:tcPr>
            <w:tcW w:w="1221" w:type="dxa"/>
            <w:noWrap w:val="0"/>
            <w:vAlign w:val="top"/>
          </w:tcPr>
          <w:p w14:paraId="3A49FE72">
            <w:pPr>
              <w:pStyle w:val="190"/>
              <w:rPr>
                <w:color w:val="auto"/>
                <w:highlight w:val="none"/>
                <w:vertAlign w:val="baseline"/>
              </w:rPr>
            </w:pPr>
          </w:p>
        </w:tc>
        <w:tc>
          <w:tcPr>
            <w:tcW w:w="995" w:type="dxa"/>
            <w:noWrap w:val="0"/>
            <w:vAlign w:val="top"/>
          </w:tcPr>
          <w:p w14:paraId="4D9E484A">
            <w:pPr>
              <w:pStyle w:val="190"/>
              <w:rPr>
                <w:color w:val="auto"/>
                <w:highlight w:val="none"/>
                <w:vertAlign w:val="baseline"/>
              </w:rPr>
            </w:pPr>
          </w:p>
        </w:tc>
        <w:tc>
          <w:tcPr>
            <w:tcW w:w="995" w:type="dxa"/>
            <w:noWrap w:val="0"/>
            <w:vAlign w:val="top"/>
          </w:tcPr>
          <w:p w14:paraId="7441FD4F">
            <w:pPr>
              <w:pStyle w:val="190"/>
              <w:rPr>
                <w:color w:val="auto"/>
                <w:highlight w:val="none"/>
                <w:vertAlign w:val="baseline"/>
              </w:rPr>
            </w:pPr>
          </w:p>
        </w:tc>
        <w:tc>
          <w:tcPr>
            <w:tcW w:w="995" w:type="dxa"/>
            <w:noWrap w:val="0"/>
            <w:vAlign w:val="top"/>
          </w:tcPr>
          <w:p w14:paraId="67FC4328">
            <w:pPr>
              <w:pStyle w:val="190"/>
              <w:rPr>
                <w:color w:val="auto"/>
                <w:highlight w:val="none"/>
                <w:vertAlign w:val="baseline"/>
              </w:rPr>
            </w:pPr>
          </w:p>
        </w:tc>
        <w:tc>
          <w:tcPr>
            <w:tcW w:w="995" w:type="dxa"/>
            <w:noWrap w:val="0"/>
            <w:vAlign w:val="top"/>
          </w:tcPr>
          <w:p w14:paraId="4EC3BD21">
            <w:pPr>
              <w:pStyle w:val="190"/>
              <w:rPr>
                <w:color w:val="auto"/>
                <w:highlight w:val="none"/>
                <w:vertAlign w:val="baseline"/>
              </w:rPr>
            </w:pPr>
          </w:p>
        </w:tc>
        <w:tc>
          <w:tcPr>
            <w:tcW w:w="1105" w:type="dxa"/>
            <w:noWrap w:val="0"/>
            <w:vAlign w:val="top"/>
          </w:tcPr>
          <w:p w14:paraId="654CB6D3">
            <w:pPr>
              <w:pStyle w:val="190"/>
              <w:rPr>
                <w:color w:val="auto"/>
                <w:highlight w:val="none"/>
                <w:vertAlign w:val="baseline"/>
              </w:rPr>
            </w:pPr>
          </w:p>
        </w:tc>
        <w:tc>
          <w:tcPr>
            <w:tcW w:w="1123" w:type="dxa"/>
            <w:noWrap w:val="0"/>
            <w:vAlign w:val="top"/>
          </w:tcPr>
          <w:p w14:paraId="78BEE52D">
            <w:pPr>
              <w:pStyle w:val="190"/>
              <w:rPr>
                <w:color w:val="auto"/>
                <w:highlight w:val="none"/>
                <w:vertAlign w:val="baseline"/>
              </w:rPr>
            </w:pPr>
          </w:p>
        </w:tc>
        <w:tc>
          <w:tcPr>
            <w:tcW w:w="758" w:type="dxa"/>
            <w:noWrap w:val="0"/>
            <w:vAlign w:val="top"/>
          </w:tcPr>
          <w:p w14:paraId="78646AE3">
            <w:pPr>
              <w:pStyle w:val="190"/>
              <w:rPr>
                <w:color w:val="auto"/>
                <w:highlight w:val="none"/>
                <w:vertAlign w:val="baseline"/>
              </w:rPr>
            </w:pPr>
          </w:p>
        </w:tc>
      </w:tr>
      <w:tr w14:paraId="302E2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769" w:type="dxa"/>
            <w:noWrap w:val="0"/>
            <w:vAlign w:val="top"/>
          </w:tcPr>
          <w:p w14:paraId="3743FD20">
            <w:pPr>
              <w:pStyle w:val="190"/>
              <w:rPr>
                <w:color w:val="auto"/>
                <w:highlight w:val="none"/>
                <w:vertAlign w:val="baseline"/>
              </w:rPr>
            </w:pPr>
          </w:p>
        </w:tc>
        <w:tc>
          <w:tcPr>
            <w:tcW w:w="1221" w:type="dxa"/>
            <w:noWrap w:val="0"/>
            <w:vAlign w:val="top"/>
          </w:tcPr>
          <w:p w14:paraId="0E7C75F1">
            <w:pPr>
              <w:pStyle w:val="190"/>
              <w:rPr>
                <w:color w:val="auto"/>
                <w:highlight w:val="none"/>
                <w:vertAlign w:val="baseline"/>
              </w:rPr>
            </w:pPr>
          </w:p>
        </w:tc>
        <w:tc>
          <w:tcPr>
            <w:tcW w:w="995" w:type="dxa"/>
            <w:noWrap w:val="0"/>
            <w:vAlign w:val="top"/>
          </w:tcPr>
          <w:p w14:paraId="5321271D">
            <w:pPr>
              <w:pStyle w:val="190"/>
              <w:rPr>
                <w:color w:val="auto"/>
                <w:highlight w:val="none"/>
                <w:vertAlign w:val="baseline"/>
              </w:rPr>
            </w:pPr>
          </w:p>
        </w:tc>
        <w:tc>
          <w:tcPr>
            <w:tcW w:w="995" w:type="dxa"/>
            <w:noWrap w:val="0"/>
            <w:vAlign w:val="top"/>
          </w:tcPr>
          <w:p w14:paraId="1869656A">
            <w:pPr>
              <w:pStyle w:val="190"/>
              <w:rPr>
                <w:color w:val="auto"/>
                <w:highlight w:val="none"/>
                <w:vertAlign w:val="baseline"/>
              </w:rPr>
            </w:pPr>
          </w:p>
        </w:tc>
        <w:tc>
          <w:tcPr>
            <w:tcW w:w="995" w:type="dxa"/>
            <w:noWrap w:val="0"/>
            <w:vAlign w:val="top"/>
          </w:tcPr>
          <w:p w14:paraId="3B9116F8">
            <w:pPr>
              <w:pStyle w:val="190"/>
              <w:rPr>
                <w:color w:val="auto"/>
                <w:highlight w:val="none"/>
                <w:vertAlign w:val="baseline"/>
              </w:rPr>
            </w:pPr>
          </w:p>
        </w:tc>
        <w:tc>
          <w:tcPr>
            <w:tcW w:w="995" w:type="dxa"/>
            <w:noWrap w:val="0"/>
            <w:vAlign w:val="top"/>
          </w:tcPr>
          <w:p w14:paraId="706EF861">
            <w:pPr>
              <w:pStyle w:val="190"/>
              <w:rPr>
                <w:color w:val="auto"/>
                <w:highlight w:val="none"/>
                <w:vertAlign w:val="baseline"/>
              </w:rPr>
            </w:pPr>
          </w:p>
        </w:tc>
        <w:tc>
          <w:tcPr>
            <w:tcW w:w="1105" w:type="dxa"/>
            <w:noWrap w:val="0"/>
            <w:vAlign w:val="top"/>
          </w:tcPr>
          <w:p w14:paraId="6C150828">
            <w:pPr>
              <w:pStyle w:val="190"/>
              <w:rPr>
                <w:color w:val="auto"/>
                <w:highlight w:val="none"/>
                <w:vertAlign w:val="baseline"/>
              </w:rPr>
            </w:pPr>
          </w:p>
        </w:tc>
        <w:tc>
          <w:tcPr>
            <w:tcW w:w="1123" w:type="dxa"/>
            <w:noWrap w:val="0"/>
            <w:vAlign w:val="top"/>
          </w:tcPr>
          <w:p w14:paraId="5240DDEA">
            <w:pPr>
              <w:pStyle w:val="190"/>
              <w:rPr>
                <w:color w:val="auto"/>
                <w:highlight w:val="none"/>
                <w:vertAlign w:val="baseline"/>
              </w:rPr>
            </w:pPr>
          </w:p>
        </w:tc>
        <w:tc>
          <w:tcPr>
            <w:tcW w:w="758" w:type="dxa"/>
            <w:noWrap w:val="0"/>
            <w:vAlign w:val="top"/>
          </w:tcPr>
          <w:p w14:paraId="3F48A1FB">
            <w:pPr>
              <w:pStyle w:val="190"/>
              <w:rPr>
                <w:color w:val="auto"/>
                <w:highlight w:val="none"/>
                <w:vertAlign w:val="baseline"/>
              </w:rPr>
            </w:pPr>
          </w:p>
        </w:tc>
      </w:tr>
      <w:tr w14:paraId="3E8EF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769" w:type="dxa"/>
            <w:noWrap w:val="0"/>
            <w:vAlign w:val="top"/>
          </w:tcPr>
          <w:p w14:paraId="1C8C6F82">
            <w:pPr>
              <w:pStyle w:val="190"/>
              <w:rPr>
                <w:color w:val="auto"/>
                <w:highlight w:val="none"/>
                <w:vertAlign w:val="baseline"/>
              </w:rPr>
            </w:pPr>
          </w:p>
        </w:tc>
        <w:tc>
          <w:tcPr>
            <w:tcW w:w="1221" w:type="dxa"/>
            <w:noWrap w:val="0"/>
            <w:vAlign w:val="top"/>
          </w:tcPr>
          <w:p w14:paraId="01B42B5A">
            <w:pPr>
              <w:pStyle w:val="190"/>
              <w:rPr>
                <w:color w:val="auto"/>
                <w:highlight w:val="none"/>
                <w:vertAlign w:val="baseline"/>
              </w:rPr>
            </w:pPr>
          </w:p>
        </w:tc>
        <w:tc>
          <w:tcPr>
            <w:tcW w:w="995" w:type="dxa"/>
            <w:noWrap w:val="0"/>
            <w:vAlign w:val="top"/>
          </w:tcPr>
          <w:p w14:paraId="68AE58BA">
            <w:pPr>
              <w:pStyle w:val="190"/>
              <w:rPr>
                <w:color w:val="auto"/>
                <w:highlight w:val="none"/>
                <w:vertAlign w:val="baseline"/>
              </w:rPr>
            </w:pPr>
          </w:p>
        </w:tc>
        <w:tc>
          <w:tcPr>
            <w:tcW w:w="995" w:type="dxa"/>
            <w:noWrap w:val="0"/>
            <w:vAlign w:val="top"/>
          </w:tcPr>
          <w:p w14:paraId="59F25E74">
            <w:pPr>
              <w:pStyle w:val="190"/>
              <w:rPr>
                <w:color w:val="auto"/>
                <w:highlight w:val="none"/>
                <w:vertAlign w:val="baseline"/>
              </w:rPr>
            </w:pPr>
          </w:p>
        </w:tc>
        <w:tc>
          <w:tcPr>
            <w:tcW w:w="995" w:type="dxa"/>
            <w:noWrap w:val="0"/>
            <w:vAlign w:val="top"/>
          </w:tcPr>
          <w:p w14:paraId="63416438">
            <w:pPr>
              <w:pStyle w:val="190"/>
              <w:rPr>
                <w:color w:val="auto"/>
                <w:highlight w:val="none"/>
                <w:vertAlign w:val="baseline"/>
              </w:rPr>
            </w:pPr>
          </w:p>
        </w:tc>
        <w:tc>
          <w:tcPr>
            <w:tcW w:w="995" w:type="dxa"/>
            <w:noWrap w:val="0"/>
            <w:vAlign w:val="top"/>
          </w:tcPr>
          <w:p w14:paraId="586F30C7">
            <w:pPr>
              <w:pStyle w:val="190"/>
              <w:rPr>
                <w:color w:val="auto"/>
                <w:highlight w:val="none"/>
                <w:vertAlign w:val="baseline"/>
              </w:rPr>
            </w:pPr>
          </w:p>
        </w:tc>
        <w:tc>
          <w:tcPr>
            <w:tcW w:w="1105" w:type="dxa"/>
            <w:noWrap w:val="0"/>
            <w:vAlign w:val="top"/>
          </w:tcPr>
          <w:p w14:paraId="2E1A4A92">
            <w:pPr>
              <w:pStyle w:val="190"/>
              <w:rPr>
                <w:color w:val="auto"/>
                <w:highlight w:val="none"/>
                <w:vertAlign w:val="baseline"/>
              </w:rPr>
            </w:pPr>
          </w:p>
        </w:tc>
        <w:tc>
          <w:tcPr>
            <w:tcW w:w="1123" w:type="dxa"/>
            <w:noWrap w:val="0"/>
            <w:vAlign w:val="top"/>
          </w:tcPr>
          <w:p w14:paraId="03B1913D">
            <w:pPr>
              <w:pStyle w:val="190"/>
              <w:rPr>
                <w:color w:val="auto"/>
                <w:highlight w:val="none"/>
                <w:vertAlign w:val="baseline"/>
              </w:rPr>
            </w:pPr>
          </w:p>
        </w:tc>
        <w:tc>
          <w:tcPr>
            <w:tcW w:w="758" w:type="dxa"/>
            <w:noWrap w:val="0"/>
            <w:vAlign w:val="top"/>
          </w:tcPr>
          <w:p w14:paraId="1FC88CA6">
            <w:pPr>
              <w:pStyle w:val="190"/>
              <w:rPr>
                <w:color w:val="auto"/>
                <w:highlight w:val="none"/>
                <w:vertAlign w:val="baseline"/>
              </w:rPr>
            </w:pPr>
          </w:p>
        </w:tc>
      </w:tr>
      <w:tr w14:paraId="42207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69" w:type="dxa"/>
            <w:noWrap w:val="0"/>
            <w:vAlign w:val="top"/>
          </w:tcPr>
          <w:p w14:paraId="5CF53ED7">
            <w:pPr>
              <w:pStyle w:val="190"/>
              <w:rPr>
                <w:color w:val="auto"/>
                <w:highlight w:val="none"/>
                <w:vertAlign w:val="baseline"/>
              </w:rPr>
            </w:pPr>
          </w:p>
        </w:tc>
        <w:tc>
          <w:tcPr>
            <w:tcW w:w="1221" w:type="dxa"/>
            <w:noWrap w:val="0"/>
            <w:vAlign w:val="top"/>
          </w:tcPr>
          <w:p w14:paraId="52D7200F">
            <w:pPr>
              <w:pStyle w:val="190"/>
              <w:rPr>
                <w:color w:val="auto"/>
                <w:highlight w:val="none"/>
                <w:vertAlign w:val="baseline"/>
              </w:rPr>
            </w:pPr>
          </w:p>
        </w:tc>
        <w:tc>
          <w:tcPr>
            <w:tcW w:w="995" w:type="dxa"/>
            <w:noWrap w:val="0"/>
            <w:vAlign w:val="top"/>
          </w:tcPr>
          <w:p w14:paraId="183B4872">
            <w:pPr>
              <w:pStyle w:val="190"/>
              <w:rPr>
                <w:color w:val="auto"/>
                <w:highlight w:val="none"/>
                <w:vertAlign w:val="baseline"/>
              </w:rPr>
            </w:pPr>
          </w:p>
        </w:tc>
        <w:tc>
          <w:tcPr>
            <w:tcW w:w="995" w:type="dxa"/>
            <w:noWrap w:val="0"/>
            <w:vAlign w:val="top"/>
          </w:tcPr>
          <w:p w14:paraId="72289030">
            <w:pPr>
              <w:pStyle w:val="190"/>
              <w:rPr>
                <w:color w:val="auto"/>
                <w:highlight w:val="none"/>
                <w:vertAlign w:val="baseline"/>
              </w:rPr>
            </w:pPr>
          </w:p>
        </w:tc>
        <w:tc>
          <w:tcPr>
            <w:tcW w:w="995" w:type="dxa"/>
            <w:noWrap w:val="0"/>
            <w:vAlign w:val="top"/>
          </w:tcPr>
          <w:p w14:paraId="286DC791">
            <w:pPr>
              <w:pStyle w:val="190"/>
              <w:rPr>
                <w:color w:val="auto"/>
                <w:highlight w:val="none"/>
                <w:vertAlign w:val="baseline"/>
              </w:rPr>
            </w:pPr>
          </w:p>
        </w:tc>
        <w:tc>
          <w:tcPr>
            <w:tcW w:w="995" w:type="dxa"/>
            <w:noWrap w:val="0"/>
            <w:vAlign w:val="top"/>
          </w:tcPr>
          <w:p w14:paraId="3F84784E">
            <w:pPr>
              <w:pStyle w:val="190"/>
              <w:rPr>
                <w:color w:val="auto"/>
                <w:highlight w:val="none"/>
                <w:vertAlign w:val="baseline"/>
              </w:rPr>
            </w:pPr>
          </w:p>
        </w:tc>
        <w:tc>
          <w:tcPr>
            <w:tcW w:w="1105" w:type="dxa"/>
            <w:noWrap w:val="0"/>
            <w:vAlign w:val="top"/>
          </w:tcPr>
          <w:p w14:paraId="32DBD756">
            <w:pPr>
              <w:pStyle w:val="190"/>
              <w:rPr>
                <w:color w:val="auto"/>
                <w:highlight w:val="none"/>
                <w:vertAlign w:val="baseline"/>
              </w:rPr>
            </w:pPr>
          </w:p>
        </w:tc>
        <w:tc>
          <w:tcPr>
            <w:tcW w:w="1123" w:type="dxa"/>
            <w:noWrap w:val="0"/>
            <w:vAlign w:val="top"/>
          </w:tcPr>
          <w:p w14:paraId="1C170CDA">
            <w:pPr>
              <w:pStyle w:val="190"/>
              <w:rPr>
                <w:color w:val="auto"/>
                <w:highlight w:val="none"/>
                <w:vertAlign w:val="baseline"/>
              </w:rPr>
            </w:pPr>
          </w:p>
        </w:tc>
        <w:tc>
          <w:tcPr>
            <w:tcW w:w="758" w:type="dxa"/>
            <w:noWrap w:val="0"/>
            <w:vAlign w:val="top"/>
          </w:tcPr>
          <w:p w14:paraId="13044516">
            <w:pPr>
              <w:pStyle w:val="190"/>
              <w:rPr>
                <w:color w:val="auto"/>
                <w:highlight w:val="none"/>
                <w:vertAlign w:val="baseline"/>
              </w:rPr>
            </w:pPr>
          </w:p>
        </w:tc>
      </w:tr>
      <w:tr w14:paraId="0B642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769" w:type="dxa"/>
            <w:noWrap w:val="0"/>
            <w:vAlign w:val="top"/>
          </w:tcPr>
          <w:p w14:paraId="45BF7EE3">
            <w:pPr>
              <w:pStyle w:val="190"/>
              <w:rPr>
                <w:color w:val="auto"/>
                <w:highlight w:val="none"/>
                <w:vertAlign w:val="baseline"/>
              </w:rPr>
            </w:pPr>
          </w:p>
        </w:tc>
        <w:tc>
          <w:tcPr>
            <w:tcW w:w="1221" w:type="dxa"/>
            <w:noWrap w:val="0"/>
            <w:vAlign w:val="top"/>
          </w:tcPr>
          <w:p w14:paraId="61E39CB9">
            <w:pPr>
              <w:pStyle w:val="190"/>
              <w:rPr>
                <w:color w:val="auto"/>
                <w:highlight w:val="none"/>
                <w:vertAlign w:val="baseline"/>
              </w:rPr>
            </w:pPr>
          </w:p>
        </w:tc>
        <w:tc>
          <w:tcPr>
            <w:tcW w:w="995" w:type="dxa"/>
            <w:noWrap w:val="0"/>
            <w:vAlign w:val="top"/>
          </w:tcPr>
          <w:p w14:paraId="6286013D">
            <w:pPr>
              <w:pStyle w:val="190"/>
              <w:rPr>
                <w:color w:val="auto"/>
                <w:highlight w:val="none"/>
                <w:vertAlign w:val="baseline"/>
              </w:rPr>
            </w:pPr>
          </w:p>
        </w:tc>
        <w:tc>
          <w:tcPr>
            <w:tcW w:w="995" w:type="dxa"/>
            <w:noWrap w:val="0"/>
            <w:vAlign w:val="top"/>
          </w:tcPr>
          <w:p w14:paraId="10F8477A">
            <w:pPr>
              <w:pStyle w:val="190"/>
              <w:rPr>
                <w:color w:val="auto"/>
                <w:highlight w:val="none"/>
                <w:vertAlign w:val="baseline"/>
              </w:rPr>
            </w:pPr>
          </w:p>
        </w:tc>
        <w:tc>
          <w:tcPr>
            <w:tcW w:w="995" w:type="dxa"/>
            <w:noWrap w:val="0"/>
            <w:vAlign w:val="top"/>
          </w:tcPr>
          <w:p w14:paraId="61A292C9">
            <w:pPr>
              <w:pStyle w:val="190"/>
              <w:rPr>
                <w:color w:val="auto"/>
                <w:highlight w:val="none"/>
                <w:vertAlign w:val="baseline"/>
              </w:rPr>
            </w:pPr>
          </w:p>
        </w:tc>
        <w:tc>
          <w:tcPr>
            <w:tcW w:w="995" w:type="dxa"/>
            <w:noWrap w:val="0"/>
            <w:vAlign w:val="top"/>
          </w:tcPr>
          <w:p w14:paraId="25BC2FCB">
            <w:pPr>
              <w:pStyle w:val="190"/>
              <w:rPr>
                <w:color w:val="auto"/>
                <w:highlight w:val="none"/>
                <w:vertAlign w:val="baseline"/>
              </w:rPr>
            </w:pPr>
          </w:p>
        </w:tc>
        <w:tc>
          <w:tcPr>
            <w:tcW w:w="1105" w:type="dxa"/>
            <w:noWrap w:val="0"/>
            <w:vAlign w:val="top"/>
          </w:tcPr>
          <w:p w14:paraId="54D3DF2B">
            <w:pPr>
              <w:pStyle w:val="190"/>
              <w:rPr>
                <w:color w:val="auto"/>
                <w:highlight w:val="none"/>
                <w:vertAlign w:val="baseline"/>
              </w:rPr>
            </w:pPr>
          </w:p>
        </w:tc>
        <w:tc>
          <w:tcPr>
            <w:tcW w:w="1123" w:type="dxa"/>
            <w:noWrap w:val="0"/>
            <w:vAlign w:val="top"/>
          </w:tcPr>
          <w:p w14:paraId="7A46C37D">
            <w:pPr>
              <w:pStyle w:val="190"/>
              <w:rPr>
                <w:color w:val="auto"/>
                <w:highlight w:val="none"/>
                <w:vertAlign w:val="baseline"/>
              </w:rPr>
            </w:pPr>
          </w:p>
        </w:tc>
        <w:tc>
          <w:tcPr>
            <w:tcW w:w="758" w:type="dxa"/>
            <w:noWrap w:val="0"/>
            <w:vAlign w:val="top"/>
          </w:tcPr>
          <w:p w14:paraId="7073D2CA">
            <w:pPr>
              <w:pStyle w:val="190"/>
              <w:rPr>
                <w:color w:val="auto"/>
                <w:highlight w:val="none"/>
                <w:vertAlign w:val="baseline"/>
              </w:rPr>
            </w:pPr>
          </w:p>
        </w:tc>
      </w:tr>
      <w:tr w14:paraId="73B62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769" w:type="dxa"/>
            <w:noWrap w:val="0"/>
            <w:vAlign w:val="top"/>
          </w:tcPr>
          <w:p w14:paraId="7A1C793F">
            <w:pPr>
              <w:pStyle w:val="190"/>
              <w:rPr>
                <w:color w:val="auto"/>
                <w:highlight w:val="none"/>
                <w:vertAlign w:val="baseline"/>
              </w:rPr>
            </w:pPr>
          </w:p>
        </w:tc>
        <w:tc>
          <w:tcPr>
            <w:tcW w:w="1221" w:type="dxa"/>
            <w:noWrap w:val="0"/>
            <w:vAlign w:val="top"/>
          </w:tcPr>
          <w:p w14:paraId="5424612B">
            <w:pPr>
              <w:pStyle w:val="190"/>
              <w:rPr>
                <w:color w:val="auto"/>
                <w:highlight w:val="none"/>
                <w:vertAlign w:val="baseline"/>
              </w:rPr>
            </w:pPr>
          </w:p>
        </w:tc>
        <w:tc>
          <w:tcPr>
            <w:tcW w:w="995" w:type="dxa"/>
            <w:noWrap w:val="0"/>
            <w:vAlign w:val="top"/>
          </w:tcPr>
          <w:p w14:paraId="64B2A480">
            <w:pPr>
              <w:pStyle w:val="190"/>
              <w:rPr>
                <w:color w:val="auto"/>
                <w:highlight w:val="none"/>
                <w:vertAlign w:val="baseline"/>
              </w:rPr>
            </w:pPr>
          </w:p>
        </w:tc>
        <w:tc>
          <w:tcPr>
            <w:tcW w:w="995" w:type="dxa"/>
            <w:noWrap w:val="0"/>
            <w:vAlign w:val="top"/>
          </w:tcPr>
          <w:p w14:paraId="4DCD3653">
            <w:pPr>
              <w:pStyle w:val="190"/>
              <w:rPr>
                <w:color w:val="auto"/>
                <w:highlight w:val="none"/>
                <w:vertAlign w:val="baseline"/>
              </w:rPr>
            </w:pPr>
          </w:p>
        </w:tc>
        <w:tc>
          <w:tcPr>
            <w:tcW w:w="995" w:type="dxa"/>
            <w:noWrap w:val="0"/>
            <w:vAlign w:val="top"/>
          </w:tcPr>
          <w:p w14:paraId="66FF980D">
            <w:pPr>
              <w:pStyle w:val="190"/>
              <w:rPr>
                <w:color w:val="auto"/>
                <w:highlight w:val="none"/>
                <w:vertAlign w:val="baseline"/>
              </w:rPr>
            </w:pPr>
          </w:p>
        </w:tc>
        <w:tc>
          <w:tcPr>
            <w:tcW w:w="995" w:type="dxa"/>
            <w:noWrap w:val="0"/>
            <w:vAlign w:val="top"/>
          </w:tcPr>
          <w:p w14:paraId="66652308">
            <w:pPr>
              <w:pStyle w:val="190"/>
              <w:rPr>
                <w:color w:val="auto"/>
                <w:highlight w:val="none"/>
                <w:vertAlign w:val="baseline"/>
              </w:rPr>
            </w:pPr>
          </w:p>
        </w:tc>
        <w:tc>
          <w:tcPr>
            <w:tcW w:w="1105" w:type="dxa"/>
            <w:noWrap w:val="0"/>
            <w:vAlign w:val="top"/>
          </w:tcPr>
          <w:p w14:paraId="2C7D5F7B">
            <w:pPr>
              <w:pStyle w:val="190"/>
              <w:rPr>
                <w:color w:val="auto"/>
                <w:highlight w:val="none"/>
                <w:vertAlign w:val="baseline"/>
              </w:rPr>
            </w:pPr>
          </w:p>
        </w:tc>
        <w:tc>
          <w:tcPr>
            <w:tcW w:w="1123" w:type="dxa"/>
            <w:noWrap w:val="0"/>
            <w:vAlign w:val="top"/>
          </w:tcPr>
          <w:p w14:paraId="01771A0B">
            <w:pPr>
              <w:pStyle w:val="190"/>
              <w:rPr>
                <w:color w:val="auto"/>
                <w:highlight w:val="none"/>
                <w:vertAlign w:val="baseline"/>
              </w:rPr>
            </w:pPr>
          </w:p>
        </w:tc>
        <w:tc>
          <w:tcPr>
            <w:tcW w:w="758" w:type="dxa"/>
            <w:noWrap w:val="0"/>
            <w:vAlign w:val="top"/>
          </w:tcPr>
          <w:p w14:paraId="196A6692">
            <w:pPr>
              <w:pStyle w:val="190"/>
              <w:rPr>
                <w:color w:val="auto"/>
                <w:highlight w:val="none"/>
                <w:vertAlign w:val="baseline"/>
              </w:rPr>
            </w:pPr>
          </w:p>
        </w:tc>
      </w:tr>
    </w:tbl>
    <w:p w14:paraId="4051756D">
      <w:pPr>
        <w:rPr>
          <w:rFonts w:hint="eastAsia"/>
          <w:color w:val="auto"/>
          <w:highlight w:val="none"/>
        </w:rPr>
      </w:pPr>
    </w:p>
    <w:p w14:paraId="68B389BF">
      <w:pPr>
        <w:pStyle w:val="4"/>
        <w:jc w:val="center"/>
        <w:rPr>
          <w:rFonts w:eastAsia="宋体"/>
          <w:color w:val="auto"/>
          <w:highlight w:val="none"/>
        </w:rPr>
      </w:pPr>
      <w:r>
        <w:rPr>
          <w:rFonts w:hint="eastAsia"/>
          <w:color w:val="auto"/>
          <w:highlight w:val="none"/>
        </w:rPr>
        <w:t>（二）近年财务状况表</w:t>
      </w:r>
      <w:bookmarkEnd w:id="1859"/>
      <w:bookmarkEnd w:id="1860"/>
      <w:bookmarkEnd w:id="1861"/>
      <w:bookmarkEnd w:id="1862"/>
      <w:bookmarkEnd w:id="1863"/>
      <w:bookmarkEnd w:id="1864"/>
      <w:bookmarkEnd w:id="1865"/>
      <w:bookmarkEnd w:id="1866"/>
      <w:bookmarkEnd w:id="1867"/>
    </w:p>
    <w:tbl>
      <w:tblPr>
        <w:tblStyle w:val="43"/>
        <w:tblW w:w="9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2"/>
        <w:gridCol w:w="1219"/>
        <w:gridCol w:w="1628"/>
        <w:gridCol w:w="1553"/>
        <w:gridCol w:w="1553"/>
        <w:gridCol w:w="1553"/>
      </w:tblGrid>
      <w:tr w14:paraId="2CA1F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812" w:type="dxa"/>
            <w:noWrap w:val="0"/>
            <w:vAlign w:val="center"/>
          </w:tcPr>
          <w:p w14:paraId="4FF8C1FC">
            <w:pPr>
              <w:jc w:val="center"/>
              <w:outlineLvl w:val="9"/>
              <w:rPr>
                <w:rStyle w:val="44"/>
                <w:rFonts w:ascii="Times New Roman" w:hAnsi="Times New Roman" w:eastAsia="Times New Roman" w:cs="Times New Roman"/>
                <w:color w:val="auto"/>
                <w:highlight w:val="none"/>
                <w:vertAlign w:val="baseline"/>
              </w:rPr>
            </w:pPr>
            <w:r>
              <w:rPr>
                <w:rFonts w:hint="eastAsia"/>
                <w:b/>
                <w:bCs/>
                <w:color w:val="auto"/>
                <w:highlight w:val="none"/>
              </w:rPr>
              <w:t>名称</w:t>
            </w:r>
          </w:p>
        </w:tc>
        <w:tc>
          <w:tcPr>
            <w:tcW w:w="1219" w:type="dxa"/>
            <w:noWrap w:val="0"/>
            <w:vAlign w:val="center"/>
          </w:tcPr>
          <w:p w14:paraId="4795092C">
            <w:pPr>
              <w:keepNext w:val="0"/>
              <w:keepLines w:val="0"/>
              <w:widowControl/>
              <w:suppressLineNumbers w:val="0"/>
              <w:jc w:val="center"/>
              <w:rPr>
                <w:rStyle w:val="44"/>
                <w:rFonts w:ascii="Times New Roman" w:hAnsi="Times New Roman" w:eastAsia="Times New Roman" w:cs="Times New Roman"/>
                <w:color w:val="auto"/>
                <w:highlight w:val="none"/>
                <w:vertAlign w:val="baseline"/>
              </w:rPr>
            </w:pPr>
            <w:r>
              <w:rPr>
                <w:rFonts w:hint="eastAsia" w:ascii="宋体" w:hAnsi="宋体" w:eastAsia="宋体" w:cs="宋体"/>
                <w:b/>
                <w:bCs/>
                <w:color w:val="auto"/>
                <w:kern w:val="0"/>
                <w:sz w:val="21"/>
                <w:szCs w:val="21"/>
                <w:highlight w:val="none"/>
                <w:lang w:val="en-US" w:eastAsia="zh-CN" w:bidi="ar"/>
              </w:rPr>
              <w:t>单位</w:t>
            </w:r>
          </w:p>
        </w:tc>
        <w:tc>
          <w:tcPr>
            <w:tcW w:w="1628" w:type="dxa"/>
            <w:noWrap w:val="0"/>
            <w:vAlign w:val="center"/>
          </w:tcPr>
          <w:p w14:paraId="5FEF0CBE">
            <w:pPr>
              <w:keepNext w:val="0"/>
              <w:keepLines w:val="0"/>
              <w:widowControl/>
              <w:suppressLineNumbers w:val="0"/>
              <w:jc w:val="center"/>
              <w:rPr>
                <w:rStyle w:val="44"/>
                <w:rFonts w:ascii="Times New Roman" w:hAnsi="Times New Roman" w:eastAsia="Times New Roman" w:cs="Times New Roman"/>
                <w:color w:val="auto"/>
                <w:highlight w:val="none"/>
                <w:vertAlign w:val="baseline"/>
              </w:rPr>
            </w:pPr>
            <w:r>
              <w:rPr>
                <w:rFonts w:hint="eastAsia" w:ascii="宋体" w:hAnsi="宋体" w:eastAsia="宋体" w:cs="宋体"/>
                <w:b/>
                <w:bCs/>
                <w:color w:val="auto"/>
                <w:kern w:val="0"/>
                <w:sz w:val="21"/>
                <w:szCs w:val="21"/>
                <w:highlight w:val="none"/>
                <w:u w:val="single"/>
                <w:lang w:val="en-US" w:eastAsia="zh-CN" w:bidi="ar"/>
              </w:rPr>
              <w:t xml:space="preserve">     </w:t>
            </w:r>
            <w:r>
              <w:rPr>
                <w:rFonts w:hint="eastAsia" w:ascii="宋体" w:hAnsi="宋体" w:eastAsia="宋体" w:cs="宋体"/>
                <w:b/>
                <w:bCs/>
                <w:color w:val="auto"/>
                <w:kern w:val="0"/>
                <w:sz w:val="21"/>
                <w:szCs w:val="21"/>
                <w:highlight w:val="none"/>
                <w:lang w:val="en-US" w:eastAsia="zh-CN" w:bidi="ar"/>
              </w:rPr>
              <w:t>年</w:t>
            </w:r>
          </w:p>
        </w:tc>
        <w:tc>
          <w:tcPr>
            <w:tcW w:w="1553" w:type="dxa"/>
            <w:noWrap w:val="0"/>
            <w:vAlign w:val="center"/>
          </w:tcPr>
          <w:p w14:paraId="1E954157">
            <w:pPr>
              <w:keepNext w:val="0"/>
              <w:keepLines w:val="0"/>
              <w:widowControl/>
              <w:suppressLineNumbers w:val="0"/>
              <w:jc w:val="center"/>
              <w:rPr>
                <w:rStyle w:val="44"/>
                <w:rFonts w:ascii="Times New Roman" w:hAnsi="Times New Roman" w:eastAsia="Times New Roman" w:cs="Times New Roman"/>
                <w:color w:val="auto"/>
                <w:highlight w:val="none"/>
                <w:vertAlign w:val="baseline"/>
              </w:rPr>
            </w:pPr>
            <w:r>
              <w:rPr>
                <w:rFonts w:hint="eastAsia" w:ascii="宋体" w:hAnsi="宋体" w:eastAsia="宋体" w:cs="宋体"/>
                <w:b/>
                <w:bCs/>
                <w:color w:val="auto"/>
                <w:kern w:val="0"/>
                <w:sz w:val="21"/>
                <w:szCs w:val="21"/>
                <w:highlight w:val="none"/>
                <w:u w:val="single"/>
                <w:lang w:val="en-US" w:eastAsia="zh-CN" w:bidi="ar"/>
              </w:rPr>
              <w:t xml:space="preserve">     </w:t>
            </w:r>
            <w:r>
              <w:rPr>
                <w:rFonts w:hint="eastAsia" w:ascii="宋体" w:hAnsi="宋体" w:eastAsia="宋体" w:cs="宋体"/>
                <w:b/>
                <w:bCs/>
                <w:color w:val="auto"/>
                <w:kern w:val="0"/>
                <w:sz w:val="21"/>
                <w:szCs w:val="21"/>
                <w:highlight w:val="none"/>
                <w:lang w:val="en-US" w:eastAsia="zh-CN" w:bidi="ar"/>
              </w:rPr>
              <w:t>年</w:t>
            </w:r>
          </w:p>
        </w:tc>
        <w:tc>
          <w:tcPr>
            <w:tcW w:w="1553" w:type="dxa"/>
            <w:noWrap w:val="0"/>
            <w:vAlign w:val="center"/>
          </w:tcPr>
          <w:p w14:paraId="3D0E08C4">
            <w:pPr>
              <w:keepNext w:val="0"/>
              <w:keepLines w:val="0"/>
              <w:widowControl/>
              <w:suppressLineNumbers w:val="0"/>
              <w:jc w:val="center"/>
              <w:rPr>
                <w:rStyle w:val="44"/>
                <w:rFonts w:ascii="Times New Roman" w:hAnsi="Times New Roman" w:eastAsia="Times New Roman" w:cs="Times New Roman"/>
                <w:color w:val="auto"/>
                <w:highlight w:val="none"/>
                <w:vertAlign w:val="baseline"/>
              </w:rPr>
            </w:pPr>
            <w:r>
              <w:rPr>
                <w:rFonts w:hint="eastAsia" w:ascii="宋体" w:hAnsi="宋体" w:eastAsia="宋体" w:cs="宋体"/>
                <w:b/>
                <w:bCs/>
                <w:color w:val="auto"/>
                <w:kern w:val="0"/>
                <w:sz w:val="21"/>
                <w:szCs w:val="21"/>
                <w:highlight w:val="none"/>
                <w:u w:val="single"/>
                <w:lang w:val="en-US" w:eastAsia="zh-CN" w:bidi="ar"/>
              </w:rPr>
              <w:t xml:space="preserve">     </w:t>
            </w:r>
            <w:r>
              <w:rPr>
                <w:rFonts w:hint="eastAsia" w:ascii="宋体" w:hAnsi="宋体" w:eastAsia="宋体" w:cs="宋体"/>
                <w:b/>
                <w:bCs/>
                <w:color w:val="auto"/>
                <w:kern w:val="0"/>
                <w:sz w:val="21"/>
                <w:szCs w:val="21"/>
                <w:highlight w:val="none"/>
                <w:lang w:val="en-US" w:eastAsia="zh-CN" w:bidi="ar"/>
              </w:rPr>
              <w:t>年</w:t>
            </w:r>
          </w:p>
        </w:tc>
        <w:tc>
          <w:tcPr>
            <w:tcW w:w="1553" w:type="dxa"/>
            <w:noWrap w:val="0"/>
            <w:vAlign w:val="center"/>
          </w:tcPr>
          <w:p w14:paraId="1B20A005">
            <w:pPr>
              <w:keepNext w:val="0"/>
              <w:keepLines w:val="0"/>
              <w:widowControl/>
              <w:suppressLineNumbers w:val="0"/>
              <w:jc w:val="center"/>
              <w:rPr>
                <w:rStyle w:val="44"/>
                <w:rFonts w:ascii="Times New Roman" w:hAnsi="Times New Roman" w:eastAsia="Times New Roman" w:cs="Times New Roman"/>
                <w:color w:val="auto"/>
                <w:highlight w:val="none"/>
                <w:vertAlign w:val="baseline"/>
              </w:rPr>
            </w:pPr>
            <w:r>
              <w:rPr>
                <w:rFonts w:hint="eastAsia" w:ascii="宋体" w:hAnsi="宋体" w:eastAsia="宋体" w:cs="宋体"/>
                <w:b/>
                <w:bCs/>
                <w:color w:val="auto"/>
                <w:kern w:val="0"/>
                <w:sz w:val="21"/>
                <w:szCs w:val="21"/>
                <w:highlight w:val="none"/>
                <w:lang w:val="en-US" w:eastAsia="zh-CN" w:bidi="ar"/>
              </w:rPr>
              <w:t>近年平均值</w:t>
            </w:r>
          </w:p>
        </w:tc>
      </w:tr>
      <w:tr w14:paraId="28CA3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812" w:type="dxa"/>
            <w:noWrap w:val="0"/>
            <w:vAlign w:val="center"/>
          </w:tcPr>
          <w:p w14:paraId="7336C147">
            <w:pPr>
              <w:numPr>
                <w:ilvl w:val="0"/>
                <w:numId w:val="0"/>
              </w:numPr>
              <w:jc w:val="left"/>
              <w:outlineLvl w:val="9"/>
              <w:rPr>
                <w:rStyle w:val="44"/>
                <w:rFonts w:ascii="Times New Roman" w:hAnsi="Times New Roman" w:eastAsia="Times New Roman" w:cs="Times New Roman"/>
                <w:color w:val="auto"/>
                <w:highlight w:val="none"/>
                <w:vertAlign w:val="baseline"/>
              </w:rPr>
            </w:pPr>
            <w:r>
              <w:rPr>
                <w:rFonts w:hint="eastAsia"/>
                <w:color w:val="auto"/>
                <w:highlight w:val="none"/>
                <w:lang w:val="en-US" w:eastAsia="zh-CN"/>
              </w:rPr>
              <w:t>一.</w:t>
            </w:r>
            <w:r>
              <w:rPr>
                <w:rFonts w:hint="eastAsia"/>
                <w:color w:val="auto"/>
                <w:highlight w:val="none"/>
              </w:rPr>
              <w:t>注册资金</w:t>
            </w:r>
          </w:p>
        </w:tc>
        <w:tc>
          <w:tcPr>
            <w:tcW w:w="1219" w:type="dxa"/>
            <w:noWrap w:val="0"/>
            <w:vAlign w:val="center"/>
          </w:tcPr>
          <w:p w14:paraId="08B78E4A">
            <w:pPr>
              <w:keepNext w:val="0"/>
              <w:keepLines w:val="0"/>
              <w:widowControl/>
              <w:suppressLineNumbers w:val="0"/>
              <w:jc w:val="center"/>
              <w:outlineLvl w:val="9"/>
              <w:rPr>
                <w:rStyle w:val="44"/>
                <w:rFonts w:ascii="Times New Roman" w:hAnsi="Times New Roman" w:eastAsia="Times New Roman" w:cs="Times New Roman"/>
                <w:color w:val="auto"/>
                <w:highlight w:val="none"/>
                <w:vertAlign w:val="baseline"/>
              </w:rPr>
            </w:pPr>
            <w:r>
              <w:rPr>
                <w:rFonts w:hint="eastAsia" w:ascii="宋体" w:hAnsi="宋体" w:eastAsia="宋体" w:cs="宋体"/>
                <w:color w:val="auto"/>
                <w:kern w:val="0"/>
                <w:sz w:val="21"/>
                <w:szCs w:val="21"/>
                <w:highlight w:val="none"/>
                <w:lang w:val="en-US" w:eastAsia="zh-CN" w:bidi="ar"/>
              </w:rPr>
              <w:t>元</w:t>
            </w:r>
          </w:p>
        </w:tc>
        <w:tc>
          <w:tcPr>
            <w:tcW w:w="1628" w:type="dxa"/>
            <w:noWrap w:val="0"/>
            <w:vAlign w:val="center"/>
          </w:tcPr>
          <w:p w14:paraId="48580548">
            <w:pPr>
              <w:pStyle w:val="191"/>
              <w:jc w:val="center"/>
              <w:outlineLvl w:val="9"/>
              <w:rPr>
                <w:rStyle w:val="44"/>
                <w:rFonts w:ascii="Times New Roman" w:hAnsi="Times New Roman" w:eastAsia="Times New Roman" w:cs="Times New Roman"/>
                <w:color w:val="auto"/>
                <w:highlight w:val="none"/>
                <w:vertAlign w:val="baseline"/>
              </w:rPr>
            </w:pPr>
          </w:p>
        </w:tc>
        <w:tc>
          <w:tcPr>
            <w:tcW w:w="1553" w:type="dxa"/>
            <w:noWrap w:val="0"/>
            <w:vAlign w:val="center"/>
          </w:tcPr>
          <w:p w14:paraId="20496E1D">
            <w:pPr>
              <w:pStyle w:val="191"/>
              <w:jc w:val="center"/>
              <w:outlineLvl w:val="9"/>
              <w:rPr>
                <w:rStyle w:val="44"/>
                <w:rFonts w:ascii="Times New Roman" w:hAnsi="Times New Roman" w:eastAsia="Times New Roman" w:cs="Times New Roman"/>
                <w:color w:val="auto"/>
                <w:highlight w:val="none"/>
                <w:vertAlign w:val="baseline"/>
              </w:rPr>
            </w:pPr>
          </w:p>
        </w:tc>
        <w:tc>
          <w:tcPr>
            <w:tcW w:w="1553" w:type="dxa"/>
            <w:noWrap w:val="0"/>
            <w:vAlign w:val="center"/>
          </w:tcPr>
          <w:p w14:paraId="6E5D47A9">
            <w:pPr>
              <w:pStyle w:val="191"/>
              <w:jc w:val="center"/>
              <w:outlineLvl w:val="9"/>
              <w:rPr>
                <w:rStyle w:val="44"/>
                <w:rFonts w:ascii="Times New Roman" w:hAnsi="Times New Roman" w:eastAsia="Times New Roman" w:cs="Times New Roman"/>
                <w:color w:val="auto"/>
                <w:highlight w:val="none"/>
                <w:vertAlign w:val="baseline"/>
              </w:rPr>
            </w:pPr>
          </w:p>
        </w:tc>
        <w:tc>
          <w:tcPr>
            <w:tcW w:w="1553" w:type="dxa"/>
            <w:noWrap w:val="0"/>
            <w:vAlign w:val="center"/>
          </w:tcPr>
          <w:p w14:paraId="7104208F">
            <w:pPr>
              <w:pStyle w:val="191"/>
              <w:jc w:val="center"/>
              <w:outlineLvl w:val="9"/>
              <w:rPr>
                <w:rStyle w:val="44"/>
                <w:rFonts w:ascii="Times New Roman" w:hAnsi="Times New Roman" w:eastAsia="Times New Roman" w:cs="Times New Roman"/>
                <w:color w:val="auto"/>
                <w:highlight w:val="none"/>
                <w:vertAlign w:val="baseline"/>
              </w:rPr>
            </w:pPr>
          </w:p>
        </w:tc>
      </w:tr>
      <w:tr w14:paraId="2154B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812" w:type="dxa"/>
            <w:noWrap w:val="0"/>
            <w:vAlign w:val="center"/>
          </w:tcPr>
          <w:p w14:paraId="73FE0D46">
            <w:pPr>
              <w:numPr>
                <w:ilvl w:val="0"/>
                <w:numId w:val="0"/>
              </w:numPr>
              <w:ind w:leftChars="0"/>
              <w:jc w:val="left"/>
              <w:outlineLvl w:val="9"/>
              <w:rPr>
                <w:rStyle w:val="44"/>
                <w:rFonts w:ascii="Times New Roman" w:hAnsi="Times New Roman" w:eastAsia="Times New Roman" w:cs="Times New Roman"/>
                <w:color w:val="auto"/>
                <w:highlight w:val="none"/>
                <w:vertAlign w:val="baseline"/>
              </w:rPr>
            </w:pPr>
            <w:r>
              <w:rPr>
                <w:rFonts w:hint="eastAsia"/>
                <w:color w:val="auto"/>
                <w:highlight w:val="none"/>
                <w:lang w:val="en-US" w:eastAsia="zh-CN"/>
              </w:rPr>
              <w:t>二.</w:t>
            </w:r>
            <w:r>
              <w:rPr>
                <w:rFonts w:hint="eastAsia"/>
                <w:color w:val="auto"/>
                <w:highlight w:val="none"/>
              </w:rPr>
              <w:t>净资产</w:t>
            </w:r>
          </w:p>
        </w:tc>
        <w:tc>
          <w:tcPr>
            <w:tcW w:w="1219" w:type="dxa"/>
            <w:noWrap w:val="0"/>
            <w:vAlign w:val="center"/>
          </w:tcPr>
          <w:p w14:paraId="459AD7C3">
            <w:pPr>
              <w:keepNext w:val="0"/>
              <w:keepLines w:val="0"/>
              <w:widowControl/>
              <w:suppressLineNumbers w:val="0"/>
              <w:jc w:val="center"/>
              <w:outlineLvl w:val="9"/>
              <w:rPr>
                <w:rStyle w:val="44"/>
                <w:rFonts w:ascii="Times New Roman" w:hAnsi="Times New Roman" w:eastAsia="Times New Roman" w:cs="Times New Roman"/>
                <w:color w:val="auto"/>
                <w:highlight w:val="none"/>
                <w:vertAlign w:val="baseline"/>
              </w:rPr>
            </w:pPr>
            <w:r>
              <w:rPr>
                <w:rFonts w:hint="eastAsia" w:ascii="宋体" w:hAnsi="宋体" w:eastAsia="宋体" w:cs="宋体"/>
                <w:color w:val="auto"/>
                <w:kern w:val="0"/>
                <w:sz w:val="21"/>
                <w:szCs w:val="21"/>
                <w:highlight w:val="none"/>
                <w:lang w:val="en-US" w:eastAsia="zh-CN" w:bidi="ar"/>
              </w:rPr>
              <w:t>元</w:t>
            </w:r>
          </w:p>
        </w:tc>
        <w:tc>
          <w:tcPr>
            <w:tcW w:w="1628" w:type="dxa"/>
            <w:noWrap w:val="0"/>
            <w:vAlign w:val="center"/>
          </w:tcPr>
          <w:p w14:paraId="60FAAF77">
            <w:pPr>
              <w:pStyle w:val="191"/>
              <w:jc w:val="center"/>
              <w:outlineLvl w:val="9"/>
              <w:rPr>
                <w:rStyle w:val="44"/>
                <w:rFonts w:ascii="Times New Roman" w:hAnsi="Times New Roman" w:eastAsia="Times New Roman" w:cs="Times New Roman"/>
                <w:color w:val="auto"/>
                <w:highlight w:val="none"/>
                <w:vertAlign w:val="baseline"/>
              </w:rPr>
            </w:pPr>
          </w:p>
        </w:tc>
        <w:tc>
          <w:tcPr>
            <w:tcW w:w="1553" w:type="dxa"/>
            <w:noWrap w:val="0"/>
            <w:vAlign w:val="center"/>
          </w:tcPr>
          <w:p w14:paraId="6C73A353">
            <w:pPr>
              <w:pStyle w:val="191"/>
              <w:jc w:val="center"/>
              <w:outlineLvl w:val="9"/>
              <w:rPr>
                <w:rStyle w:val="44"/>
                <w:rFonts w:ascii="Times New Roman" w:hAnsi="Times New Roman" w:eastAsia="Times New Roman" w:cs="Times New Roman"/>
                <w:color w:val="auto"/>
                <w:highlight w:val="none"/>
                <w:vertAlign w:val="baseline"/>
              </w:rPr>
            </w:pPr>
          </w:p>
        </w:tc>
        <w:tc>
          <w:tcPr>
            <w:tcW w:w="1553" w:type="dxa"/>
            <w:noWrap w:val="0"/>
            <w:vAlign w:val="center"/>
          </w:tcPr>
          <w:p w14:paraId="583B289B">
            <w:pPr>
              <w:pStyle w:val="191"/>
              <w:jc w:val="center"/>
              <w:outlineLvl w:val="9"/>
              <w:rPr>
                <w:rStyle w:val="44"/>
                <w:rFonts w:ascii="Times New Roman" w:hAnsi="Times New Roman" w:eastAsia="Times New Roman" w:cs="Times New Roman"/>
                <w:color w:val="auto"/>
                <w:highlight w:val="none"/>
                <w:vertAlign w:val="baseline"/>
              </w:rPr>
            </w:pPr>
          </w:p>
        </w:tc>
        <w:tc>
          <w:tcPr>
            <w:tcW w:w="1553" w:type="dxa"/>
            <w:noWrap w:val="0"/>
            <w:vAlign w:val="center"/>
          </w:tcPr>
          <w:p w14:paraId="6B60F115">
            <w:pPr>
              <w:pStyle w:val="191"/>
              <w:jc w:val="center"/>
              <w:outlineLvl w:val="9"/>
              <w:rPr>
                <w:rStyle w:val="44"/>
                <w:rFonts w:ascii="Times New Roman" w:hAnsi="Times New Roman" w:eastAsia="Times New Roman" w:cs="Times New Roman"/>
                <w:color w:val="auto"/>
                <w:highlight w:val="none"/>
                <w:vertAlign w:val="baseline"/>
              </w:rPr>
            </w:pPr>
          </w:p>
        </w:tc>
      </w:tr>
      <w:tr w14:paraId="17E61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812" w:type="dxa"/>
            <w:noWrap w:val="0"/>
            <w:vAlign w:val="center"/>
          </w:tcPr>
          <w:p w14:paraId="0826C9B7">
            <w:pPr>
              <w:numPr>
                <w:ilvl w:val="0"/>
                <w:numId w:val="0"/>
              </w:numPr>
              <w:ind w:leftChars="0"/>
              <w:jc w:val="left"/>
              <w:outlineLvl w:val="9"/>
              <w:rPr>
                <w:rStyle w:val="44"/>
                <w:rFonts w:ascii="Times New Roman" w:hAnsi="Times New Roman" w:eastAsia="Times New Roman" w:cs="Times New Roman"/>
                <w:color w:val="auto"/>
                <w:highlight w:val="none"/>
                <w:vertAlign w:val="baseline"/>
              </w:rPr>
            </w:pPr>
            <w:r>
              <w:rPr>
                <w:rFonts w:hint="eastAsia"/>
                <w:color w:val="auto"/>
                <w:highlight w:val="none"/>
                <w:lang w:val="en-US" w:eastAsia="zh-CN"/>
              </w:rPr>
              <w:t>三.</w:t>
            </w:r>
            <w:r>
              <w:rPr>
                <w:rFonts w:hint="eastAsia"/>
                <w:color w:val="auto"/>
                <w:highlight w:val="none"/>
              </w:rPr>
              <w:t>总资产</w:t>
            </w:r>
          </w:p>
        </w:tc>
        <w:tc>
          <w:tcPr>
            <w:tcW w:w="1219" w:type="dxa"/>
            <w:noWrap w:val="0"/>
            <w:vAlign w:val="center"/>
          </w:tcPr>
          <w:p w14:paraId="4AC7AE67">
            <w:pPr>
              <w:keepNext w:val="0"/>
              <w:keepLines w:val="0"/>
              <w:widowControl/>
              <w:suppressLineNumbers w:val="0"/>
              <w:jc w:val="center"/>
              <w:outlineLvl w:val="9"/>
              <w:rPr>
                <w:rStyle w:val="44"/>
                <w:rFonts w:ascii="Times New Roman" w:hAnsi="Times New Roman" w:eastAsia="Times New Roman" w:cs="Times New Roman"/>
                <w:color w:val="auto"/>
                <w:highlight w:val="none"/>
                <w:vertAlign w:val="baseline"/>
              </w:rPr>
            </w:pPr>
            <w:r>
              <w:rPr>
                <w:rFonts w:hint="eastAsia" w:ascii="宋体" w:hAnsi="宋体" w:eastAsia="宋体" w:cs="宋体"/>
                <w:color w:val="auto"/>
                <w:kern w:val="0"/>
                <w:sz w:val="21"/>
                <w:szCs w:val="21"/>
                <w:highlight w:val="none"/>
                <w:lang w:val="en-US" w:eastAsia="zh-CN" w:bidi="ar"/>
              </w:rPr>
              <w:t>元</w:t>
            </w:r>
          </w:p>
        </w:tc>
        <w:tc>
          <w:tcPr>
            <w:tcW w:w="1628" w:type="dxa"/>
            <w:noWrap w:val="0"/>
            <w:vAlign w:val="center"/>
          </w:tcPr>
          <w:p w14:paraId="0C64FAD0">
            <w:pPr>
              <w:pStyle w:val="191"/>
              <w:jc w:val="center"/>
              <w:outlineLvl w:val="9"/>
              <w:rPr>
                <w:rStyle w:val="44"/>
                <w:rFonts w:ascii="Times New Roman" w:hAnsi="Times New Roman" w:eastAsia="Times New Roman" w:cs="Times New Roman"/>
                <w:color w:val="auto"/>
                <w:highlight w:val="none"/>
                <w:vertAlign w:val="baseline"/>
              </w:rPr>
            </w:pPr>
          </w:p>
        </w:tc>
        <w:tc>
          <w:tcPr>
            <w:tcW w:w="1553" w:type="dxa"/>
            <w:noWrap w:val="0"/>
            <w:vAlign w:val="center"/>
          </w:tcPr>
          <w:p w14:paraId="60C5C381">
            <w:pPr>
              <w:pStyle w:val="191"/>
              <w:jc w:val="center"/>
              <w:outlineLvl w:val="9"/>
              <w:rPr>
                <w:rStyle w:val="44"/>
                <w:rFonts w:ascii="Times New Roman" w:hAnsi="Times New Roman" w:eastAsia="Times New Roman" w:cs="Times New Roman"/>
                <w:color w:val="auto"/>
                <w:highlight w:val="none"/>
                <w:vertAlign w:val="baseline"/>
              </w:rPr>
            </w:pPr>
          </w:p>
        </w:tc>
        <w:tc>
          <w:tcPr>
            <w:tcW w:w="1553" w:type="dxa"/>
            <w:noWrap w:val="0"/>
            <w:vAlign w:val="center"/>
          </w:tcPr>
          <w:p w14:paraId="57861A1B">
            <w:pPr>
              <w:pStyle w:val="191"/>
              <w:jc w:val="center"/>
              <w:outlineLvl w:val="9"/>
              <w:rPr>
                <w:rStyle w:val="44"/>
                <w:rFonts w:ascii="Times New Roman" w:hAnsi="Times New Roman" w:eastAsia="Times New Roman" w:cs="Times New Roman"/>
                <w:color w:val="auto"/>
                <w:highlight w:val="none"/>
                <w:vertAlign w:val="baseline"/>
              </w:rPr>
            </w:pPr>
          </w:p>
        </w:tc>
        <w:tc>
          <w:tcPr>
            <w:tcW w:w="1553" w:type="dxa"/>
            <w:noWrap w:val="0"/>
            <w:vAlign w:val="center"/>
          </w:tcPr>
          <w:p w14:paraId="24311D33">
            <w:pPr>
              <w:pStyle w:val="191"/>
              <w:jc w:val="center"/>
              <w:outlineLvl w:val="9"/>
              <w:rPr>
                <w:rStyle w:val="44"/>
                <w:rFonts w:ascii="Times New Roman" w:hAnsi="Times New Roman" w:eastAsia="Times New Roman" w:cs="Times New Roman"/>
                <w:color w:val="auto"/>
                <w:highlight w:val="none"/>
                <w:vertAlign w:val="baseline"/>
              </w:rPr>
            </w:pPr>
          </w:p>
        </w:tc>
      </w:tr>
      <w:tr w14:paraId="29CA8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812" w:type="dxa"/>
            <w:noWrap w:val="0"/>
            <w:vAlign w:val="center"/>
          </w:tcPr>
          <w:p w14:paraId="46AE132B">
            <w:pPr>
              <w:jc w:val="left"/>
              <w:outlineLvl w:val="9"/>
              <w:rPr>
                <w:rStyle w:val="44"/>
                <w:rFonts w:ascii="Times New Roman" w:hAnsi="Times New Roman" w:eastAsia="Times New Roman" w:cs="Times New Roman"/>
                <w:color w:val="auto"/>
                <w:highlight w:val="none"/>
                <w:vertAlign w:val="baseline"/>
              </w:rPr>
            </w:pPr>
            <w:r>
              <w:rPr>
                <w:rFonts w:hint="eastAsia"/>
                <w:color w:val="auto"/>
                <w:highlight w:val="none"/>
              </w:rPr>
              <w:t>四.固定资产</w:t>
            </w:r>
          </w:p>
        </w:tc>
        <w:tc>
          <w:tcPr>
            <w:tcW w:w="1219" w:type="dxa"/>
            <w:noWrap w:val="0"/>
            <w:vAlign w:val="center"/>
          </w:tcPr>
          <w:p w14:paraId="4ABFF44C">
            <w:pPr>
              <w:keepNext w:val="0"/>
              <w:keepLines w:val="0"/>
              <w:widowControl/>
              <w:suppressLineNumbers w:val="0"/>
              <w:jc w:val="center"/>
              <w:outlineLvl w:val="9"/>
              <w:rPr>
                <w:rStyle w:val="44"/>
                <w:rFonts w:ascii="Times New Roman" w:hAnsi="Times New Roman" w:eastAsia="Times New Roman" w:cs="Times New Roman"/>
                <w:color w:val="auto"/>
                <w:highlight w:val="none"/>
                <w:vertAlign w:val="baseline"/>
              </w:rPr>
            </w:pPr>
            <w:r>
              <w:rPr>
                <w:rFonts w:hint="eastAsia" w:ascii="宋体" w:hAnsi="宋体" w:eastAsia="宋体" w:cs="宋体"/>
                <w:color w:val="auto"/>
                <w:kern w:val="0"/>
                <w:sz w:val="21"/>
                <w:szCs w:val="21"/>
                <w:highlight w:val="none"/>
                <w:lang w:val="en-US" w:eastAsia="zh-CN" w:bidi="ar"/>
              </w:rPr>
              <w:t>元</w:t>
            </w:r>
          </w:p>
        </w:tc>
        <w:tc>
          <w:tcPr>
            <w:tcW w:w="1628" w:type="dxa"/>
            <w:noWrap w:val="0"/>
            <w:vAlign w:val="center"/>
          </w:tcPr>
          <w:p w14:paraId="3C108E99">
            <w:pPr>
              <w:pStyle w:val="191"/>
              <w:jc w:val="center"/>
              <w:outlineLvl w:val="9"/>
              <w:rPr>
                <w:rStyle w:val="44"/>
                <w:rFonts w:ascii="Times New Roman" w:hAnsi="Times New Roman" w:eastAsia="Times New Roman" w:cs="Times New Roman"/>
                <w:color w:val="auto"/>
                <w:highlight w:val="none"/>
                <w:vertAlign w:val="baseline"/>
              </w:rPr>
            </w:pPr>
          </w:p>
        </w:tc>
        <w:tc>
          <w:tcPr>
            <w:tcW w:w="1553" w:type="dxa"/>
            <w:noWrap w:val="0"/>
            <w:vAlign w:val="center"/>
          </w:tcPr>
          <w:p w14:paraId="3BE1F317">
            <w:pPr>
              <w:pStyle w:val="191"/>
              <w:jc w:val="center"/>
              <w:outlineLvl w:val="9"/>
              <w:rPr>
                <w:rStyle w:val="44"/>
                <w:rFonts w:ascii="Times New Roman" w:hAnsi="Times New Roman" w:eastAsia="Times New Roman" w:cs="Times New Roman"/>
                <w:color w:val="auto"/>
                <w:highlight w:val="none"/>
                <w:vertAlign w:val="baseline"/>
              </w:rPr>
            </w:pPr>
          </w:p>
        </w:tc>
        <w:tc>
          <w:tcPr>
            <w:tcW w:w="1553" w:type="dxa"/>
            <w:noWrap w:val="0"/>
            <w:vAlign w:val="center"/>
          </w:tcPr>
          <w:p w14:paraId="0E9DC146">
            <w:pPr>
              <w:pStyle w:val="191"/>
              <w:jc w:val="center"/>
              <w:outlineLvl w:val="9"/>
              <w:rPr>
                <w:rStyle w:val="44"/>
                <w:rFonts w:ascii="Times New Roman" w:hAnsi="Times New Roman" w:eastAsia="Times New Roman" w:cs="Times New Roman"/>
                <w:color w:val="auto"/>
                <w:highlight w:val="none"/>
                <w:vertAlign w:val="baseline"/>
              </w:rPr>
            </w:pPr>
          </w:p>
        </w:tc>
        <w:tc>
          <w:tcPr>
            <w:tcW w:w="1553" w:type="dxa"/>
            <w:noWrap w:val="0"/>
            <w:vAlign w:val="center"/>
          </w:tcPr>
          <w:p w14:paraId="75D9ECF7">
            <w:pPr>
              <w:pStyle w:val="191"/>
              <w:jc w:val="center"/>
              <w:outlineLvl w:val="9"/>
              <w:rPr>
                <w:rStyle w:val="44"/>
                <w:rFonts w:ascii="Times New Roman" w:hAnsi="Times New Roman" w:eastAsia="Times New Roman" w:cs="Times New Roman"/>
                <w:color w:val="auto"/>
                <w:highlight w:val="none"/>
                <w:vertAlign w:val="baseline"/>
              </w:rPr>
            </w:pPr>
          </w:p>
        </w:tc>
      </w:tr>
      <w:tr w14:paraId="7323F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812" w:type="dxa"/>
            <w:noWrap w:val="0"/>
            <w:vAlign w:val="center"/>
          </w:tcPr>
          <w:p w14:paraId="51D88A89">
            <w:pPr>
              <w:numPr>
                <w:ilvl w:val="0"/>
                <w:numId w:val="0"/>
              </w:numPr>
              <w:ind w:leftChars="0"/>
              <w:jc w:val="left"/>
              <w:outlineLvl w:val="9"/>
              <w:rPr>
                <w:rStyle w:val="44"/>
                <w:rFonts w:ascii="Times New Roman" w:hAnsi="Times New Roman" w:eastAsia="Times New Roman" w:cs="Times New Roman"/>
                <w:color w:val="auto"/>
                <w:highlight w:val="none"/>
                <w:vertAlign w:val="baseline"/>
              </w:rPr>
            </w:pPr>
            <w:r>
              <w:rPr>
                <w:rFonts w:hint="eastAsia"/>
                <w:color w:val="auto"/>
                <w:highlight w:val="none"/>
                <w:lang w:val="en-US" w:eastAsia="zh-CN"/>
              </w:rPr>
              <w:t>五.</w:t>
            </w:r>
            <w:r>
              <w:rPr>
                <w:rFonts w:hint="eastAsia"/>
                <w:color w:val="auto"/>
                <w:highlight w:val="none"/>
              </w:rPr>
              <w:t>流动资产</w:t>
            </w:r>
          </w:p>
        </w:tc>
        <w:tc>
          <w:tcPr>
            <w:tcW w:w="1219" w:type="dxa"/>
            <w:noWrap w:val="0"/>
            <w:vAlign w:val="center"/>
          </w:tcPr>
          <w:p w14:paraId="765DDE97">
            <w:pPr>
              <w:keepNext w:val="0"/>
              <w:keepLines w:val="0"/>
              <w:widowControl/>
              <w:suppressLineNumbers w:val="0"/>
              <w:jc w:val="center"/>
              <w:outlineLvl w:val="9"/>
              <w:rPr>
                <w:rStyle w:val="44"/>
                <w:rFonts w:ascii="Times New Roman" w:hAnsi="Times New Roman" w:eastAsia="Times New Roman" w:cs="Times New Roman"/>
                <w:color w:val="auto"/>
                <w:highlight w:val="none"/>
                <w:vertAlign w:val="baseline"/>
              </w:rPr>
            </w:pPr>
            <w:r>
              <w:rPr>
                <w:rFonts w:hint="eastAsia" w:ascii="宋体" w:hAnsi="宋体" w:eastAsia="宋体" w:cs="宋体"/>
                <w:color w:val="auto"/>
                <w:kern w:val="0"/>
                <w:sz w:val="21"/>
                <w:szCs w:val="21"/>
                <w:highlight w:val="none"/>
                <w:lang w:val="en-US" w:eastAsia="zh-CN" w:bidi="ar"/>
              </w:rPr>
              <w:t>元</w:t>
            </w:r>
          </w:p>
        </w:tc>
        <w:tc>
          <w:tcPr>
            <w:tcW w:w="1628" w:type="dxa"/>
            <w:noWrap w:val="0"/>
            <w:vAlign w:val="center"/>
          </w:tcPr>
          <w:p w14:paraId="4E87C73D">
            <w:pPr>
              <w:pStyle w:val="191"/>
              <w:jc w:val="center"/>
              <w:outlineLvl w:val="9"/>
              <w:rPr>
                <w:rStyle w:val="44"/>
                <w:rFonts w:ascii="Times New Roman" w:hAnsi="Times New Roman" w:eastAsia="Times New Roman" w:cs="Times New Roman"/>
                <w:color w:val="auto"/>
                <w:highlight w:val="none"/>
                <w:vertAlign w:val="baseline"/>
              </w:rPr>
            </w:pPr>
          </w:p>
        </w:tc>
        <w:tc>
          <w:tcPr>
            <w:tcW w:w="1553" w:type="dxa"/>
            <w:noWrap w:val="0"/>
            <w:vAlign w:val="center"/>
          </w:tcPr>
          <w:p w14:paraId="3E2A13CD">
            <w:pPr>
              <w:pStyle w:val="191"/>
              <w:jc w:val="center"/>
              <w:outlineLvl w:val="9"/>
              <w:rPr>
                <w:rStyle w:val="44"/>
                <w:rFonts w:ascii="Times New Roman" w:hAnsi="Times New Roman" w:eastAsia="Times New Roman" w:cs="Times New Roman"/>
                <w:color w:val="auto"/>
                <w:highlight w:val="none"/>
                <w:vertAlign w:val="baseline"/>
              </w:rPr>
            </w:pPr>
          </w:p>
        </w:tc>
        <w:tc>
          <w:tcPr>
            <w:tcW w:w="1553" w:type="dxa"/>
            <w:noWrap w:val="0"/>
            <w:vAlign w:val="center"/>
          </w:tcPr>
          <w:p w14:paraId="73BC6257">
            <w:pPr>
              <w:pStyle w:val="191"/>
              <w:jc w:val="center"/>
              <w:outlineLvl w:val="9"/>
              <w:rPr>
                <w:rStyle w:val="44"/>
                <w:rFonts w:ascii="Times New Roman" w:hAnsi="Times New Roman" w:eastAsia="Times New Roman" w:cs="Times New Roman"/>
                <w:color w:val="auto"/>
                <w:highlight w:val="none"/>
                <w:vertAlign w:val="baseline"/>
              </w:rPr>
            </w:pPr>
          </w:p>
        </w:tc>
        <w:tc>
          <w:tcPr>
            <w:tcW w:w="1553" w:type="dxa"/>
            <w:noWrap w:val="0"/>
            <w:vAlign w:val="center"/>
          </w:tcPr>
          <w:p w14:paraId="114E22D9">
            <w:pPr>
              <w:pStyle w:val="191"/>
              <w:jc w:val="center"/>
              <w:outlineLvl w:val="9"/>
              <w:rPr>
                <w:rStyle w:val="44"/>
                <w:rFonts w:ascii="Times New Roman" w:hAnsi="Times New Roman" w:eastAsia="Times New Roman" w:cs="Times New Roman"/>
                <w:color w:val="auto"/>
                <w:highlight w:val="none"/>
                <w:vertAlign w:val="baseline"/>
              </w:rPr>
            </w:pPr>
          </w:p>
        </w:tc>
      </w:tr>
      <w:tr w14:paraId="51B94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812" w:type="dxa"/>
            <w:noWrap w:val="0"/>
            <w:vAlign w:val="center"/>
          </w:tcPr>
          <w:p w14:paraId="2A2FA01D">
            <w:pPr>
              <w:jc w:val="left"/>
              <w:outlineLvl w:val="9"/>
              <w:rPr>
                <w:rStyle w:val="44"/>
                <w:rFonts w:hint="eastAsia" w:ascii="Times New Roman" w:hAnsi="Times New Roman" w:eastAsia="宋体" w:cs="Times New Roman"/>
                <w:color w:val="auto"/>
                <w:highlight w:val="none"/>
                <w:vertAlign w:val="baseline"/>
                <w:lang w:eastAsia="zh-CN"/>
              </w:rPr>
            </w:pPr>
            <w:r>
              <w:rPr>
                <w:rFonts w:hint="eastAsia"/>
                <w:color w:val="auto"/>
                <w:highlight w:val="none"/>
              </w:rPr>
              <w:t>六</w:t>
            </w:r>
            <w:r>
              <w:rPr>
                <w:rFonts w:hint="eastAsia"/>
                <w:color w:val="auto"/>
                <w:highlight w:val="none"/>
                <w:lang w:val="en-US" w:eastAsia="zh-CN"/>
              </w:rPr>
              <w:t>.</w:t>
            </w:r>
            <w:r>
              <w:rPr>
                <w:rFonts w:hint="eastAsia"/>
                <w:color w:val="auto"/>
                <w:highlight w:val="none"/>
              </w:rPr>
              <w:t>流动</w:t>
            </w:r>
            <w:r>
              <w:rPr>
                <w:rFonts w:hint="eastAsia"/>
                <w:color w:val="auto"/>
                <w:highlight w:val="none"/>
                <w:lang w:val="en-US" w:eastAsia="zh-CN"/>
              </w:rPr>
              <w:t>负债</w:t>
            </w:r>
          </w:p>
        </w:tc>
        <w:tc>
          <w:tcPr>
            <w:tcW w:w="1219" w:type="dxa"/>
            <w:noWrap w:val="0"/>
            <w:vAlign w:val="center"/>
          </w:tcPr>
          <w:p w14:paraId="6BB86269">
            <w:pPr>
              <w:keepNext w:val="0"/>
              <w:keepLines w:val="0"/>
              <w:widowControl/>
              <w:suppressLineNumbers w:val="0"/>
              <w:jc w:val="center"/>
              <w:outlineLvl w:val="9"/>
              <w:rPr>
                <w:rStyle w:val="44"/>
                <w:rFonts w:ascii="Times New Roman" w:hAnsi="Times New Roman" w:eastAsia="Times New Roman" w:cs="Times New Roman"/>
                <w:color w:val="auto"/>
                <w:highlight w:val="none"/>
                <w:vertAlign w:val="baseline"/>
              </w:rPr>
            </w:pPr>
            <w:r>
              <w:rPr>
                <w:rFonts w:hint="eastAsia" w:ascii="宋体" w:hAnsi="宋体" w:eastAsia="宋体" w:cs="宋体"/>
                <w:color w:val="auto"/>
                <w:kern w:val="0"/>
                <w:sz w:val="21"/>
                <w:szCs w:val="21"/>
                <w:highlight w:val="none"/>
                <w:lang w:val="en-US" w:eastAsia="zh-CN" w:bidi="ar"/>
              </w:rPr>
              <w:t>元</w:t>
            </w:r>
          </w:p>
        </w:tc>
        <w:tc>
          <w:tcPr>
            <w:tcW w:w="1628" w:type="dxa"/>
            <w:noWrap w:val="0"/>
            <w:vAlign w:val="center"/>
          </w:tcPr>
          <w:p w14:paraId="768FDDC4">
            <w:pPr>
              <w:pStyle w:val="191"/>
              <w:jc w:val="center"/>
              <w:outlineLvl w:val="9"/>
              <w:rPr>
                <w:rStyle w:val="44"/>
                <w:rFonts w:ascii="Times New Roman" w:hAnsi="Times New Roman" w:eastAsia="Times New Roman" w:cs="Times New Roman"/>
                <w:color w:val="auto"/>
                <w:highlight w:val="none"/>
                <w:vertAlign w:val="baseline"/>
              </w:rPr>
            </w:pPr>
          </w:p>
        </w:tc>
        <w:tc>
          <w:tcPr>
            <w:tcW w:w="1553" w:type="dxa"/>
            <w:noWrap w:val="0"/>
            <w:vAlign w:val="center"/>
          </w:tcPr>
          <w:p w14:paraId="7D57A397">
            <w:pPr>
              <w:pStyle w:val="191"/>
              <w:jc w:val="center"/>
              <w:outlineLvl w:val="9"/>
              <w:rPr>
                <w:rStyle w:val="44"/>
                <w:rFonts w:ascii="Times New Roman" w:hAnsi="Times New Roman" w:eastAsia="Times New Roman" w:cs="Times New Roman"/>
                <w:color w:val="auto"/>
                <w:highlight w:val="none"/>
                <w:vertAlign w:val="baseline"/>
              </w:rPr>
            </w:pPr>
          </w:p>
        </w:tc>
        <w:tc>
          <w:tcPr>
            <w:tcW w:w="1553" w:type="dxa"/>
            <w:noWrap w:val="0"/>
            <w:vAlign w:val="center"/>
          </w:tcPr>
          <w:p w14:paraId="63FEE0E6">
            <w:pPr>
              <w:pStyle w:val="191"/>
              <w:jc w:val="center"/>
              <w:outlineLvl w:val="9"/>
              <w:rPr>
                <w:rStyle w:val="44"/>
                <w:rFonts w:ascii="Times New Roman" w:hAnsi="Times New Roman" w:eastAsia="Times New Roman" w:cs="Times New Roman"/>
                <w:color w:val="auto"/>
                <w:highlight w:val="none"/>
                <w:vertAlign w:val="baseline"/>
              </w:rPr>
            </w:pPr>
          </w:p>
        </w:tc>
        <w:tc>
          <w:tcPr>
            <w:tcW w:w="1553" w:type="dxa"/>
            <w:noWrap w:val="0"/>
            <w:vAlign w:val="center"/>
          </w:tcPr>
          <w:p w14:paraId="294D694B">
            <w:pPr>
              <w:pStyle w:val="191"/>
              <w:jc w:val="center"/>
              <w:outlineLvl w:val="9"/>
              <w:rPr>
                <w:rStyle w:val="44"/>
                <w:rFonts w:ascii="Times New Roman" w:hAnsi="Times New Roman" w:eastAsia="Times New Roman" w:cs="Times New Roman"/>
                <w:color w:val="auto"/>
                <w:highlight w:val="none"/>
                <w:vertAlign w:val="baseline"/>
              </w:rPr>
            </w:pPr>
          </w:p>
        </w:tc>
      </w:tr>
      <w:tr w14:paraId="5A339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812" w:type="dxa"/>
            <w:noWrap w:val="0"/>
            <w:vAlign w:val="center"/>
          </w:tcPr>
          <w:p w14:paraId="68AEC39D">
            <w:pPr>
              <w:jc w:val="left"/>
              <w:outlineLvl w:val="9"/>
              <w:rPr>
                <w:rStyle w:val="44"/>
                <w:rFonts w:ascii="Times New Roman" w:hAnsi="Times New Roman" w:eastAsia="Times New Roman" w:cs="Times New Roman"/>
                <w:color w:val="auto"/>
                <w:highlight w:val="none"/>
                <w:vertAlign w:val="baseline"/>
              </w:rPr>
            </w:pPr>
            <w:r>
              <w:rPr>
                <w:rFonts w:hint="eastAsia"/>
                <w:color w:val="auto"/>
                <w:highlight w:val="none"/>
              </w:rPr>
              <w:t>七</w:t>
            </w:r>
            <w:r>
              <w:rPr>
                <w:rFonts w:hint="eastAsia"/>
                <w:color w:val="auto"/>
                <w:highlight w:val="none"/>
                <w:lang w:val="en-US" w:eastAsia="zh-CN"/>
              </w:rPr>
              <w:t>.</w:t>
            </w:r>
            <w:r>
              <w:rPr>
                <w:rFonts w:hint="eastAsia"/>
                <w:color w:val="auto"/>
                <w:highlight w:val="none"/>
              </w:rPr>
              <w:t>负合计</w:t>
            </w:r>
          </w:p>
        </w:tc>
        <w:tc>
          <w:tcPr>
            <w:tcW w:w="1219" w:type="dxa"/>
            <w:noWrap w:val="0"/>
            <w:vAlign w:val="center"/>
          </w:tcPr>
          <w:p w14:paraId="6BD84690">
            <w:pPr>
              <w:keepNext w:val="0"/>
              <w:keepLines w:val="0"/>
              <w:widowControl/>
              <w:suppressLineNumbers w:val="0"/>
              <w:jc w:val="center"/>
              <w:outlineLvl w:val="9"/>
              <w:rPr>
                <w:rStyle w:val="44"/>
                <w:rFonts w:ascii="Times New Roman" w:hAnsi="Times New Roman" w:eastAsia="Times New Roman" w:cs="Times New Roman"/>
                <w:color w:val="auto"/>
                <w:highlight w:val="none"/>
                <w:vertAlign w:val="baseline"/>
              </w:rPr>
            </w:pPr>
            <w:r>
              <w:rPr>
                <w:rFonts w:hint="eastAsia" w:ascii="宋体" w:hAnsi="宋体" w:eastAsia="宋体" w:cs="宋体"/>
                <w:color w:val="auto"/>
                <w:kern w:val="0"/>
                <w:sz w:val="21"/>
                <w:szCs w:val="21"/>
                <w:highlight w:val="none"/>
                <w:lang w:val="en-US" w:eastAsia="zh-CN" w:bidi="ar"/>
              </w:rPr>
              <w:t>元</w:t>
            </w:r>
          </w:p>
        </w:tc>
        <w:tc>
          <w:tcPr>
            <w:tcW w:w="1628" w:type="dxa"/>
            <w:noWrap w:val="0"/>
            <w:vAlign w:val="center"/>
          </w:tcPr>
          <w:p w14:paraId="7AA1C46B">
            <w:pPr>
              <w:pStyle w:val="191"/>
              <w:jc w:val="center"/>
              <w:outlineLvl w:val="9"/>
              <w:rPr>
                <w:rStyle w:val="44"/>
                <w:rFonts w:ascii="Times New Roman" w:hAnsi="Times New Roman" w:eastAsia="Times New Roman" w:cs="Times New Roman"/>
                <w:color w:val="auto"/>
                <w:highlight w:val="none"/>
                <w:vertAlign w:val="baseline"/>
              </w:rPr>
            </w:pPr>
          </w:p>
        </w:tc>
        <w:tc>
          <w:tcPr>
            <w:tcW w:w="1553" w:type="dxa"/>
            <w:noWrap w:val="0"/>
            <w:vAlign w:val="center"/>
          </w:tcPr>
          <w:p w14:paraId="10FA477E">
            <w:pPr>
              <w:pStyle w:val="191"/>
              <w:jc w:val="center"/>
              <w:outlineLvl w:val="9"/>
              <w:rPr>
                <w:rStyle w:val="44"/>
                <w:rFonts w:ascii="Times New Roman" w:hAnsi="Times New Roman" w:eastAsia="Times New Roman" w:cs="Times New Roman"/>
                <w:color w:val="auto"/>
                <w:highlight w:val="none"/>
                <w:vertAlign w:val="baseline"/>
              </w:rPr>
            </w:pPr>
          </w:p>
        </w:tc>
        <w:tc>
          <w:tcPr>
            <w:tcW w:w="1553" w:type="dxa"/>
            <w:noWrap w:val="0"/>
            <w:vAlign w:val="center"/>
          </w:tcPr>
          <w:p w14:paraId="031E6628">
            <w:pPr>
              <w:pStyle w:val="191"/>
              <w:jc w:val="center"/>
              <w:outlineLvl w:val="9"/>
              <w:rPr>
                <w:rStyle w:val="44"/>
                <w:rFonts w:ascii="Times New Roman" w:hAnsi="Times New Roman" w:eastAsia="Times New Roman" w:cs="Times New Roman"/>
                <w:color w:val="auto"/>
                <w:highlight w:val="none"/>
                <w:vertAlign w:val="baseline"/>
              </w:rPr>
            </w:pPr>
          </w:p>
        </w:tc>
        <w:tc>
          <w:tcPr>
            <w:tcW w:w="1553" w:type="dxa"/>
            <w:noWrap w:val="0"/>
            <w:vAlign w:val="center"/>
          </w:tcPr>
          <w:p w14:paraId="123CC8E7">
            <w:pPr>
              <w:pStyle w:val="191"/>
              <w:jc w:val="center"/>
              <w:outlineLvl w:val="9"/>
              <w:rPr>
                <w:rStyle w:val="44"/>
                <w:rFonts w:ascii="Times New Roman" w:hAnsi="Times New Roman" w:eastAsia="Times New Roman" w:cs="Times New Roman"/>
                <w:color w:val="auto"/>
                <w:highlight w:val="none"/>
                <w:vertAlign w:val="baseline"/>
              </w:rPr>
            </w:pPr>
          </w:p>
        </w:tc>
      </w:tr>
      <w:tr w14:paraId="5EB82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812" w:type="dxa"/>
            <w:noWrap w:val="0"/>
            <w:vAlign w:val="center"/>
          </w:tcPr>
          <w:p w14:paraId="701825C0">
            <w:pPr>
              <w:numPr>
                <w:ilvl w:val="0"/>
                <w:numId w:val="0"/>
              </w:numPr>
              <w:jc w:val="left"/>
              <w:outlineLvl w:val="9"/>
              <w:rPr>
                <w:rStyle w:val="44"/>
                <w:rFonts w:ascii="Times New Roman" w:hAnsi="Times New Roman" w:eastAsia="Times New Roman" w:cs="Times New Roman"/>
                <w:color w:val="auto"/>
                <w:highlight w:val="none"/>
                <w:vertAlign w:val="baseline"/>
              </w:rPr>
            </w:pPr>
            <w:r>
              <w:rPr>
                <w:rFonts w:hint="eastAsia"/>
                <w:color w:val="auto"/>
                <w:highlight w:val="none"/>
                <w:lang w:val="en-US" w:eastAsia="zh-CN"/>
              </w:rPr>
              <w:t>八.</w:t>
            </w:r>
            <w:r>
              <w:rPr>
                <w:rFonts w:hint="eastAsia"/>
                <w:color w:val="auto"/>
                <w:highlight w:val="none"/>
              </w:rPr>
              <w:t>营业收入</w:t>
            </w:r>
          </w:p>
        </w:tc>
        <w:tc>
          <w:tcPr>
            <w:tcW w:w="1219" w:type="dxa"/>
            <w:noWrap w:val="0"/>
            <w:vAlign w:val="center"/>
          </w:tcPr>
          <w:p w14:paraId="1D55E713">
            <w:pPr>
              <w:keepNext w:val="0"/>
              <w:keepLines w:val="0"/>
              <w:widowControl/>
              <w:suppressLineNumbers w:val="0"/>
              <w:jc w:val="center"/>
              <w:outlineLvl w:val="9"/>
              <w:rPr>
                <w:rStyle w:val="44"/>
                <w:rFonts w:ascii="Times New Roman" w:hAnsi="Times New Roman" w:eastAsia="Times New Roman" w:cs="Times New Roman"/>
                <w:color w:val="auto"/>
                <w:highlight w:val="none"/>
                <w:vertAlign w:val="baseline"/>
              </w:rPr>
            </w:pPr>
            <w:r>
              <w:rPr>
                <w:rFonts w:hint="eastAsia" w:ascii="宋体" w:hAnsi="宋体" w:eastAsia="宋体" w:cs="宋体"/>
                <w:color w:val="auto"/>
                <w:kern w:val="0"/>
                <w:sz w:val="21"/>
                <w:szCs w:val="21"/>
                <w:highlight w:val="none"/>
                <w:lang w:val="en-US" w:eastAsia="zh-CN" w:bidi="ar"/>
              </w:rPr>
              <w:t>元</w:t>
            </w:r>
          </w:p>
        </w:tc>
        <w:tc>
          <w:tcPr>
            <w:tcW w:w="1628" w:type="dxa"/>
            <w:noWrap w:val="0"/>
            <w:vAlign w:val="center"/>
          </w:tcPr>
          <w:p w14:paraId="09A09BC8">
            <w:pPr>
              <w:pStyle w:val="191"/>
              <w:jc w:val="center"/>
              <w:outlineLvl w:val="9"/>
              <w:rPr>
                <w:rStyle w:val="44"/>
                <w:rFonts w:ascii="Times New Roman" w:hAnsi="Times New Roman" w:eastAsia="Times New Roman" w:cs="Times New Roman"/>
                <w:color w:val="auto"/>
                <w:highlight w:val="none"/>
                <w:vertAlign w:val="baseline"/>
              </w:rPr>
            </w:pPr>
          </w:p>
        </w:tc>
        <w:tc>
          <w:tcPr>
            <w:tcW w:w="1553" w:type="dxa"/>
            <w:noWrap w:val="0"/>
            <w:vAlign w:val="center"/>
          </w:tcPr>
          <w:p w14:paraId="6CDB16B3">
            <w:pPr>
              <w:pStyle w:val="191"/>
              <w:jc w:val="center"/>
              <w:outlineLvl w:val="9"/>
              <w:rPr>
                <w:rStyle w:val="44"/>
                <w:rFonts w:ascii="Times New Roman" w:hAnsi="Times New Roman" w:eastAsia="Times New Roman" w:cs="Times New Roman"/>
                <w:color w:val="auto"/>
                <w:highlight w:val="none"/>
                <w:vertAlign w:val="baseline"/>
              </w:rPr>
            </w:pPr>
          </w:p>
        </w:tc>
        <w:tc>
          <w:tcPr>
            <w:tcW w:w="1553" w:type="dxa"/>
            <w:noWrap w:val="0"/>
            <w:vAlign w:val="center"/>
          </w:tcPr>
          <w:p w14:paraId="4749A5D1">
            <w:pPr>
              <w:pStyle w:val="191"/>
              <w:jc w:val="center"/>
              <w:outlineLvl w:val="9"/>
              <w:rPr>
                <w:rStyle w:val="44"/>
                <w:rFonts w:ascii="Times New Roman" w:hAnsi="Times New Roman" w:eastAsia="Times New Roman" w:cs="Times New Roman"/>
                <w:color w:val="auto"/>
                <w:highlight w:val="none"/>
                <w:vertAlign w:val="baseline"/>
              </w:rPr>
            </w:pPr>
          </w:p>
        </w:tc>
        <w:tc>
          <w:tcPr>
            <w:tcW w:w="1553" w:type="dxa"/>
            <w:noWrap w:val="0"/>
            <w:vAlign w:val="center"/>
          </w:tcPr>
          <w:p w14:paraId="5B6D2184">
            <w:pPr>
              <w:pStyle w:val="191"/>
              <w:jc w:val="center"/>
              <w:outlineLvl w:val="9"/>
              <w:rPr>
                <w:rStyle w:val="44"/>
                <w:rFonts w:ascii="Times New Roman" w:hAnsi="Times New Roman" w:eastAsia="Times New Roman" w:cs="Times New Roman"/>
                <w:color w:val="auto"/>
                <w:highlight w:val="none"/>
                <w:vertAlign w:val="baseline"/>
              </w:rPr>
            </w:pPr>
          </w:p>
        </w:tc>
      </w:tr>
      <w:tr w14:paraId="2EE18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812" w:type="dxa"/>
            <w:noWrap w:val="0"/>
            <w:vAlign w:val="center"/>
          </w:tcPr>
          <w:p w14:paraId="7A01958C">
            <w:pPr>
              <w:keepNext w:val="0"/>
              <w:keepLines w:val="0"/>
              <w:widowControl/>
              <w:suppressLineNumbers w:val="0"/>
              <w:jc w:val="left"/>
              <w:rPr>
                <w:rStyle w:val="44"/>
                <w:rFonts w:ascii="Times New Roman" w:hAnsi="Times New Roman" w:eastAsia="Times New Roman" w:cs="Times New Roman"/>
                <w:color w:val="auto"/>
                <w:highlight w:val="none"/>
                <w:vertAlign w:val="baseline"/>
              </w:rPr>
            </w:pPr>
            <w:r>
              <w:rPr>
                <w:rFonts w:hint="eastAsia" w:ascii="宋体" w:hAnsi="宋体" w:eastAsia="宋体" w:cs="宋体"/>
                <w:color w:val="auto"/>
                <w:kern w:val="0"/>
                <w:sz w:val="21"/>
                <w:szCs w:val="21"/>
                <w:highlight w:val="none"/>
                <w:lang w:val="en-US" w:eastAsia="zh-CN" w:bidi="ar"/>
              </w:rPr>
              <w:t>九.净利润</w:t>
            </w:r>
          </w:p>
        </w:tc>
        <w:tc>
          <w:tcPr>
            <w:tcW w:w="1219" w:type="dxa"/>
            <w:noWrap w:val="0"/>
            <w:vAlign w:val="center"/>
          </w:tcPr>
          <w:p w14:paraId="6C830D72">
            <w:pPr>
              <w:keepNext w:val="0"/>
              <w:keepLines w:val="0"/>
              <w:widowControl/>
              <w:suppressLineNumbers w:val="0"/>
              <w:jc w:val="center"/>
              <w:outlineLvl w:val="9"/>
              <w:rPr>
                <w:rStyle w:val="44"/>
                <w:rFonts w:ascii="Times New Roman" w:hAnsi="Times New Roman" w:eastAsia="Times New Roman" w:cs="Times New Roman"/>
                <w:color w:val="auto"/>
                <w:highlight w:val="none"/>
                <w:vertAlign w:val="baseline"/>
              </w:rPr>
            </w:pPr>
            <w:r>
              <w:rPr>
                <w:rFonts w:hint="eastAsia" w:ascii="宋体" w:hAnsi="宋体" w:eastAsia="宋体" w:cs="宋体"/>
                <w:color w:val="auto"/>
                <w:kern w:val="0"/>
                <w:sz w:val="21"/>
                <w:szCs w:val="21"/>
                <w:highlight w:val="none"/>
                <w:lang w:val="en-US" w:eastAsia="zh-CN" w:bidi="ar"/>
              </w:rPr>
              <w:t>元</w:t>
            </w:r>
          </w:p>
        </w:tc>
        <w:tc>
          <w:tcPr>
            <w:tcW w:w="1628" w:type="dxa"/>
            <w:noWrap w:val="0"/>
            <w:vAlign w:val="center"/>
          </w:tcPr>
          <w:p w14:paraId="605C4246">
            <w:pPr>
              <w:pStyle w:val="191"/>
              <w:jc w:val="center"/>
              <w:outlineLvl w:val="9"/>
              <w:rPr>
                <w:rStyle w:val="44"/>
                <w:rFonts w:ascii="Times New Roman" w:hAnsi="Times New Roman" w:eastAsia="Times New Roman" w:cs="Times New Roman"/>
                <w:color w:val="auto"/>
                <w:highlight w:val="none"/>
                <w:vertAlign w:val="baseline"/>
              </w:rPr>
            </w:pPr>
          </w:p>
        </w:tc>
        <w:tc>
          <w:tcPr>
            <w:tcW w:w="1553" w:type="dxa"/>
            <w:noWrap w:val="0"/>
            <w:vAlign w:val="center"/>
          </w:tcPr>
          <w:p w14:paraId="2809EE58">
            <w:pPr>
              <w:pStyle w:val="191"/>
              <w:jc w:val="center"/>
              <w:outlineLvl w:val="9"/>
              <w:rPr>
                <w:rStyle w:val="44"/>
                <w:rFonts w:ascii="Times New Roman" w:hAnsi="Times New Roman" w:eastAsia="Times New Roman" w:cs="Times New Roman"/>
                <w:color w:val="auto"/>
                <w:highlight w:val="none"/>
                <w:vertAlign w:val="baseline"/>
              </w:rPr>
            </w:pPr>
          </w:p>
        </w:tc>
        <w:tc>
          <w:tcPr>
            <w:tcW w:w="1553" w:type="dxa"/>
            <w:noWrap w:val="0"/>
            <w:vAlign w:val="center"/>
          </w:tcPr>
          <w:p w14:paraId="6B5ED150">
            <w:pPr>
              <w:pStyle w:val="191"/>
              <w:jc w:val="center"/>
              <w:outlineLvl w:val="9"/>
              <w:rPr>
                <w:rStyle w:val="44"/>
                <w:rFonts w:ascii="Times New Roman" w:hAnsi="Times New Roman" w:eastAsia="Times New Roman" w:cs="Times New Roman"/>
                <w:color w:val="auto"/>
                <w:highlight w:val="none"/>
                <w:vertAlign w:val="baseline"/>
              </w:rPr>
            </w:pPr>
          </w:p>
        </w:tc>
        <w:tc>
          <w:tcPr>
            <w:tcW w:w="1553" w:type="dxa"/>
            <w:noWrap w:val="0"/>
            <w:vAlign w:val="center"/>
          </w:tcPr>
          <w:p w14:paraId="0C30EFBC">
            <w:pPr>
              <w:pStyle w:val="191"/>
              <w:jc w:val="center"/>
              <w:outlineLvl w:val="9"/>
              <w:rPr>
                <w:rStyle w:val="44"/>
                <w:rFonts w:ascii="Times New Roman" w:hAnsi="Times New Roman" w:eastAsia="Times New Roman" w:cs="Times New Roman"/>
                <w:color w:val="auto"/>
                <w:highlight w:val="none"/>
                <w:vertAlign w:val="baseline"/>
              </w:rPr>
            </w:pPr>
          </w:p>
        </w:tc>
      </w:tr>
      <w:tr w14:paraId="7E7F6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1812" w:type="dxa"/>
            <w:noWrap w:val="0"/>
            <w:vAlign w:val="center"/>
          </w:tcPr>
          <w:p w14:paraId="201A783B">
            <w:pPr>
              <w:keepNext w:val="0"/>
              <w:keepLines w:val="0"/>
              <w:widowControl/>
              <w:suppressLineNumbers w:val="0"/>
              <w:jc w:val="left"/>
              <w:rPr>
                <w:rStyle w:val="44"/>
                <w:rFonts w:ascii="Times New Roman" w:hAnsi="Times New Roman" w:eastAsia="Times New Roman" w:cs="Times New Roman"/>
                <w:color w:val="auto"/>
                <w:highlight w:val="none"/>
                <w:vertAlign w:val="baseline"/>
              </w:rPr>
            </w:pPr>
            <w:r>
              <w:rPr>
                <w:rFonts w:hint="eastAsia" w:ascii="宋体" w:hAnsi="宋体" w:eastAsia="宋体" w:cs="宋体"/>
                <w:color w:val="auto"/>
                <w:kern w:val="0"/>
                <w:sz w:val="21"/>
                <w:szCs w:val="21"/>
                <w:highlight w:val="none"/>
                <w:lang w:val="en-US" w:eastAsia="zh-CN" w:bidi="ar"/>
              </w:rPr>
              <w:t>十.现金流量净额</w:t>
            </w:r>
          </w:p>
        </w:tc>
        <w:tc>
          <w:tcPr>
            <w:tcW w:w="1219" w:type="dxa"/>
            <w:noWrap w:val="0"/>
            <w:vAlign w:val="center"/>
          </w:tcPr>
          <w:p w14:paraId="53467E87">
            <w:pPr>
              <w:keepNext w:val="0"/>
              <w:keepLines w:val="0"/>
              <w:widowControl/>
              <w:suppressLineNumbers w:val="0"/>
              <w:jc w:val="center"/>
              <w:rPr>
                <w:rStyle w:val="44"/>
                <w:rFonts w:ascii="Times New Roman" w:hAnsi="Times New Roman" w:eastAsia="Times New Roman" w:cs="Times New Roman"/>
                <w:color w:val="auto"/>
                <w:highlight w:val="none"/>
                <w:vertAlign w:val="baseline"/>
              </w:rPr>
            </w:pPr>
            <w:r>
              <w:rPr>
                <w:rFonts w:hint="eastAsia" w:ascii="宋体" w:hAnsi="宋体" w:eastAsia="宋体" w:cs="宋体"/>
                <w:color w:val="auto"/>
                <w:kern w:val="0"/>
                <w:sz w:val="21"/>
                <w:szCs w:val="21"/>
                <w:highlight w:val="none"/>
                <w:lang w:val="en-US" w:eastAsia="zh-CN" w:bidi="ar"/>
              </w:rPr>
              <w:t>元</w:t>
            </w:r>
          </w:p>
        </w:tc>
        <w:tc>
          <w:tcPr>
            <w:tcW w:w="1628" w:type="dxa"/>
            <w:noWrap w:val="0"/>
            <w:vAlign w:val="center"/>
          </w:tcPr>
          <w:p w14:paraId="47A48994">
            <w:pPr>
              <w:pStyle w:val="191"/>
              <w:jc w:val="center"/>
              <w:outlineLvl w:val="9"/>
              <w:rPr>
                <w:rStyle w:val="44"/>
                <w:rFonts w:ascii="Times New Roman" w:hAnsi="Times New Roman" w:eastAsia="Times New Roman" w:cs="Times New Roman"/>
                <w:color w:val="auto"/>
                <w:highlight w:val="none"/>
                <w:vertAlign w:val="baseline"/>
              </w:rPr>
            </w:pPr>
          </w:p>
        </w:tc>
        <w:tc>
          <w:tcPr>
            <w:tcW w:w="1553" w:type="dxa"/>
            <w:noWrap w:val="0"/>
            <w:vAlign w:val="center"/>
          </w:tcPr>
          <w:p w14:paraId="57D9AFAF">
            <w:pPr>
              <w:pStyle w:val="191"/>
              <w:jc w:val="center"/>
              <w:outlineLvl w:val="9"/>
              <w:rPr>
                <w:rStyle w:val="44"/>
                <w:rFonts w:ascii="Times New Roman" w:hAnsi="Times New Roman" w:eastAsia="Times New Roman" w:cs="Times New Roman"/>
                <w:color w:val="auto"/>
                <w:highlight w:val="none"/>
                <w:vertAlign w:val="baseline"/>
              </w:rPr>
            </w:pPr>
          </w:p>
        </w:tc>
        <w:tc>
          <w:tcPr>
            <w:tcW w:w="1553" w:type="dxa"/>
            <w:noWrap w:val="0"/>
            <w:vAlign w:val="center"/>
          </w:tcPr>
          <w:p w14:paraId="44D949F1">
            <w:pPr>
              <w:pStyle w:val="191"/>
              <w:jc w:val="center"/>
              <w:outlineLvl w:val="9"/>
              <w:rPr>
                <w:rStyle w:val="44"/>
                <w:rFonts w:ascii="Times New Roman" w:hAnsi="Times New Roman" w:eastAsia="Times New Roman" w:cs="Times New Roman"/>
                <w:color w:val="auto"/>
                <w:highlight w:val="none"/>
                <w:vertAlign w:val="baseline"/>
              </w:rPr>
            </w:pPr>
          </w:p>
        </w:tc>
        <w:tc>
          <w:tcPr>
            <w:tcW w:w="1553" w:type="dxa"/>
            <w:noWrap w:val="0"/>
            <w:vAlign w:val="center"/>
          </w:tcPr>
          <w:p w14:paraId="153642A9">
            <w:pPr>
              <w:pStyle w:val="191"/>
              <w:jc w:val="center"/>
              <w:outlineLvl w:val="9"/>
              <w:rPr>
                <w:rStyle w:val="44"/>
                <w:rFonts w:ascii="Times New Roman" w:hAnsi="Times New Roman" w:eastAsia="Times New Roman" w:cs="Times New Roman"/>
                <w:color w:val="auto"/>
                <w:highlight w:val="none"/>
                <w:vertAlign w:val="baseline"/>
              </w:rPr>
            </w:pPr>
          </w:p>
        </w:tc>
      </w:tr>
      <w:tr w14:paraId="1668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1812" w:type="dxa"/>
            <w:noWrap w:val="0"/>
            <w:vAlign w:val="center"/>
          </w:tcPr>
          <w:p w14:paraId="2BCDE980">
            <w:pPr>
              <w:keepNext w:val="0"/>
              <w:keepLines w:val="0"/>
              <w:widowControl/>
              <w:suppressLineNumbers w:val="0"/>
              <w:jc w:val="left"/>
              <w:outlineLvl w:val="9"/>
              <w:rPr>
                <w:rStyle w:val="44"/>
                <w:rFonts w:ascii="Times New Roman" w:hAnsi="Times New Roman" w:eastAsia="Times New Roman" w:cs="Times New Roman"/>
                <w:color w:val="auto"/>
                <w:highlight w:val="none"/>
                <w:vertAlign w:val="baseline"/>
              </w:rPr>
            </w:pPr>
            <w:r>
              <w:rPr>
                <w:rFonts w:hint="eastAsia" w:ascii="宋体" w:hAnsi="宋体" w:eastAsia="宋体" w:cs="宋体"/>
                <w:color w:val="auto"/>
                <w:kern w:val="0"/>
                <w:sz w:val="21"/>
                <w:szCs w:val="21"/>
                <w:highlight w:val="none"/>
                <w:lang w:val="en-US" w:eastAsia="zh-CN" w:bidi="ar"/>
              </w:rPr>
              <w:t>十一.主要财务指标</w:t>
            </w:r>
          </w:p>
        </w:tc>
        <w:tc>
          <w:tcPr>
            <w:tcW w:w="1219" w:type="dxa"/>
            <w:noWrap w:val="0"/>
            <w:vAlign w:val="center"/>
          </w:tcPr>
          <w:p w14:paraId="686D68A9">
            <w:pPr>
              <w:keepNext w:val="0"/>
              <w:keepLines w:val="0"/>
              <w:widowControl/>
              <w:suppressLineNumbers w:val="0"/>
              <w:jc w:val="center"/>
              <w:outlineLvl w:val="9"/>
              <w:rPr>
                <w:rStyle w:val="44"/>
                <w:rFonts w:ascii="Times New Roman" w:hAnsi="Times New Roman" w:eastAsia="Times New Roman" w:cs="Times New Roman"/>
                <w:color w:val="auto"/>
                <w:highlight w:val="none"/>
                <w:vertAlign w:val="baseline"/>
              </w:rPr>
            </w:pPr>
          </w:p>
        </w:tc>
        <w:tc>
          <w:tcPr>
            <w:tcW w:w="1628" w:type="dxa"/>
            <w:noWrap w:val="0"/>
            <w:vAlign w:val="center"/>
          </w:tcPr>
          <w:p w14:paraId="06660932">
            <w:pPr>
              <w:pStyle w:val="191"/>
              <w:jc w:val="center"/>
              <w:outlineLvl w:val="9"/>
              <w:rPr>
                <w:rStyle w:val="44"/>
                <w:rFonts w:ascii="Times New Roman" w:hAnsi="Times New Roman" w:eastAsia="Times New Roman" w:cs="Times New Roman"/>
                <w:color w:val="auto"/>
                <w:highlight w:val="none"/>
                <w:vertAlign w:val="baseline"/>
              </w:rPr>
            </w:pPr>
          </w:p>
        </w:tc>
        <w:tc>
          <w:tcPr>
            <w:tcW w:w="1553" w:type="dxa"/>
            <w:noWrap w:val="0"/>
            <w:vAlign w:val="center"/>
          </w:tcPr>
          <w:p w14:paraId="4A952A3C">
            <w:pPr>
              <w:pStyle w:val="191"/>
              <w:jc w:val="center"/>
              <w:outlineLvl w:val="9"/>
              <w:rPr>
                <w:rStyle w:val="44"/>
                <w:rFonts w:ascii="Times New Roman" w:hAnsi="Times New Roman" w:eastAsia="Times New Roman" w:cs="Times New Roman"/>
                <w:color w:val="auto"/>
                <w:highlight w:val="none"/>
                <w:vertAlign w:val="baseline"/>
              </w:rPr>
            </w:pPr>
          </w:p>
        </w:tc>
        <w:tc>
          <w:tcPr>
            <w:tcW w:w="1553" w:type="dxa"/>
            <w:noWrap w:val="0"/>
            <w:vAlign w:val="center"/>
          </w:tcPr>
          <w:p w14:paraId="679A27B1">
            <w:pPr>
              <w:pStyle w:val="191"/>
              <w:jc w:val="center"/>
              <w:outlineLvl w:val="9"/>
              <w:rPr>
                <w:rStyle w:val="44"/>
                <w:rFonts w:ascii="Times New Roman" w:hAnsi="Times New Roman" w:eastAsia="Times New Roman" w:cs="Times New Roman"/>
                <w:color w:val="auto"/>
                <w:highlight w:val="none"/>
                <w:vertAlign w:val="baseline"/>
              </w:rPr>
            </w:pPr>
          </w:p>
        </w:tc>
        <w:tc>
          <w:tcPr>
            <w:tcW w:w="1553" w:type="dxa"/>
            <w:noWrap w:val="0"/>
            <w:vAlign w:val="center"/>
          </w:tcPr>
          <w:p w14:paraId="4F96F2A9">
            <w:pPr>
              <w:pStyle w:val="191"/>
              <w:jc w:val="center"/>
              <w:outlineLvl w:val="9"/>
              <w:rPr>
                <w:rStyle w:val="44"/>
                <w:rFonts w:ascii="Times New Roman" w:hAnsi="Times New Roman" w:eastAsia="Times New Roman" w:cs="Times New Roman"/>
                <w:color w:val="auto"/>
                <w:highlight w:val="none"/>
                <w:vertAlign w:val="baseline"/>
              </w:rPr>
            </w:pPr>
          </w:p>
        </w:tc>
      </w:tr>
      <w:tr w14:paraId="6F11F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812" w:type="dxa"/>
            <w:noWrap w:val="0"/>
            <w:vAlign w:val="center"/>
          </w:tcPr>
          <w:p w14:paraId="18A390BA">
            <w:pPr>
              <w:keepNext w:val="0"/>
              <w:keepLines w:val="0"/>
              <w:widowControl/>
              <w:suppressLineNumbers w:val="0"/>
              <w:jc w:val="left"/>
              <w:outlineLvl w:val="9"/>
              <w:rPr>
                <w:rStyle w:val="44"/>
                <w:rFonts w:ascii="Times New Roman" w:hAnsi="Times New Roman" w:eastAsia="Times New Roman" w:cs="Times New Roman"/>
                <w:color w:val="auto"/>
                <w:highlight w:val="none"/>
                <w:vertAlign w:val="baseline"/>
              </w:rPr>
            </w:pPr>
            <w:r>
              <w:rPr>
                <w:rFonts w:hint="eastAsia" w:ascii="宋体" w:hAnsi="宋体" w:eastAsia="宋体" w:cs="宋体"/>
                <w:color w:val="auto"/>
                <w:kern w:val="0"/>
                <w:sz w:val="21"/>
                <w:szCs w:val="21"/>
                <w:highlight w:val="none"/>
                <w:lang w:val="en-US" w:eastAsia="zh-CN" w:bidi="ar"/>
              </w:rPr>
              <w:t>1.净资产收益率</w:t>
            </w:r>
          </w:p>
        </w:tc>
        <w:tc>
          <w:tcPr>
            <w:tcW w:w="1219" w:type="dxa"/>
            <w:noWrap w:val="0"/>
            <w:vAlign w:val="center"/>
          </w:tcPr>
          <w:p w14:paraId="7B5F425E">
            <w:pPr>
              <w:keepNext w:val="0"/>
              <w:keepLines w:val="0"/>
              <w:widowControl/>
              <w:suppressLineNumbers w:val="0"/>
              <w:jc w:val="center"/>
              <w:outlineLvl w:val="9"/>
              <w:rPr>
                <w:rStyle w:val="44"/>
                <w:rFonts w:ascii="Times New Roman" w:hAnsi="Times New Roman" w:eastAsia="Times New Roman" w:cs="Times New Roman"/>
                <w:color w:val="auto"/>
                <w:highlight w:val="none"/>
                <w:vertAlign w:val="baseline"/>
              </w:rPr>
            </w:pPr>
            <w:r>
              <w:rPr>
                <w:rFonts w:hint="default" w:ascii="Times New Roman" w:hAnsi="Times New Roman" w:eastAsia="宋体" w:cs="Times New Roman"/>
                <w:color w:val="auto"/>
                <w:kern w:val="0"/>
                <w:sz w:val="21"/>
                <w:szCs w:val="21"/>
                <w:highlight w:val="none"/>
                <w:lang w:val="en-US" w:eastAsia="zh-CN" w:bidi="ar"/>
              </w:rPr>
              <w:t>%</w:t>
            </w:r>
          </w:p>
        </w:tc>
        <w:tc>
          <w:tcPr>
            <w:tcW w:w="1628" w:type="dxa"/>
            <w:noWrap w:val="0"/>
            <w:vAlign w:val="center"/>
          </w:tcPr>
          <w:p w14:paraId="4C12A921">
            <w:pPr>
              <w:pStyle w:val="191"/>
              <w:jc w:val="center"/>
              <w:outlineLvl w:val="9"/>
              <w:rPr>
                <w:rStyle w:val="44"/>
                <w:rFonts w:ascii="Times New Roman" w:hAnsi="Times New Roman" w:eastAsia="Times New Roman" w:cs="Times New Roman"/>
                <w:color w:val="auto"/>
                <w:highlight w:val="none"/>
                <w:vertAlign w:val="baseline"/>
              </w:rPr>
            </w:pPr>
          </w:p>
        </w:tc>
        <w:tc>
          <w:tcPr>
            <w:tcW w:w="1553" w:type="dxa"/>
            <w:noWrap w:val="0"/>
            <w:vAlign w:val="center"/>
          </w:tcPr>
          <w:p w14:paraId="7A8044CB">
            <w:pPr>
              <w:pStyle w:val="191"/>
              <w:jc w:val="center"/>
              <w:outlineLvl w:val="9"/>
              <w:rPr>
                <w:rStyle w:val="44"/>
                <w:rFonts w:ascii="Times New Roman" w:hAnsi="Times New Roman" w:eastAsia="Times New Roman" w:cs="Times New Roman"/>
                <w:color w:val="auto"/>
                <w:highlight w:val="none"/>
                <w:vertAlign w:val="baseline"/>
              </w:rPr>
            </w:pPr>
          </w:p>
        </w:tc>
        <w:tc>
          <w:tcPr>
            <w:tcW w:w="1553" w:type="dxa"/>
            <w:noWrap w:val="0"/>
            <w:vAlign w:val="center"/>
          </w:tcPr>
          <w:p w14:paraId="3A032E6C">
            <w:pPr>
              <w:pStyle w:val="191"/>
              <w:jc w:val="center"/>
              <w:outlineLvl w:val="9"/>
              <w:rPr>
                <w:rStyle w:val="44"/>
                <w:rFonts w:ascii="Times New Roman" w:hAnsi="Times New Roman" w:eastAsia="Times New Roman" w:cs="Times New Roman"/>
                <w:color w:val="auto"/>
                <w:highlight w:val="none"/>
                <w:vertAlign w:val="baseline"/>
              </w:rPr>
            </w:pPr>
          </w:p>
        </w:tc>
        <w:tc>
          <w:tcPr>
            <w:tcW w:w="1553" w:type="dxa"/>
            <w:noWrap w:val="0"/>
            <w:vAlign w:val="center"/>
          </w:tcPr>
          <w:p w14:paraId="23542801">
            <w:pPr>
              <w:pStyle w:val="191"/>
              <w:jc w:val="center"/>
              <w:outlineLvl w:val="9"/>
              <w:rPr>
                <w:rStyle w:val="44"/>
                <w:rFonts w:ascii="Times New Roman" w:hAnsi="Times New Roman" w:eastAsia="Times New Roman" w:cs="Times New Roman"/>
                <w:color w:val="auto"/>
                <w:highlight w:val="none"/>
                <w:vertAlign w:val="baseline"/>
              </w:rPr>
            </w:pPr>
          </w:p>
        </w:tc>
      </w:tr>
      <w:tr w14:paraId="629C2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812" w:type="dxa"/>
            <w:noWrap w:val="0"/>
            <w:vAlign w:val="center"/>
          </w:tcPr>
          <w:p w14:paraId="6329A772">
            <w:pPr>
              <w:keepNext w:val="0"/>
              <w:keepLines w:val="0"/>
              <w:widowControl/>
              <w:suppressLineNumbers w:val="0"/>
              <w:jc w:val="left"/>
              <w:outlineLvl w:val="9"/>
              <w:rPr>
                <w:rStyle w:val="44"/>
                <w:rFonts w:ascii="Times New Roman" w:hAnsi="Times New Roman" w:eastAsia="Times New Roman" w:cs="Times New Roman"/>
                <w:color w:val="auto"/>
                <w:highlight w:val="none"/>
                <w:vertAlign w:val="baseline"/>
              </w:rPr>
            </w:pPr>
            <w:r>
              <w:rPr>
                <w:rFonts w:hint="eastAsia" w:ascii="宋体" w:hAnsi="宋体" w:eastAsia="宋体" w:cs="宋体"/>
                <w:color w:val="auto"/>
                <w:kern w:val="0"/>
                <w:sz w:val="21"/>
                <w:szCs w:val="21"/>
                <w:highlight w:val="none"/>
                <w:lang w:val="en-US" w:eastAsia="zh-CN" w:bidi="ar"/>
              </w:rPr>
              <w:t>2.总资产报酬率</w:t>
            </w:r>
          </w:p>
        </w:tc>
        <w:tc>
          <w:tcPr>
            <w:tcW w:w="1219" w:type="dxa"/>
            <w:noWrap w:val="0"/>
            <w:vAlign w:val="center"/>
          </w:tcPr>
          <w:p w14:paraId="7AC6D27E">
            <w:pPr>
              <w:keepNext w:val="0"/>
              <w:keepLines w:val="0"/>
              <w:widowControl/>
              <w:suppressLineNumbers w:val="0"/>
              <w:jc w:val="center"/>
              <w:outlineLvl w:val="9"/>
              <w:rPr>
                <w:rStyle w:val="44"/>
                <w:rFonts w:ascii="Times New Roman" w:hAnsi="Times New Roman" w:eastAsia="Times New Roman" w:cs="Times New Roman"/>
                <w:color w:val="auto"/>
                <w:highlight w:val="none"/>
                <w:vertAlign w:val="baseline"/>
              </w:rPr>
            </w:pPr>
            <w:r>
              <w:rPr>
                <w:rFonts w:hint="default" w:ascii="Times New Roman" w:hAnsi="Times New Roman" w:eastAsia="宋体" w:cs="Times New Roman"/>
                <w:color w:val="auto"/>
                <w:kern w:val="0"/>
                <w:sz w:val="21"/>
                <w:szCs w:val="21"/>
                <w:highlight w:val="none"/>
                <w:lang w:val="en-US" w:eastAsia="zh-CN" w:bidi="ar"/>
              </w:rPr>
              <w:t>%</w:t>
            </w:r>
          </w:p>
        </w:tc>
        <w:tc>
          <w:tcPr>
            <w:tcW w:w="1628" w:type="dxa"/>
            <w:noWrap w:val="0"/>
            <w:vAlign w:val="center"/>
          </w:tcPr>
          <w:p w14:paraId="5148E5C9">
            <w:pPr>
              <w:pStyle w:val="191"/>
              <w:jc w:val="center"/>
              <w:outlineLvl w:val="9"/>
              <w:rPr>
                <w:rStyle w:val="44"/>
                <w:rFonts w:ascii="Times New Roman" w:hAnsi="Times New Roman" w:eastAsia="Times New Roman" w:cs="Times New Roman"/>
                <w:color w:val="auto"/>
                <w:highlight w:val="none"/>
                <w:vertAlign w:val="baseline"/>
              </w:rPr>
            </w:pPr>
          </w:p>
        </w:tc>
        <w:tc>
          <w:tcPr>
            <w:tcW w:w="1553" w:type="dxa"/>
            <w:noWrap w:val="0"/>
            <w:vAlign w:val="center"/>
          </w:tcPr>
          <w:p w14:paraId="0AA575B6">
            <w:pPr>
              <w:pStyle w:val="191"/>
              <w:jc w:val="center"/>
              <w:outlineLvl w:val="9"/>
              <w:rPr>
                <w:rStyle w:val="44"/>
                <w:rFonts w:ascii="Times New Roman" w:hAnsi="Times New Roman" w:eastAsia="Times New Roman" w:cs="Times New Roman"/>
                <w:color w:val="auto"/>
                <w:highlight w:val="none"/>
                <w:vertAlign w:val="baseline"/>
              </w:rPr>
            </w:pPr>
          </w:p>
        </w:tc>
        <w:tc>
          <w:tcPr>
            <w:tcW w:w="1553" w:type="dxa"/>
            <w:noWrap w:val="0"/>
            <w:vAlign w:val="center"/>
          </w:tcPr>
          <w:p w14:paraId="624F2B18">
            <w:pPr>
              <w:pStyle w:val="191"/>
              <w:jc w:val="center"/>
              <w:outlineLvl w:val="9"/>
              <w:rPr>
                <w:rStyle w:val="44"/>
                <w:rFonts w:ascii="Times New Roman" w:hAnsi="Times New Roman" w:eastAsia="Times New Roman" w:cs="Times New Roman"/>
                <w:color w:val="auto"/>
                <w:highlight w:val="none"/>
                <w:vertAlign w:val="baseline"/>
              </w:rPr>
            </w:pPr>
          </w:p>
        </w:tc>
        <w:tc>
          <w:tcPr>
            <w:tcW w:w="1553" w:type="dxa"/>
            <w:noWrap w:val="0"/>
            <w:vAlign w:val="center"/>
          </w:tcPr>
          <w:p w14:paraId="5A7A100B">
            <w:pPr>
              <w:pStyle w:val="191"/>
              <w:jc w:val="center"/>
              <w:outlineLvl w:val="9"/>
              <w:rPr>
                <w:rStyle w:val="44"/>
                <w:rFonts w:ascii="Times New Roman" w:hAnsi="Times New Roman" w:eastAsia="Times New Roman" w:cs="Times New Roman"/>
                <w:color w:val="auto"/>
                <w:highlight w:val="none"/>
                <w:vertAlign w:val="baseline"/>
              </w:rPr>
            </w:pPr>
          </w:p>
        </w:tc>
      </w:tr>
      <w:tr w14:paraId="747B3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1812" w:type="dxa"/>
            <w:noWrap w:val="0"/>
            <w:vAlign w:val="center"/>
          </w:tcPr>
          <w:p w14:paraId="7814C972">
            <w:pPr>
              <w:keepNext w:val="0"/>
              <w:keepLines w:val="0"/>
              <w:widowControl/>
              <w:suppressLineNumbers w:val="0"/>
              <w:jc w:val="left"/>
              <w:outlineLvl w:val="9"/>
              <w:rPr>
                <w:rStyle w:val="44"/>
                <w:rFonts w:ascii="Times New Roman" w:hAnsi="Times New Roman" w:eastAsia="Times New Roman" w:cs="Times New Roman"/>
                <w:color w:val="auto"/>
                <w:highlight w:val="none"/>
                <w:vertAlign w:val="baseline"/>
              </w:rPr>
            </w:pPr>
            <w:r>
              <w:rPr>
                <w:rFonts w:hint="eastAsia" w:ascii="宋体" w:hAnsi="宋体" w:eastAsia="宋体" w:cs="宋体"/>
                <w:color w:val="auto"/>
                <w:kern w:val="0"/>
                <w:sz w:val="21"/>
                <w:szCs w:val="21"/>
                <w:highlight w:val="none"/>
                <w:lang w:val="en-US" w:eastAsia="zh-CN" w:bidi="ar"/>
              </w:rPr>
              <w:t>3.主营业务利润率</w:t>
            </w:r>
          </w:p>
        </w:tc>
        <w:tc>
          <w:tcPr>
            <w:tcW w:w="1219" w:type="dxa"/>
            <w:noWrap w:val="0"/>
            <w:vAlign w:val="center"/>
          </w:tcPr>
          <w:p w14:paraId="4A05F701">
            <w:pPr>
              <w:keepNext w:val="0"/>
              <w:keepLines w:val="0"/>
              <w:widowControl/>
              <w:suppressLineNumbers w:val="0"/>
              <w:jc w:val="center"/>
              <w:outlineLvl w:val="9"/>
              <w:rPr>
                <w:rStyle w:val="44"/>
                <w:rFonts w:ascii="Times New Roman" w:hAnsi="Times New Roman" w:eastAsia="Times New Roman" w:cs="Times New Roman"/>
                <w:color w:val="auto"/>
                <w:highlight w:val="none"/>
                <w:vertAlign w:val="baseline"/>
              </w:rPr>
            </w:pPr>
            <w:r>
              <w:rPr>
                <w:rFonts w:hint="default" w:ascii="Times New Roman" w:hAnsi="Times New Roman" w:eastAsia="宋体" w:cs="Times New Roman"/>
                <w:color w:val="auto"/>
                <w:kern w:val="0"/>
                <w:sz w:val="21"/>
                <w:szCs w:val="21"/>
                <w:highlight w:val="none"/>
                <w:lang w:val="en-US" w:eastAsia="zh-CN" w:bidi="ar"/>
              </w:rPr>
              <w:t>%</w:t>
            </w:r>
          </w:p>
        </w:tc>
        <w:tc>
          <w:tcPr>
            <w:tcW w:w="1628" w:type="dxa"/>
            <w:noWrap w:val="0"/>
            <w:vAlign w:val="center"/>
          </w:tcPr>
          <w:p w14:paraId="5EA0258A">
            <w:pPr>
              <w:pStyle w:val="191"/>
              <w:jc w:val="center"/>
              <w:outlineLvl w:val="9"/>
              <w:rPr>
                <w:rStyle w:val="44"/>
                <w:rFonts w:ascii="Times New Roman" w:hAnsi="Times New Roman" w:eastAsia="Times New Roman" w:cs="Times New Roman"/>
                <w:color w:val="auto"/>
                <w:highlight w:val="none"/>
                <w:vertAlign w:val="baseline"/>
              </w:rPr>
            </w:pPr>
          </w:p>
        </w:tc>
        <w:tc>
          <w:tcPr>
            <w:tcW w:w="1553" w:type="dxa"/>
            <w:noWrap w:val="0"/>
            <w:vAlign w:val="center"/>
          </w:tcPr>
          <w:p w14:paraId="33F0E6C2">
            <w:pPr>
              <w:pStyle w:val="191"/>
              <w:jc w:val="center"/>
              <w:outlineLvl w:val="9"/>
              <w:rPr>
                <w:rStyle w:val="44"/>
                <w:rFonts w:ascii="Times New Roman" w:hAnsi="Times New Roman" w:eastAsia="Times New Roman" w:cs="Times New Roman"/>
                <w:color w:val="auto"/>
                <w:highlight w:val="none"/>
                <w:vertAlign w:val="baseline"/>
              </w:rPr>
            </w:pPr>
          </w:p>
        </w:tc>
        <w:tc>
          <w:tcPr>
            <w:tcW w:w="1553" w:type="dxa"/>
            <w:noWrap w:val="0"/>
            <w:vAlign w:val="center"/>
          </w:tcPr>
          <w:p w14:paraId="4C17CD28">
            <w:pPr>
              <w:pStyle w:val="191"/>
              <w:jc w:val="center"/>
              <w:outlineLvl w:val="9"/>
              <w:rPr>
                <w:rStyle w:val="44"/>
                <w:rFonts w:ascii="Times New Roman" w:hAnsi="Times New Roman" w:eastAsia="Times New Roman" w:cs="Times New Roman"/>
                <w:color w:val="auto"/>
                <w:highlight w:val="none"/>
                <w:vertAlign w:val="baseline"/>
              </w:rPr>
            </w:pPr>
          </w:p>
        </w:tc>
        <w:tc>
          <w:tcPr>
            <w:tcW w:w="1553" w:type="dxa"/>
            <w:noWrap w:val="0"/>
            <w:vAlign w:val="center"/>
          </w:tcPr>
          <w:p w14:paraId="117682A3">
            <w:pPr>
              <w:pStyle w:val="191"/>
              <w:jc w:val="center"/>
              <w:outlineLvl w:val="9"/>
              <w:rPr>
                <w:rStyle w:val="44"/>
                <w:rFonts w:ascii="Times New Roman" w:hAnsi="Times New Roman" w:eastAsia="Times New Roman" w:cs="Times New Roman"/>
                <w:color w:val="auto"/>
                <w:highlight w:val="none"/>
                <w:vertAlign w:val="baseline"/>
              </w:rPr>
            </w:pPr>
          </w:p>
        </w:tc>
      </w:tr>
      <w:tr w14:paraId="40806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812" w:type="dxa"/>
            <w:noWrap w:val="0"/>
            <w:vAlign w:val="center"/>
          </w:tcPr>
          <w:p w14:paraId="5DCA3DA7">
            <w:pPr>
              <w:keepNext w:val="0"/>
              <w:keepLines w:val="0"/>
              <w:widowControl/>
              <w:suppressLineNumbers w:val="0"/>
              <w:jc w:val="left"/>
              <w:rPr>
                <w:rStyle w:val="44"/>
                <w:rFonts w:ascii="Times New Roman" w:hAnsi="Times New Roman" w:eastAsia="Times New Roman" w:cs="Times New Roman"/>
                <w:color w:val="auto"/>
                <w:highlight w:val="none"/>
                <w:vertAlign w:val="baseline"/>
              </w:rPr>
            </w:pPr>
            <w:r>
              <w:rPr>
                <w:rFonts w:hint="eastAsia" w:ascii="宋体" w:hAnsi="宋体" w:eastAsia="宋体" w:cs="宋体"/>
                <w:color w:val="auto"/>
                <w:kern w:val="0"/>
                <w:sz w:val="21"/>
                <w:szCs w:val="21"/>
                <w:highlight w:val="none"/>
                <w:lang w:val="en-US" w:eastAsia="zh-CN" w:bidi="ar"/>
              </w:rPr>
              <w:t>4.资产负债率</w:t>
            </w:r>
          </w:p>
        </w:tc>
        <w:tc>
          <w:tcPr>
            <w:tcW w:w="1219" w:type="dxa"/>
            <w:noWrap w:val="0"/>
            <w:vAlign w:val="center"/>
          </w:tcPr>
          <w:p w14:paraId="292E4DDD">
            <w:pPr>
              <w:keepNext w:val="0"/>
              <w:keepLines w:val="0"/>
              <w:widowControl/>
              <w:suppressLineNumbers w:val="0"/>
              <w:jc w:val="center"/>
              <w:outlineLvl w:val="9"/>
              <w:rPr>
                <w:rStyle w:val="44"/>
                <w:rFonts w:ascii="Times New Roman" w:hAnsi="Times New Roman" w:eastAsia="Times New Roman" w:cs="Times New Roman"/>
                <w:color w:val="auto"/>
                <w:highlight w:val="none"/>
                <w:vertAlign w:val="baseline"/>
              </w:rPr>
            </w:pPr>
            <w:r>
              <w:rPr>
                <w:rFonts w:hint="default" w:ascii="Times New Roman" w:hAnsi="Times New Roman" w:eastAsia="宋体" w:cs="Times New Roman"/>
                <w:color w:val="auto"/>
                <w:kern w:val="0"/>
                <w:sz w:val="21"/>
                <w:szCs w:val="21"/>
                <w:highlight w:val="none"/>
                <w:lang w:val="en-US" w:eastAsia="zh-CN" w:bidi="ar"/>
              </w:rPr>
              <w:t>%</w:t>
            </w:r>
          </w:p>
        </w:tc>
        <w:tc>
          <w:tcPr>
            <w:tcW w:w="1628" w:type="dxa"/>
            <w:noWrap w:val="0"/>
            <w:vAlign w:val="center"/>
          </w:tcPr>
          <w:p w14:paraId="21ACE7DD">
            <w:pPr>
              <w:pStyle w:val="191"/>
              <w:jc w:val="center"/>
              <w:outlineLvl w:val="9"/>
              <w:rPr>
                <w:rStyle w:val="44"/>
                <w:rFonts w:ascii="Times New Roman" w:hAnsi="Times New Roman" w:eastAsia="Times New Roman" w:cs="Times New Roman"/>
                <w:color w:val="auto"/>
                <w:highlight w:val="none"/>
                <w:vertAlign w:val="baseline"/>
              </w:rPr>
            </w:pPr>
          </w:p>
        </w:tc>
        <w:tc>
          <w:tcPr>
            <w:tcW w:w="1553" w:type="dxa"/>
            <w:noWrap w:val="0"/>
            <w:vAlign w:val="center"/>
          </w:tcPr>
          <w:p w14:paraId="59FE0CD6">
            <w:pPr>
              <w:pStyle w:val="191"/>
              <w:jc w:val="center"/>
              <w:outlineLvl w:val="9"/>
              <w:rPr>
                <w:rStyle w:val="44"/>
                <w:rFonts w:ascii="Times New Roman" w:hAnsi="Times New Roman" w:eastAsia="Times New Roman" w:cs="Times New Roman"/>
                <w:color w:val="auto"/>
                <w:highlight w:val="none"/>
                <w:vertAlign w:val="baseline"/>
              </w:rPr>
            </w:pPr>
          </w:p>
        </w:tc>
        <w:tc>
          <w:tcPr>
            <w:tcW w:w="1553" w:type="dxa"/>
            <w:noWrap w:val="0"/>
            <w:vAlign w:val="center"/>
          </w:tcPr>
          <w:p w14:paraId="2129748C">
            <w:pPr>
              <w:pStyle w:val="191"/>
              <w:jc w:val="center"/>
              <w:outlineLvl w:val="9"/>
              <w:rPr>
                <w:rStyle w:val="44"/>
                <w:rFonts w:ascii="Times New Roman" w:hAnsi="Times New Roman" w:eastAsia="Times New Roman" w:cs="Times New Roman"/>
                <w:color w:val="auto"/>
                <w:highlight w:val="none"/>
                <w:vertAlign w:val="baseline"/>
              </w:rPr>
            </w:pPr>
          </w:p>
        </w:tc>
        <w:tc>
          <w:tcPr>
            <w:tcW w:w="1553" w:type="dxa"/>
            <w:noWrap w:val="0"/>
            <w:vAlign w:val="center"/>
          </w:tcPr>
          <w:p w14:paraId="41ABA486">
            <w:pPr>
              <w:pStyle w:val="191"/>
              <w:jc w:val="center"/>
              <w:outlineLvl w:val="9"/>
              <w:rPr>
                <w:rStyle w:val="44"/>
                <w:rFonts w:ascii="Times New Roman" w:hAnsi="Times New Roman" w:eastAsia="Times New Roman" w:cs="Times New Roman"/>
                <w:color w:val="auto"/>
                <w:highlight w:val="none"/>
                <w:vertAlign w:val="baseline"/>
              </w:rPr>
            </w:pPr>
          </w:p>
        </w:tc>
      </w:tr>
      <w:tr w14:paraId="0B678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812" w:type="dxa"/>
            <w:noWrap w:val="0"/>
            <w:vAlign w:val="center"/>
          </w:tcPr>
          <w:p w14:paraId="0C2CEE21">
            <w:pPr>
              <w:keepNext w:val="0"/>
              <w:keepLines w:val="0"/>
              <w:widowControl/>
              <w:suppressLineNumbers w:val="0"/>
              <w:jc w:val="left"/>
              <w:rPr>
                <w:rStyle w:val="44"/>
                <w:rFonts w:ascii="Times New Roman" w:hAnsi="Times New Roman" w:eastAsia="Times New Roman" w:cs="Times New Roman"/>
                <w:color w:val="auto"/>
                <w:highlight w:val="none"/>
                <w:vertAlign w:val="baseline"/>
              </w:rPr>
            </w:pPr>
            <w:r>
              <w:rPr>
                <w:rFonts w:hint="eastAsia" w:ascii="宋体" w:hAnsi="宋体" w:eastAsia="宋体" w:cs="宋体"/>
                <w:color w:val="auto"/>
                <w:kern w:val="0"/>
                <w:sz w:val="21"/>
                <w:szCs w:val="21"/>
                <w:highlight w:val="none"/>
                <w:lang w:val="en-US" w:eastAsia="zh-CN" w:bidi="ar"/>
              </w:rPr>
              <w:t>5.流动比率</w:t>
            </w:r>
          </w:p>
        </w:tc>
        <w:tc>
          <w:tcPr>
            <w:tcW w:w="1219" w:type="dxa"/>
            <w:noWrap w:val="0"/>
            <w:vAlign w:val="center"/>
          </w:tcPr>
          <w:p w14:paraId="6F21AF74">
            <w:pPr>
              <w:keepNext w:val="0"/>
              <w:keepLines w:val="0"/>
              <w:widowControl/>
              <w:suppressLineNumbers w:val="0"/>
              <w:jc w:val="center"/>
              <w:outlineLvl w:val="9"/>
              <w:rPr>
                <w:rStyle w:val="44"/>
                <w:rFonts w:ascii="Times New Roman" w:hAnsi="Times New Roman" w:eastAsia="Times New Roman" w:cs="Times New Roman"/>
                <w:color w:val="auto"/>
                <w:highlight w:val="none"/>
                <w:vertAlign w:val="baseline"/>
              </w:rPr>
            </w:pPr>
            <w:r>
              <w:rPr>
                <w:rFonts w:hint="default" w:ascii="Times New Roman" w:hAnsi="Times New Roman" w:eastAsia="宋体" w:cs="Times New Roman"/>
                <w:color w:val="auto"/>
                <w:kern w:val="0"/>
                <w:sz w:val="21"/>
                <w:szCs w:val="21"/>
                <w:highlight w:val="none"/>
                <w:lang w:val="en-US" w:eastAsia="zh-CN" w:bidi="ar"/>
              </w:rPr>
              <w:t>%</w:t>
            </w:r>
          </w:p>
        </w:tc>
        <w:tc>
          <w:tcPr>
            <w:tcW w:w="1628" w:type="dxa"/>
            <w:noWrap w:val="0"/>
            <w:vAlign w:val="center"/>
          </w:tcPr>
          <w:p w14:paraId="4164CC5F">
            <w:pPr>
              <w:pStyle w:val="191"/>
              <w:jc w:val="center"/>
              <w:outlineLvl w:val="9"/>
              <w:rPr>
                <w:rStyle w:val="44"/>
                <w:rFonts w:ascii="Times New Roman" w:hAnsi="Times New Roman" w:eastAsia="Times New Roman" w:cs="Times New Roman"/>
                <w:color w:val="auto"/>
                <w:highlight w:val="none"/>
                <w:vertAlign w:val="baseline"/>
              </w:rPr>
            </w:pPr>
          </w:p>
        </w:tc>
        <w:tc>
          <w:tcPr>
            <w:tcW w:w="1553" w:type="dxa"/>
            <w:noWrap w:val="0"/>
            <w:vAlign w:val="center"/>
          </w:tcPr>
          <w:p w14:paraId="0C4EA98C">
            <w:pPr>
              <w:pStyle w:val="191"/>
              <w:jc w:val="center"/>
              <w:outlineLvl w:val="9"/>
              <w:rPr>
                <w:rStyle w:val="44"/>
                <w:rFonts w:ascii="Times New Roman" w:hAnsi="Times New Roman" w:eastAsia="Times New Roman" w:cs="Times New Roman"/>
                <w:color w:val="auto"/>
                <w:highlight w:val="none"/>
                <w:vertAlign w:val="baseline"/>
              </w:rPr>
            </w:pPr>
          </w:p>
        </w:tc>
        <w:tc>
          <w:tcPr>
            <w:tcW w:w="1553" w:type="dxa"/>
            <w:noWrap w:val="0"/>
            <w:vAlign w:val="center"/>
          </w:tcPr>
          <w:p w14:paraId="5861E11D">
            <w:pPr>
              <w:pStyle w:val="191"/>
              <w:jc w:val="center"/>
              <w:outlineLvl w:val="9"/>
              <w:rPr>
                <w:rStyle w:val="44"/>
                <w:rFonts w:ascii="Times New Roman" w:hAnsi="Times New Roman" w:eastAsia="Times New Roman" w:cs="Times New Roman"/>
                <w:color w:val="auto"/>
                <w:highlight w:val="none"/>
                <w:vertAlign w:val="baseline"/>
              </w:rPr>
            </w:pPr>
          </w:p>
        </w:tc>
        <w:tc>
          <w:tcPr>
            <w:tcW w:w="1553" w:type="dxa"/>
            <w:noWrap w:val="0"/>
            <w:vAlign w:val="center"/>
          </w:tcPr>
          <w:p w14:paraId="2BC3E127">
            <w:pPr>
              <w:pStyle w:val="191"/>
              <w:jc w:val="center"/>
              <w:outlineLvl w:val="9"/>
              <w:rPr>
                <w:rStyle w:val="44"/>
                <w:rFonts w:ascii="Times New Roman" w:hAnsi="Times New Roman" w:eastAsia="Times New Roman" w:cs="Times New Roman"/>
                <w:color w:val="auto"/>
                <w:highlight w:val="none"/>
                <w:vertAlign w:val="baseline"/>
              </w:rPr>
            </w:pPr>
          </w:p>
        </w:tc>
      </w:tr>
      <w:tr w14:paraId="4FA7D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1812" w:type="dxa"/>
            <w:noWrap w:val="0"/>
            <w:vAlign w:val="center"/>
          </w:tcPr>
          <w:p w14:paraId="242C0A19">
            <w:pPr>
              <w:keepNext w:val="0"/>
              <w:keepLines w:val="0"/>
              <w:widowControl/>
              <w:suppressLineNumbers w:val="0"/>
              <w:jc w:val="both"/>
              <w:rPr>
                <w:rStyle w:val="44"/>
                <w:rFonts w:ascii="Times New Roman" w:hAnsi="Times New Roman" w:eastAsia="Times New Roman" w:cs="Times New Roman"/>
                <w:color w:val="auto"/>
                <w:highlight w:val="none"/>
                <w:vertAlign w:val="baseline"/>
              </w:rPr>
            </w:pPr>
            <w:r>
              <w:rPr>
                <w:rFonts w:hint="eastAsia" w:ascii="宋体" w:hAnsi="宋体" w:eastAsia="宋体" w:cs="宋体"/>
                <w:color w:val="auto"/>
                <w:kern w:val="0"/>
                <w:sz w:val="21"/>
                <w:szCs w:val="21"/>
                <w:highlight w:val="none"/>
                <w:lang w:val="en-US" w:eastAsia="zh-CN" w:bidi="ar"/>
              </w:rPr>
              <w:t>6.速动比率</w:t>
            </w:r>
          </w:p>
        </w:tc>
        <w:tc>
          <w:tcPr>
            <w:tcW w:w="1219" w:type="dxa"/>
            <w:noWrap w:val="0"/>
            <w:vAlign w:val="center"/>
          </w:tcPr>
          <w:p w14:paraId="17C00E33">
            <w:pPr>
              <w:keepNext w:val="0"/>
              <w:keepLines w:val="0"/>
              <w:widowControl/>
              <w:suppressLineNumbers w:val="0"/>
              <w:jc w:val="center"/>
              <w:outlineLvl w:val="9"/>
              <w:rPr>
                <w:rStyle w:val="44"/>
                <w:rFonts w:ascii="Times New Roman" w:hAnsi="Times New Roman" w:eastAsia="Times New Roman" w:cs="Times New Roman"/>
                <w:color w:val="auto"/>
                <w:highlight w:val="none"/>
                <w:vertAlign w:val="baseline"/>
              </w:rPr>
            </w:pPr>
            <w:r>
              <w:rPr>
                <w:rFonts w:hint="default" w:ascii="Times New Roman" w:hAnsi="Times New Roman" w:eastAsia="宋体" w:cs="Times New Roman"/>
                <w:color w:val="auto"/>
                <w:kern w:val="0"/>
                <w:sz w:val="21"/>
                <w:szCs w:val="21"/>
                <w:highlight w:val="none"/>
                <w:lang w:val="en-US" w:eastAsia="zh-CN" w:bidi="ar"/>
              </w:rPr>
              <w:t>%</w:t>
            </w:r>
          </w:p>
        </w:tc>
        <w:tc>
          <w:tcPr>
            <w:tcW w:w="1628" w:type="dxa"/>
            <w:noWrap w:val="0"/>
            <w:vAlign w:val="center"/>
          </w:tcPr>
          <w:p w14:paraId="6F61C21E">
            <w:pPr>
              <w:pStyle w:val="191"/>
              <w:jc w:val="center"/>
              <w:outlineLvl w:val="9"/>
              <w:rPr>
                <w:rStyle w:val="44"/>
                <w:rFonts w:ascii="Times New Roman" w:hAnsi="Times New Roman" w:eastAsia="Times New Roman" w:cs="Times New Roman"/>
                <w:color w:val="auto"/>
                <w:highlight w:val="none"/>
                <w:vertAlign w:val="baseline"/>
              </w:rPr>
            </w:pPr>
          </w:p>
        </w:tc>
        <w:tc>
          <w:tcPr>
            <w:tcW w:w="1553" w:type="dxa"/>
            <w:noWrap w:val="0"/>
            <w:vAlign w:val="center"/>
          </w:tcPr>
          <w:p w14:paraId="2ACABFC1">
            <w:pPr>
              <w:pStyle w:val="191"/>
              <w:jc w:val="center"/>
              <w:outlineLvl w:val="9"/>
              <w:rPr>
                <w:rStyle w:val="44"/>
                <w:rFonts w:ascii="Times New Roman" w:hAnsi="Times New Roman" w:eastAsia="Times New Roman" w:cs="Times New Roman"/>
                <w:color w:val="auto"/>
                <w:highlight w:val="none"/>
                <w:vertAlign w:val="baseline"/>
              </w:rPr>
            </w:pPr>
          </w:p>
        </w:tc>
        <w:tc>
          <w:tcPr>
            <w:tcW w:w="1553" w:type="dxa"/>
            <w:noWrap w:val="0"/>
            <w:vAlign w:val="center"/>
          </w:tcPr>
          <w:p w14:paraId="696D5297">
            <w:pPr>
              <w:pStyle w:val="191"/>
              <w:jc w:val="center"/>
              <w:outlineLvl w:val="9"/>
              <w:rPr>
                <w:rStyle w:val="44"/>
                <w:rFonts w:ascii="Times New Roman" w:hAnsi="Times New Roman" w:eastAsia="Times New Roman" w:cs="Times New Roman"/>
                <w:color w:val="auto"/>
                <w:highlight w:val="none"/>
                <w:vertAlign w:val="baseline"/>
              </w:rPr>
            </w:pPr>
          </w:p>
        </w:tc>
        <w:tc>
          <w:tcPr>
            <w:tcW w:w="1553" w:type="dxa"/>
            <w:noWrap w:val="0"/>
            <w:vAlign w:val="center"/>
          </w:tcPr>
          <w:p w14:paraId="33134862">
            <w:pPr>
              <w:pStyle w:val="191"/>
              <w:jc w:val="center"/>
              <w:outlineLvl w:val="9"/>
              <w:rPr>
                <w:rStyle w:val="44"/>
                <w:rFonts w:ascii="Times New Roman" w:hAnsi="Times New Roman" w:eastAsia="Times New Roman" w:cs="Times New Roman"/>
                <w:color w:val="auto"/>
                <w:highlight w:val="none"/>
                <w:vertAlign w:val="baseline"/>
              </w:rPr>
            </w:pPr>
          </w:p>
        </w:tc>
      </w:tr>
    </w:tbl>
    <w:p w14:paraId="5A28EE6F">
      <w:pPr>
        <w:keepNext w:val="0"/>
        <w:keepLines w:val="0"/>
        <w:widowControl/>
        <w:suppressLineNumbers w:val="0"/>
        <w:spacing w:line="360" w:lineRule="auto"/>
        <w:jc w:val="left"/>
        <w:rPr>
          <w:color w:val="auto"/>
          <w:highlight w:val="none"/>
        </w:rPr>
      </w:pPr>
      <w:r>
        <w:rPr>
          <w:rFonts w:hint="eastAsia" w:ascii="宋体" w:hAnsi="宋体" w:eastAsia="宋体" w:cs="宋体"/>
          <w:color w:val="auto"/>
          <w:kern w:val="0"/>
          <w:sz w:val="21"/>
          <w:szCs w:val="21"/>
          <w:highlight w:val="none"/>
          <w:lang w:val="en-US" w:eastAsia="zh-CN" w:bidi="ar"/>
        </w:rPr>
        <w:t xml:space="preserve">备注：1.本表后应附近年经会计师事务所或审计机构审计的财务会计报表。 </w:t>
      </w:r>
    </w:p>
    <w:p w14:paraId="033B5AC8">
      <w:pPr>
        <w:keepNext w:val="0"/>
        <w:keepLines w:val="0"/>
        <w:widowControl/>
        <w:suppressLineNumbers w:val="0"/>
        <w:spacing w:line="360" w:lineRule="auto"/>
        <w:ind w:left="840" w:leftChars="300" w:hanging="210" w:hangingChars="100"/>
        <w:jc w:val="left"/>
        <w:rPr>
          <w:color w:val="auto"/>
          <w:highlight w:val="none"/>
        </w:rPr>
      </w:pPr>
      <w:r>
        <w:rPr>
          <w:rFonts w:hint="eastAsia" w:ascii="宋体" w:hAnsi="宋体" w:eastAsia="宋体" w:cs="宋体"/>
          <w:color w:val="auto"/>
          <w:kern w:val="0"/>
          <w:sz w:val="21"/>
          <w:szCs w:val="21"/>
          <w:highlight w:val="none"/>
          <w:lang w:val="en-US" w:eastAsia="zh-CN" w:bidi="ar"/>
        </w:rPr>
        <w:t xml:space="preserve">2.本表所列数据必须与本表各附件中的数据相一致。如果有不一致之处，以不利于投标人的数据为准。 </w:t>
      </w:r>
    </w:p>
    <w:p w14:paraId="306F5AAD">
      <w:pPr>
        <w:keepNext w:val="0"/>
        <w:keepLines w:val="0"/>
        <w:widowControl/>
        <w:suppressLineNumbers w:val="0"/>
        <w:spacing w:line="360" w:lineRule="auto"/>
        <w:ind w:firstLine="630" w:firstLineChars="300"/>
        <w:jc w:val="left"/>
        <w:rPr>
          <w:color w:val="auto"/>
          <w:highlight w:val="none"/>
        </w:rPr>
      </w:pPr>
      <w:r>
        <w:rPr>
          <w:rFonts w:hint="eastAsia" w:ascii="宋体" w:hAnsi="宋体" w:eastAsia="宋体" w:cs="宋体"/>
          <w:color w:val="auto"/>
          <w:kern w:val="0"/>
          <w:sz w:val="21"/>
          <w:szCs w:val="21"/>
          <w:highlight w:val="none"/>
          <w:lang w:val="en-US" w:eastAsia="zh-CN" w:bidi="ar"/>
        </w:rPr>
        <w:t>3.联合体投标的，联合体各成员应分别填写。</w:t>
      </w:r>
    </w:p>
    <w:p w14:paraId="486ABA98">
      <w:pPr>
        <w:topLinePunct/>
        <w:spacing w:line="440" w:lineRule="exact"/>
        <w:jc w:val="center"/>
        <w:rPr>
          <w:rFonts w:eastAsia="黑体"/>
          <w:color w:val="auto"/>
          <w:sz w:val="20"/>
          <w:szCs w:val="20"/>
          <w:highlight w:val="none"/>
        </w:rPr>
      </w:pPr>
    </w:p>
    <w:p w14:paraId="6A727A2A">
      <w:pPr>
        <w:spacing w:line="440" w:lineRule="exact"/>
        <w:rPr>
          <w:rFonts w:eastAsia="黑体"/>
          <w:color w:val="auto"/>
          <w:sz w:val="23"/>
          <w:szCs w:val="23"/>
          <w:highlight w:val="none"/>
        </w:rPr>
      </w:pPr>
      <w:r>
        <w:rPr>
          <w:rFonts w:eastAsia="黑体"/>
          <w:color w:val="auto"/>
          <w:sz w:val="20"/>
          <w:szCs w:val="20"/>
          <w:highlight w:val="none"/>
        </w:rPr>
        <w:br w:type="page"/>
      </w:r>
    </w:p>
    <w:p w14:paraId="0FE66429">
      <w:pPr>
        <w:pStyle w:val="4"/>
        <w:jc w:val="center"/>
        <w:rPr>
          <w:color w:val="auto"/>
          <w:highlight w:val="none"/>
        </w:rPr>
      </w:pPr>
      <w:bookmarkStart w:id="1868" w:name="_Toc25375"/>
      <w:bookmarkStart w:id="1869" w:name="_Toc247527850"/>
      <w:bookmarkStart w:id="1870" w:name="_Toc152042599"/>
      <w:bookmarkStart w:id="1871" w:name="_Toc247514302"/>
      <w:bookmarkStart w:id="1872" w:name="_Toc144974878"/>
      <w:bookmarkStart w:id="1873" w:name="_Toc1146"/>
      <w:bookmarkStart w:id="1874" w:name="_Toc7956839"/>
      <w:bookmarkStart w:id="1875" w:name="_Toc152045810"/>
      <w:bookmarkStart w:id="1876" w:name="_Toc26328"/>
      <w:r>
        <w:rPr>
          <w:rFonts w:hint="eastAsia"/>
          <w:color w:val="auto"/>
          <w:highlight w:val="none"/>
        </w:rPr>
        <w:t>（三）近年完成的类似项目情况表</w:t>
      </w:r>
      <w:bookmarkEnd w:id="1868"/>
      <w:bookmarkEnd w:id="1869"/>
      <w:bookmarkEnd w:id="1870"/>
      <w:bookmarkEnd w:id="1871"/>
      <w:bookmarkEnd w:id="1872"/>
      <w:bookmarkEnd w:id="1873"/>
      <w:bookmarkEnd w:id="1874"/>
      <w:bookmarkEnd w:id="1875"/>
      <w:bookmarkEnd w:id="1876"/>
    </w:p>
    <w:p w14:paraId="6543CC02">
      <w:pPr>
        <w:keepNext w:val="0"/>
        <w:keepLines w:val="0"/>
        <w:widowControl/>
        <w:suppressLineNumbers w:val="0"/>
        <w:jc w:val="center"/>
        <w:rPr>
          <w:color w:val="auto"/>
          <w:highlight w:val="none"/>
        </w:rPr>
      </w:pPr>
      <w:r>
        <w:rPr>
          <w:rFonts w:hint="default" w:ascii="Times New Roman" w:hAnsi="Times New Roman" w:eastAsia="宋体" w:cs="Times New Roman"/>
          <w:color w:val="auto"/>
          <w:kern w:val="0"/>
          <w:sz w:val="24"/>
          <w:szCs w:val="24"/>
          <w:highlight w:val="none"/>
          <w:lang w:val="en-US" w:eastAsia="zh-CN" w:bidi="ar"/>
        </w:rPr>
        <w:t xml:space="preserve">3-1 </w:t>
      </w:r>
      <w:r>
        <w:rPr>
          <w:rFonts w:hint="eastAsia" w:ascii="黑体" w:hAnsi="宋体" w:eastAsia="黑体" w:cs="黑体"/>
          <w:color w:val="auto"/>
          <w:kern w:val="0"/>
          <w:sz w:val="24"/>
          <w:szCs w:val="24"/>
          <w:highlight w:val="none"/>
          <w:lang w:val="en-US" w:eastAsia="zh-CN" w:bidi="ar"/>
        </w:rPr>
        <w:t>近年完成的类似项目汇总表</w:t>
      </w:r>
    </w:p>
    <w:p w14:paraId="7900B7DB">
      <w:pPr>
        <w:pStyle w:val="191"/>
        <w:jc w:val="left"/>
        <w:outlineLvl w:val="9"/>
        <w:rPr>
          <w:rStyle w:val="44"/>
          <w:rFonts w:ascii="Times New Roman" w:hAnsi="Times New Roman" w:eastAsia="Times New Roman" w:cs="Times New Roman"/>
          <w:color w:val="auto"/>
          <w:highlight w:val="none"/>
        </w:rPr>
      </w:pPr>
    </w:p>
    <w:tbl>
      <w:tblPr>
        <w:tblStyle w:val="42"/>
        <w:tblW w:w="8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1846"/>
        <w:gridCol w:w="1394"/>
        <w:gridCol w:w="1080"/>
        <w:gridCol w:w="1112"/>
        <w:gridCol w:w="1778"/>
        <w:gridCol w:w="1080"/>
      </w:tblGrid>
      <w:tr w14:paraId="3BDBA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noWrap w:val="0"/>
            <w:vAlign w:val="center"/>
          </w:tcPr>
          <w:p w14:paraId="23FC739E">
            <w:pPr>
              <w:topLinePunct/>
              <w:spacing w:line="400" w:lineRule="atLeast"/>
              <w:jc w:val="center"/>
              <w:rPr>
                <w:rFonts w:hint="eastAsia"/>
                <w:color w:val="auto"/>
                <w:szCs w:val="21"/>
                <w:highlight w:val="none"/>
              </w:rPr>
            </w:pPr>
            <w:r>
              <w:rPr>
                <w:rFonts w:hint="eastAsia"/>
                <w:color w:val="auto"/>
                <w:szCs w:val="21"/>
                <w:highlight w:val="none"/>
              </w:rPr>
              <w:t>序号</w:t>
            </w:r>
          </w:p>
        </w:tc>
        <w:tc>
          <w:tcPr>
            <w:tcW w:w="1846" w:type="dxa"/>
            <w:noWrap w:val="0"/>
            <w:vAlign w:val="center"/>
          </w:tcPr>
          <w:p w14:paraId="0A6859F2">
            <w:pPr>
              <w:topLinePunct/>
              <w:spacing w:line="400" w:lineRule="atLeast"/>
              <w:jc w:val="center"/>
              <w:rPr>
                <w:rFonts w:hint="eastAsia"/>
                <w:color w:val="auto"/>
                <w:szCs w:val="21"/>
                <w:highlight w:val="none"/>
              </w:rPr>
            </w:pPr>
            <w:r>
              <w:rPr>
                <w:rFonts w:hint="eastAsia"/>
                <w:color w:val="auto"/>
                <w:szCs w:val="21"/>
                <w:highlight w:val="none"/>
              </w:rPr>
              <w:t>项目名称</w:t>
            </w:r>
          </w:p>
        </w:tc>
        <w:tc>
          <w:tcPr>
            <w:tcW w:w="1394" w:type="dxa"/>
            <w:noWrap w:val="0"/>
            <w:vAlign w:val="center"/>
          </w:tcPr>
          <w:p w14:paraId="23E36366">
            <w:pPr>
              <w:topLinePunct/>
              <w:spacing w:line="400" w:lineRule="atLeast"/>
              <w:jc w:val="center"/>
              <w:rPr>
                <w:rFonts w:hint="eastAsia"/>
                <w:color w:val="auto"/>
                <w:szCs w:val="21"/>
                <w:highlight w:val="none"/>
              </w:rPr>
            </w:pPr>
            <w:r>
              <w:rPr>
                <w:rFonts w:hint="eastAsia" w:ascii="宋体" w:hAnsi="宋体"/>
                <w:color w:val="auto"/>
                <w:szCs w:val="21"/>
                <w:highlight w:val="none"/>
                <w:lang w:eastAsia="zh-CN"/>
              </w:rPr>
              <w:t>发包</w:t>
            </w:r>
            <w:r>
              <w:rPr>
                <w:rFonts w:hint="eastAsia" w:ascii="宋体" w:hAnsi="宋体"/>
                <w:color w:val="auto"/>
                <w:szCs w:val="21"/>
                <w:highlight w:val="none"/>
              </w:rPr>
              <w:t>人名称</w:t>
            </w:r>
          </w:p>
        </w:tc>
        <w:tc>
          <w:tcPr>
            <w:tcW w:w="1080" w:type="dxa"/>
            <w:noWrap w:val="0"/>
            <w:vAlign w:val="center"/>
          </w:tcPr>
          <w:p w14:paraId="748BD6CE">
            <w:pPr>
              <w:topLinePunct/>
              <w:spacing w:line="400" w:lineRule="atLeast"/>
              <w:jc w:val="center"/>
              <w:rPr>
                <w:rFonts w:hint="default" w:eastAsia="宋体"/>
                <w:color w:val="auto"/>
                <w:szCs w:val="21"/>
                <w:highlight w:val="none"/>
                <w:lang w:val="en-US" w:eastAsia="zh-CN"/>
              </w:rPr>
            </w:pPr>
            <w:r>
              <w:rPr>
                <w:rFonts w:hint="eastAsia"/>
                <w:color w:val="auto"/>
                <w:szCs w:val="21"/>
                <w:highlight w:val="none"/>
                <w:lang w:val="en-US" w:eastAsia="zh-CN"/>
              </w:rPr>
              <w:t>工程规模</w:t>
            </w:r>
          </w:p>
        </w:tc>
        <w:tc>
          <w:tcPr>
            <w:tcW w:w="1112" w:type="dxa"/>
            <w:noWrap w:val="0"/>
            <w:vAlign w:val="center"/>
          </w:tcPr>
          <w:p w14:paraId="2BD8E04F">
            <w:pPr>
              <w:topLinePunct/>
              <w:spacing w:line="400" w:lineRule="atLeast"/>
              <w:jc w:val="center"/>
              <w:rPr>
                <w:rFonts w:hint="eastAsia"/>
                <w:color w:val="auto"/>
                <w:szCs w:val="21"/>
                <w:highlight w:val="none"/>
              </w:rPr>
            </w:pPr>
            <w:r>
              <w:rPr>
                <w:rFonts w:hint="eastAsia" w:ascii="宋体" w:hAnsi="宋体"/>
                <w:color w:val="auto"/>
                <w:szCs w:val="21"/>
                <w:highlight w:val="none"/>
              </w:rPr>
              <w:t>合同价格</w:t>
            </w:r>
            <w:r>
              <w:rPr>
                <w:rFonts w:hint="eastAsia"/>
                <w:color w:val="auto"/>
                <w:szCs w:val="21"/>
                <w:highlight w:val="none"/>
              </w:rPr>
              <w:t>（元）</w:t>
            </w:r>
          </w:p>
        </w:tc>
        <w:tc>
          <w:tcPr>
            <w:tcW w:w="1778" w:type="dxa"/>
            <w:noWrap w:val="0"/>
            <w:vAlign w:val="center"/>
          </w:tcPr>
          <w:p w14:paraId="2062E934">
            <w:pPr>
              <w:topLinePunct/>
              <w:spacing w:line="400" w:lineRule="atLeast"/>
              <w:jc w:val="center"/>
              <w:rPr>
                <w:rFonts w:hint="eastAsia"/>
                <w:color w:val="auto"/>
                <w:szCs w:val="21"/>
                <w:highlight w:val="none"/>
              </w:rPr>
            </w:pPr>
            <w:r>
              <w:rPr>
                <w:rFonts w:hint="eastAsia" w:ascii="宋体" w:hAnsi="宋体"/>
                <w:color w:val="auto"/>
                <w:szCs w:val="21"/>
                <w:highlight w:val="none"/>
                <w:lang w:val="en-US" w:eastAsia="zh-CN"/>
              </w:rPr>
              <w:t>开、竣工</w:t>
            </w:r>
            <w:r>
              <w:rPr>
                <w:rFonts w:hint="eastAsia" w:ascii="宋体" w:hAnsi="宋体"/>
                <w:color w:val="auto"/>
                <w:szCs w:val="21"/>
                <w:highlight w:val="none"/>
              </w:rPr>
              <w:t>日期</w:t>
            </w:r>
          </w:p>
        </w:tc>
        <w:tc>
          <w:tcPr>
            <w:tcW w:w="1080" w:type="dxa"/>
            <w:noWrap w:val="0"/>
            <w:vAlign w:val="center"/>
          </w:tcPr>
          <w:p w14:paraId="4775976F">
            <w:pPr>
              <w:topLinePunct/>
              <w:spacing w:line="400" w:lineRule="atLeast"/>
              <w:jc w:val="center"/>
              <w:rPr>
                <w:rFonts w:hint="default" w:eastAsia="宋体"/>
                <w:color w:val="auto"/>
                <w:szCs w:val="21"/>
                <w:highlight w:val="none"/>
                <w:lang w:val="en-US" w:eastAsia="zh-CN"/>
              </w:rPr>
            </w:pPr>
            <w:r>
              <w:rPr>
                <w:rFonts w:hint="eastAsia" w:ascii="宋体" w:hAnsi="宋体"/>
                <w:color w:val="auto"/>
                <w:szCs w:val="21"/>
                <w:highlight w:val="none"/>
                <w:lang w:val="en-US" w:eastAsia="zh-CN"/>
              </w:rPr>
              <w:t>项目经理</w:t>
            </w:r>
          </w:p>
        </w:tc>
      </w:tr>
      <w:tr w14:paraId="7381B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14:paraId="285CBBCB">
            <w:pPr>
              <w:topLinePunct/>
              <w:spacing w:line="400" w:lineRule="atLeast"/>
              <w:jc w:val="center"/>
              <w:rPr>
                <w:rFonts w:hint="eastAsia"/>
                <w:color w:val="auto"/>
                <w:szCs w:val="21"/>
                <w:highlight w:val="none"/>
              </w:rPr>
            </w:pPr>
          </w:p>
        </w:tc>
        <w:tc>
          <w:tcPr>
            <w:tcW w:w="1846" w:type="dxa"/>
            <w:noWrap w:val="0"/>
            <w:vAlign w:val="top"/>
          </w:tcPr>
          <w:p w14:paraId="6B354A8E">
            <w:pPr>
              <w:topLinePunct/>
              <w:spacing w:line="400" w:lineRule="atLeast"/>
              <w:jc w:val="center"/>
              <w:rPr>
                <w:rFonts w:hint="eastAsia"/>
                <w:color w:val="auto"/>
                <w:szCs w:val="21"/>
                <w:highlight w:val="none"/>
              </w:rPr>
            </w:pPr>
          </w:p>
        </w:tc>
        <w:tc>
          <w:tcPr>
            <w:tcW w:w="1394" w:type="dxa"/>
            <w:noWrap w:val="0"/>
            <w:vAlign w:val="top"/>
          </w:tcPr>
          <w:p w14:paraId="1B127626">
            <w:pPr>
              <w:topLinePunct/>
              <w:spacing w:line="400" w:lineRule="atLeast"/>
              <w:jc w:val="center"/>
              <w:rPr>
                <w:rFonts w:hint="eastAsia"/>
                <w:color w:val="auto"/>
                <w:szCs w:val="21"/>
                <w:highlight w:val="none"/>
              </w:rPr>
            </w:pPr>
          </w:p>
        </w:tc>
        <w:tc>
          <w:tcPr>
            <w:tcW w:w="1080" w:type="dxa"/>
            <w:noWrap w:val="0"/>
            <w:vAlign w:val="top"/>
          </w:tcPr>
          <w:p w14:paraId="740F0A3B">
            <w:pPr>
              <w:topLinePunct/>
              <w:spacing w:line="400" w:lineRule="atLeast"/>
              <w:jc w:val="center"/>
              <w:rPr>
                <w:rFonts w:hint="eastAsia"/>
                <w:color w:val="auto"/>
                <w:szCs w:val="21"/>
                <w:highlight w:val="none"/>
              </w:rPr>
            </w:pPr>
          </w:p>
        </w:tc>
        <w:tc>
          <w:tcPr>
            <w:tcW w:w="1112" w:type="dxa"/>
            <w:noWrap w:val="0"/>
            <w:vAlign w:val="top"/>
          </w:tcPr>
          <w:p w14:paraId="519563EC">
            <w:pPr>
              <w:topLinePunct/>
              <w:spacing w:line="400" w:lineRule="atLeast"/>
              <w:jc w:val="center"/>
              <w:rPr>
                <w:rFonts w:hint="eastAsia"/>
                <w:color w:val="auto"/>
                <w:szCs w:val="21"/>
                <w:highlight w:val="none"/>
              </w:rPr>
            </w:pPr>
          </w:p>
        </w:tc>
        <w:tc>
          <w:tcPr>
            <w:tcW w:w="1778" w:type="dxa"/>
            <w:noWrap w:val="0"/>
            <w:vAlign w:val="top"/>
          </w:tcPr>
          <w:p w14:paraId="5D90D6A9">
            <w:pPr>
              <w:topLinePunct/>
              <w:spacing w:line="400" w:lineRule="atLeast"/>
              <w:jc w:val="center"/>
              <w:rPr>
                <w:rFonts w:hint="eastAsia"/>
                <w:color w:val="auto"/>
                <w:szCs w:val="21"/>
                <w:highlight w:val="none"/>
              </w:rPr>
            </w:pPr>
          </w:p>
        </w:tc>
        <w:tc>
          <w:tcPr>
            <w:tcW w:w="1080" w:type="dxa"/>
            <w:noWrap w:val="0"/>
            <w:vAlign w:val="top"/>
          </w:tcPr>
          <w:p w14:paraId="0084967B">
            <w:pPr>
              <w:topLinePunct/>
              <w:spacing w:line="400" w:lineRule="atLeast"/>
              <w:jc w:val="center"/>
              <w:rPr>
                <w:rFonts w:hint="eastAsia"/>
                <w:color w:val="auto"/>
                <w:szCs w:val="21"/>
                <w:highlight w:val="none"/>
              </w:rPr>
            </w:pPr>
          </w:p>
        </w:tc>
      </w:tr>
      <w:tr w14:paraId="1018C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14:paraId="2BF6B5D0">
            <w:pPr>
              <w:topLinePunct/>
              <w:spacing w:line="400" w:lineRule="atLeast"/>
              <w:jc w:val="center"/>
              <w:rPr>
                <w:rFonts w:hint="eastAsia"/>
                <w:color w:val="auto"/>
                <w:szCs w:val="21"/>
                <w:highlight w:val="none"/>
              </w:rPr>
            </w:pPr>
          </w:p>
        </w:tc>
        <w:tc>
          <w:tcPr>
            <w:tcW w:w="1846" w:type="dxa"/>
            <w:noWrap w:val="0"/>
            <w:vAlign w:val="top"/>
          </w:tcPr>
          <w:p w14:paraId="7A95BD0B">
            <w:pPr>
              <w:topLinePunct/>
              <w:spacing w:line="400" w:lineRule="atLeast"/>
              <w:jc w:val="center"/>
              <w:rPr>
                <w:rFonts w:hint="eastAsia"/>
                <w:color w:val="auto"/>
                <w:szCs w:val="21"/>
                <w:highlight w:val="none"/>
              </w:rPr>
            </w:pPr>
          </w:p>
        </w:tc>
        <w:tc>
          <w:tcPr>
            <w:tcW w:w="1394" w:type="dxa"/>
            <w:noWrap w:val="0"/>
            <w:vAlign w:val="top"/>
          </w:tcPr>
          <w:p w14:paraId="11F757D0">
            <w:pPr>
              <w:topLinePunct/>
              <w:spacing w:line="400" w:lineRule="atLeast"/>
              <w:jc w:val="center"/>
              <w:rPr>
                <w:rFonts w:hint="eastAsia"/>
                <w:color w:val="auto"/>
                <w:szCs w:val="21"/>
                <w:highlight w:val="none"/>
              </w:rPr>
            </w:pPr>
          </w:p>
        </w:tc>
        <w:tc>
          <w:tcPr>
            <w:tcW w:w="1080" w:type="dxa"/>
            <w:noWrap w:val="0"/>
            <w:vAlign w:val="top"/>
          </w:tcPr>
          <w:p w14:paraId="73D58313">
            <w:pPr>
              <w:topLinePunct/>
              <w:spacing w:line="400" w:lineRule="atLeast"/>
              <w:jc w:val="center"/>
              <w:rPr>
                <w:rFonts w:hint="eastAsia"/>
                <w:color w:val="auto"/>
                <w:szCs w:val="21"/>
                <w:highlight w:val="none"/>
              </w:rPr>
            </w:pPr>
          </w:p>
        </w:tc>
        <w:tc>
          <w:tcPr>
            <w:tcW w:w="1112" w:type="dxa"/>
            <w:noWrap w:val="0"/>
            <w:vAlign w:val="top"/>
          </w:tcPr>
          <w:p w14:paraId="6CAED1CB">
            <w:pPr>
              <w:topLinePunct/>
              <w:spacing w:line="400" w:lineRule="atLeast"/>
              <w:jc w:val="center"/>
              <w:rPr>
                <w:rFonts w:hint="eastAsia"/>
                <w:color w:val="auto"/>
                <w:szCs w:val="21"/>
                <w:highlight w:val="none"/>
              </w:rPr>
            </w:pPr>
          </w:p>
        </w:tc>
        <w:tc>
          <w:tcPr>
            <w:tcW w:w="1778" w:type="dxa"/>
            <w:noWrap w:val="0"/>
            <w:vAlign w:val="top"/>
          </w:tcPr>
          <w:p w14:paraId="161CC2BC">
            <w:pPr>
              <w:topLinePunct/>
              <w:spacing w:line="400" w:lineRule="atLeast"/>
              <w:jc w:val="center"/>
              <w:rPr>
                <w:rFonts w:hint="eastAsia"/>
                <w:color w:val="auto"/>
                <w:szCs w:val="21"/>
                <w:highlight w:val="none"/>
              </w:rPr>
            </w:pPr>
          </w:p>
        </w:tc>
        <w:tc>
          <w:tcPr>
            <w:tcW w:w="1080" w:type="dxa"/>
            <w:noWrap w:val="0"/>
            <w:vAlign w:val="top"/>
          </w:tcPr>
          <w:p w14:paraId="3A58FB1A">
            <w:pPr>
              <w:topLinePunct/>
              <w:spacing w:line="400" w:lineRule="atLeast"/>
              <w:jc w:val="center"/>
              <w:rPr>
                <w:rFonts w:hint="eastAsia"/>
                <w:color w:val="auto"/>
                <w:szCs w:val="21"/>
                <w:highlight w:val="none"/>
              </w:rPr>
            </w:pPr>
          </w:p>
        </w:tc>
      </w:tr>
      <w:tr w14:paraId="729E7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14:paraId="5F654E16">
            <w:pPr>
              <w:topLinePunct/>
              <w:spacing w:line="400" w:lineRule="atLeast"/>
              <w:jc w:val="center"/>
              <w:rPr>
                <w:rFonts w:hint="eastAsia"/>
                <w:color w:val="auto"/>
                <w:szCs w:val="21"/>
                <w:highlight w:val="none"/>
              </w:rPr>
            </w:pPr>
          </w:p>
        </w:tc>
        <w:tc>
          <w:tcPr>
            <w:tcW w:w="1846" w:type="dxa"/>
            <w:noWrap w:val="0"/>
            <w:vAlign w:val="top"/>
          </w:tcPr>
          <w:p w14:paraId="3EA1AFD8">
            <w:pPr>
              <w:topLinePunct/>
              <w:spacing w:line="400" w:lineRule="atLeast"/>
              <w:jc w:val="center"/>
              <w:rPr>
                <w:rFonts w:hint="eastAsia"/>
                <w:color w:val="auto"/>
                <w:szCs w:val="21"/>
                <w:highlight w:val="none"/>
              </w:rPr>
            </w:pPr>
          </w:p>
        </w:tc>
        <w:tc>
          <w:tcPr>
            <w:tcW w:w="1394" w:type="dxa"/>
            <w:noWrap w:val="0"/>
            <w:vAlign w:val="top"/>
          </w:tcPr>
          <w:p w14:paraId="7CB1CF12">
            <w:pPr>
              <w:topLinePunct/>
              <w:spacing w:line="400" w:lineRule="atLeast"/>
              <w:jc w:val="center"/>
              <w:rPr>
                <w:rFonts w:hint="eastAsia"/>
                <w:color w:val="auto"/>
                <w:szCs w:val="21"/>
                <w:highlight w:val="none"/>
              </w:rPr>
            </w:pPr>
          </w:p>
        </w:tc>
        <w:tc>
          <w:tcPr>
            <w:tcW w:w="1080" w:type="dxa"/>
            <w:noWrap w:val="0"/>
            <w:vAlign w:val="top"/>
          </w:tcPr>
          <w:p w14:paraId="42ED3E7F">
            <w:pPr>
              <w:topLinePunct/>
              <w:spacing w:line="400" w:lineRule="atLeast"/>
              <w:jc w:val="center"/>
              <w:rPr>
                <w:rFonts w:hint="eastAsia"/>
                <w:color w:val="auto"/>
                <w:szCs w:val="21"/>
                <w:highlight w:val="none"/>
              </w:rPr>
            </w:pPr>
          </w:p>
        </w:tc>
        <w:tc>
          <w:tcPr>
            <w:tcW w:w="1112" w:type="dxa"/>
            <w:noWrap w:val="0"/>
            <w:vAlign w:val="top"/>
          </w:tcPr>
          <w:p w14:paraId="6D10E3E5">
            <w:pPr>
              <w:topLinePunct/>
              <w:spacing w:line="400" w:lineRule="atLeast"/>
              <w:jc w:val="center"/>
              <w:rPr>
                <w:rFonts w:hint="eastAsia"/>
                <w:color w:val="auto"/>
                <w:szCs w:val="21"/>
                <w:highlight w:val="none"/>
              </w:rPr>
            </w:pPr>
          </w:p>
        </w:tc>
        <w:tc>
          <w:tcPr>
            <w:tcW w:w="1778" w:type="dxa"/>
            <w:noWrap w:val="0"/>
            <w:vAlign w:val="top"/>
          </w:tcPr>
          <w:p w14:paraId="01E67A45">
            <w:pPr>
              <w:topLinePunct/>
              <w:spacing w:line="400" w:lineRule="atLeast"/>
              <w:jc w:val="center"/>
              <w:rPr>
                <w:rFonts w:hint="eastAsia"/>
                <w:color w:val="auto"/>
                <w:szCs w:val="21"/>
                <w:highlight w:val="none"/>
              </w:rPr>
            </w:pPr>
          </w:p>
        </w:tc>
        <w:tc>
          <w:tcPr>
            <w:tcW w:w="1080" w:type="dxa"/>
            <w:noWrap w:val="0"/>
            <w:vAlign w:val="top"/>
          </w:tcPr>
          <w:p w14:paraId="4DC63D86">
            <w:pPr>
              <w:topLinePunct/>
              <w:spacing w:line="400" w:lineRule="atLeast"/>
              <w:jc w:val="center"/>
              <w:rPr>
                <w:rFonts w:hint="eastAsia"/>
                <w:color w:val="auto"/>
                <w:szCs w:val="21"/>
                <w:highlight w:val="none"/>
              </w:rPr>
            </w:pPr>
          </w:p>
        </w:tc>
      </w:tr>
      <w:tr w14:paraId="5F85D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14:paraId="24742001">
            <w:pPr>
              <w:topLinePunct/>
              <w:spacing w:line="400" w:lineRule="atLeast"/>
              <w:jc w:val="center"/>
              <w:rPr>
                <w:rFonts w:hint="eastAsia"/>
                <w:color w:val="auto"/>
                <w:szCs w:val="21"/>
                <w:highlight w:val="none"/>
              </w:rPr>
            </w:pPr>
          </w:p>
        </w:tc>
        <w:tc>
          <w:tcPr>
            <w:tcW w:w="1846" w:type="dxa"/>
            <w:noWrap w:val="0"/>
            <w:vAlign w:val="top"/>
          </w:tcPr>
          <w:p w14:paraId="0F812E5A">
            <w:pPr>
              <w:topLinePunct/>
              <w:spacing w:line="400" w:lineRule="atLeast"/>
              <w:jc w:val="center"/>
              <w:rPr>
                <w:rFonts w:hint="eastAsia"/>
                <w:color w:val="auto"/>
                <w:szCs w:val="21"/>
                <w:highlight w:val="none"/>
              </w:rPr>
            </w:pPr>
          </w:p>
        </w:tc>
        <w:tc>
          <w:tcPr>
            <w:tcW w:w="1394" w:type="dxa"/>
            <w:noWrap w:val="0"/>
            <w:vAlign w:val="top"/>
          </w:tcPr>
          <w:p w14:paraId="49515163">
            <w:pPr>
              <w:topLinePunct/>
              <w:spacing w:line="400" w:lineRule="atLeast"/>
              <w:jc w:val="center"/>
              <w:rPr>
                <w:rFonts w:hint="eastAsia"/>
                <w:color w:val="auto"/>
                <w:szCs w:val="21"/>
                <w:highlight w:val="none"/>
              </w:rPr>
            </w:pPr>
          </w:p>
        </w:tc>
        <w:tc>
          <w:tcPr>
            <w:tcW w:w="1080" w:type="dxa"/>
            <w:noWrap w:val="0"/>
            <w:vAlign w:val="top"/>
          </w:tcPr>
          <w:p w14:paraId="7E888B77">
            <w:pPr>
              <w:topLinePunct/>
              <w:spacing w:line="400" w:lineRule="atLeast"/>
              <w:jc w:val="center"/>
              <w:rPr>
                <w:rFonts w:hint="eastAsia"/>
                <w:color w:val="auto"/>
                <w:szCs w:val="21"/>
                <w:highlight w:val="none"/>
              </w:rPr>
            </w:pPr>
          </w:p>
        </w:tc>
        <w:tc>
          <w:tcPr>
            <w:tcW w:w="1112" w:type="dxa"/>
            <w:noWrap w:val="0"/>
            <w:vAlign w:val="top"/>
          </w:tcPr>
          <w:p w14:paraId="5559E9A2">
            <w:pPr>
              <w:topLinePunct/>
              <w:spacing w:line="400" w:lineRule="atLeast"/>
              <w:jc w:val="center"/>
              <w:rPr>
                <w:rFonts w:hint="eastAsia"/>
                <w:color w:val="auto"/>
                <w:szCs w:val="21"/>
                <w:highlight w:val="none"/>
              </w:rPr>
            </w:pPr>
          </w:p>
        </w:tc>
        <w:tc>
          <w:tcPr>
            <w:tcW w:w="1778" w:type="dxa"/>
            <w:noWrap w:val="0"/>
            <w:vAlign w:val="top"/>
          </w:tcPr>
          <w:p w14:paraId="25E0CC11">
            <w:pPr>
              <w:topLinePunct/>
              <w:spacing w:line="400" w:lineRule="atLeast"/>
              <w:jc w:val="center"/>
              <w:rPr>
                <w:rFonts w:hint="eastAsia"/>
                <w:color w:val="auto"/>
                <w:szCs w:val="21"/>
                <w:highlight w:val="none"/>
              </w:rPr>
            </w:pPr>
          </w:p>
        </w:tc>
        <w:tc>
          <w:tcPr>
            <w:tcW w:w="1080" w:type="dxa"/>
            <w:noWrap w:val="0"/>
            <w:vAlign w:val="top"/>
          </w:tcPr>
          <w:p w14:paraId="71DD8C6C">
            <w:pPr>
              <w:topLinePunct/>
              <w:spacing w:line="400" w:lineRule="atLeast"/>
              <w:jc w:val="center"/>
              <w:rPr>
                <w:rFonts w:hint="eastAsia"/>
                <w:color w:val="auto"/>
                <w:szCs w:val="21"/>
                <w:highlight w:val="none"/>
              </w:rPr>
            </w:pPr>
          </w:p>
        </w:tc>
      </w:tr>
      <w:tr w14:paraId="2F9FD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14:paraId="7166D6AF">
            <w:pPr>
              <w:topLinePunct/>
              <w:spacing w:line="400" w:lineRule="atLeast"/>
              <w:jc w:val="center"/>
              <w:rPr>
                <w:rFonts w:hint="eastAsia"/>
                <w:color w:val="auto"/>
                <w:szCs w:val="21"/>
                <w:highlight w:val="none"/>
              </w:rPr>
            </w:pPr>
          </w:p>
        </w:tc>
        <w:tc>
          <w:tcPr>
            <w:tcW w:w="1846" w:type="dxa"/>
            <w:noWrap w:val="0"/>
            <w:vAlign w:val="top"/>
          </w:tcPr>
          <w:p w14:paraId="255B0DDA">
            <w:pPr>
              <w:topLinePunct/>
              <w:spacing w:line="400" w:lineRule="atLeast"/>
              <w:jc w:val="center"/>
              <w:rPr>
                <w:rFonts w:hint="eastAsia"/>
                <w:color w:val="auto"/>
                <w:szCs w:val="21"/>
                <w:highlight w:val="none"/>
              </w:rPr>
            </w:pPr>
          </w:p>
        </w:tc>
        <w:tc>
          <w:tcPr>
            <w:tcW w:w="1394" w:type="dxa"/>
            <w:noWrap w:val="0"/>
            <w:vAlign w:val="top"/>
          </w:tcPr>
          <w:p w14:paraId="264DD718">
            <w:pPr>
              <w:topLinePunct/>
              <w:spacing w:line="400" w:lineRule="atLeast"/>
              <w:jc w:val="center"/>
              <w:rPr>
                <w:rFonts w:hint="eastAsia"/>
                <w:color w:val="auto"/>
                <w:szCs w:val="21"/>
                <w:highlight w:val="none"/>
              </w:rPr>
            </w:pPr>
          </w:p>
        </w:tc>
        <w:tc>
          <w:tcPr>
            <w:tcW w:w="1080" w:type="dxa"/>
            <w:noWrap w:val="0"/>
            <w:vAlign w:val="top"/>
          </w:tcPr>
          <w:p w14:paraId="58174CA5">
            <w:pPr>
              <w:topLinePunct/>
              <w:spacing w:line="400" w:lineRule="atLeast"/>
              <w:jc w:val="center"/>
              <w:rPr>
                <w:rFonts w:hint="eastAsia"/>
                <w:color w:val="auto"/>
                <w:szCs w:val="21"/>
                <w:highlight w:val="none"/>
              </w:rPr>
            </w:pPr>
          </w:p>
        </w:tc>
        <w:tc>
          <w:tcPr>
            <w:tcW w:w="1112" w:type="dxa"/>
            <w:noWrap w:val="0"/>
            <w:vAlign w:val="top"/>
          </w:tcPr>
          <w:p w14:paraId="0204FE12">
            <w:pPr>
              <w:topLinePunct/>
              <w:spacing w:line="400" w:lineRule="atLeast"/>
              <w:jc w:val="center"/>
              <w:rPr>
                <w:rFonts w:hint="eastAsia"/>
                <w:color w:val="auto"/>
                <w:szCs w:val="21"/>
                <w:highlight w:val="none"/>
              </w:rPr>
            </w:pPr>
          </w:p>
        </w:tc>
        <w:tc>
          <w:tcPr>
            <w:tcW w:w="1778" w:type="dxa"/>
            <w:noWrap w:val="0"/>
            <w:vAlign w:val="top"/>
          </w:tcPr>
          <w:p w14:paraId="0F08785B">
            <w:pPr>
              <w:topLinePunct/>
              <w:spacing w:line="400" w:lineRule="atLeast"/>
              <w:jc w:val="center"/>
              <w:rPr>
                <w:rFonts w:hint="eastAsia"/>
                <w:color w:val="auto"/>
                <w:szCs w:val="21"/>
                <w:highlight w:val="none"/>
              </w:rPr>
            </w:pPr>
          </w:p>
        </w:tc>
        <w:tc>
          <w:tcPr>
            <w:tcW w:w="1080" w:type="dxa"/>
            <w:noWrap w:val="0"/>
            <w:vAlign w:val="top"/>
          </w:tcPr>
          <w:p w14:paraId="1D389659">
            <w:pPr>
              <w:topLinePunct/>
              <w:spacing w:line="400" w:lineRule="atLeast"/>
              <w:jc w:val="center"/>
              <w:rPr>
                <w:rFonts w:hint="eastAsia"/>
                <w:color w:val="auto"/>
                <w:szCs w:val="21"/>
                <w:highlight w:val="none"/>
              </w:rPr>
            </w:pPr>
          </w:p>
        </w:tc>
      </w:tr>
      <w:tr w14:paraId="63390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14:paraId="22BB4B9C">
            <w:pPr>
              <w:topLinePunct/>
              <w:spacing w:line="400" w:lineRule="atLeast"/>
              <w:jc w:val="center"/>
              <w:rPr>
                <w:rFonts w:hint="eastAsia"/>
                <w:color w:val="auto"/>
                <w:szCs w:val="21"/>
                <w:highlight w:val="none"/>
              </w:rPr>
            </w:pPr>
          </w:p>
        </w:tc>
        <w:tc>
          <w:tcPr>
            <w:tcW w:w="1846" w:type="dxa"/>
            <w:noWrap w:val="0"/>
            <w:vAlign w:val="top"/>
          </w:tcPr>
          <w:p w14:paraId="3BD2A29E">
            <w:pPr>
              <w:topLinePunct/>
              <w:spacing w:line="400" w:lineRule="atLeast"/>
              <w:jc w:val="center"/>
              <w:rPr>
                <w:rFonts w:hint="eastAsia"/>
                <w:color w:val="auto"/>
                <w:szCs w:val="21"/>
                <w:highlight w:val="none"/>
              </w:rPr>
            </w:pPr>
          </w:p>
        </w:tc>
        <w:tc>
          <w:tcPr>
            <w:tcW w:w="1394" w:type="dxa"/>
            <w:noWrap w:val="0"/>
            <w:vAlign w:val="top"/>
          </w:tcPr>
          <w:p w14:paraId="5C4A1305">
            <w:pPr>
              <w:topLinePunct/>
              <w:spacing w:line="400" w:lineRule="atLeast"/>
              <w:jc w:val="center"/>
              <w:rPr>
                <w:rFonts w:hint="eastAsia"/>
                <w:color w:val="auto"/>
                <w:szCs w:val="21"/>
                <w:highlight w:val="none"/>
              </w:rPr>
            </w:pPr>
          </w:p>
        </w:tc>
        <w:tc>
          <w:tcPr>
            <w:tcW w:w="1080" w:type="dxa"/>
            <w:noWrap w:val="0"/>
            <w:vAlign w:val="top"/>
          </w:tcPr>
          <w:p w14:paraId="2F570138">
            <w:pPr>
              <w:topLinePunct/>
              <w:spacing w:line="400" w:lineRule="atLeast"/>
              <w:jc w:val="center"/>
              <w:rPr>
                <w:rFonts w:hint="eastAsia"/>
                <w:color w:val="auto"/>
                <w:szCs w:val="21"/>
                <w:highlight w:val="none"/>
              </w:rPr>
            </w:pPr>
          </w:p>
        </w:tc>
        <w:tc>
          <w:tcPr>
            <w:tcW w:w="1112" w:type="dxa"/>
            <w:noWrap w:val="0"/>
            <w:vAlign w:val="top"/>
          </w:tcPr>
          <w:p w14:paraId="1EFB114E">
            <w:pPr>
              <w:topLinePunct/>
              <w:spacing w:line="400" w:lineRule="atLeast"/>
              <w:jc w:val="center"/>
              <w:rPr>
                <w:rFonts w:hint="eastAsia"/>
                <w:color w:val="auto"/>
                <w:szCs w:val="21"/>
                <w:highlight w:val="none"/>
              </w:rPr>
            </w:pPr>
          </w:p>
        </w:tc>
        <w:tc>
          <w:tcPr>
            <w:tcW w:w="1778" w:type="dxa"/>
            <w:noWrap w:val="0"/>
            <w:vAlign w:val="top"/>
          </w:tcPr>
          <w:p w14:paraId="0E99DBC9">
            <w:pPr>
              <w:topLinePunct/>
              <w:spacing w:line="400" w:lineRule="atLeast"/>
              <w:jc w:val="center"/>
              <w:rPr>
                <w:rFonts w:hint="eastAsia"/>
                <w:color w:val="auto"/>
                <w:szCs w:val="21"/>
                <w:highlight w:val="none"/>
              </w:rPr>
            </w:pPr>
          </w:p>
        </w:tc>
        <w:tc>
          <w:tcPr>
            <w:tcW w:w="1080" w:type="dxa"/>
            <w:noWrap w:val="0"/>
            <w:vAlign w:val="top"/>
          </w:tcPr>
          <w:p w14:paraId="34F7DCEE">
            <w:pPr>
              <w:topLinePunct/>
              <w:spacing w:line="400" w:lineRule="atLeast"/>
              <w:jc w:val="center"/>
              <w:rPr>
                <w:rFonts w:hint="eastAsia"/>
                <w:color w:val="auto"/>
                <w:szCs w:val="21"/>
                <w:highlight w:val="none"/>
              </w:rPr>
            </w:pPr>
          </w:p>
        </w:tc>
      </w:tr>
      <w:tr w14:paraId="31A33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14:paraId="14EC06C2">
            <w:pPr>
              <w:topLinePunct/>
              <w:spacing w:line="400" w:lineRule="atLeast"/>
              <w:jc w:val="center"/>
              <w:rPr>
                <w:rFonts w:hint="eastAsia"/>
                <w:color w:val="auto"/>
                <w:szCs w:val="21"/>
                <w:highlight w:val="none"/>
              </w:rPr>
            </w:pPr>
          </w:p>
        </w:tc>
        <w:tc>
          <w:tcPr>
            <w:tcW w:w="1846" w:type="dxa"/>
            <w:noWrap w:val="0"/>
            <w:vAlign w:val="top"/>
          </w:tcPr>
          <w:p w14:paraId="344A2D12">
            <w:pPr>
              <w:topLinePunct/>
              <w:spacing w:line="400" w:lineRule="atLeast"/>
              <w:jc w:val="center"/>
              <w:rPr>
                <w:rFonts w:hint="eastAsia"/>
                <w:color w:val="auto"/>
                <w:szCs w:val="21"/>
                <w:highlight w:val="none"/>
              </w:rPr>
            </w:pPr>
          </w:p>
        </w:tc>
        <w:tc>
          <w:tcPr>
            <w:tcW w:w="1394" w:type="dxa"/>
            <w:noWrap w:val="0"/>
            <w:vAlign w:val="top"/>
          </w:tcPr>
          <w:p w14:paraId="7ECC5AB6">
            <w:pPr>
              <w:topLinePunct/>
              <w:spacing w:line="400" w:lineRule="atLeast"/>
              <w:jc w:val="center"/>
              <w:rPr>
                <w:rFonts w:hint="eastAsia"/>
                <w:color w:val="auto"/>
                <w:szCs w:val="21"/>
                <w:highlight w:val="none"/>
              </w:rPr>
            </w:pPr>
          </w:p>
        </w:tc>
        <w:tc>
          <w:tcPr>
            <w:tcW w:w="1080" w:type="dxa"/>
            <w:noWrap w:val="0"/>
            <w:vAlign w:val="top"/>
          </w:tcPr>
          <w:p w14:paraId="7EBDB279">
            <w:pPr>
              <w:topLinePunct/>
              <w:spacing w:line="400" w:lineRule="atLeast"/>
              <w:jc w:val="center"/>
              <w:rPr>
                <w:rFonts w:hint="eastAsia"/>
                <w:color w:val="auto"/>
                <w:szCs w:val="21"/>
                <w:highlight w:val="none"/>
              </w:rPr>
            </w:pPr>
          </w:p>
        </w:tc>
        <w:tc>
          <w:tcPr>
            <w:tcW w:w="1112" w:type="dxa"/>
            <w:noWrap w:val="0"/>
            <w:vAlign w:val="top"/>
          </w:tcPr>
          <w:p w14:paraId="5831524A">
            <w:pPr>
              <w:topLinePunct/>
              <w:spacing w:line="400" w:lineRule="atLeast"/>
              <w:jc w:val="center"/>
              <w:rPr>
                <w:rFonts w:hint="eastAsia"/>
                <w:color w:val="auto"/>
                <w:szCs w:val="21"/>
                <w:highlight w:val="none"/>
              </w:rPr>
            </w:pPr>
          </w:p>
        </w:tc>
        <w:tc>
          <w:tcPr>
            <w:tcW w:w="1778" w:type="dxa"/>
            <w:noWrap w:val="0"/>
            <w:vAlign w:val="top"/>
          </w:tcPr>
          <w:p w14:paraId="374ECE19">
            <w:pPr>
              <w:topLinePunct/>
              <w:spacing w:line="400" w:lineRule="atLeast"/>
              <w:jc w:val="center"/>
              <w:rPr>
                <w:rFonts w:hint="eastAsia"/>
                <w:color w:val="auto"/>
                <w:szCs w:val="21"/>
                <w:highlight w:val="none"/>
              </w:rPr>
            </w:pPr>
          </w:p>
        </w:tc>
        <w:tc>
          <w:tcPr>
            <w:tcW w:w="1080" w:type="dxa"/>
            <w:noWrap w:val="0"/>
            <w:vAlign w:val="top"/>
          </w:tcPr>
          <w:p w14:paraId="0493CE3A">
            <w:pPr>
              <w:topLinePunct/>
              <w:spacing w:line="400" w:lineRule="atLeast"/>
              <w:jc w:val="center"/>
              <w:rPr>
                <w:rFonts w:hint="eastAsia"/>
                <w:color w:val="auto"/>
                <w:szCs w:val="21"/>
                <w:highlight w:val="none"/>
              </w:rPr>
            </w:pPr>
          </w:p>
        </w:tc>
      </w:tr>
      <w:tr w14:paraId="65A6C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14:paraId="25DC934C">
            <w:pPr>
              <w:topLinePunct/>
              <w:spacing w:line="400" w:lineRule="atLeast"/>
              <w:jc w:val="center"/>
              <w:rPr>
                <w:rFonts w:hint="eastAsia"/>
                <w:color w:val="auto"/>
                <w:szCs w:val="21"/>
                <w:highlight w:val="none"/>
              </w:rPr>
            </w:pPr>
          </w:p>
        </w:tc>
        <w:tc>
          <w:tcPr>
            <w:tcW w:w="1846" w:type="dxa"/>
            <w:noWrap w:val="0"/>
            <w:vAlign w:val="top"/>
          </w:tcPr>
          <w:p w14:paraId="266BA512">
            <w:pPr>
              <w:topLinePunct/>
              <w:spacing w:line="400" w:lineRule="atLeast"/>
              <w:jc w:val="center"/>
              <w:rPr>
                <w:rFonts w:hint="eastAsia"/>
                <w:color w:val="auto"/>
                <w:szCs w:val="21"/>
                <w:highlight w:val="none"/>
              </w:rPr>
            </w:pPr>
          </w:p>
        </w:tc>
        <w:tc>
          <w:tcPr>
            <w:tcW w:w="1394" w:type="dxa"/>
            <w:noWrap w:val="0"/>
            <w:vAlign w:val="top"/>
          </w:tcPr>
          <w:p w14:paraId="3F69EE8E">
            <w:pPr>
              <w:topLinePunct/>
              <w:spacing w:line="400" w:lineRule="atLeast"/>
              <w:jc w:val="center"/>
              <w:rPr>
                <w:rFonts w:hint="eastAsia"/>
                <w:color w:val="auto"/>
                <w:szCs w:val="21"/>
                <w:highlight w:val="none"/>
              </w:rPr>
            </w:pPr>
          </w:p>
        </w:tc>
        <w:tc>
          <w:tcPr>
            <w:tcW w:w="1080" w:type="dxa"/>
            <w:noWrap w:val="0"/>
            <w:vAlign w:val="top"/>
          </w:tcPr>
          <w:p w14:paraId="2E3ADDC4">
            <w:pPr>
              <w:topLinePunct/>
              <w:spacing w:line="400" w:lineRule="atLeast"/>
              <w:jc w:val="center"/>
              <w:rPr>
                <w:rFonts w:hint="eastAsia"/>
                <w:color w:val="auto"/>
                <w:szCs w:val="21"/>
                <w:highlight w:val="none"/>
              </w:rPr>
            </w:pPr>
          </w:p>
        </w:tc>
        <w:tc>
          <w:tcPr>
            <w:tcW w:w="1112" w:type="dxa"/>
            <w:noWrap w:val="0"/>
            <w:vAlign w:val="top"/>
          </w:tcPr>
          <w:p w14:paraId="2F3C0EFB">
            <w:pPr>
              <w:topLinePunct/>
              <w:spacing w:line="400" w:lineRule="atLeast"/>
              <w:jc w:val="center"/>
              <w:rPr>
                <w:rFonts w:hint="eastAsia"/>
                <w:color w:val="auto"/>
                <w:szCs w:val="21"/>
                <w:highlight w:val="none"/>
              </w:rPr>
            </w:pPr>
          </w:p>
        </w:tc>
        <w:tc>
          <w:tcPr>
            <w:tcW w:w="1778" w:type="dxa"/>
            <w:noWrap w:val="0"/>
            <w:vAlign w:val="top"/>
          </w:tcPr>
          <w:p w14:paraId="5946F51D">
            <w:pPr>
              <w:topLinePunct/>
              <w:spacing w:line="400" w:lineRule="atLeast"/>
              <w:jc w:val="center"/>
              <w:rPr>
                <w:rFonts w:hint="eastAsia"/>
                <w:color w:val="auto"/>
                <w:szCs w:val="21"/>
                <w:highlight w:val="none"/>
              </w:rPr>
            </w:pPr>
          </w:p>
        </w:tc>
        <w:tc>
          <w:tcPr>
            <w:tcW w:w="1080" w:type="dxa"/>
            <w:noWrap w:val="0"/>
            <w:vAlign w:val="top"/>
          </w:tcPr>
          <w:p w14:paraId="4411032A">
            <w:pPr>
              <w:topLinePunct/>
              <w:spacing w:line="400" w:lineRule="atLeast"/>
              <w:jc w:val="center"/>
              <w:rPr>
                <w:rFonts w:hint="eastAsia"/>
                <w:color w:val="auto"/>
                <w:szCs w:val="21"/>
                <w:highlight w:val="none"/>
              </w:rPr>
            </w:pPr>
          </w:p>
        </w:tc>
      </w:tr>
      <w:tr w14:paraId="05EE2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14:paraId="4796D5BA">
            <w:pPr>
              <w:topLinePunct/>
              <w:spacing w:line="400" w:lineRule="atLeast"/>
              <w:jc w:val="center"/>
              <w:rPr>
                <w:rFonts w:hint="eastAsia"/>
                <w:color w:val="auto"/>
                <w:szCs w:val="21"/>
                <w:highlight w:val="none"/>
              </w:rPr>
            </w:pPr>
          </w:p>
        </w:tc>
        <w:tc>
          <w:tcPr>
            <w:tcW w:w="1846" w:type="dxa"/>
            <w:noWrap w:val="0"/>
            <w:vAlign w:val="top"/>
          </w:tcPr>
          <w:p w14:paraId="4D41BC5A">
            <w:pPr>
              <w:topLinePunct/>
              <w:spacing w:line="400" w:lineRule="atLeast"/>
              <w:jc w:val="center"/>
              <w:rPr>
                <w:rFonts w:hint="eastAsia"/>
                <w:color w:val="auto"/>
                <w:szCs w:val="21"/>
                <w:highlight w:val="none"/>
              </w:rPr>
            </w:pPr>
          </w:p>
        </w:tc>
        <w:tc>
          <w:tcPr>
            <w:tcW w:w="1394" w:type="dxa"/>
            <w:noWrap w:val="0"/>
            <w:vAlign w:val="top"/>
          </w:tcPr>
          <w:p w14:paraId="7AD96BF1">
            <w:pPr>
              <w:topLinePunct/>
              <w:spacing w:line="400" w:lineRule="atLeast"/>
              <w:jc w:val="center"/>
              <w:rPr>
                <w:rFonts w:hint="eastAsia"/>
                <w:color w:val="auto"/>
                <w:szCs w:val="21"/>
                <w:highlight w:val="none"/>
              </w:rPr>
            </w:pPr>
          </w:p>
        </w:tc>
        <w:tc>
          <w:tcPr>
            <w:tcW w:w="1080" w:type="dxa"/>
            <w:noWrap w:val="0"/>
            <w:vAlign w:val="top"/>
          </w:tcPr>
          <w:p w14:paraId="4BE975A2">
            <w:pPr>
              <w:topLinePunct/>
              <w:spacing w:line="400" w:lineRule="atLeast"/>
              <w:jc w:val="center"/>
              <w:rPr>
                <w:rFonts w:hint="eastAsia"/>
                <w:color w:val="auto"/>
                <w:szCs w:val="21"/>
                <w:highlight w:val="none"/>
              </w:rPr>
            </w:pPr>
          </w:p>
        </w:tc>
        <w:tc>
          <w:tcPr>
            <w:tcW w:w="1112" w:type="dxa"/>
            <w:noWrap w:val="0"/>
            <w:vAlign w:val="top"/>
          </w:tcPr>
          <w:p w14:paraId="5215A0D2">
            <w:pPr>
              <w:topLinePunct/>
              <w:spacing w:line="400" w:lineRule="atLeast"/>
              <w:jc w:val="center"/>
              <w:rPr>
                <w:rFonts w:hint="eastAsia"/>
                <w:color w:val="auto"/>
                <w:szCs w:val="21"/>
                <w:highlight w:val="none"/>
              </w:rPr>
            </w:pPr>
          </w:p>
        </w:tc>
        <w:tc>
          <w:tcPr>
            <w:tcW w:w="1778" w:type="dxa"/>
            <w:noWrap w:val="0"/>
            <w:vAlign w:val="top"/>
          </w:tcPr>
          <w:p w14:paraId="4CDE815B">
            <w:pPr>
              <w:topLinePunct/>
              <w:spacing w:line="400" w:lineRule="atLeast"/>
              <w:jc w:val="center"/>
              <w:rPr>
                <w:rFonts w:hint="eastAsia"/>
                <w:color w:val="auto"/>
                <w:szCs w:val="21"/>
                <w:highlight w:val="none"/>
              </w:rPr>
            </w:pPr>
          </w:p>
        </w:tc>
        <w:tc>
          <w:tcPr>
            <w:tcW w:w="1080" w:type="dxa"/>
            <w:noWrap w:val="0"/>
            <w:vAlign w:val="top"/>
          </w:tcPr>
          <w:p w14:paraId="6ABDE521">
            <w:pPr>
              <w:topLinePunct/>
              <w:spacing w:line="400" w:lineRule="atLeast"/>
              <w:jc w:val="center"/>
              <w:rPr>
                <w:rFonts w:hint="eastAsia"/>
                <w:color w:val="auto"/>
                <w:szCs w:val="21"/>
                <w:highlight w:val="none"/>
              </w:rPr>
            </w:pPr>
          </w:p>
        </w:tc>
      </w:tr>
      <w:tr w14:paraId="5ADC0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14:paraId="51913F45">
            <w:pPr>
              <w:topLinePunct/>
              <w:spacing w:line="400" w:lineRule="atLeast"/>
              <w:jc w:val="center"/>
              <w:rPr>
                <w:rFonts w:hint="eastAsia"/>
                <w:color w:val="auto"/>
                <w:szCs w:val="21"/>
                <w:highlight w:val="none"/>
              </w:rPr>
            </w:pPr>
          </w:p>
        </w:tc>
        <w:tc>
          <w:tcPr>
            <w:tcW w:w="1846" w:type="dxa"/>
            <w:noWrap w:val="0"/>
            <w:vAlign w:val="top"/>
          </w:tcPr>
          <w:p w14:paraId="39441F5B">
            <w:pPr>
              <w:topLinePunct/>
              <w:spacing w:line="400" w:lineRule="atLeast"/>
              <w:jc w:val="center"/>
              <w:rPr>
                <w:rFonts w:hint="eastAsia"/>
                <w:color w:val="auto"/>
                <w:szCs w:val="21"/>
                <w:highlight w:val="none"/>
              </w:rPr>
            </w:pPr>
          </w:p>
        </w:tc>
        <w:tc>
          <w:tcPr>
            <w:tcW w:w="1394" w:type="dxa"/>
            <w:noWrap w:val="0"/>
            <w:vAlign w:val="top"/>
          </w:tcPr>
          <w:p w14:paraId="278A10AD">
            <w:pPr>
              <w:topLinePunct/>
              <w:spacing w:line="400" w:lineRule="atLeast"/>
              <w:jc w:val="center"/>
              <w:rPr>
                <w:rFonts w:hint="eastAsia"/>
                <w:color w:val="auto"/>
                <w:szCs w:val="21"/>
                <w:highlight w:val="none"/>
              </w:rPr>
            </w:pPr>
          </w:p>
        </w:tc>
        <w:tc>
          <w:tcPr>
            <w:tcW w:w="1080" w:type="dxa"/>
            <w:noWrap w:val="0"/>
            <w:vAlign w:val="top"/>
          </w:tcPr>
          <w:p w14:paraId="3B3BA6DA">
            <w:pPr>
              <w:topLinePunct/>
              <w:spacing w:line="400" w:lineRule="atLeast"/>
              <w:jc w:val="center"/>
              <w:rPr>
                <w:rFonts w:hint="eastAsia"/>
                <w:color w:val="auto"/>
                <w:szCs w:val="21"/>
                <w:highlight w:val="none"/>
              </w:rPr>
            </w:pPr>
          </w:p>
        </w:tc>
        <w:tc>
          <w:tcPr>
            <w:tcW w:w="1112" w:type="dxa"/>
            <w:noWrap w:val="0"/>
            <w:vAlign w:val="top"/>
          </w:tcPr>
          <w:p w14:paraId="2E56674E">
            <w:pPr>
              <w:topLinePunct/>
              <w:spacing w:line="400" w:lineRule="atLeast"/>
              <w:jc w:val="center"/>
              <w:rPr>
                <w:rFonts w:hint="eastAsia"/>
                <w:color w:val="auto"/>
                <w:szCs w:val="21"/>
                <w:highlight w:val="none"/>
              </w:rPr>
            </w:pPr>
          </w:p>
        </w:tc>
        <w:tc>
          <w:tcPr>
            <w:tcW w:w="1778" w:type="dxa"/>
            <w:noWrap w:val="0"/>
            <w:vAlign w:val="top"/>
          </w:tcPr>
          <w:p w14:paraId="323163F2">
            <w:pPr>
              <w:topLinePunct/>
              <w:spacing w:line="400" w:lineRule="atLeast"/>
              <w:jc w:val="center"/>
              <w:rPr>
                <w:rFonts w:hint="eastAsia"/>
                <w:color w:val="auto"/>
                <w:szCs w:val="21"/>
                <w:highlight w:val="none"/>
              </w:rPr>
            </w:pPr>
          </w:p>
        </w:tc>
        <w:tc>
          <w:tcPr>
            <w:tcW w:w="1080" w:type="dxa"/>
            <w:noWrap w:val="0"/>
            <w:vAlign w:val="top"/>
          </w:tcPr>
          <w:p w14:paraId="2FAAC96A">
            <w:pPr>
              <w:topLinePunct/>
              <w:spacing w:line="400" w:lineRule="atLeast"/>
              <w:jc w:val="center"/>
              <w:rPr>
                <w:rFonts w:hint="eastAsia"/>
                <w:color w:val="auto"/>
                <w:szCs w:val="21"/>
                <w:highlight w:val="none"/>
              </w:rPr>
            </w:pPr>
          </w:p>
        </w:tc>
      </w:tr>
      <w:tr w14:paraId="1426D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14:paraId="1D155494">
            <w:pPr>
              <w:topLinePunct/>
              <w:spacing w:line="400" w:lineRule="atLeast"/>
              <w:jc w:val="center"/>
              <w:rPr>
                <w:rFonts w:hint="eastAsia"/>
                <w:color w:val="auto"/>
                <w:szCs w:val="21"/>
                <w:highlight w:val="none"/>
              </w:rPr>
            </w:pPr>
          </w:p>
        </w:tc>
        <w:tc>
          <w:tcPr>
            <w:tcW w:w="1846" w:type="dxa"/>
            <w:noWrap w:val="0"/>
            <w:vAlign w:val="top"/>
          </w:tcPr>
          <w:p w14:paraId="33B77D8F">
            <w:pPr>
              <w:topLinePunct/>
              <w:spacing w:line="400" w:lineRule="atLeast"/>
              <w:jc w:val="center"/>
              <w:rPr>
                <w:rFonts w:hint="eastAsia"/>
                <w:color w:val="auto"/>
                <w:szCs w:val="21"/>
                <w:highlight w:val="none"/>
              </w:rPr>
            </w:pPr>
          </w:p>
        </w:tc>
        <w:tc>
          <w:tcPr>
            <w:tcW w:w="1394" w:type="dxa"/>
            <w:noWrap w:val="0"/>
            <w:vAlign w:val="top"/>
          </w:tcPr>
          <w:p w14:paraId="1AB5EA69">
            <w:pPr>
              <w:topLinePunct/>
              <w:spacing w:line="400" w:lineRule="atLeast"/>
              <w:jc w:val="center"/>
              <w:rPr>
                <w:rFonts w:hint="eastAsia"/>
                <w:color w:val="auto"/>
                <w:szCs w:val="21"/>
                <w:highlight w:val="none"/>
              </w:rPr>
            </w:pPr>
          </w:p>
        </w:tc>
        <w:tc>
          <w:tcPr>
            <w:tcW w:w="1080" w:type="dxa"/>
            <w:noWrap w:val="0"/>
            <w:vAlign w:val="top"/>
          </w:tcPr>
          <w:p w14:paraId="6CC84A84">
            <w:pPr>
              <w:topLinePunct/>
              <w:spacing w:line="400" w:lineRule="atLeast"/>
              <w:jc w:val="center"/>
              <w:rPr>
                <w:rFonts w:hint="eastAsia"/>
                <w:color w:val="auto"/>
                <w:szCs w:val="21"/>
                <w:highlight w:val="none"/>
              </w:rPr>
            </w:pPr>
          </w:p>
        </w:tc>
        <w:tc>
          <w:tcPr>
            <w:tcW w:w="1112" w:type="dxa"/>
            <w:noWrap w:val="0"/>
            <w:vAlign w:val="top"/>
          </w:tcPr>
          <w:p w14:paraId="41766AF3">
            <w:pPr>
              <w:topLinePunct/>
              <w:spacing w:line="400" w:lineRule="atLeast"/>
              <w:jc w:val="center"/>
              <w:rPr>
                <w:rFonts w:hint="eastAsia"/>
                <w:color w:val="auto"/>
                <w:szCs w:val="21"/>
                <w:highlight w:val="none"/>
              </w:rPr>
            </w:pPr>
          </w:p>
        </w:tc>
        <w:tc>
          <w:tcPr>
            <w:tcW w:w="1778" w:type="dxa"/>
            <w:noWrap w:val="0"/>
            <w:vAlign w:val="top"/>
          </w:tcPr>
          <w:p w14:paraId="07C3A46D">
            <w:pPr>
              <w:topLinePunct/>
              <w:spacing w:line="400" w:lineRule="atLeast"/>
              <w:jc w:val="center"/>
              <w:rPr>
                <w:rFonts w:hint="eastAsia"/>
                <w:color w:val="auto"/>
                <w:szCs w:val="21"/>
                <w:highlight w:val="none"/>
              </w:rPr>
            </w:pPr>
          </w:p>
        </w:tc>
        <w:tc>
          <w:tcPr>
            <w:tcW w:w="1080" w:type="dxa"/>
            <w:noWrap w:val="0"/>
            <w:vAlign w:val="top"/>
          </w:tcPr>
          <w:p w14:paraId="74DE730F">
            <w:pPr>
              <w:topLinePunct/>
              <w:spacing w:line="400" w:lineRule="atLeast"/>
              <w:jc w:val="center"/>
              <w:rPr>
                <w:rFonts w:hint="eastAsia"/>
                <w:color w:val="auto"/>
                <w:szCs w:val="21"/>
                <w:highlight w:val="none"/>
              </w:rPr>
            </w:pPr>
          </w:p>
        </w:tc>
      </w:tr>
      <w:tr w14:paraId="61027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14:paraId="32319B7A">
            <w:pPr>
              <w:topLinePunct/>
              <w:spacing w:line="400" w:lineRule="atLeast"/>
              <w:jc w:val="center"/>
              <w:rPr>
                <w:rFonts w:hint="eastAsia"/>
                <w:color w:val="auto"/>
                <w:szCs w:val="21"/>
                <w:highlight w:val="none"/>
              </w:rPr>
            </w:pPr>
          </w:p>
        </w:tc>
        <w:tc>
          <w:tcPr>
            <w:tcW w:w="1846" w:type="dxa"/>
            <w:noWrap w:val="0"/>
            <w:vAlign w:val="top"/>
          </w:tcPr>
          <w:p w14:paraId="47E3BD73">
            <w:pPr>
              <w:topLinePunct/>
              <w:spacing w:line="400" w:lineRule="atLeast"/>
              <w:jc w:val="center"/>
              <w:rPr>
                <w:rFonts w:hint="eastAsia"/>
                <w:color w:val="auto"/>
                <w:szCs w:val="21"/>
                <w:highlight w:val="none"/>
              </w:rPr>
            </w:pPr>
          </w:p>
        </w:tc>
        <w:tc>
          <w:tcPr>
            <w:tcW w:w="1394" w:type="dxa"/>
            <w:noWrap w:val="0"/>
            <w:vAlign w:val="top"/>
          </w:tcPr>
          <w:p w14:paraId="5A5AB979">
            <w:pPr>
              <w:topLinePunct/>
              <w:spacing w:line="400" w:lineRule="atLeast"/>
              <w:jc w:val="center"/>
              <w:rPr>
                <w:rFonts w:hint="eastAsia"/>
                <w:color w:val="auto"/>
                <w:szCs w:val="21"/>
                <w:highlight w:val="none"/>
              </w:rPr>
            </w:pPr>
          </w:p>
        </w:tc>
        <w:tc>
          <w:tcPr>
            <w:tcW w:w="1080" w:type="dxa"/>
            <w:noWrap w:val="0"/>
            <w:vAlign w:val="top"/>
          </w:tcPr>
          <w:p w14:paraId="50A2FFB0">
            <w:pPr>
              <w:topLinePunct/>
              <w:spacing w:line="400" w:lineRule="atLeast"/>
              <w:jc w:val="center"/>
              <w:rPr>
                <w:rFonts w:hint="eastAsia"/>
                <w:color w:val="auto"/>
                <w:szCs w:val="21"/>
                <w:highlight w:val="none"/>
              </w:rPr>
            </w:pPr>
          </w:p>
        </w:tc>
        <w:tc>
          <w:tcPr>
            <w:tcW w:w="1112" w:type="dxa"/>
            <w:noWrap w:val="0"/>
            <w:vAlign w:val="top"/>
          </w:tcPr>
          <w:p w14:paraId="20CA0EBA">
            <w:pPr>
              <w:topLinePunct/>
              <w:spacing w:line="400" w:lineRule="atLeast"/>
              <w:jc w:val="center"/>
              <w:rPr>
                <w:rFonts w:hint="eastAsia"/>
                <w:color w:val="auto"/>
                <w:szCs w:val="21"/>
                <w:highlight w:val="none"/>
              </w:rPr>
            </w:pPr>
          </w:p>
        </w:tc>
        <w:tc>
          <w:tcPr>
            <w:tcW w:w="1778" w:type="dxa"/>
            <w:noWrap w:val="0"/>
            <w:vAlign w:val="top"/>
          </w:tcPr>
          <w:p w14:paraId="1234666D">
            <w:pPr>
              <w:topLinePunct/>
              <w:spacing w:line="400" w:lineRule="atLeast"/>
              <w:jc w:val="center"/>
              <w:rPr>
                <w:rFonts w:hint="eastAsia"/>
                <w:color w:val="auto"/>
                <w:szCs w:val="21"/>
                <w:highlight w:val="none"/>
              </w:rPr>
            </w:pPr>
          </w:p>
        </w:tc>
        <w:tc>
          <w:tcPr>
            <w:tcW w:w="1080" w:type="dxa"/>
            <w:noWrap w:val="0"/>
            <w:vAlign w:val="top"/>
          </w:tcPr>
          <w:p w14:paraId="49C97481">
            <w:pPr>
              <w:topLinePunct/>
              <w:spacing w:line="400" w:lineRule="atLeast"/>
              <w:jc w:val="center"/>
              <w:rPr>
                <w:rFonts w:hint="eastAsia"/>
                <w:color w:val="auto"/>
                <w:szCs w:val="21"/>
                <w:highlight w:val="none"/>
              </w:rPr>
            </w:pPr>
          </w:p>
        </w:tc>
      </w:tr>
      <w:tr w14:paraId="64E23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14:paraId="3D200C49">
            <w:pPr>
              <w:topLinePunct/>
              <w:spacing w:line="400" w:lineRule="atLeast"/>
              <w:jc w:val="center"/>
              <w:rPr>
                <w:rFonts w:hint="eastAsia"/>
                <w:color w:val="auto"/>
                <w:szCs w:val="21"/>
                <w:highlight w:val="none"/>
              </w:rPr>
            </w:pPr>
          </w:p>
        </w:tc>
        <w:tc>
          <w:tcPr>
            <w:tcW w:w="1846" w:type="dxa"/>
            <w:noWrap w:val="0"/>
            <w:vAlign w:val="top"/>
          </w:tcPr>
          <w:p w14:paraId="78343C27">
            <w:pPr>
              <w:topLinePunct/>
              <w:spacing w:line="400" w:lineRule="atLeast"/>
              <w:jc w:val="center"/>
              <w:rPr>
                <w:rFonts w:hint="eastAsia"/>
                <w:color w:val="auto"/>
                <w:szCs w:val="21"/>
                <w:highlight w:val="none"/>
              </w:rPr>
            </w:pPr>
          </w:p>
        </w:tc>
        <w:tc>
          <w:tcPr>
            <w:tcW w:w="1394" w:type="dxa"/>
            <w:noWrap w:val="0"/>
            <w:vAlign w:val="top"/>
          </w:tcPr>
          <w:p w14:paraId="7D5DEB2A">
            <w:pPr>
              <w:topLinePunct/>
              <w:spacing w:line="400" w:lineRule="atLeast"/>
              <w:jc w:val="center"/>
              <w:rPr>
                <w:rFonts w:hint="eastAsia"/>
                <w:color w:val="auto"/>
                <w:szCs w:val="21"/>
                <w:highlight w:val="none"/>
              </w:rPr>
            </w:pPr>
          </w:p>
        </w:tc>
        <w:tc>
          <w:tcPr>
            <w:tcW w:w="1080" w:type="dxa"/>
            <w:noWrap w:val="0"/>
            <w:vAlign w:val="top"/>
          </w:tcPr>
          <w:p w14:paraId="23A76C6A">
            <w:pPr>
              <w:topLinePunct/>
              <w:spacing w:line="400" w:lineRule="atLeast"/>
              <w:jc w:val="center"/>
              <w:rPr>
                <w:rFonts w:hint="eastAsia"/>
                <w:color w:val="auto"/>
                <w:szCs w:val="21"/>
                <w:highlight w:val="none"/>
              </w:rPr>
            </w:pPr>
          </w:p>
        </w:tc>
        <w:tc>
          <w:tcPr>
            <w:tcW w:w="1112" w:type="dxa"/>
            <w:noWrap w:val="0"/>
            <w:vAlign w:val="top"/>
          </w:tcPr>
          <w:p w14:paraId="3A16BE80">
            <w:pPr>
              <w:topLinePunct/>
              <w:spacing w:line="400" w:lineRule="atLeast"/>
              <w:jc w:val="center"/>
              <w:rPr>
                <w:rFonts w:hint="eastAsia"/>
                <w:color w:val="auto"/>
                <w:szCs w:val="21"/>
                <w:highlight w:val="none"/>
              </w:rPr>
            </w:pPr>
          </w:p>
        </w:tc>
        <w:tc>
          <w:tcPr>
            <w:tcW w:w="1778" w:type="dxa"/>
            <w:noWrap w:val="0"/>
            <w:vAlign w:val="top"/>
          </w:tcPr>
          <w:p w14:paraId="532C70D6">
            <w:pPr>
              <w:topLinePunct/>
              <w:spacing w:line="400" w:lineRule="atLeast"/>
              <w:jc w:val="center"/>
              <w:rPr>
                <w:rFonts w:hint="eastAsia"/>
                <w:color w:val="auto"/>
                <w:szCs w:val="21"/>
                <w:highlight w:val="none"/>
              </w:rPr>
            </w:pPr>
          </w:p>
        </w:tc>
        <w:tc>
          <w:tcPr>
            <w:tcW w:w="1080" w:type="dxa"/>
            <w:noWrap w:val="0"/>
            <w:vAlign w:val="top"/>
          </w:tcPr>
          <w:p w14:paraId="05436FD6">
            <w:pPr>
              <w:topLinePunct/>
              <w:spacing w:line="400" w:lineRule="atLeast"/>
              <w:jc w:val="center"/>
              <w:rPr>
                <w:rFonts w:hint="eastAsia"/>
                <w:color w:val="auto"/>
                <w:szCs w:val="21"/>
                <w:highlight w:val="none"/>
              </w:rPr>
            </w:pPr>
          </w:p>
        </w:tc>
      </w:tr>
      <w:tr w14:paraId="51084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14:paraId="7F9EED33">
            <w:pPr>
              <w:topLinePunct/>
              <w:spacing w:line="400" w:lineRule="atLeast"/>
              <w:jc w:val="center"/>
              <w:rPr>
                <w:rFonts w:hint="eastAsia"/>
                <w:color w:val="auto"/>
                <w:szCs w:val="21"/>
                <w:highlight w:val="none"/>
              </w:rPr>
            </w:pPr>
          </w:p>
        </w:tc>
        <w:tc>
          <w:tcPr>
            <w:tcW w:w="1846" w:type="dxa"/>
            <w:noWrap w:val="0"/>
            <w:vAlign w:val="top"/>
          </w:tcPr>
          <w:p w14:paraId="20C45799">
            <w:pPr>
              <w:topLinePunct/>
              <w:spacing w:line="400" w:lineRule="atLeast"/>
              <w:jc w:val="center"/>
              <w:rPr>
                <w:rFonts w:hint="eastAsia"/>
                <w:color w:val="auto"/>
                <w:szCs w:val="21"/>
                <w:highlight w:val="none"/>
              </w:rPr>
            </w:pPr>
          </w:p>
        </w:tc>
        <w:tc>
          <w:tcPr>
            <w:tcW w:w="1394" w:type="dxa"/>
            <w:noWrap w:val="0"/>
            <w:vAlign w:val="top"/>
          </w:tcPr>
          <w:p w14:paraId="23BCA524">
            <w:pPr>
              <w:topLinePunct/>
              <w:spacing w:line="400" w:lineRule="atLeast"/>
              <w:jc w:val="center"/>
              <w:rPr>
                <w:rFonts w:hint="eastAsia"/>
                <w:color w:val="auto"/>
                <w:szCs w:val="21"/>
                <w:highlight w:val="none"/>
              </w:rPr>
            </w:pPr>
          </w:p>
        </w:tc>
        <w:tc>
          <w:tcPr>
            <w:tcW w:w="1080" w:type="dxa"/>
            <w:noWrap w:val="0"/>
            <w:vAlign w:val="top"/>
          </w:tcPr>
          <w:p w14:paraId="219275F7">
            <w:pPr>
              <w:topLinePunct/>
              <w:spacing w:line="400" w:lineRule="atLeast"/>
              <w:jc w:val="center"/>
              <w:rPr>
                <w:rFonts w:hint="eastAsia"/>
                <w:color w:val="auto"/>
                <w:szCs w:val="21"/>
                <w:highlight w:val="none"/>
              </w:rPr>
            </w:pPr>
          </w:p>
        </w:tc>
        <w:tc>
          <w:tcPr>
            <w:tcW w:w="1112" w:type="dxa"/>
            <w:noWrap w:val="0"/>
            <w:vAlign w:val="top"/>
          </w:tcPr>
          <w:p w14:paraId="49CE53C9">
            <w:pPr>
              <w:topLinePunct/>
              <w:spacing w:line="400" w:lineRule="atLeast"/>
              <w:jc w:val="center"/>
              <w:rPr>
                <w:rFonts w:hint="eastAsia"/>
                <w:color w:val="auto"/>
                <w:szCs w:val="21"/>
                <w:highlight w:val="none"/>
              </w:rPr>
            </w:pPr>
          </w:p>
        </w:tc>
        <w:tc>
          <w:tcPr>
            <w:tcW w:w="1778" w:type="dxa"/>
            <w:noWrap w:val="0"/>
            <w:vAlign w:val="top"/>
          </w:tcPr>
          <w:p w14:paraId="66EF4E9D">
            <w:pPr>
              <w:topLinePunct/>
              <w:spacing w:line="400" w:lineRule="atLeast"/>
              <w:jc w:val="center"/>
              <w:rPr>
                <w:rFonts w:hint="eastAsia"/>
                <w:color w:val="auto"/>
                <w:szCs w:val="21"/>
                <w:highlight w:val="none"/>
              </w:rPr>
            </w:pPr>
          </w:p>
        </w:tc>
        <w:tc>
          <w:tcPr>
            <w:tcW w:w="1080" w:type="dxa"/>
            <w:noWrap w:val="0"/>
            <w:vAlign w:val="top"/>
          </w:tcPr>
          <w:p w14:paraId="7B7A236F">
            <w:pPr>
              <w:topLinePunct/>
              <w:spacing w:line="400" w:lineRule="atLeast"/>
              <w:jc w:val="center"/>
              <w:rPr>
                <w:rFonts w:hint="eastAsia"/>
                <w:color w:val="auto"/>
                <w:szCs w:val="21"/>
                <w:highlight w:val="none"/>
              </w:rPr>
            </w:pPr>
          </w:p>
        </w:tc>
      </w:tr>
      <w:tr w14:paraId="0F962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14:paraId="5E611894">
            <w:pPr>
              <w:topLinePunct/>
              <w:spacing w:line="400" w:lineRule="atLeast"/>
              <w:jc w:val="center"/>
              <w:rPr>
                <w:rFonts w:hint="eastAsia"/>
                <w:color w:val="auto"/>
                <w:szCs w:val="21"/>
                <w:highlight w:val="none"/>
              </w:rPr>
            </w:pPr>
          </w:p>
        </w:tc>
        <w:tc>
          <w:tcPr>
            <w:tcW w:w="1846" w:type="dxa"/>
            <w:noWrap w:val="0"/>
            <w:vAlign w:val="top"/>
          </w:tcPr>
          <w:p w14:paraId="0C89957A">
            <w:pPr>
              <w:topLinePunct/>
              <w:spacing w:line="400" w:lineRule="atLeast"/>
              <w:jc w:val="center"/>
              <w:rPr>
                <w:rFonts w:hint="eastAsia"/>
                <w:color w:val="auto"/>
                <w:szCs w:val="21"/>
                <w:highlight w:val="none"/>
              </w:rPr>
            </w:pPr>
          </w:p>
        </w:tc>
        <w:tc>
          <w:tcPr>
            <w:tcW w:w="1394" w:type="dxa"/>
            <w:noWrap w:val="0"/>
            <w:vAlign w:val="top"/>
          </w:tcPr>
          <w:p w14:paraId="35DCD80A">
            <w:pPr>
              <w:topLinePunct/>
              <w:spacing w:line="400" w:lineRule="atLeast"/>
              <w:jc w:val="center"/>
              <w:rPr>
                <w:rFonts w:hint="eastAsia"/>
                <w:color w:val="auto"/>
                <w:szCs w:val="21"/>
                <w:highlight w:val="none"/>
              </w:rPr>
            </w:pPr>
          </w:p>
        </w:tc>
        <w:tc>
          <w:tcPr>
            <w:tcW w:w="1080" w:type="dxa"/>
            <w:noWrap w:val="0"/>
            <w:vAlign w:val="top"/>
          </w:tcPr>
          <w:p w14:paraId="2F2A8ED0">
            <w:pPr>
              <w:topLinePunct/>
              <w:spacing w:line="400" w:lineRule="atLeast"/>
              <w:jc w:val="center"/>
              <w:rPr>
                <w:rFonts w:hint="eastAsia"/>
                <w:color w:val="auto"/>
                <w:szCs w:val="21"/>
                <w:highlight w:val="none"/>
              </w:rPr>
            </w:pPr>
          </w:p>
        </w:tc>
        <w:tc>
          <w:tcPr>
            <w:tcW w:w="1112" w:type="dxa"/>
            <w:noWrap w:val="0"/>
            <w:vAlign w:val="top"/>
          </w:tcPr>
          <w:p w14:paraId="07DF565E">
            <w:pPr>
              <w:topLinePunct/>
              <w:spacing w:line="400" w:lineRule="atLeast"/>
              <w:jc w:val="center"/>
              <w:rPr>
                <w:rFonts w:hint="eastAsia"/>
                <w:color w:val="auto"/>
                <w:szCs w:val="21"/>
                <w:highlight w:val="none"/>
              </w:rPr>
            </w:pPr>
          </w:p>
        </w:tc>
        <w:tc>
          <w:tcPr>
            <w:tcW w:w="1778" w:type="dxa"/>
            <w:noWrap w:val="0"/>
            <w:vAlign w:val="top"/>
          </w:tcPr>
          <w:p w14:paraId="7935F6CF">
            <w:pPr>
              <w:topLinePunct/>
              <w:spacing w:line="400" w:lineRule="atLeast"/>
              <w:jc w:val="center"/>
              <w:rPr>
                <w:rFonts w:hint="eastAsia"/>
                <w:color w:val="auto"/>
                <w:szCs w:val="21"/>
                <w:highlight w:val="none"/>
              </w:rPr>
            </w:pPr>
          </w:p>
        </w:tc>
        <w:tc>
          <w:tcPr>
            <w:tcW w:w="1080" w:type="dxa"/>
            <w:noWrap w:val="0"/>
            <w:vAlign w:val="top"/>
          </w:tcPr>
          <w:p w14:paraId="65D7250F">
            <w:pPr>
              <w:topLinePunct/>
              <w:spacing w:line="400" w:lineRule="atLeast"/>
              <w:jc w:val="center"/>
              <w:rPr>
                <w:rFonts w:hint="eastAsia"/>
                <w:color w:val="auto"/>
                <w:szCs w:val="21"/>
                <w:highlight w:val="none"/>
              </w:rPr>
            </w:pPr>
          </w:p>
        </w:tc>
      </w:tr>
      <w:tr w14:paraId="3EA0E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0" w:type="dxa"/>
            <w:noWrap w:val="0"/>
            <w:vAlign w:val="top"/>
          </w:tcPr>
          <w:p w14:paraId="3D9BD6E2">
            <w:pPr>
              <w:topLinePunct/>
              <w:spacing w:line="400" w:lineRule="atLeast"/>
              <w:jc w:val="center"/>
              <w:rPr>
                <w:rFonts w:hint="eastAsia"/>
                <w:color w:val="auto"/>
                <w:szCs w:val="21"/>
                <w:highlight w:val="none"/>
              </w:rPr>
            </w:pPr>
          </w:p>
        </w:tc>
        <w:tc>
          <w:tcPr>
            <w:tcW w:w="1846" w:type="dxa"/>
            <w:noWrap w:val="0"/>
            <w:vAlign w:val="top"/>
          </w:tcPr>
          <w:p w14:paraId="24BD4F34">
            <w:pPr>
              <w:topLinePunct/>
              <w:spacing w:line="400" w:lineRule="atLeast"/>
              <w:jc w:val="center"/>
              <w:rPr>
                <w:rFonts w:hint="eastAsia"/>
                <w:color w:val="auto"/>
                <w:szCs w:val="21"/>
                <w:highlight w:val="none"/>
              </w:rPr>
            </w:pPr>
          </w:p>
        </w:tc>
        <w:tc>
          <w:tcPr>
            <w:tcW w:w="1394" w:type="dxa"/>
            <w:noWrap w:val="0"/>
            <w:vAlign w:val="top"/>
          </w:tcPr>
          <w:p w14:paraId="53A0B028">
            <w:pPr>
              <w:topLinePunct/>
              <w:spacing w:line="400" w:lineRule="atLeast"/>
              <w:jc w:val="center"/>
              <w:rPr>
                <w:rFonts w:hint="eastAsia"/>
                <w:color w:val="auto"/>
                <w:szCs w:val="21"/>
                <w:highlight w:val="none"/>
              </w:rPr>
            </w:pPr>
          </w:p>
        </w:tc>
        <w:tc>
          <w:tcPr>
            <w:tcW w:w="1080" w:type="dxa"/>
            <w:noWrap w:val="0"/>
            <w:vAlign w:val="top"/>
          </w:tcPr>
          <w:p w14:paraId="6C806470">
            <w:pPr>
              <w:topLinePunct/>
              <w:spacing w:line="400" w:lineRule="atLeast"/>
              <w:jc w:val="center"/>
              <w:rPr>
                <w:rFonts w:hint="eastAsia"/>
                <w:color w:val="auto"/>
                <w:szCs w:val="21"/>
                <w:highlight w:val="none"/>
              </w:rPr>
            </w:pPr>
          </w:p>
        </w:tc>
        <w:tc>
          <w:tcPr>
            <w:tcW w:w="1112" w:type="dxa"/>
            <w:noWrap w:val="0"/>
            <w:vAlign w:val="top"/>
          </w:tcPr>
          <w:p w14:paraId="3010CCED">
            <w:pPr>
              <w:topLinePunct/>
              <w:spacing w:line="400" w:lineRule="atLeast"/>
              <w:jc w:val="center"/>
              <w:rPr>
                <w:rFonts w:hint="eastAsia"/>
                <w:color w:val="auto"/>
                <w:szCs w:val="21"/>
                <w:highlight w:val="none"/>
              </w:rPr>
            </w:pPr>
          </w:p>
        </w:tc>
        <w:tc>
          <w:tcPr>
            <w:tcW w:w="1778" w:type="dxa"/>
            <w:noWrap w:val="0"/>
            <w:vAlign w:val="top"/>
          </w:tcPr>
          <w:p w14:paraId="3B5C0889">
            <w:pPr>
              <w:topLinePunct/>
              <w:spacing w:line="400" w:lineRule="atLeast"/>
              <w:jc w:val="center"/>
              <w:rPr>
                <w:rFonts w:hint="eastAsia"/>
                <w:color w:val="auto"/>
                <w:szCs w:val="21"/>
                <w:highlight w:val="none"/>
              </w:rPr>
            </w:pPr>
          </w:p>
        </w:tc>
        <w:tc>
          <w:tcPr>
            <w:tcW w:w="1080" w:type="dxa"/>
            <w:noWrap w:val="0"/>
            <w:vAlign w:val="top"/>
          </w:tcPr>
          <w:p w14:paraId="7D04DE54">
            <w:pPr>
              <w:topLinePunct/>
              <w:spacing w:line="400" w:lineRule="atLeast"/>
              <w:jc w:val="center"/>
              <w:rPr>
                <w:rFonts w:hint="eastAsia"/>
                <w:color w:val="auto"/>
                <w:szCs w:val="21"/>
                <w:highlight w:val="none"/>
              </w:rPr>
            </w:pPr>
          </w:p>
        </w:tc>
      </w:tr>
    </w:tbl>
    <w:p w14:paraId="147D47CC">
      <w:pPr>
        <w:pStyle w:val="191"/>
        <w:jc w:val="center"/>
        <w:outlineLvl w:val="9"/>
        <w:rPr>
          <w:rStyle w:val="44"/>
          <w:rFonts w:ascii="Times New Roman" w:hAnsi="Times New Roman" w:eastAsia="Times New Roman" w:cs="Times New Roman"/>
          <w:color w:val="auto"/>
          <w:highlight w:val="none"/>
        </w:rPr>
      </w:pPr>
    </w:p>
    <w:p w14:paraId="56E63DF0">
      <w:pPr>
        <w:spacing w:line="440" w:lineRule="exact"/>
        <w:jc w:val="center"/>
        <w:rPr>
          <w:rFonts w:eastAsia="黑体"/>
          <w:color w:val="auto"/>
          <w:sz w:val="23"/>
          <w:szCs w:val="23"/>
          <w:highlight w:val="none"/>
        </w:rPr>
      </w:pPr>
    </w:p>
    <w:p w14:paraId="30AA45E3">
      <w:pPr>
        <w:spacing w:line="440" w:lineRule="exact"/>
        <w:jc w:val="center"/>
        <w:rPr>
          <w:rFonts w:eastAsia="黑体"/>
          <w:color w:val="auto"/>
          <w:sz w:val="23"/>
          <w:szCs w:val="23"/>
          <w:highlight w:val="none"/>
        </w:rPr>
      </w:pPr>
    </w:p>
    <w:p w14:paraId="2104E2A2">
      <w:pPr>
        <w:spacing w:line="440" w:lineRule="exact"/>
        <w:jc w:val="center"/>
        <w:rPr>
          <w:rFonts w:eastAsia="黑体"/>
          <w:color w:val="auto"/>
          <w:sz w:val="23"/>
          <w:szCs w:val="23"/>
          <w:highlight w:val="none"/>
        </w:rPr>
      </w:pPr>
    </w:p>
    <w:p w14:paraId="7927E604">
      <w:pPr>
        <w:spacing w:line="440" w:lineRule="exact"/>
        <w:jc w:val="center"/>
        <w:rPr>
          <w:rFonts w:eastAsia="黑体"/>
          <w:color w:val="auto"/>
          <w:sz w:val="23"/>
          <w:szCs w:val="23"/>
          <w:highlight w:val="none"/>
        </w:rPr>
      </w:pPr>
    </w:p>
    <w:p w14:paraId="42064F3F">
      <w:pPr>
        <w:spacing w:line="440" w:lineRule="exact"/>
        <w:jc w:val="center"/>
        <w:rPr>
          <w:rFonts w:eastAsia="黑体"/>
          <w:color w:val="auto"/>
          <w:sz w:val="23"/>
          <w:szCs w:val="23"/>
          <w:highlight w:val="none"/>
        </w:rPr>
      </w:pPr>
    </w:p>
    <w:p w14:paraId="6F0655B0">
      <w:pPr>
        <w:spacing w:line="440" w:lineRule="exact"/>
        <w:jc w:val="center"/>
        <w:rPr>
          <w:rFonts w:eastAsia="黑体"/>
          <w:color w:val="auto"/>
          <w:sz w:val="23"/>
          <w:szCs w:val="23"/>
          <w:highlight w:val="none"/>
        </w:rPr>
      </w:pPr>
    </w:p>
    <w:p w14:paraId="3E7B0F8F">
      <w:pPr>
        <w:spacing w:line="440" w:lineRule="exact"/>
        <w:rPr>
          <w:color w:val="auto"/>
          <w:highlight w:val="none"/>
        </w:rPr>
      </w:pPr>
      <w:bookmarkStart w:id="1877" w:name="_Toc247514303"/>
      <w:bookmarkStart w:id="1878" w:name="_Toc152042600"/>
      <w:bookmarkStart w:id="1879" w:name="_Toc152045811"/>
      <w:bookmarkStart w:id="1880" w:name="_Toc247527851"/>
      <w:bookmarkStart w:id="1881" w:name="_Toc144974879"/>
    </w:p>
    <w:p w14:paraId="5E05F426">
      <w:pPr>
        <w:keepNext w:val="0"/>
        <w:keepLines w:val="0"/>
        <w:widowControl/>
        <w:suppressLineNumbers w:val="0"/>
        <w:jc w:val="center"/>
        <w:rPr>
          <w:color w:val="auto"/>
          <w:highlight w:val="none"/>
        </w:rPr>
      </w:pPr>
      <w:r>
        <w:rPr>
          <w:rFonts w:hint="default" w:ascii="Times New Roman" w:hAnsi="Times New Roman" w:eastAsia="宋体" w:cs="Times New Roman"/>
          <w:color w:val="auto"/>
          <w:kern w:val="0"/>
          <w:sz w:val="24"/>
          <w:szCs w:val="24"/>
          <w:highlight w:val="none"/>
          <w:lang w:val="en-US" w:eastAsia="zh-CN" w:bidi="ar"/>
        </w:rPr>
        <w:t xml:space="preserve">3-2 </w:t>
      </w:r>
      <w:r>
        <w:rPr>
          <w:rFonts w:ascii="黑体" w:hAnsi="宋体" w:eastAsia="黑体" w:cs="黑体"/>
          <w:color w:val="auto"/>
          <w:kern w:val="0"/>
          <w:sz w:val="24"/>
          <w:szCs w:val="24"/>
          <w:highlight w:val="none"/>
          <w:lang w:val="en-US" w:eastAsia="zh-CN" w:bidi="ar"/>
        </w:rPr>
        <w:t>近年完成的类似项目情况表</w:t>
      </w:r>
    </w:p>
    <w:p w14:paraId="61BCA3D2">
      <w:pPr>
        <w:pStyle w:val="191"/>
        <w:jc w:val="left"/>
        <w:outlineLvl w:val="9"/>
        <w:rPr>
          <w:rStyle w:val="44"/>
          <w:rFonts w:ascii="Times New Roman" w:hAnsi="Times New Roman" w:eastAsia="Times New Roman" w:cs="Times New Roman"/>
          <w:color w:val="auto"/>
          <w:highlight w:val="none"/>
        </w:rPr>
      </w:pPr>
    </w:p>
    <w:tbl>
      <w:tblPr>
        <w:tblStyle w:val="42"/>
        <w:tblpPr w:leftFromText="180" w:rightFromText="180" w:vertAnchor="text" w:horzAnchor="page" w:tblpX="1710" w:tblpY="8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1"/>
        <w:gridCol w:w="6094"/>
      </w:tblGrid>
      <w:tr w14:paraId="7E9FD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411" w:type="dxa"/>
            <w:noWrap w:val="0"/>
            <w:vAlign w:val="center"/>
          </w:tcPr>
          <w:p w14:paraId="5B1F5848">
            <w:pPr>
              <w:jc w:val="center"/>
              <w:rPr>
                <w:rFonts w:ascii="宋体" w:hAnsi="宋体"/>
                <w:color w:val="auto"/>
                <w:szCs w:val="21"/>
                <w:highlight w:val="none"/>
              </w:rPr>
            </w:pPr>
            <w:r>
              <w:rPr>
                <w:rFonts w:hint="eastAsia" w:ascii="宋体" w:hAnsi="宋体"/>
                <w:color w:val="auto"/>
                <w:szCs w:val="21"/>
                <w:highlight w:val="none"/>
              </w:rPr>
              <w:t>项目名称</w:t>
            </w:r>
          </w:p>
        </w:tc>
        <w:tc>
          <w:tcPr>
            <w:tcW w:w="6094" w:type="dxa"/>
            <w:noWrap w:val="0"/>
            <w:vAlign w:val="center"/>
          </w:tcPr>
          <w:p w14:paraId="17F46EB5">
            <w:pPr>
              <w:jc w:val="center"/>
              <w:rPr>
                <w:rFonts w:ascii="宋体" w:hAnsi="宋体"/>
                <w:color w:val="auto"/>
                <w:szCs w:val="21"/>
                <w:highlight w:val="none"/>
              </w:rPr>
            </w:pPr>
          </w:p>
        </w:tc>
      </w:tr>
      <w:tr w14:paraId="6266D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411" w:type="dxa"/>
            <w:noWrap w:val="0"/>
            <w:vAlign w:val="center"/>
          </w:tcPr>
          <w:p w14:paraId="0A50EEE0">
            <w:pPr>
              <w:jc w:val="center"/>
              <w:rPr>
                <w:rFonts w:ascii="宋体" w:hAnsi="宋体"/>
                <w:color w:val="auto"/>
                <w:szCs w:val="21"/>
                <w:highlight w:val="none"/>
              </w:rPr>
            </w:pPr>
            <w:r>
              <w:rPr>
                <w:rFonts w:hint="eastAsia" w:ascii="宋体" w:hAnsi="宋体"/>
                <w:color w:val="auto"/>
                <w:szCs w:val="21"/>
                <w:highlight w:val="none"/>
              </w:rPr>
              <w:t>项目所在地</w:t>
            </w:r>
          </w:p>
        </w:tc>
        <w:tc>
          <w:tcPr>
            <w:tcW w:w="6094" w:type="dxa"/>
            <w:noWrap w:val="0"/>
            <w:vAlign w:val="center"/>
          </w:tcPr>
          <w:p w14:paraId="1B1028F1">
            <w:pPr>
              <w:jc w:val="center"/>
              <w:rPr>
                <w:rFonts w:ascii="宋体" w:hAnsi="宋体"/>
                <w:color w:val="auto"/>
                <w:szCs w:val="21"/>
                <w:highlight w:val="none"/>
              </w:rPr>
            </w:pPr>
          </w:p>
        </w:tc>
      </w:tr>
      <w:tr w14:paraId="304D9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411" w:type="dxa"/>
            <w:noWrap w:val="0"/>
            <w:vAlign w:val="center"/>
          </w:tcPr>
          <w:p w14:paraId="1B0F1DAF">
            <w:pPr>
              <w:jc w:val="center"/>
              <w:rPr>
                <w:rFonts w:ascii="宋体" w:hAnsi="宋体"/>
                <w:color w:val="auto"/>
                <w:szCs w:val="21"/>
                <w:highlight w:val="none"/>
              </w:rPr>
            </w:pPr>
            <w:r>
              <w:rPr>
                <w:rFonts w:hint="eastAsia" w:ascii="宋体" w:hAnsi="宋体"/>
                <w:color w:val="auto"/>
                <w:szCs w:val="21"/>
                <w:highlight w:val="none"/>
              </w:rPr>
              <w:t>发包人名称</w:t>
            </w:r>
          </w:p>
        </w:tc>
        <w:tc>
          <w:tcPr>
            <w:tcW w:w="6094" w:type="dxa"/>
            <w:noWrap w:val="0"/>
            <w:vAlign w:val="center"/>
          </w:tcPr>
          <w:p w14:paraId="7AC628E4">
            <w:pPr>
              <w:jc w:val="center"/>
              <w:rPr>
                <w:rFonts w:ascii="宋体" w:hAnsi="宋体"/>
                <w:color w:val="auto"/>
                <w:szCs w:val="21"/>
                <w:highlight w:val="none"/>
              </w:rPr>
            </w:pPr>
          </w:p>
        </w:tc>
      </w:tr>
      <w:tr w14:paraId="046EE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411" w:type="dxa"/>
            <w:noWrap w:val="0"/>
            <w:vAlign w:val="center"/>
          </w:tcPr>
          <w:p w14:paraId="0EEC2800">
            <w:pPr>
              <w:jc w:val="center"/>
              <w:rPr>
                <w:rFonts w:ascii="宋体" w:hAnsi="宋体"/>
                <w:color w:val="auto"/>
                <w:szCs w:val="21"/>
                <w:highlight w:val="none"/>
              </w:rPr>
            </w:pPr>
            <w:r>
              <w:rPr>
                <w:rFonts w:hint="eastAsia" w:ascii="宋体" w:hAnsi="宋体"/>
                <w:color w:val="auto"/>
                <w:szCs w:val="21"/>
                <w:highlight w:val="none"/>
              </w:rPr>
              <w:t>发包人地址</w:t>
            </w:r>
          </w:p>
        </w:tc>
        <w:tc>
          <w:tcPr>
            <w:tcW w:w="6094" w:type="dxa"/>
            <w:noWrap w:val="0"/>
            <w:vAlign w:val="center"/>
          </w:tcPr>
          <w:p w14:paraId="698365F5">
            <w:pPr>
              <w:jc w:val="center"/>
              <w:rPr>
                <w:rFonts w:ascii="宋体" w:hAnsi="宋体"/>
                <w:color w:val="auto"/>
                <w:szCs w:val="21"/>
                <w:highlight w:val="none"/>
              </w:rPr>
            </w:pPr>
          </w:p>
        </w:tc>
      </w:tr>
      <w:tr w14:paraId="493B7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411" w:type="dxa"/>
            <w:noWrap w:val="0"/>
            <w:vAlign w:val="center"/>
          </w:tcPr>
          <w:p w14:paraId="762930E3">
            <w:pPr>
              <w:jc w:val="center"/>
              <w:rPr>
                <w:rFonts w:ascii="宋体" w:hAnsi="宋体"/>
                <w:color w:val="auto"/>
                <w:szCs w:val="21"/>
                <w:highlight w:val="none"/>
              </w:rPr>
            </w:pPr>
            <w:r>
              <w:rPr>
                <w:rFonts w:hint="eastAsia" w:ascii="宋体" w:hAnsi="宋体"/>
                <w:color w:val="auto"/>
                <w:szCs w:val="21"/>
                <w:highlight w:val="none"/>
              </w:rPr>
              <w:t>发包人电话</w:t>
            </w:r>
          </w:p>
        </w:tc>
        <w:tc>
          <w:tcPr>
            <w:tcW w:w="6094" w:type="dxa"/>
            <w:noWrap w:val="0"/>
            <w:vAlign w:val="center"/>
          </w:tcPr>
          <w:p w14:paraId="7D04E878">
            <w:pPr>
              <w:jc w:val="center"/>
              <w:rPr>
                <w:rFonts w:ascii="宋体" w:hAnsi="宋体"/>
                <w:color w:val="auto"/>
                <w:szCs w:val="21"/>
                <w:highlight w:val="none"/>
              </w:rPr>
            </w:pPr>
          </w:p>
        </w:tc>
      </w:tr>
      <w:tr w14:paraId="54FB6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411" w:type="dxa"/>
            <w:noWrap w:val="0"/>
            <w:vAlign w:val="center"/>
          </w:tcPr>
          <w:p w14:paraId="665EB1AF">
            <w:pPr>
              <w:jc w:val="center"/>
              <w:rPr>
                <w:rFonts w:hint="eastAsia" w:ascii="宋体" w:hAnsi="宋体"/>
                <w:color w:val="auto"/>
                <w:szCs w:val="21"/>
                <w:highlight w:val="none"/>
              </w:rPr>
            </w:pPr>
            <w:r>
              <w:rPr>
                <w:rFonts w:hint="eastAsia" w:ascii="宋体" w:hAnsi="宋体"/>
                <w:color w:val="auto"/>
                <w:szCs w:val="21"/>
                <w:highlight w:val="none"/>
              </w:rPr>
              <w:t>合同价格</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元</w:t>
            </w:r>
            <w:r>
              <w:rPr>
                <w:rFonts w:hint="eastAsia" w:ascii="宋体" w:hAnsi="宋体"/>
                <w:color w:val="auto"/>
                <w:szCs w:val="21"/>
                <w:highlight w:val="none"/>
                <w:lang w:eastAsia="zh-CN"/>
              </w:rPr>
              <w:t>）</w:t>
            </w:r>
          </w:p>
        </w:tc>
        <w:tc>
          <w:tcPr>
            <w:tcW w:w="6094" w:type="dxa"/>
            <w:noWrap w:val="0"/>
            <w:vAlign w:val="center"/>
          </w:tcPr>
          <w:p w14:paraId="0B0FC396">
            <w:pPr>
              <w:jc w:val="center"/>
              <w:rPr>
                <w:rFonts w:ascii="宋体" w:hAnsi="宋体"/>
                <w:color w:val="auto"/>
                <w:szCs w:val="21"/>
                <w:highlight w:val="none"/>
              </w:rPr>
            </w:pPr>
          </w:p>
        </w:tc>
      </w:tr>
      <w:tr w14:paraId="74BC4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411" w:type="dxa"/>
            <w:noWrap w:val="0"/>
            <w:vAlign w:val="center"/>
          </w:tcPr>
          <w:p w14:paraId="64234941">
            <w:pPr>
              <w:jc w:val="center"/>
              <w:rPr>
                <w:rFonts w:ascii="宋体" w:hAnsi="宋体"/>
                <w:color w:val="auto"/>
                <w:szCs w:val="21"/>
                <w:highlight w:val="none"/>
              </w:rPr>
            </w:pPr>
            <w:r>
              <w:rPr>
                <w:rFonts w:hint="eastAsia" w:ascii="宋体" w:hAnsi="宋体"/>
                <w:color w:val="auto"/>
                <w:szCs w:val="21"/>
                <w:highlight w:val="none"/>
              </w:rPr>
              <w:t>开工日期</w:t>
            </w:r>
          </w:p>
        </w:tc>
        <w:tc>
          <w:tcPr>
            <w:tcW w:w="6094" w:type="dxa"/>
            <w:noWrap w:val="0"/>
            <w:vAlign w:val="center"/>
          </w:tcPr>
          <w:p w14:paraId="1D68CB0D">
            <w:pPr>
              <w:jc w:val="center"/>
              <w:rPr>
                <w:rFonts w:ascii="宋体" w:hAnsi="宋体"/>
                <w:color w:val="auto"/>
                <w:szCs w:val="21"/>
                <w:highlight w:val="none"/>
              </w:rPr>
            </w:pPr>
          </w:p>
        </w:tc>
      </w:tr>
      <w:tr w14:paraId="45495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411" w:type="dxa"/>
            <w:noWrap w:val="0"/>
            <w:vAlign w:val="center"/>
          </w:tcPr>
          <w:p w14:paraId="66739E57">
            <w:pPr>
              <w:jc w:val="center"/>
              <w:rPr>
                <w:rFonts w:ascii="宋体" w:hAnsi="宋体"/>
                <w:color w:val="auto"/>
                <w:szCs w:val="21"/>
                <w:highlight w:val="none"/>
              </w:rPr>
            </w:pPr>
            <w:r>
              <w:rPr>
                <w:rFonts w:hint="eastAsia" w:ascii="宋体" w:hAnsi="宋体"/>
                <w:color w:val="auto"/>
                <w:szCs w:val="21"/>
                <w:highlight w:val="none"/>
              </w:rPr>
              <w:t>竣工日期</w:t>
            </w:r>
          </w:p>
        </w:tc>
        <w:tc>
          <w:tcPr>
            <w:tcW w:w="6094" w:type="dxa"/>
            <w:noWrap w:val="0"/>
            <w:vAlign w:val="center"/>
          </w:tcPr>
          <w:p w14:paraId="1C538358">
            <w:pPr>
              <w:jc w:val="center"/>
              <w:rPr>
                <w:rFonts w:ascii="宋体" w:hAnsi="宋体"/>
                <w:color w:val="auto"/>
                <w:szCs w:val="21"/>
                <w:highlight w:val="none"/>
              </w:rPr>
            </w:pPr>
          </w:p>
        </w:tc>
      </w:tr>
      <w:tr w14:paraId="5B57E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411" w:type="dxa"/>
            <w:noWrap w:val="0"/>
            <w:vAlign w:val="center"/>
          </w:tcPr>
          <w:p w14:paraId="5ABE7FB6">
            <w:pPr>
              <w:jc w:val="center"/>
              <w:rPr>
                <w:rFonts w:ascii="宋体" w:hAnsi="宋体"/>
                <w:color w:val="auto"/>
                <w:szCs w:val="21"/>
                <w:highlight w:val="none"/>
              </w:rPr>
            </w:pPr>
            <w:r>
              <w:rPr>
                <w:rFonts w:hint="eastAsia" w:ascii="宋体" w:hAnsi="宋体"/>
                <w:color w:val="auto"/>
                <w:szCs w:val="21"/>
                <w:highlight w:val="none"/>
              </w:rPr>
              <w:t>承担的工作</w:t>
            </w:r>
          </w:p>
        </w:tc>
        <w:tc>
          <w:tcPr>
            <w:tcW w:w="6094" w:type="dxa"/>
            <w:noWrap w:val="0"/>
            <w:vAlign w:val="center"/>
          </w:tcPr>
          <w:p w14:paraId="5D47B24E">
            <w:pPr>
              <w:jc w:val="center"/>
              <w:rPr>
                <w:rFonts w:ascii="宋体" w:hAnsi="宋体"/>
                <w:color w:val="auto"/>
                <w:szCs w:val="21"/>
                <w:highlight w:val="none"/>
              </w:rPr>
            </w:pPr>
          </w:p>
        </w:tc>
      </w:tr>
      <w:tr w14:paraId="669F2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411" w:type="dxa"/>
            <w:noWrap w:val="0"/>
            <w:vAlign w:val="center"/>
          </w:tcPr>
          <w:p w14:paraId="5E020FBA">
            <w:pPr>
              <w:jc w:val="center"/>
              <w:rPr>
                <w:rFonts w:ascii="宋体" w:hAnsi="宋体"/>
                <w:color w:val="auto"/>
                <w:szCs w:val="21"/>
                <w:highlight w:val="none"/>
              </w:rPr>
            </w:pPr>
            <w:r>
              <w:rPr>
                <w:rFonts w:hint="eastAsia" w:ascii="宋体" w:hAnsi="宋体"/>
                <w:color w:val="auto"/>
                <w:szCs w:val="21"/>
                <w:highlight w:val="none"/>
              </w:rPr>
              <w:t>工程质量</w:t>
            </w:r>
          </w:p>
        </w:tc>
        <w:tc>
          <w:tcPr>
            <w:tcW w:w="6094" w:type="dxa"/>
            <w:noWrap w:val="0"/>
            <w:vAlign w:val="center"/>
          </w:tcPr>
          <w:p w14:paraId="0B815E09">
            <w:pPr>
              <w:jc w:val="center"/>
              <w:rPr>
                <w:rFonts w:ascii="宋体" w:hAnsi="宋体"/>
                <w:color w:val="auto"/>
                <w:szCs w:val="21"/>
                <w:highlight w:val="none"/>
              </w:rPr>
            </w:pPr>
          </w:p>
        </w:tc>
      </w:tr>
      <w:tr w14:paraId="24DB8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411" w:type="dxa"/>
            <w:noWrap w:val="0"/>
            <w:vAlign w:val="center"/>
          </w:tcPr>
          <w:p w14:paraId="3976AA54">
            <w:pPr>
              <w:jc w:val="center"/>
              <w:rPr>
                <w:rFonts w:ascii="宋体" w:hAnsi="宋体"/>
                <w:color w:val="auto"/>
                <w:szCs w:val="21"/>
                <w:highlight w:val="none"/>
              </w:rPr>
            </w:pPr>
            <w:r>
              <w:rPr>
                <w:rFonts w:hint="eastAsia" w:ascii="宋体" w:hAnsi="宋体"/>
                <w:color w:val="auto"/>
                <w:szCs w:val="21"/>
                <w:highlight w:val="none"/>
              </w:rPr>
              <w:t>项目经理</w:t>
            </w:r>
          </w:p>
        </w:tc>
        <w:tc>
          <w:tcPr>
            <w:tcW w:w="6094" w:type="dxa"/>
            <w:noWrap w:val="0"/>
            <w:vAlign w:val="center"/>
          </w:tcPr>
          <w:p w14:paraId="0E719F79">
            <w:pPr>
              <w:jc w:val="center"/>
              <w:rPr>
                <w:rFonts w:ascii="宋体" w:hAnsi="宋体"/>
                <w:color w:val="auto"/>
                <w:szCs w:val="21"/>
                <w:highlight w:val="none"/>
              </w:rPr>
            </w:pPr>
          </w:p>
        </w:tc>
      </w:tr>
      <w:tr w14:paraId="60F44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411" w:type="dxa"/>
            <w:noWrap w:val="0"/>
            <w:vAlign w:val="center"/>
          </w:tcPr>
          <w:p w14:paraId="5841162E">
            <w:pPr>
              <w:jc w:val="center"/>
              <w:rPr>
                <w:rFonts w:ascii="宋体" w:hAnsi="宋体"/>
                <w:color w:val="auto"/>
                <w:szCs w:val="21"/>
                <w:highlight w:val="none"/>
              </w:rPr>
            </w:pPr>
            <w:r>
              <w:rPr>
                <w:rFonts w:hint="eastAsia" w:ascii="宋体" w:hAnsi="宋体"/>
                <w:color w:val="auto"/>
                <w:szCs w:val="21"/>
                <w:highlight w:val="none"/>
              </w:rPr>
              <w:t>技术负责人</w:t>
            </w:r>
          </w:p>
        </w:tc>
        <w:tc>
          <w:tcPr>
            <w:tcW w:w="6094" w:type="dxa"/>
            <w:noWrap w:val="0"/>
            <w:vAlign w:val="center"/>
          </w:tcPr>
          <w:p w14:paraId="045E8EC6">
            <w:pPr>
              <w:jc w:val="center"/>
              <w:rPr>
                <w:rFonts w:ascii="宋体" w:hAnsi="宋体"/>
                <w:color w:val="auto"/>
                <w:szCs w:val="21"/>
                <w:highlight w:val="none"/>
              </w:rPr>
            </w:pPr>
          </w:p>
        </w:tc>
      </w:tr>
      <w:tr w14:paraId="1075D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411" w:type="dxa"/>
            <w:noWrap w:val="0"/>
            <w:vAlign w:val="center"/>
          </w:tcPr>
          <w:p w14:paraId="23DF2E21">
            <w:pPr>
              <w:jc w:val="center"/>
              <w:rPr>
                <w:rFonts w:ascii="宋体" w:hAnsi="宋体"/>
                <w:color w:val="auto"/>
                <w:szCs w:val="21"/>
                <w:highlight w:val="none"/>
              </w:rPr>
            </w:pPr>
            <w:r>
              <w:rPr>
                <w:rFonts w:hint="eastAsia" w:ascii="宋体" w:hAnsi="宋体"/>
                <w:color w:val="auto"/>
                <w:szCs w:val="21"/>
                <w:highlight w:val="none"/>
              </w:rPr>
              <w:t>总监理工程师及电话</w:t>
            </w:r>
          </w:p>
        </w:tc>
        <w:tc>
          <w:tcPr>
            <w:tcW w:w="6094" w:type="dxa"/>
            <w:noWrap w:val="0"/>
            <w:vAlign w:val="center"/>
          </w:tcPr>
          <w:p w14:paraId="06C687BF">
            <w:pPr>
              <w:jc w:val="center"/>
              <w:rPr>
                <w:rFonts w:ascii="宋体" w:hAnsi="宋体"/>
                <w:color w:val="auto"/>
                <w:szCs w:val="21"/>
                <w:highlight w:val="none"/>
              </w:rPr>
            </w:pPr>
          </w:p>
        </w:tc>
      </w:tr>
      <w:tr w14:paraId="673C9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2411" w:type="dxa"/>
            <w:noWrap w:val="0"/>
            <w:vAlign w:val="center"/>
          </w:tcPr>
          <w:p w14:paraId="477AD3E6">
            <w:pPr>
              <w:jc w:val="center"/>
              <w:rPr>
                <w:rFonts w:ascii="宋体" w:hAnsi="宋体"/>
                <w:color w:val="auto"/>
                <w:szCs w:val="21"/>
                <w:highlight w:val="none"/>
              </w:rPr>
            </w:pPr>
            <w:r>
              <w:rPr>
                <w:rFonts w:hint="eastAsia" w:ascii="宋体" w:hAnsi="宋体"/>
                <w:color w:val="auto"/>
                <w:szCs w:val="21"/>
                <w:highlight w:val="none"/>
              </w:rPr>
              <w:t>项目描述</w:t>
            </w:r>
          </w:p>
        </w:tc>
        <w:tc>
          <w:tcPr>
            <w:tcW w:w="6094" w:type="dxa"/>
            <w:noWrap w:val="0"/>
            <w:vAlign w:val="center"/>
          </w:tcPr>
          <w:p w14:paraId="69B2A35B">
            <w:pPr>
              <w:jc w:val="center"/>
              <w:rPr>
                <w:rFonts w:ascii="宋体" w:hAnsi="宋体"/>
                <w:color w:val="auto"/>
                <w:szCs w:val="21"/>
                <w:highlight w:val="none"/>
              </w:rPr>
            </w:pPr>
          </w:p>
        </w:tc>
      </w:tr>
      <w:tr w14:paraId="52CC3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411" w:type="dxa"/>
            <w:noWrap w:val="0"/>
            <w:vAlign w:val="center"/>
          </w:tcPr>
          <w:p w14:paraId="2177D991">
            <w:pPr>
              <w:jc w:val="center"/>
              <w:rPr>
                <w:rFonts w:ascii="宋体" w:hAnsi="宋体"/>
                <w:color w:val="auto"/>
                <w:szCs w:val="21"/>
                <w:highlight w:val="none"/>
              </w:rPr>
            </w:pPr>
            <w:r>
              <w:rPr>
                <w:rFonts w:hint="eastAsia" w:ascii="宋体" w:hAnsi="宋体"/>
                <w:color w:val="auto"/>
                <w:szCs w:val="21"/>
                <w:highlight w:val="none"/>
              </w:rPr>
              <w:t>备注</w:t>
            </w:r>
          </w:p>
        </w:tc>
        <w:tc>
          <w:tcPr>
            <w:tcW w:w="6094" w:type="dxa"/>
            <w:noWrap w:val="0"/>
            <w:vAlign w:val="center"/>
          </w:tcPr>
          <w:p w14:paraId="0ACC9D23">
            <w:pPr>
              <w:jc w:val="center"/>
              <w:rPr>
                <w:rFonts w:ascii="宋体" w:hAnsi="宋体"/>
                <w:color w:val="auto"/>
                <w:szCs w:val="21"/>
                <w:highlight w:val="none"/>
              </w:rPr>
            </w:pPr>
          </w:p>
        </w:tc>
      </w:tr>
    </w:tbl>
    <w:p w14:paraId="688D85AA">
      <w:pPr>
        <w:bidi w:val="0"/>
        <w:rPr>
          <w:rStyle w:val="44"/>
          <w:rFonts w:ascii="Times New Roman" w:hAnsi="Times New Roman" w:eastAsia="Times New Roman" w:cs="Times New Roman"/>
          <w:color w:val="auto"/>
          <w:highlight w:val="none"/>
        </w:rPr>
      </w:pPr>
    </w:p>
    <w:p w14:paraId="5AFC3426">
      <w:pPr>
        <w:keepNext w:val="0"/>
        <w:keepLines w:val="0"/>
        <w:widowControl/>
        <w:suppressLineNumbers w:val="0"/>
        <w:ind w:firstLine="840" w:firstLineChars="400"/>
        <w:jc w:val="left"/>
        <w:rPr>
          <w:color w:val="auto"/>
          <w:highlight w:val="none"/>
        </w:rPr>
      </w:pPr>
      <w:r>
        <w:rPr>
          <w:rFonts w:hint="eastAsia" w:ascii="宋体" w:hAnsi="宋体" w:eastAsia="宋体" w:cs="宋体"/>
          <w:color w:val="auto"/>
          <w:kern w:val="0"/>
          <w:sz w:val="21"/>
          <w:szCs w:val="21"/>
          <w:highlight w:val="none"/>
          <w:lang w:val="en-US" w:eastAsia="zh-CN" w:bidi="ar"/>
        </w:rPr>
        <w:t xml:space="preserve">备注：1.类似项目含义和近年具体要求见投标人须知前附表。 </w:t>
      </w:r>
    </w:p>
    <w:p w14:paraId="5D63B32C">
      <w:pPr>
        <w:spacing w:line="440" w:lineRule="exact"/>
        <w:ind w:firstLine="1470" w:firstLineChars="700"/>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2.本表后附业绩证明材料。每张表格只填写一个项目，并标明序号。</w:t>
      </w:r>
    </w:p>
    <w:p w14:paraId="3B3FE30E">
      <w:pPr>
        <w:spacing w:line="440" w:lineRule="exact"/>
        <w:ind w:firstLine="1470" w:firstLineChars="700"/>
        <w:rPr>
          <w:rFonts w:hint="eastAsia" w:ascii="宋体" w:hAnsi="宋体" w:eastAsia="宋体" w:cs="宋体"/>
          <w:color w:val="auto"/>
          <w:kern w:val="0"/>
          <w:sz w:val="21"/>
          <w:szCs w:val="21"/>
          <w:highlight w:val="none"/>
          <w:lang w:val="en-US" w:eastAsia="zh-CN" w:bidi="ar"/>
        </w:rPr>
      </w:pPr>
    </w:p>
    <w:p w14:paraId="1F936174">
      <w:pPr>
        <w:outlineLvl w:val="9"/>
        <w:rPr>
          <w:rFonts w:hint="eastAsia"/>
          <w:color w:val="auto"/>
          <w:highlight w:val="none"/>
        </w:rPr>
      </w:pPr>
      <w:bookmarkStart w:id="1882" w:name="_Toc7956840"/>
      <w:bookmarkStart w:id="1883" w:name="_Toc26568"/>
      <w:bookmarkStart w:id="1884" w:name="_Toc8509"/>
      <w:bookmarkStart w:id="1885" w:name="_Toc11802"/>
    </w:p>
    <w:p w14:paraId="592995A8">
      <w:pPr>
        <w:pStyle w:val="4"/>
        <w:jc w:val="center"/>
        <w:rPr>
          <w:color w:val="auto"/>
          <w:highlight w:val="none"/>
        </w:rPr>
      </w:pPr>
      <w:r>
        <w:rPr>
          <w:rFonts w:hint="eastAsia"/>
          <w:color w:val="auto"/>
          <w:highlight w:val="none"/>
        </w:rPr>
        <w:t>（四）正在实施的和新承接的项目情况</w:t>
      </w:r>
      <w:bookmarkEnd w:id="1877"/>
      <w:bookmarkEnd w:id="1878"/>
      <w:bookmarkEnd w:id="1879"/>
      <w:bookmarkEnd w:id="1880"/>
      <w:bookmarkEnd w:id="1881"/>
      <w:bookmarkEnd w:id="1882"/>
      <w:bookmarkEnd w:id="1883"/>
      <w:bookmarkEnd w:id="1884"/>
      <w:bookmarkEnd w:id="1885"/>
    </w:p>
    <w:p w14:paraId="54BA97D0">
      <w:pPr>
        <w:keepNext w:val="0"/>
        <w:keepLines w:val="0"/>
        <w:widowControl/>
        <w:suppressLineNumbers w:val="0"/>
        <w:jc w:val="center"/>
        <w:rPr>
          <w:rFonts w:hint="eastAsia" w:ascii="黑体" w:hAnsi="宋体" w:eastAsia="黑体" w:cs="黑体"/>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 xml:space="preserve">4-1 </w:t>
      </w:r>
      <w:r>
        <w:rPr>
          <w:rFonts w:hint="eastAsia" w:ascii="黑体" w:hAnsi="宋体" w:eastAsia="黑体" w:cs="黑体"/>
          <w:color w:val="auto"/>
          <w:kern w:val="0"/>
          <w:sz w:val="24"/>
          <w:szCs w:val="24"/>
          <w:highlight w:val="none"/>
          <w:lang w:val="en-US" w:eastAsia="zh-CN" w:bidi="ar"/>
        </w:rPr>
        <w:t>正在施工的和新承接的项目汇总表</w:t>
      </w:r>
    </w:p>
    <w:tbl>
      <w:tblPr>
        <w:tblStyle w:val="42"/>
        <w:tblpPr w:leftFromText="180" w:rightFromText="180" w:vertAnchor="text" w:horzAnchor="page" w:tblpX="1646" w:tblpY="441"/>
        <w:tblOverlap w:val="never"/>
        <w:tblW w:w="88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1846"/>
        <w:gridCol w:w="1394"/>
        <w:gridCol w:w="1080"/>
        <w:gridCol w:w="1112"/>
        <w:gridCol w:w="1778"/>
        <w:gridCol w:w="1080"/>
      </w:tblGrid>
      <w:tr w14:paraId="1523B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noWrap w:val="0"/>
            <w:vAlign w:val="center"/>
          </w:tcPr>
          <w:p w14:paraId="60952CAE">
            <w:pPr>
              <w:topLinePunct/>
              <w:spacing w:line="400" w:lineRule="atLeast"/>
              <w:jc w:val="center"/>
              <w:rPr>
                <w:rFonts w:hint="eastAsia"/>
                <w:color w:val="auto"/>
                <w:szCs w:val="21"/>
                <w:highlight w:val="none"/>
              </w:rPr>
            </w:pPr>
            <w:r>
              <w:rPr>
                <w:rFonts w:hint="eastAsia"/>
                <w:color w:val="auto"/>
                <w:szCs w:val="21"/>
                <w:highlight w:val="none"/>
              </w:rPr>
              <w:t>序号</w:t>
            </w:r>
          </w:p>
        </w:tc>
        <w:tc>
          <w:tcPr>
            <w:tcW w:w="1846" w:type="dxa"/>
            <w:noWrap w:val="0"/>
            <w:vAlign w:val="center"/>
          </w:tcPr>
          <w:p w14:paraId="19F4FAB5">
            <w:pPr>
              <w:topLinePunct/>
              <w:spacing w:line="400" w:lineRule="atLeast"/>
              <w:jc w:val="center"/>
              <w:rPr>
                <w:rFonts w:hint="eastAsia"/>
                <w:color w:val="auto"/>
                <w:szCs w:val="21"/>
                <w:highlight w:val="none"/>
              </w:rPr>
            </w:pPr>
            <w:r>
              <w:rPr>
                <w:rFonts w:hint="eastAsia"/>
                <w:color w:val="auto"/>
                <w:szCs w:val="21"/>
                <w:highlight w:val="none"/>
              </w:rPr>
              <w:t>项目名称</w:t>
            </w:r>
          </w:p>
        </w:tc>
        <w:tc>
          <w:tcPr>
            <w:tcW w:w="1394" w:type="dxa"/>
            <w:noWrap w:val="0"/>
            <w:vAlign w:val="center"/>
          </w:tcPr>
          <w:p w14:paraId="2A5876AB">
            <w:pPr>
              <w:topLinePunct/>
              <w:spacing w:line="400" w:lineRule="atLeast"/>
              <w:jc w:val="center"/>
              <w:rPr>
                <w:rFonts w:hint="eastAsia"/>
                <w:color w:val="auto"/>
                <w:szCs w:val="21"/>
                <w:highlight w:val="none"/>
              </w:rPr>
            </w:pPr>
            <w:r>
              <w:rPr>
                <w:rFonts w:hint="eastAsia" w:ascii="宋体" w:hAnsi="宋体"/>
                <w:color w:val="auto"/>
                <w:szCs w:val="21"/>
                <w:highlight w:val="none"/>
                <w:lang w:val="en-US" w:eastAsia="zh-CN"/>
              </w:rPr>
              <w:t>发包</w:t>
            </w:r>
            <w:r>
              <w:rPr>
                <w:rFonts w:hint="eastAsia" w:ascii="宋体" w:hAnsi="宋体"/>
                <w:color w:val="auto"/>
                <w:szCs w:val="21"/>
                <w:highlight w:val="none"/>
              </w:rPr>
              <w:t>人名称</w:t>
            </w:r>
          </w:p>
        </w:tc>
        <w:tc>
          <w:tcPr>
            <w:tcW w:w="1080" w:type="dxa"/>
            <w:noWrap w:val="0"/>
            <w:vAlign w:val="center"/>
          </w:tcPr>
          <w:p w14:paraId="25525DBB">
            <w:pPr>
              <w:topLinePunct/>
              <w:spacing w:line="400" w:lineRule="atLeast"/>
              <w:jc w:val="center"/>
              <w:rPr>
                <w:rFonts w:hint="default" w:eastAsia="宋体"/>
                <w:color w:val="auto"/>
                <w:szCs w:val="21"/>
                <w:highlight w:val="none"/>
                <w:lang w:val="en-US" w:eastAsia="zh-CN"/>
              </w:rPr>
            </w:pPr>
            <w:r>
              <w:rPr>
                <w:rFonts w:hint="eastAsia"/>
                <w:color w:val="auto"/>
                <w:szCs w:val="21"/>
                <w:highlight w:val="none"/>
                <w:lang w:val="en-US" w:eastAsia="zh-CN"/>
              </w:rPr>
              <w:t>工程规模</w:t>
            </w:r>
          </w:p>
        </w:tc>
        <w:tc>
          <w:tcPr>
            <w:tcW w:w="1112" w:type="dxa"/>
            <w:noWrap w:val="0"/>
            <w:vAlign w:val="center"/>
          </w:tcPr>
          <w:p w14:paraId="158754E8">
            <w:pPr>
              <w:topLinePunct/>
              <w:spacing w:line="400" w:lineRule="atLeast"/>
              <w:jc w:val="center"/>
              <w:rPr>
                <w:rFonts w:hint="eastAsia"/>
                <w:color w:val="auto"/>
                <w:szCs w:val="21"/>
                <w:highlight w:val="none"/>
              </w:rPr>
            </w:pPr>
            <w:r>
              <w:rPr>
                <w:rFonts w:hint="eastAsia" w:ascii="宋体" w:hAnsi="宋体"/>
                <w:color w:val="auto"/>
                <w:szCs w:val="21"/>
                <w:highlight w:val="none"/>
              </w:rPr>
              <w:t>合同价格</w:t>
            </w:r>
            <w:r>
              <w:rPr>
                <w:rFonts w:hint="eastAsia"/>
                <w:color w:val="auto"/>
                <w:szCs w:val="21"/>
                <w:highlight w:val="none"/>
              </w:rPr>
              <w:t>（元）</w:t>
            </w:r>
          </w:p>
        </w:tc>
        <w:tc>
          <w:tcPr>
            <w:tcW w:w="1778" w:type="dxa"/>
            <w:noWrap w:val="0"/>
            <w:vAlign w:val="center"/>
          </w:tcPr>
          <w:p w14:paraId="0720E344">
            <w:pPr>
              <w:topLinePunct/>
              <w:spacing w:line="400" w:lineRule="atLeast"/>
              <w:jc w:val="center"/>
              <w:rPr>
                <w:rFonts w:hint="eastAsia"/>
                <w:color w:val="auto"/>
                <w:szCs w:val="21"/>
                <w:highlight w:val="none"/>
              </w:rPr>
            </w:pPr>
            <w:r>
              <w:rPr>
                <w:rFonts w:hint="eastAsia" w:ascii="宋体" w:hAnsi="宋体"/>
                <w:color w:val="auto"/>
                <w:szCs w:val="21"/>
                <w:highlight w:val="none"/>
                <w:lang w:val="en-US" w:eastAsia="zh-CN"/>
              </w:rPr>
              <w:t>计划开、竣工</w:t>
            </w:r>
            <w:r>
              <w:rPr>
                <w:rFonts w:hint="eastAsia" w:ascii="宋体" w:hAnsi="宋体"/>
                <w:color w:val="auto"/>
                <w:szCs w:val="21"/>
                <w:highlight w:val="none"/>
              </w:rPr>
              <w:t>日期</w:t>
            </w:r>
          </w:p>
        </w:tc>
        <w:tc>
          <w:tcPr>
            <w:tcW w:w="1080" w:type="dxa"/>
            <w:noWrap w:val="0"/>
            <w:vAlign w:val="center"/>
          </w:tcPr>
          <w:p w14:paraId="10DA3C1C">
            <w:pPr>
              <w:topLinePunct/>
              <w:spacing w:line="400" w:lineRule="atLeast"/>
              <w:jc w:val="center"/>
              <w:rPr>
                <w:rFonts w:hint="eastAsia"/>
                <w:color w:val="auto"/>
                <w:szCs w:val="21"/>
                <w:highlight w:val="none"/>
              </w:rPr>
            </w:pPr>
            <w:r>
              <w:rPr>
                <w:rFonts w:hint="eastAsia" w:ascii="宋体" w:hAnsi="宋体"/>
                <w:color w:val="auto"/>
                <w:szCs w:val="21"/>
                <w:highlight w:val="none"/>
                <w:lang w:val="en-US" w:eastAsia="zh-CN"/>
              </w:rPr>
              <w:t>项目经理</w:t>
            </w:r>
          </w:p>
        </w:tc>
      </w:tr>
      <w:tr w14:paraId="484E9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40" w:type="dxa"/>
            <w:noWrap w:val="0"/>
            <w:vAlign w:val="top"/>
          </w:tcPr>
          <w:p w14:paraId="321AD010">
            <w:pPr>
              <w:topLinePunct/>
              <w:spacing w:line="400" w:lineRule="atLeast"/>
              <w:jc w:val="center"/>
              <w:rPr>
                <w:rFonts w:hint="eastAsia"/>
                <w:color w:val="auto"/>
                <w:szCs w:val="21"/>
                <w:highlight w:val="none"/>
              </w:rPr>
            </w:pPr>
          </w:p>
        </w:tc>
        <w:tc>
          <w:tcPr>
            <w:tcW w:w="1846" w:type="dxa"/>
            <w:noWrap w:val="0"/>
            <w:vAlign w:val="top"/>
          </w:tcPr>
          <w:p w14:paraId="762FDE8A">
            <w:pPr>
              <w:topLinePunct/>
              <w:spacing w:line="400" w:lineRule="atLeast"/>
              <w:jc w:val="center"/>
              <w:rPr>
                <w:rFonts w:hint="eastAsia"/>
                <w:color w:val="auto"/>
                <w:szCs w:val="21"/>
                <w:highlight w:val="none"/>
              </w:rPr>
            </w:pPr>
          </w:p>
        </w:tc>
        <w:tc>
          <w:tcPr>
            <w:tcW w:w="1394" w:type="dxa"/>
            <w:noWrap w:val="0"/>
            <w:vAlign w:val="top"/>
          </w:tcPr>
          <w:p w14:paraId="0DCEEC6F">
            <w:pPr>
              <w:topLinePunct/>
              <w:spacing w:line="400" w:lineRule="atLeast"/>
              <w:jc w:val="center"/>
              <w:rPr>
                <w:rFonts w:hint="eastAsia"/>
                <w:color w:val="auto"/>
                <w:szCs w:val="21"/>
                <w:highlight w:val="none"/>
              </w:rPr>
            </w:pPr>
          </w:p>
        </w:tc>
        <w:tc>
          <w:tcPr>
            <w:tcW w:w="1080" w:type="dxa"/>
            <w:noWrap w:val="0"/>
            <w:vAlign w:val="top"/>
          </w:tcPr>
          <w:p w14:paraId="09D3DB92">
            <w:pPr>
              <w:topLinePunct/>
              <w:spacing w:line="400" w:lineRule="atLeast"/>
              <w:jc w:val="center"/>
              <w:rPr>
                <w:rFonts w:hint="eastAsia"/>
                <w:color w:val="auto"/>
                <w:szCs w:val="21"/>
                <w:highlight w:val="none"/>
              </w:rPr>
            </w:pPr>
          </w:p>
        </w:tc>
        <w:tc>
          <w:tcPr>
            <w:tcW w:w="1112" w:type="dxa"/>
            <w:noWrap w:val="0"/>
            <w:vAlign w:val="top"/>
          </w:tcPr>
          <w:p w14:paraId="4F939156">
            <w:pPr>
              <w:topLinePunct/>
              <w:spacing w:line="400" w:lineRule="atLeast"/>
              <w:jc w:val="center"/>
              <w:rPr>
                <w:rFonts w:hint="eastAsia"/>
                <w:color w:val="auto"/>
                <w:szCs w:val="21"/>
                <w:highlight w:val="none"/>
              </w:rPr>
            </w:pPr>
          </w:p>
        </w:tc>
        <w:tc>
          <w:tcPr>
            <w:tcW w:w="1778" w:type="dxa"/>
            <w:noWrap w:val="0"/>
            <w:vAlign w:val="top"/>
          </w:tcPr>
          <w:p w14:paraId="41B8EBEC">
            <w:pPr>
              <w:topLinePunct/>
              <w:spacing w:line="400" w:lineRule="atLeast"/>
              <w:jc w:val="center"/>
              <w:rPr>
                <w:rFonts w:hint="eastAsia"/>
                <w:color w:val="auto"/>
                <w:szCs w:val="21"/>
                <w:highlight w:val="none"/>
              </w:rPr>
            </w:pPr>
          </w:p>
        </w:tc>
        <w:tc>
          <w:tcPr>
            <w:tcW w:w="1080" w:type="dxa"/>
            <w:noWrap w:val="0"/>
            <w:vAlign w:val="top"/>
          </w:tcPr>
          <w:p w14:paraId="625896BC">
            <w:pPr>
              <w:topLinePunct/>
              <w:spacing w:line="400" w:lineRule="atLeast"/>
              <w:jc w:val="center"/>
              <w:rPr>
                <w:rFonts w:hint="eastAsia"/>
                <w:color w:val="auto"/>
                <w:szCs w:val="21"/>
                <w:highlight w:val="none"/>
              </w:rPr>
            </w:pPr>
          </w:p>
        </w:tc>
      </w:tr>
      <w:tr w14:paraId="43A50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40" w:type="dxa"/>
            <w:noWrap w:val="0"/>
            <w:vAlign w:val="top"/>
          </w:tcPr>
          <w:p w14:paraId="1CB13EDD">
            <w:pPr>
              <w:topLinePunct/>
              <w:spacing w:line="400" w:lineRule="atLeast"/>
              <w:jc w:val="center"/>
              <w:rPr>
                <w:rFonts w:hint="eastAsia"/>
                <w:color w:val="auto"/>
                <w:szCs w:val="21"/>
                <w:highlight w:val="none"/>
              </w:rPr>
            </w:pPr>
          </w:p>
        </w:tc>
        <w:tc>
          <w:tcPr>
            <w:tcW w:w="1846" w:type="dxa"/>
            <w:noWrap w:val="0"/>
            <w:vAlign w:val="top"/>
          </w:tcPr>
          <w:p w14:paraId="6114C57A">
            <w:pPr>
              <w:topLinePunct/>
              <w:spacing w:line="400" w:lineRule="atLeast"/>
              <w:jc w:val="center"/>
              <w:rPr>
                <w:rFonts w:hint="eastAsia"/>
                <w:color w:val="auto"/>
                <w:szCs w:val="21"/>
                <w:highlight w:val="none"/>
              </w:rPr>
            </w:pPr>
          </w:p>
        </w:tc>
        <w:tc>
          <w:tcPr>
            <w:tcW w:w="1394" w:type="dxa"/>
            <w:noWrap w:val="0"/>
            <w:vAlign w:val="top"/>
          </w:tcPr>
          <w:p w14:paraId="0F6DBB6F">
            <w:pPr>
              <w:topLinePunct/>
              <w:spacing w:line="400" w:lineRule="atLeast"/>
              <w:jc w:val="center"/>
              <w:rPr>
                <w:rFonts w:hint="eastAsia"/>
                <w:color w:val="auto"/>
                <w:szCs w:val="21"/>
                <w:highlight w:val="none"/>
              </w:rPr>
            </w:pPr>
          </w:p>
        </w:tc>
        <w:tc>
          <w:tcPr>
            <w:tcW w:w="1080" w:type="dxa"/>
            <w:noWrap w:val="0"/>
            <w:vAlign w:val="top"/>
          </w:tcPr>
          <w:p w14:paraId="3863F2E5">
            <w:pPr>
              <w:topLinePunct/>
              <w:spacing w:line="400" w:lineRule="atLeast"/>
              <w:jc w:val="center"/>
              <w:rPr>
                <w:rFonts w:hint="eastAsia"/>
                <w:color w:val="auto"/>
                <w:szCs w:val="21"/>
                <w:highlight w:val="none"/>
              </w:rPr>
            </w:pPr>
          </w:p>
        </w:tc>
        <w:tc>
          <w:tcPr>
            <w:tcW w:w="1112" w:type="dxa"/>
            <w:noWrap w:val="0"/>
            <w:vAlign w:val="top"/>
          </w:tcPr>
          <w:p w14:paraId="5C92D938">
            <w:pPr>
              <w:topLinePunct/>
              <w:spacing w:line="400" w:lineRule="atLeast"/>
              <w:jc w:val="center"/>
              <w:rPr>
                <w:rFonts w:hint="eastAsia"/>
                <w:color w:val="auto"/>
                <w:szCs w:val="21"/>
                <w:highlight w:val="none"/>
              </w:rPr>
            </w:pPr>
          </w:p>
        </w:tc>
        <w:tc>
          <w:tcPr>
            <w:tcW w:w="1778" w:type="dxa"/>
            <w:noWrap w:val="0"/>
            <w:vAlign w:val="top"/>
          </w:tcPr>
          <w:p w14:paraId="21CA77F4">
            <w:pPr>
              <w:topLinePunct/>
              <w:spacing w:line="400" w:lineRule="atLeast"/>
              <w:jc w:val="center"/>
              <w:rPr>
                <w:rFonts w:hint="eastAsia"/>
                <w:color w:val="auto"/>
                <w:szCs w:val="21"/>
                <w:highlight w:val="none"/>
              </w:rPr>
            </w:pPr>
          </w:p>
        </w:tc>
        <w:tc>
          <w:tcPr>
            <w:tcW w:w="1080" w:type="dxa"/>
            <w:noWrap w:val="0"/>
            <w:vAlign w:val="top"/>
          </w:tcPr>
          <w:p w14:paraId="31FF6959">
            <w:pPr>
              <w:topLinePunct/>
              <w:spacing w:line="400" w:lineRule="atLeast"/>
              <w:jc w:val="center"/>
              <w:rPr>
                <w:rFonts w:hint="eastAsia"/>
                <w:color w:val="auto"/>
                <w:szCs w:val="21"/>
                <w:highlight w:val="none"/>
              </w:rPr>
            </w:pPr>
          </w:p>
        </w:tc>
      </w:tr>
      <w:tr w14:paraId="0BC9A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40" w:type="dxa"/>
            <w:noWrap w:val="0"/>
            <w:vAlign w:val="top"/>
          </w:tcPr>
          <w:p w14:paraId="2BBDB4FE">
            <w:pPr>
              <w:topLinePunct/>
              <w:spacing w:line="400" w:lineRule="atLeast"/>
              <w:jc w:val="center"/>
              <w:rPr>
                <w:rFonts w:hint="eastAsia"/>
                <w:color w:val="auto"/>
                <w:szCs w:val="21"/>
                <w:highlight w:val="none"/>
              </w:rPr>
            </w:pPr>
          </w:p>
        </w:tc>
        <w:tc>
          <w:tcPr>
            <w:tcW w:w="1846" w:type="dxa"/>
            <w:noWrap w:val="0"/>
            <w:vAlign w:val="top"/>
          </w:tcPr>
          <w:p w14:paraId="71395CC2">
            <w:pPr>
              <w:topLinePunct/>
              <w:spacing w:line="400" w:lineRule="atLeast"/>
              <w:jc w:val="center"/>
              <w:rPr>
                <w:rFonts w:hint="eastAsia"/>
                <w:color w:val="auto"/>
                <w:szCs w:val="21"/>
                <w:highlight w:val="none"/>
              </w:rPr>
            </w:pPr>
          </w:p>
        </w:tc>
        <w:tc>
          <w:tcPr>
            <w:tcW w:w="1394" w:type="dxa"/>
            <w:noWrap w:val="0"/>
            <w:vAlign w:val="top"/>
          </w:tcPr>
          <w:p w14:paraId="0DD788D5">
            <w:pPr>
              <w:topLinePunct/>
              <w:spacing w:line="400" w:lineRule="atLeast"/>
              <w:jc w:val="center"/>
              <w:rPr>
                <w:rFonts w:hint="eastAsia"/>
                <w:color w:val="auto"/>
                <w:szCs w:val="21"/>
                <w:highlight w:val="none"/>
              </w:rPr>
            </w:pPr>
          </w:p>
        </w:tc>
        <w:tc>
          <w:tcPr>
            <w:tcW w:w="1080" w:type="dxa"/>
            <w:noWrap w:val="0"/>
            <w:vAlign w:val="top"/>
          </w:tcPr>
          <w:p w14:paraId="237F2B97">
            <w:pPr>
              <w:topLinePunct/>
              <w:spacing w:line="400" w:lineRule="atLeast"/>
              <w:jc w:val="center"/>
              <w:rPr>
                <w:rFonts w:hint="eastAsia"/>
                <w:color w:val="auto"/>
                <w:szCs w:val="21"/>
                <w:highlight w:val="none"/>
              </w:rPr>
            </w:pPr>
          </w:p>
        </w:tc>
        <w:tc>
          <w:tcPr>
            <w:tcW w:w="1112" w:type="dxa"/>
            <w:noWrap w:val="0"/>
            <w:vAlign w:val="top"/>
          </w:tcPr>
          <w:p w14:paraId="26D0CFE2">
            <w:pPr>
              <w:topLinePunct/>
              <w:spacing w:line="400" w:lineRule="atLeast"/>
              <w:jc w:val="center"/>
              <w:rPr>
                <w:rFonts w:hint="eastAsia"/>
                <w:color w:val="auto"/>
                <w:szCs w:val="21"/>
                <w:highlight w:val="none"/>
              </w:rPr>
            </w:pPr>
          </w:p>
        </w:tc>
        <w:tc>
          <w:tcPr>
            <w:tcW w:w="1778" w:type="dxa"/>
            <w:noWrap w:val="0"/>
            <w:vAlign w:val="top"/>
          </w:tcPr>
          <w:p w14:paraId="0208F622">
            <w:pPr>
              <w:topLinePunct/>
              <w:spacing w:line="400" w:lineRule="atLeast"/>
              <w:jc w:val="center"/>
              <w:rPr>
                <w:rFonts w:hint="eastAsia"/>
                <w:color w:val="auto"/>
                <w:szCs w:val="21"/>
                <w:highlight w:val="none"/>
              </w:rPr>
            </w:pPr>
          </w:p>
        </w:tc>
        <w:tc>
          <w:tcPr>
            <w:tcW w:w="1080" w:type="dxa"/>
            <w:noWrap w:val="0"/>
            <w:vAlign w:val="top"/>
          </w:tcPr>
          <w:p w14:paraId="1D42EA84">
            <w:pPr>
              <w:topLinePunct/>
              <w:spacing w:line="400" w:lineRule="atLeast"/>
              <w:jc w:val="center"/>
              <w:rPr>
                <w:rFonts w:hint="eastAsia"/>
                <w:color w:val="auto"/>
                <w:szCs w:val="21"/>
                <w:highlight w:val="none"/>
              </w:rPr>
            </w:pPr>
          </w:p>
        </w:tc>
      </w:tr>
      <w:tr w14:paraId="60322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40" w:type="dxa"/>
            <w:noWrap w:val="0"/>
            <w:vAlign w:val="top"/>
          </w:tcPr>
          <w:p w14:paraId="291D81A3">
            <w:pPr>
              <w:topLinePunct/>
              <w:spacing w:line="400" w:lineRule="atLeast"/>
              <w:jc w:val="center"/>
              <w:rPr>
                <w:rFonts w:hint="eastAsia"/>
                <w:color w:val="auto"/>
                <w:szCs w:val="21"/>
                <w:highlight w:val="none"/>
              </w:rPr>
            </w:pPr>
          </w:p>
        </w:tc>
        <w:tc>
          <w:tcPr>
            <w:tcW w:w="1846" w:type="dxa"/>
            <w:noWrap w:val="0"/>
            <w:vAlign w:val="top"/>
          </w:tcPr>
          <w:p w14:paraId="7E1232D4">
            <w:pPr>
              <w:topLinePunct/>
              <w:spacing w:line="400" w:lineRule="atLeast"/>
              <w:jc w:val="center"/>
              <w:rPr>
                <w:rFonts w:hint="eastAsia"/>
                <w:color w:val="auto"/>
                <w:szCs w:val="21"/>
                <w:highlight w:val="none"/>
              </w:rPr>
            </w:pPr>
          </w:p>
        </w:tc>
        <w:tc>
          <w:tcPr>
            <w:tcW w:w="1394" w:type="dxa"/>
            <w:noWrap w:val="0"/>
            <w:vAlign w:val="top"/>
          </w:tcPr>
          <w:p w14:paraId="0ACFC6DB">
            <w:pPr>
              <w:topLinePunct/>
              <w:spacing w:line="400" w:lineRule="atLeast"/>
              <w:jc w:val="center"/>
              <w:rPr>
                <w:rFonts w:hint="eastAsia"/>
                <w:color w:val="auto"/>
                <w:szCs w:val="21"/>
                <w:highlight w:val="none"/>
              </w:rPr>
            </w:pPr>
          </w:p>
        </w:tc>
        <w:tc>
          <w:tcPr>
            <w:tcW w:w="1080" w:type="dxa"/>
            <w:noWrap w:val="0"/>
            <w:vAlign w:val="top"/>
          </w:tcPr>
          <w:p w14:paraId="77D58EA8">
            <w:pPr>
              <w:topLinePunct/>
              <w:spacing w:line="400" w:lineRule="atLeast"/>
              <w:jc w:val="center"/>
              <w:rPr>
                <w:rFonts w:hint="eastAsia"/>
                <w:color w:val="auto"/>
                <w:szCs w:val="21"/>
                <w:highlight w:val="none"/>
              </w:rPr>
            </w:pPr>
          </w:p>
        </w:tc>
        <w:tc>
          <w:tcPr>
            <w:tcW w:w="1112" w:type="dxa"/>
            <w:noWrap w:val="0"/>
            <w:vAlign w:val="top"/>
          </w:tcPr>
          <w:p w14:paraId="00AB9AF5">
            <w:pPr>
              <w:topLinePunct/>
              <w:spacing w:line="400" w:lineRule="atLeast"/>
              <w:jc w:val="center"/>
              <w:rPr>
                <w:rFonts w:hint="eastAsia"/>
                <w:color w:val="auto"/>
                <w:szCs w:val="21"/>
                <w:highlight w:val="none"/>
              </w:rPr>
            </w:pPr>
          </w:p>
        </w:tc>
        <w:tc>
          <w:tcPr>
            <w:tcW w:w="1778" w:type="dxa"/>
            <w:noWrap w:val="0"/>
            <w:vAlign w:val="top"/>
          </w:tcPr>
          <w:p w14:paraId="38935AEB">
            <w:pPr>
              <w:topLinePunct/>
              <w:spacing w:line="400" w:lineRule="atLeast"/>
              <w:jc w:val="center"/>
              <w:rPr>
                <w:rFonts w:hint="eastAsia"/>
                <w:color w:val="auto"/>
                <w:szCs w:val="21"/>
                <w:highlight w:val="none"/>
              </w:rPr>
            </w:pPr>
          </w:p>
        </w:tc>
        <w:tc>
          <w:tcPr>
            <w:tcW w:w="1080" w:type="dxa"/>
            <w:noWrap w:val="0"/>
            <w:vAlign w:val="top"/>
          </w:tcPr>
          <w:p w14:paraId="54E110E1">
            <w:pPr>
              <w:topLinePunct/>
              <w:spacing w:line="400" w:lineRule="atLeast"/>
              <w:jc w:val="center"/>
              <w:rPr>
                <w:rFonts w:hint="eastAsia"/>
                <w:color w:val="auto"/>
                <w:szCs w:val="21"/>
                <w:highlight w:val="none"/>
              </w:rPr>
            </w:pPr>
          </w:p>
        </w:tc>
      </w:tr>
      <w:tr w14:paraId="3965F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40" w:type="dxa"/>
            <w:noWrap w:val="0"/>
            <w:vAlign w:val="top"/>
          </w:tcPr>
          <w:p w14:paraId="2C07A889">
            <w:pPr>
              <w:topLinePunct/>
              <w:spacing w:line="400" w:lineRule="atLeast"/>
              <w:jc w:val="center"/>
              <w:rPr>
                <w:rFonts w:hint="eastAsia"/>
                <w:color w:val="auto"/>
                <w:szCs w:val="21"/>
                <w:highlight w:val="none"/>
              </w:rPr>
            </w:pPr>
          </w:p>
        </w:tc>
        <w:tc>
          <w:tcPr>
            <w:tcW w:w="1846" w:type="dxa"/>
            <w:noWrap w:val="0"/>
            <w:vAlign w:val="top"/>
          </w:tcPr>
          <w:p w14:paraId="22BFDF51">
            <w:pPr>
              <w:topLinePunct/>
              <w:spacing w:line="400" w:lineRule="atLeast"/>
              <w:jc w:val="center"/>
              <w:rPr>
                <w:rFonts w:hint="eastAsia"/>
                <w:color w:val="auto"/>
                <w:szCs w:val="21"/>
                <w:highlight w:val="none"/>
              </w:rPr>
            </w:pPr>
          </w:p>
        </w:tc>
        <w:tc>
          <w:tcPr>
            <w:tcW w:w="1394" w:type="dxa"/>
            <w:noWrap w:val="0"/>
            <w:vAlign w:val="top"/>
          </w:tcPr>
          <w:p w14:paraId="3DED9B56">
            <w:pPr>
              <w:topLinePunct/>
              <w:spacing w:line="400" w:lineRule="atLeast"/>
              <w:jc w:val="center"/>
              <w:rPr>
                <w:rFonts w:hint="eastAsia"/>
                <w:color w:val="auto"/>
                <w:szCs w:val="21"/>
                <w:highlight w:val="none"/>
              </w:rPr>
            </w:pPr>
          </w:p>
        </w:tc>
        <w:tc>
          <w:tcPr>
            <w:tcW w:w="1080" w:type="dxa"/>
            <w:noWrap w:val="0"/>
            <w:vAlign w:val="top"/>
          </w:tcPr>
          <w:p w14:paraId="16EBD758">
            <w:pPr>
              <w:topLinePunct/>
              <w:spacing w:line="400" w:lineRule="atLeast"/>
              <w:jc w:val="center"/>
              <w:rPr>
                <w:rFonts w:hint="eastAsia"/>
                <w:color w:val="auto"/>
                <w:szCs w:val="21"/>
                <w:highlight w:val="none"/>
              </w:rPr>
            </w:pPr>
          </w:p>
        </w:tc>
        <w:tc>
          <w:tcPr>
            <w:tcW w:w="1112" w:type="dxa"/>
            <w:noWrap w:val="0"/>
            <w:vAlign w:val="top"/>
          </w:tcPr>
          <w:p w14:paraId="5EA15CC4">
            <w:pPr>
              <w:topLinePunct/>
              <w:spacing w:line="400" w:lineRule="atLeast"/>
              <w:jc w:val="center"/>
              <w:rPr>
                <w:rFonts w:hint="eastAsia"/>
                <w:color w:val="auto"/>
                <w:szCs w:val="21"/>
                <w:highlight w:val="none"/>
              </w:rPr>
            </w:pPr>
          </w:p>
        </w:tc>
        <w:tc>
          <w:tcPr>
            <w:tcW w:w="1778" w:type="dxa"/>
            <w:noWrap w:val="0"/>
            <w:vAlign w:val="top"/>
          </w:tcPr>
          <w:p w14:paraId="0420D42E">
            <w:pPr>
              <w:topLinePunct/>
              <w:spacing w:line="400" w:lineRule="atLeast"/>
              <w:jc w:val="center"/>
              <w:rPr>
                <w:rFonts w:hint="eastAsia"/>
                <w:color w:val="auto"/>
                <w:szCs w:val="21"/>
                <w:highlight w:val="none"/>
              </w:rPr>
            </w:pPr>
          </w:p>
        </w:tc>
        <w:tc>
          <w:tcPr>
            <w:tcW w:w="1080" w:type="dxa"/>
            <w:noWrap w:val="0"/>
            <w:vAlign w:val="top"/>
          </w:tcPr>
          <w:p w14:paraId="4A800BE9">
            <w:pPr>
              <w:topLinePunct/>
              <w:spacing w:line="400" w:lineRule="atLeast"/>
              <w:jc w:val="center"/>
              <w:rPr>
                <w:rFonts w:hint="eastAsia"/>
                <w:color w:val="auto"/>
                <w:szCs w:val="21"/>
                <w:highlight w:val="none"/>
              </w:rPr>
            </w:pPr>
          </w:p>
        </w:tc>
      </w:tr>
      <w:tr w14:paraId="7B929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40" w:type="dxa"/>
            <w:noWrap w:val="0"/>
            <w:vAlign w:val="top"/>
          </w:tcPr>
          <w:p w14:paraId="1915C6E7">
            <w:pPr>
              <w:topLinePunct/>
              <w:spacing w:line="400" w:lineRule="atLeast"/>
              <w:jc w:val="center"/>
              <w:rPr>
                <w:rFonts w:hint="eastAsia"/>
                <w:color w:val="auto"/>
                <w:szCs w:val="21"/>
                <w:highlight w:val="none"/>
              </w:rPr>
            </w:pPr>
          </w:p>
        </w:tc>
        <w:tc>
          <w:tcPr>
            <w:tcW w:w="1846" w:type="dxa"/>
            <w:noWrap w:val="0"/>
            <w:vAlign w:val="top"/>
          </w:tcPr>
          <w:p w14:paraId="3C350D66">
            <w:pPr>
              <w:topLinePunct/>
              <w:spacing w:line="400" w:lineRule="atLeast"/>
              <w:jc w:val="center"/>
              <w:rPr>
                <w:rFonts w:hint="eastAsia"/>
                <w:color w:val="auto"/>
                <w:szCs w:val="21"/>
                <w:highlight w:val="none"/>
              </w:rPr>
            </w:pPr>
          </w:p>
        </w:tc>
        <w:tc>
          <w:tcPr>
            <w:tcW w:w="1394" w:type="dxa"/>
            <w:noWrap w:val="0"/>
            <w:vAlign w:val="top"/>
          </w:tcPr>
          <w:p w14:paraId="1CC3AD77">
            <w:pPr>
              <w:topLinePunct/>
              <w:spacing w:line="400" w:lineRule="atLeast"/>
              <w:jc w:val="center"/>
              <w:rPr>
                <w:rFonts w:hint="eastAsia"/>
                <w:color w:val="auto"/>
                <w:szCs w:val="21"/>
                <w:highlight w:val="none"/>
              </w:rPr>
            </w:pPr>
          </w:p>
        </w:tc>
        <w:tc>
          <w:tcPr>
            <w:tcW w:w="1080" w:type="dxa"/>
            <w:noWrap w:val="0"/>
            <w:vAlign w:val="top"/>
          </w:tcPr>
          <w:p w14:paraId="3016B009">
            <w:pPr>
              <w:topLinePunct/>
              <w:spacing w:line="400" w:lineRule="atLeast"/>
              <w:jc w:val="center"/>
              <w:rPr>
                <w:rFonts w:hint="eastAsia"/>
                <w:color w:val="auto"/>
                <w:szCs w:val="21"/>
                <w:highlight w:val="none"/>
              </w:rPr>
            </w:pPr>
          </w:p>
        </w:tc>
        <w:tc>
          <w:tcPr>
            <w:tcW w:w="1112" w:type="dxa"/>
            <w:noWrap w:val="0"/>
            <w:vAlign w:val="top"/>
          </w:tcPr>
          <w:p w14:paraId="4C4ACD1D">
            <w:pPr>
              <w:topLinePunct/>
              <w:spacing w:line="400" w:lineRule="atLeast"/>
              <w:jc w:val="center"/>
              <w:rPr>
                <w:rFonts w:hint="eastAsia"/>
                <w:color w:val="auto"/>
                <w:szCs w:val="21"/>
                <w:highlight w:val="none"/>
              </w:rPr>
            </w:pPr>
          </w:p>
        </w:tc>
        <w:tc>
          <w:tcPr>
            <w:tcW w:w="1778" w:type="dxa"/>
            <w:noWrap w:val="0"/>
            <w:vAlign w:val="top"/>
          </w:tcPr>
          <w:p w14:paraId="58552AF2">
            <w:pPr>
              <w:topLinePunct/>
              <w:spacing w:line="400" w:lineRule="atLeast"/>
              <w:jc w:val="center"/>
              <w:rPr>
                <w:rFonts w:hint="eastAsia"/>
                <w:color w:val="auto"/>
                <w:szCs w:val="21"/>
                <w:highlight w:val="none"/>
              </w:rPr>
            </w:pPr>
          </w:p>
        </w:tc>
        <w:tc>
          <w:tcPr>
            <w:tcW w:w="1080" w:type="dxa"/>
            <w:noWrap w:val="0"/>
            <w:vAlign w:val="top"/>
          </w:tcPr>
          <w:p w14:paraId="71CF6CC8">
            <w:pPr>
              <w:topLinePunct/>
              <w:spacing w:line="400" w:lineRule="atLeast"/>
              <w:jc w:val="center"/>
              <w:rPr>
                <w:rFonts w:hint="eastAsia"/>
                <w:color w:val="auto"/>
                <w:szCs w:val="21"/>
                <w:highlight w:val="none"/>
              </w:rPr>
            </w:pPr>
          </w:p>
        </w:tc>
      </w:tr>
      <w:tr w14:paraId="25532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40" w:type="dxa"/>
            <w:noWrap w:val="0"/>
            <w:vAlign w:val="top"/>
          </w:tcPr>
          <w:p w14:paraId="544239CF">
            <w:pPr>
              <w:topLinePunct/>
              <w:spacing w:line="400" w:lineRule="atLeast"/>
              <w:jc w:val="center"/>
              <w:rPr>
                <w:rFonts w:hint="eastAsia"/>
                <w:color w:val="auto"/>
                <w:szCs w:val="21"/>
                <w:highlight w:val="none"/>
              </w:rPr>
            </w:pPr>
          </w:p>
        </w:tc>
        <w:tc>
          <w:tcPr>
            <w:tcW w:w="1846" w:type="dxa"/>
            <w:noWrap w:val="0"/>
            <w:vAlign w:val="top"/>
          </w:tcPr>
          <w:p w14:paraId="23631E4F">
            <w:pPr>
              <w:topLinePunct/>
              <w:spacing w:line="400" w:lineRule="atLeast"/>
              <w:jc w:val="center"/>
              <w:rPr>
                <w:rFonts w:hint="eastAsia"/>
                <w:color w:val="auto"/>
                <w:szCs w:val="21"/>
                <w:highlight w:val="none"/>
              </w:rPr>
            </w:pPr>
          </w:p>
        </w:tc>
        <w:tc>
          <w:tcPr>
            <w:tcW w:w="1394" w:type="dxa"/>
            <w:noWrap w:val="0"/>
            <w:vAlign w:val="top"/>
          </w:tcPr>
          <w:p w14:paraId="4B624407">
            <w:pPr>
              <w:topLinePunct/>
              <w:spacing w:line="400" w:lineRule="atLeast"/>
              <w:jc w:val="center"/>
              <w:rPr>
                <w:rFonts w:hint="eastAsia"/>
                <w:color w:val="auto"/>
                <w:szCs w:val="21"/>
                <w:highlight w:val="none"/>
              </w:rPr>
            </w:pPr>
          </w:p>
        </w:tc>
        <w:tc>
          <w:tcPr>
            <w:tcW w:w="1080" w:type="dxa"/>
            <w:noWrap w:val="0"/>
            <w:vAlign w:val="top"/>
          </w:tcPr>
          <w:p w14:paraId="138AA142">
            <w:pPr>
              <w:topLinePunct/>
              <w:spacing w:line="400" w:lineRule="atLeast"/>
              <w:jc w:val="center"/>
              <w:rPr>
                <w:rFonts w:hint="eastAsia"/>
                <w:color w:val="auto"/>
                <w:szCs w:val="21"/>
                <w:highlight w:val="none"/>
              </w:rPr>
            </w:pPr>
          </w:p>
        </w:tc>
        <w:tc>
          <w:tcPr>
            <w:tcW w:w="1112" w:type="dxa"/>
            <w:noWrap w:val="0"/>
            <w:vAlign w:val="top"/>
          </w:tcPr>
          <w:p w14:paraId="7AAE121D">
            <w:pPr>
              <w:topLinePunct/>
              <w:spacing w:line="400" w:lineRule="atLeast"/>
              <w:jc w:val="center"/>
              <w:rPr>
                <w:rFonts w:hint="eastAsia"/>
                <w:color w:val="auto"/>
                <w:szCs w:val="21"/>
                <w:highlight w:val="none"/>
              </w:rPr>
            </w:pPr>
          </w:p>
        </w:tc>
        <w:tc>
          <w:tcPr>
            <w:tcW w:w="1778" w:type="dxa"/>
            <w:noWrap w:val="0"/>
            <w:vAlign w:val="top"/>
          </w:tcPr>
          <w:p w14:paraId="3B28D842">
            <w:pPr>
              <w:topLinePunct/>
              <w:spacing w:line="400" w:lineRule="atLeast"/>
              <w:jc w:val="center"/>
              <w:rPr>
                <w:rFonts w:hint="eastAsia"/>
                <w:color w:val="auto"/>
                <w:szCs w:val="21"/>
                <w:highlight w:val="none"/>
              </w:rPr>
            </w:pPr>
          </w:p>
        </w:tc>
        <w:tc>
          <w:tcPr>
            <w:tcW w:w="1080" w:type="dxa"/>
            <w:noWrap w:val="0"/>
            <w:vAlign w:val="top"/>
          </w:tcPr>
          <w:p w14:paraId="2FECE12A">
            <w:pPr>
              <w:topLinePunct/>
              <w:spacing w:line="400" w:lineRule="atLeast"/>
              <w:jc w:val="center"/>
              <w:rPr>
                <w:rFonts w:hint="eastAsia"/>
                <w:color w:val="auto"/>
                <w:szCs w:val="21"/>
                <w:highlight w:val="none"/>
              </w:rPr>
            </w:pPr>
          </w:p>
        </w:tc>
      </w:tr>
      <w:tr w14:paraId="79A0A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40" w:type="dxa"/>
            <w:noWrap w:val="0"/>
            <w:vAlign w:val="top"/>
          </w:tcPr>
          <w:p w14:paraId="0606048F">
            <w:pPr>
              <w:topLinePunct/>
              <w:spacing w:line="400" w:lineRule="atLeast"/>
              <w:jc w:val="center"/>
              <w:rPr>
                <w:rFonts w:hint="eastAsia"/>
                <w:color w:val="auto"/>
                <w:szCs w:val="21"/>
                <w:highlight w:val="none"/>
              </w:rPr>
            </w:pPr>
          </w:p>
        </w:tc>
        <w:tc>
          <w:tcPr>
            <w:tcW w:w="1846" w:type="dxa"/>
            <w:noWrap w:val="0"/>
            <w:vAlign w:val="top"/>
          </w:tcPr>
          <w:p w14:paraId="7C4E99E2">
            <w:pPr>
              <w:topLinePunct/>
              <w:spacing w:line="400" w:lineRule="atLeast"/>
              <w:jc w:val="center"/>
              <w:rPr>
                <w:rFonts w:hint="eastAsia"/>
                <w:color w:val="auto"/>
                <w:szCs w:val="21"/>
                <w:highlight w:val="none"/>
              </w:rPr>
            </w:pPr>
          </w:p>
        </w:tc>
        <w:tc>
          <w:tcPr>
            <w:tcW w:w="1394" w:type="dxa"/>
            <w:noWrap w:val="0"/>
            <w:vAlign w:val="top"/>
          </w:tcPr>
          <w:p w14:paraId="01B8B1F4">
            <w:pPr>
              <w:topLinePunct/>
              <w:spacing w:line="400" w:lineRule="atLeast"/>
              <w:jc w:val="center"/>
              <w:rPr>
                <w:rFonts w:hint="eastAsia"/>
                <w:color w:val="auto"/>
                <w:szCs w:val="21"/>
                <w:highlight w:val="none"/>
              </w:rPr>
            </w:pPr>
          </w:p>
        </w:tc>
        <w:tc>
          <w:tcPr>
            <w:tcW w:w="1080" w:type="dxa"/>
            <w:noWrap w:val="0"/>
            <w:vAlign w:val="top"/>
          </w:tcPr>
          <w:p w14:paraId="09A08965">
            <w:pPr>
              <w:topLinePunct/>
              <w:spacing w:line="400" w:lineRule="atLeast"/>
              <w:jc w:val="center"/>
              <w:rPr>
                <w:rFonts w:hint="eastAsia"/>
                <w:color w:val="auto"/>
                <w:szCs w:val="21"/>
                <w:highlight w:val="none"/>
              </w:rPr>
            </w:pPr>
          </w:p>
        </w:tc>
        <w:tc>
          <w:tcPr>
            <w:tcW w:w="1112" w:type="dxa"/>
            <w:noWrap w:val="0"/>
            <w:vAlign w:val="top"/>
          </w:tcPr>
          <w:p w14:paraId="3F1FF243">
            <w:pPr>
              <w:topLinePunct/>
              <w:spacing w:line="400" w:lineRule="atLeast"/>
              <w:jc w:val="center"/>
              <w:rPr>
                <w:rFonts w:hint="eastAsia"/>
                <w:color w:val="auto"/>
                <w:szCs w:val="21"/>
                <w:highlight w:val="none"/>
              </w:rPr>
            </w:pPr>
          </w:p>
        </w:tc>
        <w:tc>
          <w:tcPr>
            <w:tcW w:w="1778" w:type="dxa"/>
            <w:noWrap w:val="0"/>
            <w:vAlign w:val="top"/>
          </w:tcPr>
          <w:p w14:paraId="07E71CDA">
            <w:pPr>
              <w:topLinePunct/>
              <w:spacing w:line="400" w:lineRule="atLeast"/>
              <w:jc w:val="center"/>
              <w:rPr>
                <w:rFonts w:hint="eastAsia"/>
                <w:color w:val="auto"/>
                <w:szCs w:val="21"/>
                <w:highlight w:val="none"/>
              </w:rPr>
            </w:pPr>
          </w:p>
        </w:tc>
        <w:tc>
          <w:tcPr>
            <w:tcW w:w="1080" w:type="dxa"/>
            <w:noWrap w:val="0"/>
            <w:vAlign w:val="top"/>
          </w:tcPr>
          <w:p w14:paraId="286C5FA3">
            <w:pPr>
              <w:topLinePunct/>
              <w:spacing w:line="400" w:lineRule="atLeast"/>
              <w:jc w:val="center"/>
              <w:rPr>
                <w:rFonts w:hint="eastAsia"/>
                <w:color w:val="auto"/>
                <w:szCs w:val="21"/>
                <w:highlight w:val="none"/>
              </w:rPr>
            </w:pPr>
          </w:p>
        </w:tc>
      </w:tr>
      <w:tr w14:paraId="48F2A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40" w:type="dxa"/>
            <w:noWrap w:val="0"/>
            <w:vAlign w:val="top"/>
          </w:tcPr>
          <w:p w14:paraId="5CFDD874">
            <w:pPr>
              <w:topLinePunct/>
              <w:spacing w:line="400" w:lineRule="atLeast"/>
              <w:jc w:val="center"/>
              <w:rPr>
                <w:rFonts w:hint="eastAsia"/>
                <w:color w:val="auto"/>
                <w:szCs w:val="21"/>
                <w:highlight w:val="none"/>
              </w:rPr>
            </w:pPr>
          </w:p>
        </w:tc>
        <w:tc>
          <w:tcPr>
            <w:tcW w:w="1846" w:type="dxa"/>
            <w:noWrap w:val="0"/>
            <w:vAlign w:val="top"/>
          </w:tcPr>
          <w:p w14:paraId="07EAF544">
            <w:pPr>
              <w:topLinePunct/>
              <w:spacing w:line="400" w:lineRule="atLeast"/>
              <w:jc w:val="center"/>
              <w:rPr>
                <w:rFonts w:hint="eastAsia"/>
                <w:color w:val="auto"/>
                <w:szCs w:val="21"/>
                <w:highlight w:val="none"/>
              </w:rPr>
            </w:pPr>
          </w:p>
        </w:tc>
        <w:tc>
          <w:tcPr>
            <w:tcW w:w="1394" w:type="dxa"/>
            <w:noWrap w:val="0"/>
            <w:vAlign w:val="top"/>
          </w:tcPr>
          <w:p w14:paraId="471C896C">
            <w:pPr>
              <w:topLinePunct/>
              <w:spacing w:line="400" w:lineRule="atLeast"/>
              <w:jc w:val="center"/>
              <w:rPr>
                <w:rFonts w:hint="eastAsia"/>
                <w:color w:val="auto"/>
                <w:szCs w:val="21"/>
                <w:highlight w:val="none"/>
              </w:rPr>
            </w:pPr>
          </w:p>
        </w:tc>
        <w:tc>
          <w:tcPr>
            <w:tcW w:w="1080" w:type="dxa"/>
            <w:noWrap w:val="0"/>
            <w:vAlign w:val="top"/>
          </w:tcPr>
          <w:p w14:paraId="7ACE8C18">
            <w:pPr>
              <w:topLinePunct/>
              <w:spacing w:line="400" w:lineRule="atLeast"/>
              <w:jc w:val="center"/>
              <w:rPr>
                <w:rFonts w:hint="eastAsia"/>
                <w:color w:val="auto"/>
                <w:szCs w:val="21"/>
                <w:highlight w:val="none"/>
              </w:rPr>
            </w:pPr>
          </w:p>
        </w:tc>
        <w:tc>
          <w:tcPr>
            <w:tcW w:w="1112" w:type="dxa"/>
            <w:noWrap w:val="0"/>
            <w:vAlign w:val="top"/>
          </w:tcPr>
          <w:p w14:paraId="0AA74C2C">
            <w:pPr>
              <w:topLinePunct/>
              <w:spacing w:line="400" w:lineRule="atLeast"/>
              <w:jc w:val="center"/>
              <w:rPr>
                <w:rFonts w:hint="eastAsia"/>
                <w:color w:val="auto"/>
                <w:szCs w:val="21"/>
                <w:highlight w:val="none"/>
              </w:rPr>
            </w:pPr>
          </w:p>
        </w:tc>
        <w:tc>
          <w:tcPr>
            <w:tcW w:w="1778" w:type="dxa"/>
            <w:noWrap w:val="0"/>
            <w:vAlign w:val="top"/>
          </w:tcPr>
          <w:p w14:paraId="6A4A47B3">
            <w:pPr>
              <w:topLinePunct/>
              <w:spacing w:line="400" w:lineRule="atLeast"/>
              <w:jc w:val="center"/>
              <w:rPr>
                <w:rFonts w:hint="eastAsia"/>
                <w:color w:val="auto"/>
                <w:szCs w:val="21"/>
                <w:highlight w:val="none"/>
              </w:rPr>
            </w:pPr>
          </w:p>
        </w:tc>
        <w:tc>
          <w:tcPr>
            <w:tcW w:w="1080" w:type="dxa"/>
            <w:noWrap w:val="0"/>
            <w:vAlign w:val="top"/>
          </w:tcPr>
          <w:p w14:paraId="168B4A9C">
            <w:pPr>
              <w:topLinePunct/>
              <w:spacing w:line="400" w:lineRule="atLeast"/>
              <w:jc w:val="center"/>
              <w:rPr>
                <w:rFonts w:hint="eastAsia"/>
                <w:color w:val="auto"/>
                <w:szCs w:val="21"/>
                <w:highlight w:val="none"/>
              </w:rPr>
            </w:pPr>
          </w:p>
        </w:tc>
      </w:tr>
      <w:tr w14:paraId="0CA2F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40" w:type="dxa"/>
            <w:noWrap w:val="0"/>
            <w:vAlign w:val="top"/>
          </w:tcPr>
          <w:p w14:paraId="4860D01D">
            <w:pPr>
              <w:topLinePunct/>
              <w:spacing w:line="400" w:lineRule="atLeast"/>
              <w:jc w:val="center"/>
              <w:rPr>
                <w:rFonts w:hint="eastAsia"/>
                <w:color w:val="auto"/>
                <w:szCs w:val="21"/>
                <w:highlight w:val="none"/>
              </w:rPr>
            </w:pPr>
          </w:p>
        </w:tc>
        <w:tc>
          <w:tcPr>
            <w:tcW w:w="1846" w:type="dxa"/>
            <w:noWrap w:val="0"/>
            <w:vAlign w:val="top"/>
          </w:tcPr>
          <w:p w14:paraId="53C42A55">
            <w:pPr>
              <w:topLinePunct/>
              <w:spacing w:line="400" w:lineRule="atLeast"/>
              <w:jc w:val="center"/>
              <w:rPr>
                <w:rFonts w:hint="eastAsia"/>
                <w:color w:val="auto"/>
                <w:szCs w:val="21"/>
                <w:highlight w:val="none"/>
              </w:rPr>
            </w:pPr>
          </w:p>
        </w:tc>
        <w:tc>
          <w:tcPr>
            <w:tcW w:w="1394" w:type="dxa"/>
            <w:noWrap w:val="0"/>
            <w:vAlign w:val="top"/>
          </w:tcPr>
          <w:p w14:paraId="6072B73E">
            <w:pPr>
              <w:topLinePunct/>
              <w:spacing w:line="400" w:lineRule="atLeast"/>
              <w:jc w:val="center"/>
              <w:rPr>
                <w:rFonts w:hint="eastAsia"/>
                <w:color w:val="auto"/>
                <w:szCs w:val="21"/>
                <w:highlight w:val="none"/>
              </w:rPr>
            </w:pPr>
          </w:p>
        </w:tc>
        <w:tc>
          <w:tcPr>
            <w:tcW w:w="1080" w:type="dxa"/>
            <w:noWrap w:val="0"/>
            <w:vAlign w:val="top"/>
          </w:tcPr>
          <w:p w14:paraId="14488C89">
            <w:pPr>
              <w:topLinePunct/>
              <w:spacing w:line="400" w:lineRule="atLeast"/>
              <w:jc w:val="center"/>
              <w:rPr>
                <w:rFonts w:hint="eastAsia"/>
                <w:color w:val="auto"/>
                <w:szCs w:val="21"/>
                <w:highlight w:val="none"/>
              </w:rPr>
            </w:pPr>
          </w:p>
        </w:tc>
        <w:tc>
          <w:tcPr>
            <w:tcW w:w="1112" w:type="dxa"/>
            <w:noWrap w:val="0"/>
            <w:vAlign w:val="top"/>
          </w:tcPr>
          <w:p w14:paraId="356EB7CA">
            <w:pPr>
              <w:topLinePunct/>
              <w:spacing w:line="400" w:lineRule="atLeast"/>
              <w:jc w:val="center"/>
              <w:rPr>
                <w:rFonts w:hint="eastAsia"/>
                <w:color w:val="auto"/>
                <w:szCs w:val="21"/>
                <w:highlight w:val="none"/>
              </w:rPr>
            </w:pPr>
          </w:p>
        </w:tc>
        <w:tc>
          <w:tcPr>
            <w:tcW w:w="1778" w:type="dxa"/>
            <w:noWrap w:val="0"/>
            <w:vAlign w:val="top"/>
          </w:tcPr>
          <w:p w14:paraId="79DB211D">
            <w:pPr>
              <w:topLinePunct/>
              <w:spacing w:line="400" w:lineRule="atLeast"/>
              <w:jc w:val="center"/>
              <w:rPr>
                <w:rFonts w:hint="eastAsia"/>
                <w:color w:val="auto"/>
                <w:szCs w:val="21"/>
                <w:highlight w:val="none"/>
              </w:rPr>
            </w:pPr>
          </w:p>
        </w:tc>
        <w:tc>
          <w:tcPr>
            <w:tcW w:w="1080" w:type="dxa"/>
            <w:noWrap w:val="0"/>
            <w:vAlign w:val="top"/>
          </w:tcPr>
          <w:p w14:paraId="0ECB1913">
            <w:pPr>
              <w:topLinePunct/>
              <w:spacing w:line="400" w:lineRule="atLeast"/>
              <w:jc w:val="center"/>
              <w:rPr>
                <w:rFonts w:hint="eastAsia"/>
                <w:color w:val="auto"/>
                <w:szCs w:val="21"/>
                <w:highlight w:val="none"/>
              </w:rPr>
            </w:pPr>
          </w:p>
        </w:tc>
      </w:tr>
      <w:tr w14:paraId="5FEE3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40" w:type="dxa"/>
            <w:noWrap w:val="0"/>
            <w:vAlign w:val="top"/>
          </w:tcPr>
          <w:p w14:paraId="37E72637">
            <w:pPr>
              <w:topLinePunct/>
              <w:spacing w:line="400" w:lineRule="atLeast"/>
              <w:jc w:val="center"/>
              <w:rPr>
                <w:rFonts w:hint="eastAsia"/>
                <w:color w:val="auto"/>
                <w:szCs w:val="21"/>
                <w:highlight w:val="none"/>
              </w:rPr>
            </w:pPr>
          </w:p>
        </w:tc>
        <w:tc>
          <w:tcPr>
            <w:tcW w:w="1846" w:type="dxa"/>
            <w:noWrap w:val="0"/>
            <w:vAlign w:val="top"/>
          </w:tcPr>
          <w:p w14:paraId="1F3471C5">
            <w:pPr>
              <w:topLinePunct/>
              <w:spacing w:line="400" w:lineRule="atLeast"/>
              <w:jc w:val="center"/>
              <w:rPr>
                <w:rFonts w:hint="eastAsia"/>
                <w:color w:val="auto"/>
                <w:szCs w:val="21"/>
                <w:highlight w:val="none"/>
              </w:rPr>
            </w:pPr>
          </w:p>
        </w:tc>
        <w:tc>
          <w:tcPr>
            <w:tcW w:w="1394" w:type="dxa"/>
            <w:noWrap w:val="0"/>
            <w:vAlign w:val="top"/>
          </w:tcPr>
          <w:p w14:paraId="4D64FC68">
            <w:pPr>
              <w:topLinePunct/>
              <w:spacing w:line="400" w:lineRule="atLeast"/>
              <w:jc w:val="center"/>
              <w:rPr>
                <w:rFonts w:hint="eastAsia"/>
                <w:color w:val="auto"/>
                <w:szCs w:val="21"/>
                <w:highlight w:val="none"/>
              </w:rPr>
            </w:pPr>
          </w:p>
        </w:tc>
        <w:tc>
          <w:tcPr>
            <w:tcW w:w="1080" w:type="dxa"/>
            <w:noWrap w:val="0"/>
            <w:vAlign w:val="top"/>
          </w:tcPr>
          <w:p w14:paraId="40628AE0">
            <w:pPr>
              <w:topLinePunct/>
              <w:spacing w:line="400" w:lineRule="atLeast"/>
              <w:jc w:val="center"/>
              <w:rPr>
                <w:rFonts w:hint="eastAsia"/>
                <w:color w:val="auto"/>
                <w:szCs w:val="21"/>
                <w:highlight w:val="none"/>
              </w:rPr>
            </w:pPr>
          </w:p>
        </w:tc>
        <w:tc>
          <w:tcPr>
            <w:tcW w:w="1112" w:type="dxa"/>
            <w:noWrap w:val="0"/>
            <w:vAlign w:val="top"/>
          </w:tcPr>
          <w:p w14:paraId="2E0D1F60">
            <w:pPr>
              <w:topLinePunct/>
              <w:spacing w:line="400" w:lineRule="atLeast"/>
              <w:jc w:val="center"/>
              <w:rPr>
                <w:rFonts w:hint="eastAsia"/>
                <w:color w:val="auto"/>
                <w:szCs w:val="21"/>
                <w:highlight w:val="none"/>
              </w:rPr>
            </w:pPr>
          </w:p>
        </w:tc>
        <w:tc>
          <w:tcPr>
            <w:tcW w:w="1778" w:type="dxa"/>
            <w:noWrap w:val="0"/>
            <w:vAlign w:val="top"/>
          </w:tcPr>
          <w:p w14:paraId="1B226C36">
            <w:pPr>
              <w:topLinePunct/>
              <w:spacing w:line="400" w:lineRule="atLeast"/>
              <w:jc w:val="center"/>
              <w:rPr>
                <w:rFonts w:hint="eastAsia"/>
                <w:color w:val="auto"/>
                <w:szCs w:val="21"/>
                <w:highlight w:val="none"/>
              </w:rPr>
            </w:pPr>
          </w:p>
        </w:tc>
        <w:tc>
          <w:tcPr>
            <w:tcW w:w="1080" w:type="dxa"/>
            <w:noWrap w:val="0"/>
            <w:vAlign w:val="top"/>
          </w:tcPr>
          <w:p w14:paraId="4220CB3F">
            <w:pPr>
              <w:topLinePunct/>
              <w:spacing w:line="400" w:lineRule="atLeast"/>
              <w:jc w:val="center"/>
              <w:rPr>
                <w:rFonts w:hint="eastAsia"/>
                <w:color w:val="auto"/>
                <w:szCs w:val="21"/>
                <w:highlight w:val="none"/>
              </w:rPr>
            </w:pPr>
          </w:p>
        </w:tc>
      </w:tr>
      <w:tr w14:paraId="5ED02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40" w:type="dxa"/>
            <w:noWrap w:val="0"/>
            <w:vAlign w:val="top"/>
          </w:tcPr>
          <w:p w14:paraId="3B3090DD">
            <w:pPr>
              <w:topLinePunct/>
              <w:spacing w:line="400" w:lineRule="atLeast"/>
              <w:jc w:val="center"/>
              <w:rPr>
                <w:rFonts w:hint="eastAsia"/>
                <w:color w:val="auto"/>
                <w:szCs w:val="21"/>
                <w:highlight w:val="none"/>
              </w:rPr>
            </w:pPr>
          </w:p>
        </w:tc>
        <w:tc>
          <w:tcPr>
            <w:tcW w:w="1846" w:type="dxa"/>
            <w:noWrap w:val="0"/>
            <w:vAlign w:val="top"/>
          </w:tcPr>
          <w:p w14:paraId="691B9C6F">
            <w:pPr>
              <w:topLinePunct/>
              <w:spacing w:line="400" w:lineRule="atLeast"/>
              <w:jc w:val="center"/>
              <w:rPr>
                <w:rFonts w:hint="eastAsia"/>
                <w:color w:val="auto"/>
                <w:szCs w:val="21"/>
                <w:highlight w:val="none"/>
              </w:rPr>
            </w:pPr>
          </w:p>
        </w:tc>
        <w:tc>
          <w:tcPr>
            <w:tcW w:w="1394" w:type="dxa"/>
            <w:noWrap w:val="0"/>
            <w:vAlign w:val="top"/>
          </w:tcPr>
          <w:p w14:paraId="511BD28E">
            <w:pPr>
              <w:topLinePunct/>
              <w:spacing w:line="400" w:lineRule="atLeast"/>
              <w:jc w:val="center"/>
              <w:rPr>
                <w:rFonts w:hint="eastAsia"/>
                <w:color w:val="auto"/>
                <w:szCs w:val="21"/>
                <w:highlight w:val="none"/>
              </w:rPr>
            </w:pPr>
          </w:p>
        </w:tc>
        <w:tc>
          <w:tcPr>
            <w:tcW w:w="1080" w:type="dxa"/>
            <w:noWrap w:val="0"/>
            <w:vAlign w:val="top"/>
          </w:tcPr>
          <w:p w14:paraId="6D644B9F">
            <w:pPr>
              <w:topLinePunct/>
              <w:spacing w:line="400" w:lineRule="atLeast"/>
              <w:jc w:val="center"/>
              <w:rPr>
                <w:rFonts w:hint="eastAsia"/>
                <w:color w:val="auto"/>
                <w:szCs w:val="21"/>
                <w:highlight w:val="none"/>
              </w:rPr>
            </w:pPr>
          </w:p>
        </w:tc>
        <w:tc>
          <w:tcPr>
            <w:tcW w:w="1112" w:type="dxa"/>
            <w:noWrap w:val="0"/>
            <w:vAlign w:val="top"/>
          </w:tcPr>
          <w:p w14:paraId="5EF22E20">
            <w:pPr>
              <w:topLinePunct/>
              <w:spacing w:line="400" w:lineRule="atLeast"/>
              <w:jc w:val="center"/>
              <w:rPr>
                <w:rFonts w:hint="eastAsia"/>
                <w:color w:val="auto"/>
                <w:szCs w:val="21"/>
                <w:highlight w:val="none"/>
              </w:rPr>
            </w:pPr>
          </w:p>
        </w:tc>
        <w:tc>
          <w:tcPr>
            <w:tcW w:w="1778" w:type="dxa"/>
            <w:noWrap w:val="0"/>
            <w:vAlign w:val="top"/>
          </w:tcPr>
          <w:p w14:paraId="08596EEB">
            <w:pPr>
              <w:topLinePunct/>
              <w:spacing w:line="400" w:lineRule="atLeast"/>
              <w:jc w:val="center"/>
              <w:rPr>
                <w:rFonts w:hint="eastAsia"/>
                <w:color w:val="auto"/>
                <w:szCs w:val="21"/>
                <w:highlight w:val="none"/>
              </w:rPr>
            </w:pPr>
          </w:p>
        </w:tc>
        <w:tc>
          <w:tcPr>
            <w:tcW w:w="1080" w:type="dxa"/>
            <w:noWrap w:val="0"/>
            <w:vAlign w:val="top"/>
          </w:tcPr>
          <w:p w14:paraId="3931F300">
            <w:pPr>
              <w:topLinePunct/>
              <w:spacing w:line="400" w:lineRule="atLeast"/>
              <w:jc w:val="center"/>
              <w:rPr>
                <w:rFonts w:hint="eastAsia"/>
                <w:color w:val="auto"/>
                <w:szCs w:val="21"/>
                <w:highlight w:val="none"/>
              </w:rPr>
            </w:pPr>
          </w:p>
        </w:tc>
      </w:tr>
      <w:tr w14:paraId="0C4A0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40" w:type="dxa"/>
            <w:noWrap w:val="0"/>
            <w:vAlign w:val="top"/>
          </w:tcPr>
          <w:p w14:paraId="412A4B46">
            <w:pPr>
              <w:topLinePunct/>
              <w:spacing w:line="400" w:lineRule="atLeast"/>
              <w:jc w:val="center"/>
              <w:rPr>
                <w:rFonts w:hint="eastAsia"/>
                <w:color w:val="auto"/>
                <w:szCs w:val="21"/>
                <w:highlight w:val="none"/>
              </w:rPr>
            </w:pPr>
          </w:p>
        </w:tc>
        <w:tc>
          <w:tcPr>
            <w:tcW w:w="1846" w:type="dxa"/>
            <w:noWrap w:val="0"/>
            <w:vAlign w:val="top"/>
          </w:tcPr>
          <w:p w14:paraId="57218C0B">
            <w:pPr>
              <w:topLinePunct/>
              <w:spacing w:line="400" w:lineRule="atLeast"/>
              <w:jc w:val="center"/>
              <w:rPr>
                <w:rFonts w:hint="eastAsia"/>
                <w:color w:val="auto"/>
                <w:szCs w:val="21"/>
                <w:highlight w:val="none"/>
              </w:rPr>
            </w:pPr>
          </w:p>
        </w:tc>
        <w:tc>
          <w:tcPr>
            <w:tcW w:w="1394" w:type="dxa"/>
            <w:noWrap w:val="0"/>
            <w:vAlign w:val="top"/>
          </w:tcPr>
          <w:p w14:paraId="49ACC5EA">
            <w:pPr>
              <w:topLinePunct/>
              <w:spacing w:line="400" w:lineRule="atLeast"/>
              <w:jc w:val="center"/>
              <w:rPr>
                <w:rFonts w:hint="eastAsia"/>
                <w:color w:val="auto"/>
                <w:szCs w:val="21"/>
                <w:highlight w:val="none"/>
              </w:rPr>
            </w:pPr>
          </w:p>
        </w:tc>
        <w:tc>
          <w:tcPr>
            <w:tcW w:w="1080" w:type="dxa"/>
            <w:noWrap w:val="0"/>
            <w:vAlign w:val="top"/>
          </w:tcPr>
          <w:p w14:paraId="6CCE04C8">
            <w:pPr>
              <w:topLinePunct/>
              <w:spacing w:line="400" w:lineRule="atLeast"/>
              <w:jc w:val="center"/>
              <w:rPr>
                <w:rFonts w:hint="eastAsia"/>
                <w:color w:val="auto"/>
                <w:szCs w:val="21"/>
                <w:highlight w:val="none"/>
              </w:rPr>
            </w:pPr>
          </w:p>
        </w:tc>
        <w:tc>
          <w:tcPr>
            <w:tcW w:w="1112" w:type="dxa"/>
            <w:noWrap w:val="0"/>
            <w:vAlign w:val="top"/>
          </w:tcPr>
          <w:p w14:paraId="21138579">
            <w:pPr>
              <w:topLinePunct/>
              <w:spacing w:line="400" w:lineRule="atLeast"/>
              <w:jc w:val="center"/>
              <w:rPr>
                <w:rFonts w:hint="eastAsia"/>
                <w:color w:val="auto"/>
                <w:szCs w:val="21"/>
                <w:highlight w:val="none"/>
              </w:rPr>
            </w:pPr>
          </w:p>
        </w:tc>
        <w:tc>
          <w:tcPr>
            <w:tcW w:w="1778" w:type="dxa"/>
            <w:noWrap w:val="0"/>
            <w:vAlign w:val="top"/>
          </w:tcPr>
          <w:p w14:paraId="2EDEFC95">
            <w:pPr>
              <w:topLinePunct/>
              <w:spacing w:line="400" w:lineRule="atLeast"/>
              <w:jc w:val="center"/>
              <w:rPr>
                <w:rFonts w:hint="eastAsia"/>
                <w:color w:val="auto"/>
                <w:szCs w:val="21"/>
                <w:highlight w:val="none"/>
              </w:rPr>
            </w:pPr>
          </w:p>
        </w:tc>
        <w:tc>
          <w:tcPr>
            <w:tcW w:w="1080" w:type="dxa"/>
            <w:noWrap w:val="0"/>
            <w:vAlign w:val="top"/>
          </w:tcPr>
          <w:p w14:paraId="710B2046">
            <w:pPr>
              <w:topLinePunct/>
              <w:spacing w:line="400" w:lineRule="atLeast"/>
              <w:jc w:val="center"/>
              <w:rPr>
                <w:rFonts w:hint="eastAsia"/>
                <w:color w:val="auto"/>
                <w:szCs w:val="21"/>
                <w:highlight w:val="none"/>
              </w:rPr>
            </w:pPr>
          </w:p>
        </w:tc>
      </w:tr>
      <w:tr w14:paraId="722DB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40" w:type="dxa"/>
            <w:noWrap w:val="0"/>
            <w:vAlign w:val="top"/>
          </w:tcPr>
          <w:p w14:paraId="314FDCEF">
            <w:pPr>
              <w:topLinePunct/>
              <w:spacing w:line="400" w:lineRule="atLeast"/>
              <w:jc w:val="center"/>
              <w:rPr>
                <w:rFonts w:hint="eastAsia"/>
                <w:color w:val="auto"/>
                <w:szCs w:val="21"/>
                <w:highlight w:val="none"/>
              </w:rPr>
            </w:pPr>
          </w:p>
        </w:tc>
        <w:tc>
          <w:tcPr>
            <w:tcW w:w="1846" w:type="dxa"/>
            <w:noWrap w:val="0"/>
            <w:vAlign w:val="top"/>
          </w:tcPr>
          <w:p w14:paraId="52D740AB">
            <w:pPr>
              <w:topLinePunct/>
              <w:spacing w:line="400" w:lineRule="atLeast"/>
              <w:jc w:val="center"/>
              <w:rPr>
                <w:rFonts w:hint="eastAsia"/>
                <w:color w:val="auto"/>
                <w:szCs w:val="21"/>
                <w:highlight w:val="none"/>
              </w:rPr>
            </w:pPr>
          </w:p>
        </w:tc>
        <w:tc>
          <w:tcPr>
            <w:tcW w:w="1394" w:type="dxa"/>
            <w:noWrap w:val="0"/>
            <w:vAlign w:val="top"/>
          </w:tcPr>
          <w:p w14:paraId="67F07D5E">
            <w:pPr>
              <w:topLinePunct/>
              <w:spacing w:line="400" w:lineRule="atLeast"/>
              <w:jc w:val="center"/>
              <w:rPr>
                <w:rFonts w:hint="eastAsia"/>
                <w:color w:val="auto"/>
                <w:szCs w:val="21"/>
                <w:highlight w:val="none"/>
              </w:rPr>
            </w:pPr>
          </w:p>
        </w:tc>
        <w:tc>
          <w:tcPr>
            <w:tcW w:w="1080" w:type="dxa"/>
            <w:noWrap w:val="0"/>
            <w:vAlign w:val="top"/>
          </w:tcPr>
          <w:p w14:paraId="5A641859">
            <w:pPr>
              <w:topLinePunct/>
              <w:spacing w:line="400" w:lineRule="atLeast"/>
              <w:jc w:val="center"/>
              <w:rPr>
                <w:rFonts w:hint="eastAsia"/>
                <w:color w:val="auto"/>
                <w:szCs w:val="21"/>
                <w:highlight w:val="none"/>
              </w:rPr>
            </w:pPr>
          </w:p>
        </w:tc>
        <w:tc>
          <w:tcPr>
            <w:tcW w:w="1112" w:type="dxa"/>
            <w:noWrap w:val="0"/>
            <w:vAlign w:val="top"/>
          </w:tcPr>
          <w:p w14:paraId="7962DD9C">
            <w:pPr>
              <w:topLinePunct/>
              <w:spacing w:line="400" w:lineRule="atLeast"/>
              <w:jc w:val="center"/>
              <w:rPr>
                <w:rFonts w:hint="eastAsia"/>
                <w:color w:val="auto"/>
                <w:szCs w:val="21"/>
                <w:highlight w:val="none"/>
              </w:rPr>
            </w:pPr>
          </w:p>
        </w:tc>
        <w:tc>
          <w:tcPr>
            <w:tcW w:w="1778" w:type="dxa"/>
            <w:noWrap w:val="0"/>
            <w:vAlign w:val="top"/>
          </w:tcPr>
          <w:p w14:paraId="45862CD9">
            <w:pPr>
              <w:topLinePunct/>
              <w:spacing w:line="400" w:lineRule="atLeast"/>
              <w:jc w:val="center"/>
              <w:rPr>
                <w:rFonts w:hint="eastAsia"/>
                <w:color w:val="auto"/>
                <w:szCs w:val="21"/>
                <w:highlight w:val="none"/>
              </w:rPr>
            </w:pPr>
          </w:p>
        </w:tc>
        <w:tc>
          <w:tcPr>
            <w:tcW w:w="1080" w:type="dxa"/>
            <w:noWrap w:val="0"/>
            <w:vAlign w:val="top"/>
          </w:tcPr>
          <w:p w14:paraId="7262FBD7">
            <w:pPr>
              <w:topLinePunct/>
              <w:spacing w:line="400" w:lineRule="atLeast"/>
              <w:jc w:val="center"/>
              <w:rPr>
                <w:rFonts w:hint="eastAsia"/>
                <w:color w:val="auto"/>
                <w:szCs w:val="21"/>
                <w:highlight w:val="none"/>
              </w:rPr>
            </w:pPr>
          </w:p>
        </w:tc>
      </w:tr>
      <w:tr w14:paraId="5EBB1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40" w:type="dxa"/>
            <w:noWrap w:val="0"/>
            <w:vAlign w:val="top"/>
          </w:tcPr>
          <w:p w14:paraId="17FA8FA0">
            <w:pPr>
              <w:topLinePunct/>
              <w:spacing w:line="400" w:lineRule="atLeast"/>
              <w:jc w:val="center"/>
              <w:rPr>
                <w:rFonts w:hint="eastAsia"/>
                <w:color w:val="auto"/>
                <w:szCs w:val="21"/>
                <w:highlight w:val="none"/>
              </w:rPr>
            </w:pPr>
          </w:p>
        </w:tc>
        <w:tc>
          <w:tcPr>
            <w:tcW w:w="1846" w:type="dxa"/>
            <w:noWrap w:val="0"/>
            <w:vAlign w:val="top"/>
          </w:tcPr>
          <w:p w14:paraId="2EC284D9">
            <w:pPr>
              <w:topLinePunct/>
              <w:spacing w:line="400" w:lineRule="atLeast"/>
              <w:jc w:val="center"/>
              <w:rPr>
                <w:rFonts w:hint="eastAsia"/>
                <w:color w:val="auto"/>
                <w:szCs w:val="21"/>
                <w:highlight w:val="none"/>
              </w:rPr>
            </w:pPr>
          </w:p>
        </w:tc>
        <w:tc>
          <w:tcPr>
            <w:tcW w:w="1394" w:type="dxa"/>
            <w:noWrap w:val="0"/>
            <w:vAlign w:val="top"/>
          </w:tcPr>
          <w:p w14:paraId="52A453B9">
            <w:pPr>
              <w:topLinePunct/>
              <w:spacing w:line="400" w:lineRule="atLeast"/>
              <w:jc w:val="center"/>
              <w:rPr>
                <w:rFonts w:hint="eastAsia"/>
                <w:color w:val="auto"/>
                <w:szCs w:val="21"/>
                <w:highlight w:val="none"/>
              </w:rPr>
            </w:pPr>
          </w:p>
        </w:tc>
        <w:tc>
          <w:tcPr>
            <w:tcW w:w="1080" w:type="dxa"/>
            <w:noWrap w:val="0"/>
            <w:vAlign w:val="top"/>
          </w:tcPr>
          <w:p w14:paraId="436E2E46">
            <w:pPr>
              <w:topLinePunct/>
              <w:spacing w:line="400" w:lineRule="atLeast"/>
              <w:jc w:val="center"/>
              <w:rPr>
                <w:rFonts w:hint="eastAsia"/>
                <w:color w:val="auto"/>
                <w:szCs w:val="21"/>
                <w:highlight w:val="none"/>
              </w:rPr>
            </w:pPr>
          </w:p>
        </w:tc>
        <w:tc>
          <w:tcPr>
            <w:tcW w:w="1112" w:type="dxa"/>
            <w:noWrap w:val="0"/>
            <w:vAlign w:val="top"/>
          </w:tcPr>
          <w:p w14:paraId="47014BF4">
            <w:pPr>
              <w:topLinePunct/>
              <w:spacing w:line="400" w:lineRule="atLeast"/>
              <w:jc w:val="center"/>
              <w:rPr>
                <w:rFonts w:hint="eastAsia"/>
                <w:color w:val="auto"/>
                <w:szCs w:val="21"/>
                <w:highlight w:val="none"/>
              </w:rPr>
            </w:pPr>
          </w:p>
        </w:tc>
        <w:tc>
          <w:tcPr>
            <w:tcW w:w="1778" w:type="dxa"/>
            <w:noWrap w:val="0"/>
            <w:vAlign w:val="top"/>
          </w:tcPr>
          <w:p w14:paraId="4D3BD157">
            <w:pPr>
              <w:topLinePunct/>
              <w:spacing w:line="400" w:lineRule="atLeast"/>
              <w:jc w:val="center"/>
              <w:rPr>
                <w:rFonts w:hint="eastAsia"/>
                <w:color w:val="auto"/>
                <w:szCs w:val="21"/>
                <w:highlight w:val="none"/>
              </w:rPr>
            </w:pPr>
          </w:p>
        </w:tc>
        <w:tc>
          <w:tcPr>
            <w:tcW w:w="1080" w:type="dxa"/>
            <w:noWrap w:val="0"/>
            <w:vAlign w:val="top"/>
          </w:tcPr>
          <w:p w14:paraId="1D5D1774">
            <w:pPr>
              <w:topLinePunct/>
              <w:spacing w:line="400" w:lineRule="atLeast"/>
              <w:jc w:val="center"/>
              <w:rPr>
                <w:rFonts w:hint="eastAsia"/>
                <w:color w:val="auto"/>
                <w:szCs w:val="21"/>
                <w:highlight w:val="none"/>
              </w:rPr>
            </w:pPr>
          </w:p>
        </w:tc>
      </w:tr>
      <w:tr w14:paraId="524FB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40" w:type="dxa"/>
            <w:noWrap w:val="0"/>
            <w:vAlign w:val="top"/>
          </w:tcPr>
          <w:p w14:paraId="67197C2E">
            <w:pPr>
              <w:topLinePunct/>
              <w:spacing w:line="400" w:lineRule="atLeast"/>
              <w:jc w:val="center"/>
              <w:rPr>
                <w:rFonts w:hint="eastAsia"/>
                <w:color w:val="auto"/>
                <w:szCs w:val="21"/>
                <w:highlight w:val="none"/>
              </w:rPr>
            </w:pPr>
          </w:p>
        </w:tc>
        <w:tc>
          <w:tcPr>
            <w:tcW w:w="1846" w:type="dxa"/>
            <w:noWrap w:val="0"/>
            <w:vAlign w:val="top"/>
          </w:tcPr>
          <w:p w14:paraId="7EFF9991">
            <w:pPr>
              <w:topLinePunct/>
              <w:spacing w:line="400" w:lineRule="atLeast"/>
              <w:jc w:val="center"/>
              <w:rPr>
                <w:rFonts w:hint="eastAsia"/>
                <w:color w:val="auto"/>
                <w:szCs w:val="21"/>
                <w:highlight w:val="none"/>
              </w:rPr>
            </w:pPr>
          </w:p>
        </w:tc>
        <w:tc>
          <w:tcPr>
            <w:tcW w:w="1394" w:type="dxa"/>
            <w:noWrap w:val="0"/>
            <w:vAlign w:val="top"/>
          </w:tcPr>
          <w:p w14:paraId="7213D6E2">
            <w:pPr>
              <w:topLinePunct/>
              <w:spacing w:line="400" w:lineRule="atLeast"/>
              <w:jc w:val="center"/>
              <w:rPr>
                <w:rFonts w:hint="eastAsia"/>
                <w:color w:val="auto"/>
                <w:szCs w:val="21"/>
                <w:highlight w:val="none"/>
              </w:rPr>
            </w:pPr>
          </w:p>
        </w:tc>
        <w:tc>
          <w:tcPr>
            <w:tcW w:w="1080" w:type="dxa"/>
            <w:noWrap w:val="0"/>
            <w:vAlign w:val="top"/>
          </w:tcPr>
          <w:p w14:paraId="43E8FF94">
            <w:pPr>
              <w:topLinePunct/>
              <w:spacing w:line="400" w:lineRule="atLeast"/>
              <w:jc w:val="center"/>
              <w:rPr>
                <w:rFonts w:hint="eastAsia"/>
                <w:color w:val="auto"/>
                <w:szCs w:val="21"/>
                <w:highlight w:val="none"/>
              </w:rPr>
            </w:pPr>
          </w:p>
        </w:tc>
        <w:tc>
          <w:tcPr>
            <w:tcW w:w="1112" w:type="dxa"/>
            <w:noWrap w:val="0"/>
            <w:vAlign w:val="top"/>
          </w:tcPr>
          <w:p w14:paraId="2E2B8777">
            <w:pPr>
              <w:topLinePunct/>
              <w:spacing w:line="400" w:lineRule="atLeast"/>
              <w:jc w:val="center"/>
              <w:rPr>
                <w:rFonts w:hint="eastAsia"/>
                <w:color w:val="auto"/>
                <w:szCs w:val="21"/>
                <w:highlight w:val="none"/>
              </w:rPr>
            </w:pPr>
          </w:p>
        </w:tc>
        <w:tc>
          <w:tcPr>
            <w:tcW w:w="1778" w:type="dxa"/>
            <w:noWrap w:val="0"/>
            <w:vAlign w:val="top"/>
          </w:tcPr>
          <w:p w14:paraId="43FAAACA">
            <w:pPr>
              <w:topLinePunct/>
              <w:spacing w:line="400" w:lineRule="atLeast"/>
              <w:jc w:val="center"/>
              <w:rPr>
                <w:rFonts w:hint="eastAsia"/>
                <w:color w:val="auto"/>
                <w:szCs w:val="21"/>
                <w:highlight w:val="none"/>
              </w:rPr>
            </w:pPr>
          </w:p>
        </w:tc>
        <w:tc>
          <w:tcPr>
            <w:tcW w:w="1080" w:type="dxa"/>
            <w:noWrap w:val="0"/>
            <w:vAlign w:val="top"/>
          </w:tcPr>
          <w:p w14:paraId="492CAA5F">
            <w:pPr>
              <w:topLinePunct/>
              <w:spacing w:line="400" w:lineRule="atLeast"/>
              <w:jc w:val="center"/>
              <w:rPr>
                <w:rFonts w:hint="eastAsia"/>
                <w:color w:val="auto"/>
                <w:szCs w:val="21"/>
                <w:highlight w:val="none"/>
              </w:rPr>
            </w:pPr>
          </w:p>
        </w:tc>
      </w:tr>
    </w:tbl>
    <w:p w14:paraId="1A9CBE8E">
      <w:pPr>
        <w:pStyle w:val="191"/>
        <w:jc w:val="left"/>
        <w:outlineLvl w:val="9"/>
        <w:rPr>
          <w:rStyle w:val="44"/>
          <w:rFonts w:ascii="Times New Roman" w:hAnsi="Times New Roman" w:eastAsia="Times New Roman" w:cs="Times New Roman"/>
          <w:color w:val="auto"/>
          <w:highlight w:val="none"/>
        </w:rPr>
      </w:pPr>
    </w:p>
    <w:p w14:paraId="6DFB4300">
      <w:pPr>
        <w:spacing w:line="440" w:lineRule="exact"/>
        <w:rPr>
          <w:rFonts w:eastAsia="黑体"/>
          <w:color w:val="auto"/>
          <w:sz w:val="20"/>
          <w:szCs w:val="20"/>
          <w:highlight w:val="none"/>
        </w:rPr>
      </w:pPr>
      <w:r>
        <w:rPr>
          <w:rStyle w:val="44"/>
          <w:rFonts w:ascii="Times New Roman" w:hAnsi="Times New Roman" w:eastAsia="Times New Roman" w:cs="Times New Roman"/>
          <w:color w:val="auto"/>
          <w:highlight w:val="none"/>
        </w:rPr>
        <w:br w:type="page"/>
      </w:r>
    </w:p>
    <w:p w14:paraId="766EE369">
      <w:pPr>
        <w:spacing w:line="440" w:lineRule="exact"/>
        <w:rPr>
          <w:color w:val="auto"/>
          <w:highlight w:val="none"/>
        </w:rPr>
      </w:pPr>
      <w:bookmarkStart w:id="1886" w:name="_Toc152042601"/>
      <w:bookmarkStart w:id="1887" w:name="_Toc144974880"/>
      <w:bookmarkStart w:id="1888" w:name="_Toc247527852"/>
      <w:bookmarkStart w:id="1889" w:name="_Toc152045812"/>
      <w:bookmarkStart w:id="1890" w:name="_Toc247514304"/>
    </w:p>
    <w:p w14:paraId="1A339D33">
      <w:pPr>
        <w:pStyle w:val="191"/>
        <w:jc w:val="center"/>
        <w:outlineLvl w:val="9"/>
        <w:rPr>
          <w:rFonts w:hint="default"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4</w:t>
      </w:r>
      <w:r>
        <w:rPr>
          <w:rFonts w:hint="default" w:ascii="Times New Roman" w:hAnsi="Times New Roman" w:eastAsia="宋体" w:cs="Times New Roman"/>
          <w:color w:val="auto"/>
          <w:kern w:val="0"/>
          <w:sz w:val="24"/>
          <w:szCs w:val="24"/>
          <w:highlight w:val="none"/>
          <w:lang w:val="en-US" w:eastAsia="zh-CN" w:bidi="ar"/>
        </w:rPr>
        <w:t>-2 正在施工的和新承接的项目情况表</w:t>
      </w:r>
    </w:p>
    <w:p w14:paraId="143F7E03">
      <w:pPr>
        <w:pStyle w:val="191"/>
        <w:jc w:val="left"/>
        <w:outlineLvl w:val="9"/>
        <w:rPr>
          <w:rStyle w:val="44"/>
          <w:rFonts w:ascii="Times New Roman" w:hAnsi="Times New Roman" w:eastAsia="Times New Roman" w:cs="Times New Roman"/>
          <w:color w:val="auto"/>
          <w:highlight w:val="none"/>
        </w:rPr>
      </w:pPr>
    </w:p>
    <w:tbl>
      <w:tblPr>
        <w:tblStyle w:val="42"/>
        <w:tblpPr w:leftFromText="180" w:rightFromText="180" w:vertAnchor="text" w:horzAnchor="page" w:tblpX="1710" w:tblpY="8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2"/>
        <w:gridCol w:w="6060"/>
      </w:tblGrid>
      <w:tr w14:paraId="38C29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613" w:type="dxa"/>
            <w:noWrap w:val="0"/>
            <w:vAlign w:val="center"/>
          </w:tcPr>
          <w:p w14:paraId="54D479F0">
            <w:pPr>
              <w:jc w:val="center"/>
              <w:rPr>
                <w:rFonts w:ascii="宋体" w:hAnsi="宋体"/>
                <w:color w:val="auto"/>
                <w:szCs w:val="21"/>
                <w:highlight w:val="none"/>
              </w:rPr>
            </w:pPr>
            <w:r>
              <w:rPr>
                <w:rFonts w:hint="eastAsia" w:ascii="宋体" w:hAnsi="宋体"/>
                <w:color w:val="auto"/>
                <w:szCs w:val="21"/>
                <w:highlight w:val="none"/>
              </w:rPr>
              <w:t>项目名称</w:t>
            </w:r>
          </w:p>
        </w:tc>
        <w:tc>
          <w:tcPr>
            <w:tcW w:w="6606" w:type="dxa"/>
            <w:noWrap w:val="0"/>
            <w:vAlign w:val="center"/>
          </w:tcPr>
          <w:p w14:paraId="64C6A7AE">
            <w:pPr>
              <w:jc w:val="center"/>
              <w:rPr>
                <w:rFonts w:ascii="宋体" w:hAnsi="宋体"/>
                <w:color w:val="auto"/>
                <w:szCs w:val="21"/>
                <w:highlight w:val="none"/>
              </w:rPr>
            </w:pPr>
          </w:p>
        </w:tc>
      </w:tr>
      <w:tr w14:paraId="1BE46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613" w:type="dxa"/>
            <w:noWrap w:val="0"/>
            <w:vAlign w:val="center"/>
          </w:tcPr>
          <w:p w14:paraId="41425160">
            <w:pPr>
              <w:jc w:val="center"/>
              <w:rPr>
                <w:rFonts w:ascii="宋体" w:hAnsi="宋体"/>
                <w:color w:val="auto"/>
                <w:szCs w:val="21"/>
                <w:highlight w:val="none"/>
              </w:rPr>
            </w:pPr>
            <w:r>
              <w:rPr>
                <w:rFonts w:hint="eastAsia" w:ascii="宋体" w:hAnsi="宋体"/>
                <w:color w:val="auto"/>
                <w:szCs w:val="21"/>
                <w:highlight w:val="none"/>
              </w:rPr>
              <w:t>项目所在地</w:t>
            </w:r>
          </w:p>
        </w:tc>
        <w:tc>
          <w:tcPr>
            <w:tcW w:w="6606" w:type="dxa"/>
            <w:noWrap w:val="0"/>
            <w:vAlign w:val="center"/>
          </w:tcPr>
          <w:p w14:paraId="3D47A412">
            <w:pPr>
              <w:jc w:val="center"/>
              <w:rPr>
                <w:rFonts w:ascii="宋体" w:hAnsi="宋体"/>
                <w:color w:val="auto"/>
                <w:szCs w:val="21"/>
                <w:highlight w:val="none"/>
              </w:rPr>
            </w:pPr>
          </w:p>
        </w:tc>
      </w:tr>
      <w:tr w14:paraId="53811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613" w:type="dxa"/>
            <w:noWrap w:val="0"/>
            <w:vAlign w:val="center"/>
          </w:tcPr>
          <w:p w14:paraId="4C27C218">
            <w:pPr>
              <w:jc w:val="center"/>
              <w:rPr>
                <w:rFonts w:ascii="宋体" w:hAnsi="宋体"/>
                <w:color w:val="auto"/>
                <w:szCs w:val="21"/>
                <w:highlight w:val="none"/>
              </w:rPr>
            </w:pPr>
            <w:r>
              <w:rPr>
                <w:rFonts w:hint="eastAsia" w:ascii="宋体" w:hAnsi="宋体"/>
                <w:color w:val="auto"/>
                <w:szCs w:val="21"/>
                <w:highlight w:val="none"/>
              </w:rPr>
              <w:t>发包人名称</w:t>
            </w:r>
          </w:p>
        </w:tc>
        <w:tc>
          <w:tcPr>
            <w:tcW w:w="6606" w:type="dxa"/>
            <w:noWrap w:val="0"/>
            <w:vAlign w:val="center"/>
          </w:tcPr>
          <w:p w14:paraId="41E19A37">
            <w:pPr>
              <w:jc w:val="center"/>
              <w:rPr>
                <w:rFonts w:ascii="宋体" w:hAnsi="宋体"/>
                <w:color w:val="auto"/>
                <w:szCs w:val="21"/>
                <w:highlight w:val="none"/>
              </w:rPr>
            </w:pPr>
          </w:p>
        </w:tc>
      </w:tr>
      <w:tr w14:paraId="0C519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613" w:type="dxa"/>
            <w:noWrap w:val="0"/>
            <w:vAlign w:val="center"/>
          </w:tcPr>
          <w:p w14:paraId="4FBFC0E3">
            <w:pPr>
              <w:jc w:val="center"/>
              <w:rPr>
                <w:rFonts w:ascii="宋体" w:hAnsi="宋体"/>
                <w:color w:val="auto"/>
                <w:szCs w:val="21"/>
                <w:highlight w:val="none"/>
              </w:rPr>
            </w:pPr>
            <w:r>
              <w:rPr>
                <w:rFonts w:hint="eastAsia" w:ascii="宋体" w:hAnsi="宋体"/>
                <w:color w:val="auto"/>
                <w:szCs w:val="21"/>
                <w:highlight w:val="none"/>
              </w:rPr>
              <w:t>发包人地址</w:t>
            </w:r>
          </w:p>
        </w:tc>
        <w:tc>
          <w:tcPr>
            <w:tcW w:w="6606" w:type="dxa"/>
            <w:noWrap w:val="0"/>
            <w:vAlign w:val="center"/>
          </w:tcPr>
          <w:p w14:paraId="46807CEE">
            <w:pPr>
              <w:jc w:val="center"/>
              <w:rPr>
                <w:rFonts w:ascii="宋体" w:hAnsi="宋体"/>
                <w:color w:val="auto"/>
                <w:szCs w:val="21"/>
                <w:highlight w:val="none"/>
              </w:rPr>
            </w:pPr>
          </w:p>
        </w:tc>
      </w:tr>
      <w:tr w14:paraId="6DD9E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613" w:type="dxa"/>
            <w:noWrap w:val="0"/>
            <w:vAlign w:val="center"/>
          </w:tcPr>
          <w:p w14:paraId="3119F8E6">
            <w:pPr>
              <w:jc w:val="center"/>
              <w:rPr>
                <w:rFonts w:ascii="宋体" w:hAnsi="宋体"/>
                <w:color w:val="auto"/>
                <w:szCs w:val="21"/>
                <w:highlight w:val="none"/>
              </w:rPr>
            </w:pPr>
            <w:r>
              <w:rPr>
                <w:rFonts w:hint="eastAsia" w:ascii="宋体" w:hAnsi="宋体"/>
                <w:color w:val="auto"/>
                <w:szCs w:val="21"/>
                <w:highlight w:val="none"/>
              </w:rPr>
              <w:t>发包人电话</w:t>
            </w:r>
          </w:p>
        </w:tc>
        <w:tc>
          <w:tcPr>
            <w:tcW w:w="6606" w:type="dxa"/>
            <w:noWrap w:val="0"/>
            <w:vAlign w:val="center"/>
          </w:tcPr>
          <w:p w14:paraId="087E2BF0">
            <w:pPr>
              <w:jc w:val="center"/>
              <w:rPr>
                <w:rFonts w:ascii="宋体" w:hAnsi="宋体"/>
                <w:color w:val="auto"/>
                <w:szCs w:val="21"/>
                <w:highlight w:val="none"/>
              </w:rPr>
            </w:pPr>
          </w:p>
        </w:tc>
      </w:tr>
      <w:tr w14:paraId="362B8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613" w:type="dxa"/>
            <w:noWrap w:val="0"/>
            <w:vAlign w:val="center"/>
          </w:tcPr>
          <w:p w14:paraId="00065D4C">
            <w:pPr>
              <w:jc w:val="center"/>
              <w:rPr>
                <w:rFonts w:hint="eastAsia" w:ascii="宋体" w:hAnsi="宋体"/>
                <w:color w:val="auto"/>
                <w:szCs w:val="21"/>
                <w:highlight w:val="none"/>
              </w:rPr>
            </w:pPr>
            <w:r>
              <w:rPr>
                <w:rFonts w:hint="eastAsia" w:ascii="宋体" w:hAnsi="宋体"/>
                <w:color w:val="auto"/>
                <w:szCs w:val="21"/>
                <w:highlight w:val="none"/>
                <w:lang w:eastAsia="zh-CN"/>
              </w:rPr>
              <w:t>签约</w:t>
            </w:r>
            <w:r>
              <w:rPr>
                <w:rFonts w:hint="eastAsia" w:ascii="宋体" w:hAnsi="宋体"/>
                <w:color w:val="auto"/>
                <w:szCs w:val="21"/>
                <w:highlight w:val="none"/>
              </w:rPr>
              <w:t>合同价</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元</w:t>
            </w:r>
            <w:r>
              <w:rPr>
                <w:rFonts w:hint="eastAsia" w:ascii="宋体" w:hAnsi="宋体"/>
                <w:color w:val="auto"/>
                <w:szCs w:val="21"/>
                <w:highlight w:val="none"/>
                <w:lang w:eastAsia="zh-CN"/>
              </w:rPr>
              <w:t>）</w:t>
            </w:r>
          </w:p>
        </w:tc>
        <w:tc>
          <w:tcPr>
            <w:tcW w:w="6606" w:type="dxa"/>
            <w:noWrap w:val="0"/>
            <w:vAlign w:val="center"/>
          </w:tcPr>
          <w:p w14:paraId="75028151">
            <w:pPr>
              <w:jc w:val="center"/>
              <w:rPr>
                <w:rFonts w:ascii="宋体" w:hAnsi="宋体"/>
                <w:color w:val="auto"/>
                <w:szCs w:val="21"/>
                <w:highlight w:val="none"/>
              </w:rPr>
            </w:pPr>
          </w:p>
        </w:tc>
      </w:tr>
      <w:tr w14:paraId="2D940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613" w:type="dxa"/>
            <w:noWrap w:val="0"/>
            <w:vAlign w:val="center"/>
          </w:tcPr>
          <w:p w14:paraId="0A4560DE">
            <w:pPr>
              <w:jc w:val="center"/>
              <w:rPr>
                <w:rFonts w:ascii="宋体" w:hAnsi="宋体"/>
                <w:color w:val="auto"/>
                <w:szCs w:val="21"/>
                <w:highlight w:val="none"/>
              </w:rPr>
            </w:pPr>
            <w:r>
              <w:rPr>
                <w:rFonts w:hint="eastAsia" w:ascii="宋体" w:hAnsi="宋体"/>
                <w:color w:val="auto"/>
                <w:szCs w:val="21"/>
                <w:highlight w:val="none"/>
              </w:rPr>
              <w:t>开工日期</w:t>
            </w:r>
          </w:p>
        </w:tc>
        <w:tc>
          <w:tcPr>
            <w:tcW w:w="6606" w:type="dxa"/>
            <w:noWrap w:val="0"/>
            <w:vAlign w:val="center"/>
          </w:tcPr>
          <w:p w14:paraId="7FC8673B">
            <w:pPr>
              <w:jc w:val="center"/>
              <w:rPr>
                <w:rFonts w:ascii="宋体" w:hAnsi="宋体"/>
                <w:color w:val="auto"/>
                <w:szCs w:val="21"/>
                <w:highlight w:val="none"/>
              </w:rPr>
            </w:pPr>
          </w:p>
        </w:tc>
      </w:tr>
      <w:tr w14:paraId="59183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2613" w:type="dxa"/>
            <w:noWrap w:val="0"/>
            <w:vAlign w:val="center"/>
          </w:tcPr>
          <w:p w14:paraId="36A6C7F9">
            <w:pPr>
              <w:jc w:val="center"/>
              <w:rPr>
                <w:rFonts w:ascii="宋体" w:hAnsi="宋体"/>
                <w:color w:val="auto"/>
                <w:szCs w:val="21"/>
                <w:highlight w:val="none"/>
              </w:rPr>
            </w:pPr>
            <w:r>
              <w:rPr>
                <w:rFonts w:hint="eastAsia" w:ascii="宋体" w:hAnsi="宋体"/>
                <w:color w:val="auto"/>
                <w:szCs w:val="21"/>
                <w:highlight w:val="none"/>
                <w:lang w:eastAsia="zh-CN"/>
              </w:rPr>
              <w:t>计划</w:t>
            </w:r>
            <w:r>
              <w:rPr>
                <w:rFonts w:hint="eastAsia" w:ascii="宋体" w:hAnsi="宋体"/>
                <w:color w:val="auto"/>
                <w:szCs w:val="21"/>
                <w:highlight w:val="none"/>
              </w:rPr>
              <w:t>竣工日期</w:t>
            </w:r>
          </w:p>
        </w:tc>
        <w:tc>
          <w:tcPr>
            <w:tcW w:w="6606" w:type="dxa"/>
            <w:noWrap w:val="0"/>
            <w:vAlign w:val="center"/>
          </w:tcPr>
          <w:p w14:paraId="068FC42C">
            <w:pPr>
              <w:jc w:val="center"/>
              <w:rPr>
                <w:rFonts w:ascii="宋体" w:hAnsi="宋体"/>
                <w:color w:val="auto"/>
                <w:szCs w:val="21"/>
                <w:highlight w:val="none"/>
              </w:rPr>
            </w:pPr>
          </w:p>
        </w:tc>
      </w:tr>
      <w:tr w14:paraId="7CE73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613" w:type="dxa"/>
            <w:noWrap w:val="0"/>
            <w:vAlign w:val="center"/>
          </w:tcPr>
          <w:p w14:paraId="54CD060D">
            <w:pPr>
              <w:jc w:val="center"/>
              <w:rPr>
                <w:rFonts w:ascii="宋体" w:hAnsi="宋体"/>
                <w:color w:val="auto"/>
                <w:szCs w:val="21"/>
                <w:highlight w:val="none"/>
              </w:rPr>
            </w:pPr>
            <w:r>
              <w:rPr>
                <w:rFonts w:hint="eastAsia" w:ascii="宋体" w:hAnsi="宋体"/>
                <w:color w:val="auto"/>
                <w:szCs w:val="21"/>
                <w:highlight w:val="none"/>
              </w:rPr>
              <w:t>承担的工作</w:t>
            </w:r>
          </w:p>
        </w:tc>
        <w:tc>
          <w:tcPr>
            <w:tcW w:w="6606" w:type="dxa"/>
            <w:noWrap w:val="0"/>
            <w:vAlign w:val="center"/>
          </w:tcPr>
          <w:p w14:paraId="5CDD9B1F">
            <w:pPr>
              <w:jc w:val="center"/>
              <w:rPr>
                <w:rFonts w:ascii="宋体" w:hAnsi="宋体"/>
                <w:color w:val="auto"/>
                <w:szCs w:val="21"/>
                <w:highlight w:val="none"/>
              </w:rPr>
            </w:pPr>
          </w:p>
        </w:tc>
      </w:tr>
      <w:tr w14:paraId="028F0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613" w:type="dxa"/>
            <w:noWrap w:val="0"/>
            <w:vAlign w:val="center"/>
          </w:tcPr>
          <w:p w14:paraId="76423125">
            <w:pPr>
              <w:jc w:val="center"/>
              <w:rPr>
                <w:rFonts w:ascii="宋体" w:hAnsi="宋体"/>
                <w:color w:val="auto"/>
                <w:szCs w:val="21"/>
                <w:highlight w:val="none"/>
              </w:rPr>
            </w:pPr>
            <w:r>
              <w:rPr>
                <w:rFonts w:hint="eastAsia" w:ascii="宋体" w:hAnsi="宋体"/>
                <w:color w:val="auto"/>
                <w:szCs w:val="21"/>
                <w:highlight w:val="none"/>
              </w:rPr>
              <w:t>工程质量</w:t>
            </w:r>
          </w:p>
        </w:tc>
        <w:tc>
          <w:tcPr>
            <w:tcW w:w="6606" w:type="dxa"/>
            <w:noWrap w:val="0"/>
            <w:vAlign w:val="center"/>
          </w:tcPr>
          <w:p w14:paraId="4B4861DD">
            <w:pPr>
              <w:jc w:val="center"/>
              <w:rPr>
                <w:rFonts w:ascii="宋体" w:hAnsi="宋体"/>
                <w:color w:val="auto"/>
                <w:szCs w:val="21"/>
                <w:highlight w:val="none"/>
              </w:rPr>
            </w:pPr>
          </w:p>
        </w:tc>
      </w:tr>
      <w:tr w14:paraId="1212B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613" w:type="dxa"/>
            <w:noWrap w:val="0"/>
            <w:vAlign w:val="center"/>
          </w:tcPr>
          <w:p w14:paraId="0CF09AF9">
            <w:pPr>
              <w:jc w:val="center"/>
              <w:rPr>
                <w:rFonts w:ascii="宋体" w:hAnsi="宋体"/>
                <w:color w:val="auto"/>
                <w:szCs w:val="21"/>
                <w:highlight w:val="none"/>
              </w:rPr>
            </w:pPr>
            <w:r>
              <w:rPr>
                <w:rFonts w:hint="eastAsia" w:ascii="宋体" w:hAnsi="宋体"/>
                <w:color w:val="auto"/>
                <w:szCs w:val="21"/>
                <w:highlight w:val="none"/>
              </w:rPr>
              <w:t>项目经理</w:t>
            </w:r>
          </w:p>
        </w:tc>
        <w:tc>
          <w:tcPr>
            <w:tcW w:w="6606" w:type="dxa"/>
            <w:noWrap w:val="0"/>
            <w:vAlign w:val="center"/>
          </w:tcPr>
          <w:p w14:paraId="5C7EC26B">
            <w:pPr>
              <w:jc w:val="center"/>
              <w:rPr>
                <w:rFonts w:ascii="宋体" w:hAnsi="宋体"/>
                <w:color w:val="auto"/>
                <w:szCs w:val="21"/>
                <w:highlight w:val="none"/>
              </w:rPr>
            </w:pPr>
          </w:p>
        </w:tc>
      </w:tr>
      <w:tr w14:paraId="69D1E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613" w:type="dxa"/>
            <w:noWrap w:val="0"/>
            <w:vAlign w:val="center"/>
          </w:tcPr>
          <w:p w14:paraId="4242E2D9">
            <w:pPr>
              <w:jc w:val="center"/>
              <w:rPr>
                <w:rFonts w:ascii="宋体" w:hAnsi="宋体"/>
                <w:color w:val="auto"/>
                <w:szCs w:val="21"/>
                <w:highlight w:val="none"/>
              </w:rPr>
            </w:pPr>
            <w:r>
              <w:rPr>
                <w:rFonts w:hint="eastAsia" w:ascii="宋体" w:hAnsi="宋体"/>
                <w:color w:val="auto"/>
                <w:szCs w:val="21"/>
                <w:highlight w:val="none"/>
              </w:rPr>
              <w:t>技术负责人</w:t>
            </w:r>
          </w:p>
        </w:tc>
        <w:tc>
          <w:tcPr>
            <w:tcW w:w="6606" w:type="dxa"/>
            <w:noWrap w:val="0"/>
            <w:vAlign w:val="center"/>
          </w:tcPr>
          <w:p w14:paraId="7ADCB692">
            <w:pPr>
              <w:jc w:val="center"/>
              <w:rPr>
                <w:rFonts w:ascii="宋体" w:hAnsi="宋体"/>
                <w:color w:val="auto"/>
                <w:szCs w:val="21"/>
                <w:highlight w:val="none"/>
              </w:rPr>
            </w:pPr>
          </w:p>
        </w:tc>
      </w:tr>
      <w:tr w14:paraId="592B3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613" w:type="dxa"/>
            <w:noWrap w:val="0"/>
            <w:vAlign w:val="center"/>
          </w:tcPr>
          <w:p w14:paraId="531F8938">
            <w:pPr>
              <w:jc w:val="center"/>
              <w:rPr>
                <w:rFonts w:ascii="宋体" w:hAnsi="宋体"/>
                <w:color w:val="auto"/>
                <w:szCs w:val="21"/>
                <w:highlight w:val="none"/>
              </w:rPr>
            </w:pPr>
            <w:r>
              <w:rPr>
                <w:rFonts w:hint="eastAsia" w:ascii="宋体" w:hAnsi="宋体"/>
                <w:color w:val="auto"/>
                <w:szCs w:val="21"/>
                <w:highlight w:val="none"/>
              </w:rPr>
              <w:t>总监理工程师及电话</w:t>
            </w:r>
          </w:p>
        </w:tc>
        <w:tc>
          <w:tcPr>
            <w:tcW w:w="6606" w:type="dxa"/>
            <w:noWrap w:val="0"/>
            <w:vAlign w:val="center"/>
          </w:tcPr>
          <w:p w14:paraId="3B106DF1">
            <w:pPr>
              <w:jc w:val="center"/>
              <w:rPr>
                <w:rFonts w:ascii="宋体" w:hAnsi="宋体"/>
                <w:color w:val="auto"/>
                <w:szCs w:val="21"/>
                <w:highlight w:val="none"/>
              </w:rPr>
            </w:pPr>
          </w:p>
        </w:tc>
      </w:tr>
      <w:tr w14:paraId="473F5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8" w:hRule="atLeast"/>
        </w:trPr>
        <w:tc>
          <w:tcPr>
            <w:tcW w:w="2613" w:type="dxa"/>
            <w:noWrap w:val="0"/>
            <w:vAlign w:val="center"/>
          </w:tcPr>
          <w:p w14:paraId="437B801E">
            <w:pPr>
              <w:jc w:val="center"/>
              <w:rPr>
                <w:rFonts w:ascii="宋体" w:hAnsi="宋体"/>
                <w:color w:val="auto"/>
                <w:szCs w:val="21"/>
                <w:highlight w:val="none"/>
              </w:rPr>
            </w:pPr>
            <w:r>
              <w:rPr>
                <w:rFonts w:hint="eastAsia" w:ascii="宋体" w:hAnsi="宋体"/>
                <w:color w:val="auto"/>
                <w:szCs w:val="21"/>
                <w:highlight w:val="none"/>
              </w:rPr>
              <w:t>项目描述</w:t>
            </w:r>
          </w:p>
        </w:tc>
        <w:tc>
          <w:tcPr>
            <w:tcW w:w="6606" w:type="dxa"/>
            <w:noWrap w:val="0"/>
            <w:vAlign w:val="center"/>
          </w:tcPr>
          <w:p w14:paraId="67C667DB">
            <w:pPr>
              <w:jc w:val="center"/>
              <w:rPr>
                <w:rFonts w:ascii="宋体" w:hAnsi="宋体"/>
                <w:color w:val="auto"/>
                <w:szCs w:val="21"/>
                <w:highlight w:val="none"/>
              </w:rPr>
            </w:pPr>
          </w:p>
        </w:tc>
      </w:tr>
      <w:tr w14:paraId="655BE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613" w:type="dxa"/>
            <w:noWrap w:val="0"/>
            <w:vAlign w:val="center"/>
          </w:tcPr>
          <w:p w14:paraId="6BC23C6E">
            <w:pPr>
              <w:jc w:val="center"/>
              <w:rPr>
                <w:rFonts w:ascii="宋体" w:hAnsi="宋体"/>
                <w:color w:val="auto"/>
                <w:szCs w:val="21"/>
                <w:highlight w:val="none"/>
              </w:rPr>
            </w:pPr>
            <w:r>
              <w:rPr>
                <w:rFonts w:hint="eastAsia" w:ascii="宋体" w:hAnsi="宋体"/>
                <w:color w:val="auto"/>
                <w:szCs w:val="21"/>
                <w:highlight w:val="none"/>
              </w:rPr>
              <w:t>备注</w:t>
            </w:r>
          </w:p>
        </w:tc>
        <w:tc>
          <w:tcPr>
            <w:tcW w:w="6606" w:type="dxa"/>
            <w:noWrap w:val="0"/>
            <w:vAlign w:val="center"/>
          </w:tcPr>
          <w:p w14:paraId="05EC2424">
            <w:pPr>
              <w:jc w:val="center"/>
              <w:rPr>
                <w:rFonts w:ascii="宋体" w:hAnsi="宋体"/>
                <w:color w:val="auto"/>
                <w:szCs w:val="21"/>
                <w:highlight w:val="none"/>
              </w:rPr>
            </w:pPr>
          </w:p>
        </w:tc>
      </w:tr>
    </w:tbl>
    <w:p w14:paraId="6B150E63">
      <w:pPr>
        <w:keepNext w:val="0"/>
        <w:keepLines w:val="0"/>
        <w:widowControl/>
        <w:suppressLineNumbers w:val="0"/>
        <w:ind w:firstLine="630" w:firstLineChars="300"/>
        <w:jc w:val="left"/>
        <w:rPr>
          <w:color w:val="auto"/>
          <w:highlight w:val="none"/>
        </w:rPr>
      </w:pPr>
      <w:r>
        <w:rPr>
          <w:rFonts w:hint="eastAsia" w:ascii="宋体" w:hAnsi="宋体" w:eastAsia="宋体" w:cs="宋体"/>
          <w:color w:val="auto"/>
          <w:kern w:val="0"/>
          <w:sz w:val="21"/>
          <w:szCs w:val="21"/>
          <w:highlight w:val="none"/>
          <w:lang w:val="en-US" w:eastAsia="zh-CN" w:bidi="ar"/>
        </w:rPr>
        <w:t>备注：类似项目含义和近年具体要求见投标人须知前附表。</w:t>
      </w:r>
    </w:p>
    <w:p w14:paraId="78BB2EB7">
      <w:pPr>
        <w:ind w:left="0" w:leftChars="0" w:firstLine="0" w:firstLineChars="0"/>
        <w:outlineLvl w:val="9"/>
        <w:rPr>
          <w:rFonts w:hint="eastAsia"/>
          <w:color w:val="auto"/>
          <w:highlight w:val="none"/>
        </w:rPr>
      </w:pPr>
      <w:bookmarkStart w:id="1891" w:name="_Toc26495"/>
      <w:bookmarkStart w:id="1892" w:name="_Toc9156"/>
      <w:bookmarkStart w:id="1893" w:name="_Toc7956841"/>
      <w:bookmarkStart w:id="1894" w:name="_Toc13789"/>
    </w:p>
    <w:p w14:paraId="7141321C">
      <w:pPr>
        <w:outlineLvl w:val="9"/>
        <w:rPr>
          <w:rFonts w:hint="eastAsia"/>
          <w:color w:val="auto"/>
          <w:highlight w:val="none"/>
        </w:rPr>
      </w:pPr>
    </w:p>
    <w:p w14:paraId="151AD3F5">
      <w:pPr>
        <w:outlineLvl w:val="9"/>
        <w:rPr>
          <w:rFonts w:hint="eastAsia"/>
          <w:color w:val="auto"/>
          <w:highlight w:val="none"/>
        </w:rPr>
      </w:pPr>
    </w:p>
    <w:p w14:paraId="3AA7D465">
      <w:pPr>
        <w:outlineLvl w:val="9"/>
        <w:rPr>
          <w:rFonts w:hint="eastAsia"/>
          <w:color w:val="auto"/>
          <w:highlight w:val="none"/>
        </w:rPr>
      </w:pPr>
    </w:p>
    <w:p w14:paraId="28EAAA6E">
      <w:pPr>
        <w:outlineLvl w:val="9"/>
        <w:rPr>
          <w:rFonts w:hint="eastAsia"/>
          <w:color w:val="auto"/>
          <w:highlight w:val="none"/>
        </w:rPr>
      </w:pPr>
    </w:p>
    <w:p w14:paraId="18CA2EF7">
      <w:pPr>
        <w:outlineLvl w:val="9"/>
        <w:rPr>
          <w:rFonts w:hint="eastAsia"/>
          <w:color w:val="auto"/>
          <w:highlight w:val="none"/>
        </w:rPr>
      </w:pPr>
    </w:p>
    <w:p w14:paraId="121F1D8B">
      <w:pPr>
        <w:keepNext w:val="0"/>
        <w:keepLines w:val="0"/>
        <w:pageBreakBefore w:val="0"/>
        <w:kinsoku/>
        <w:wordWrap/>
        <w:overflowPunct/>
        <w:topLinePunct w:val="0"/>
        <w:autoSpaceDE/>
        <w:autoSpaceDN/>
        <w:bidi w:val="0"/>
        <w:adjustRightInd/>
        <w:snapToGrid/>
        <w:spacing w:line="360" w:lineRule="auto"/>
        <w:textAlignment w:val="auto"/>
        <w:outlineLvl w:val="9"/>
        <w:rPr>
          <w:rFonts w:hint="eastAsia"/>
          <w:color w:val="auto"/>
          <w:highlight w:val="none"/>
        </w:rPr>
      </w:pPr>
    </w:p>
    <w:p w14:paraId="65ACED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outlineLvl w:val="2"/>
        <w:rPr>
          <w:rFonts w:hint="eastAsia"/>
          <w:color w:val="auto"/>
          <w:highlight w:val="none"/>
        </w:rPr>
      </w:pPr>
      <w:r>
        <w:rPr>
          <w:rFonts w:hint="eastAsia"/>
          <w:color w:val="auto"/>
          <w:highlight w:val="none"/>
        </w:rPr>
        <w:t>（五）</w:t>
      </w:r>
      <w:bookmarkEnd w:id="1886"/>
      <w:bookmarkEnd w:id="1887"/>
      <w:bookmarkEnd w:id="1888"/>
      <w:bookmarkEnd w:id="1889"/>
      <w:bookmarkEnd w:id="1890"/>
      <w:bookmarkEnd w:id="1891"/>
      <w:bookmarkEnd w:id="1892"/>
      <w:bookmarkEnd w:id="1893"/>
      <w:bookmarkEnd w:id="1894"/>
      <w:r>
        <w:rPr>
          <w:rFonts w:ascii="黑体" w:hAnsi="宋体" w:eastAsia="黑体" w:cs="黑体"/>
          <w:color w:val="auto"/>
          <w:kern w:val="0"/>
          <w:sz w:val="24"/>
          <w:szCs w:val="24"/>
          <w:highlight w:val="none"/>
          <w:lang w:val="en-US" w:eastAsia="zh-CN" w:bidi="ar"/>
        </w:rPr>
        <w:t>企业信誉</w:t>
      </w:r>
      <w:r>
        <w:rPr>
          <w:rFonts w:hint="eastAsia" w:ascii="黑体" w:hAnsi="宋体" w:eastAsia="黑体" w:cs="黑体"/>
          <w:color w:val="auto"/>
          <w:kern w:val="0"/>
          <w:sz w:val="24"/>
          <w:szCs w:val="24"/>
          <w:highlight w:val="none"/>
          <w:lang w:val="en-US" w:eastAsia="zh-CN" w:bidi="ar"/>
        </w:rPr>
        <w:t>情况</w:t>
      </w:r>
    </w:p>
    <w:p w14:paraId="60BEC6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outlineLvl w:val="9"/>
        <w:rPr>
          <w:color w:val="auto"/>
          <w:highlight w:val="none"/>
        </w:rPr>
      </w:pPr>
      <w:r>
        <w:rPr>
          <w:rFonts w:hint="default" w:ascii="Times New Roman" w:hAnsi="Times New Roman" w:eastAsia="宋体" w:cs="Times New Roman"/>
          <w:color w:val="auto"/>
          <w:kern w:val="0"/>
          <w:sz w:val="24"/>
          <w:szCs w:val="24"/>
          <w:highlight w:val="none"/>
          <w:lang w:val="en-US" w:eastAsia="zh-CN" w:bidi="ar"/>
        </w:rPr>
        <w:t xml:space="preserve">5-1 </w:t>
      </w:r>
      <w:r>
        <w:rPr>
          <w:rFonts w:ascii="黑体" w:hAnsi="宋体" w:eastAsia="黑体" w:cs="黑体"/>
          <w:color w:val="auto"/>
          <w:kern w:val="0"/>
          <w:sz w:val="24"/>
          <w:szCs w:val="24"/>
          <w:highlight w:val="none"/>
          <w:lang w:val="en-US" w:eastAsia="zh-CN" w:bidi="ar"/>
        </w:rPr>
        <w:t>企业信誉</w:t>
      </w:r>
      <w:r>
        <w:rPr>
          <w:rFonts w:hint="eastAsia" w:ascii="黑体" w:hAnsi="宋体" w:eastAsia="黑体" w:cs="黑体"/>
          <w:color w:val="auto"/>
          <w:kern w:val="0"/>
          <w:sz w:val="24"/>
          <w:szCs w:val="24"/>
          <w:highlight w:val="none"/>
          <w:lang w:val="en-US" w:eastAsia="zh-CN" w:bidi="ar"/>
        </w:rPr>
        <w:t>声明</w:t>
      </w:r>
    </w:p>
    <w:p w14:paraId="4A891989">
      <w:pPr>
        <w:keepNext w:val="0"/>
        <w:keepLines w:val="0"/>
        <w:widowControl/>
        <w:numPr>
          <w:ilvl w:val="0"/>
          <w:numId w:val="0"/>
        </w:numPr>
        <w:suppressLineNumbers w:val="0"/>
        <w:jc w:val="left"/>
        <w:rPr>
          <w:rFonts w:ascii="黑体" w:hAnsi="宋体" w:eastAsia="黑体" w:cs="黑体"/>
          <w:color w:val="auto"/>
          <w:kern w:val="0"/>
          <w:sz w:val="24"/>
          <w:szCs w:val="24"/>
          <w:highlight w:val="none"/>
          <w:lang w:val="en-US" w:eastAsia="zh-CN" w:bidi="ar"/>
        </w:rPr>
      </w:pPr>
    </w:p>
    <w:p w14:paraId="57958F49">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（招标人名称）：</w:t>
      </w:r>
    </w:p>
    <w:p w14:paraId="1430E364">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 </w:t>
      </w:r>
    </w:p>
    <w:p w14:paraId="707C74E1">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我方在此声明，截止本招标项目投标截止时间，我方处于正常的经营状态，不存在下列任何一种情形。 </w:t>
      </w:r>
    </w:p>
    <w:p w14:paraId="11B1BC26">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1.被依法暂停或取消投标资格； </w:t>
      </w:r>
    </w:p>
    <w:p w14:paraId="270CF839">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2.被责令停产停业、暂扣或者吊销许可证、暂扣或者吊销执照； </w:t>
      </w:r>
    </w:p>
    <w:p w14:paraId="1B6B9C87">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3.进入清算程序，或被宣告破产，或其他丧失履约能力的情形； </w:t>
      </w:r>
    </w:p>
    <w:p w14:paraId="0360D086">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4.在最近三年内有骗取中标或严重违约或重大工程质量问题的； </w:t>
      </w:r>
    </w:p>
    <w:p w14:paraId="4663EE93">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5.在“国家企业信用信息公示系统”（ www.gsxt.gov.cn）被列入严重违法失信企业名单； </w:t>
      </w:r>
    </w:p>
    <w:p w14:paraId="099DC1A8">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6.在“信用中国”网站（www.creditchina.gov.cn）或“中国执行信息公开网”（http://zxgk.court.gov.cn/shixin/）被列入失信被执行人名单； </w:t>
      </w:r>
    </w:p>
    <w:p w14:paraId="37C05393">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7.在辽宁省建设工程招投标监督平台-辽宁建设工程信息网上被列入不良行为记录且在公布期内的； </w:t>
      </w:r>
    </w:p>
    <w:p w14:paraId="1EA59092">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8.投标人须知前附表第 1.4.3（1</w:t>
      </w:r>
      <w:r>
        <w:rPr>
          <w:rFonts w:hint="eastAsia" w:ascii="宋体" w:hAnsi="宋体" w:cs="宋体"/>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 xml:space="preserve">）目规定的其他情形。 </w:t>
      </w:r>
    </w:p>
    <w:p w14:paraId="08BCBC82">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我方对上述声明的真实性和准确性负责，并承担相应的法律责任。 </w:t>
      </w:r>
    </w:p>
    <w:p w14:paraId="518A8B84">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后附：上述条款 5、6、7 网站查询结果截图。 </w:t>
      </w:r>
    </w:p>
    <w:p w14:paraId="6428DF05">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21"/>
          <w:szCs w:val="21"/>
          <w:highlight w:val="none"/>
          <w:lang w:val="en-US" w:eastAsia="zh-CN" w:bidi="ar"/>
        </w:rPr>
      </w:pPr>
    </w:p>
    <w:p w14:paraId="42B07099">
      <w:pPr>
        <w:keepNext w:val="0"/>
        <w:keepLines w:val="0"/>
        <w:pageBreakBefore w:val="0"/>
        <w:widowControl/>
        <w:suppressLineNumbers w:val="0"/>
        <w:kinsoku/>
        <w:wordWrap/>
        <w:overflowPunct/>
        <w:topLinePunct w:val="0"/>
        <w:autoSpaceDE/>
        <w:autoSpaceDN/>
        <w:bidi w:val="0"/>
        <w:adjustRightInd/>
        <w:snapToGrid/>
        <w:spacing w:line="360" w:lineRule="auto"/>
        <w:ind w:firstLine="3780" w:firstLineChars="18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 （盖单位章） </w:t>
      </w:r>
    </w:p>
    <w:p w14:paraId="37AEA87B">
      <w:pPr>
        <w:keepNext w:val="0"/>
        <w:keepLines w:val="0"/>
        <w:pageBreakBefore w:val="0"/>
        <w:widowControl/>
        <w:suppressLineNumbers w:val="0"/>
        <w:kinsoku/>
        <w:wordWrap/>
        <w:overflowPunct/>
        <w:topLinePunct w:val="0"/>
        <w:autoSpaceDE/>
        <w:autoSpaceDN/>
        <w:bidi w:val="0"/>
        <w:adjustRightInd/>
        <w:snapToGrid/>
        <w:spacing w:line="360" w:lineRule="auto"/>
        <w:ind w:firstLine="3150" w:firstLineChars="150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法定代表人或授权委托人：</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 （签章） </w:t>
      </w:r>
    </w:p>
    <w:p w14:paraId="4C780711">
      <w:pPr>
        <w:keepNext w:val="0"/>
        <w:keepLines w:val="0"/>
        <w:pageBreakBefore w:val="0"/>
        <w:widowControl/>
        <w:suppressLineNumbers w:val="0"/>
        <w:kinsoku/>
        <w:wordWrap/>
        <w:overflowPunct/>
        <w:topLinePunct w:val="0"/>
        <w:autoSpaceDE/>
        <w:autoSpaceDN/>
        <w:bidi w:val="0"/>
        <w:adjustRightInd/>
        <w:snapToGrid/>
        <w:spacing w:line="360" w:lineRule="auto"/>
        <w:ind w:firstLine="4200" w:firstLineChars="200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年 </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月 </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日 </w:t>
      </w:r>
    </w:p>
    <w:p w14:paraId="63DA07C0">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21"/>
          <w:szCs w:val="21"/>
          <w:highlight w:val="none"/>
          <w:lang w:val="en-US" w:eastAsia="zh-CN" w:bidi="ar"/>
        </w:rPr>
      </w:pPr>
    </w:p>
    <w:p w14:paraId="69946A76">
      <w:pPr>
        <w:keepNext w:val="0"/>
        <w:keepLines w:val="0"/>
        <w:pageBreakBefore w:val="0"/>
        <w:widowControl/>
        <w:suppressLineNumbers w:val="0"/>
        <w:kinsoku/>
        <w:wordWrap/>
        <w:overflowPunct/>
        <w:topLinePunct w:val="0"/>
        <w:autoSpaceDE/>
        <w:autoSpaceDN/>
        <w:bidi w:val="0"/>
        <w:adjustRightInd/>
        <w:snapToGrid/>
        <w:spacing w:line="360" w:lineRule="auto"/>
        <w:ind w:left="1260" w:leftChars="200" w:hanging="840" w:hangingChars="4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备注：1.投标人应针对第二章“投标人须知”第 1.4.1 项和第 1.4.3 项的要求，在此对其信誉情况做出说明。如上格式文件所示。 </w:t>
      </w:r>
    </w:p>
    <w:p w14:paraId="05C1E2D7">
      <w:pPr>
        <w:keepNext w:val="0"/>
        <w:keepLines w:val="0"/>
        <w:pageBreakBefore w:val="0"/>
        <w:widowControl/>
        <w:suppressLineNumbers w:val="0"/>
        <w:kinsoku/>
        <w:wordWrap/>
        <w:overflowPunct/>
        <w:topLinePunct w:val="0"/>
        <w:autoSpaceDE/>
        <w:autoSpaceDN/>
        <w:bidi w:val="0"/>
        <w:adjustRightInd/>
        <w:snapToGrid/>
        <w:spacing w:line="360" w:lineRule="auto"/>
        <w:ind w:firstLine="1050" w:firstLineChars="5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2.联合体投标的，联合体各成员单位均应按要求做出说明。</w:t>
      </w:r>
    </w:p>
    <w:p w14:paraId="068F69C3">
      <w:pPr>
        <w:rPr>
          <w:color w:val="auto"/>
          <w:highlight w:val="none"/>
        </w:rPr>
      </w:pPr>
    </w:p>
    <w:p w14:paraId="28B6B970">
      <w:pPr>
        <w:rPr>
          <w:color w:val="auto"/>
          <w:highlight w:val="none"/>
        </w:rPr>
      </w:pPr>
    </w:p>
    <w:p w14:paraId="6856F463">
      <w:pPr>
        <w:keepNext w:val="0"/>
        <w:keepLines w:val="0"/>
        <w:widowControl/>
        <w:suppressLineNumbers w:val="0"/>
        <w:jc w:val="center"/>
        <w:rPr>
          <w:b/>
          <w:bCs/>
          <w:color w:val="auto"/>
          <w:highlight w:val="none"/>
        </w:rPr>
      </w:pPr>
      <w:r>
        <w:rPr>
          <w:rFonts w:hint="default" w:ascii="Times New Roman" w:hAnsi="Times New Roman" w:eastAsia="宋体" w:cs="Times New Roman"/>
          <w:b/>
          <w:bCs/>
          <w:color w:val="auto"/>
          <w:kern w:val="0"/>
          <w:sz w:val="24"/>
          <w:szCs w:val="24"/>
          <w:highlight w:val="none"/>
          <w:lang w:val="en-US" w:eastAsia="zh-CN" w:bidi="ar"/>
        </w:rPr>
        <w:t xml:space="preserve">5-2 </w:t>
      </w:r>
      <w:r>
        <w:rPr>
          <w:rFonts w:ascii="黑体" w:hAnsi="宋体" w:eastAsia="黑体" w:cs="黑体"/>
          <w:b/>
          <w:bCs/>
          <w:color w:val="auto"/>
          <w:kern w:val="0"/>
          <w:sz w:val="24"/>
          <w:szCs w:val="24"/>
          <w:highlight w:val="none"/>
          <w:lang w:val="en-US" w:eastAsia="zh-CN" w:bidi="ar"/>
        </w:rPr>
        <w:t>近年发生的诉讼和仲裁情况</w:t>
      </w:r>
    </w:p>
    <w:p w14:paraId="50F63652">
      <w:pPr>
        <w:pStyle w:val="191"/>
        <w:jc w:val="center"/>
        <w:outlineLvl w:val="9"/>
        <w:rPr>
          <w:rStyle w:val="44"/>
          <w:rFonts w:ascii="Times New Roman" w:hAnsi="Times New Roman" w:eastAsia="Times New Roman" w:cs="Times New Roman"/>
          <w:color w:val="auto"/>
          <w:highlight w:val="none"/>
        </w:rPr>
      </w:pPr>
    </w:p>
    <w:tbl>
      <w:tblPr>
        <w:tblStyle w:val="43"/>
        <w:tblW w:w="8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9"/>
        <w:gridCol w:w="1368"/>
        <w:gridCol w:w="2032"/>
        <w:gridCol w:w="2845"/>
        <w:gridCol w:w="1784"/>
      </w:tblGrid>
      <w:tr w14:paraId="51803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889" w:type="dxa"/>
            <w:noWrap w:val="0"/>
            <w:vAlign w:val="center"/>
          </w:tcPr>
          <w:p w14:paraId="3492EB90">
            <w:pPr>
              <w:keepNext w:val="0"/>
              <w:keepLines w:val="0"/>
              <w:widowControl/>
              <w:suppressLineNumbers w:val="0"/>
              <w:jc w:val="center"/>
              <w:rPr>
                <w:rStyle w:val="44"/>
                <w:rFonts w:ascii="Times New Roman" w:hAnsi="Times New Roman" w:eastAsia="Times New Roman" w:cs="Times New Roman"/>
                <w:color w:val="auto"/>
                <w:highlight w:val="none"/>
                <w:vertAlign w:val="baseline"/>
              </w:rPr>
            </w:pPr>
            <w:r>
              <w:rPr>
                <w:rFonts w:hint="eastAsia" w:ascii="宋体" w:hAnsi="宋体" w:eastAsia="宋体" w:cs="宋体"/>
                <w:color w:val="auto"/>
                <w:kern w:val="0"/>
                <w:sz w:val="21"/>
                <w:szCs w:val="21"/>
                <w:highlight w:val="none"/>
                <w:lang w:val="en-US" w:eastAsia="zh-CN" w:bidi="ar"/>
              </w:rPr>
              <w:t>类别</w:t>
            </w:r>
          </w:p>
        </w:tc>
        <w:tc>
          <w:tcPr>
            <w:tcW w:w="1368" w:type="dxa"/>
            <w:noWrap w:val="0"/>
            <w:vAlign w:val="center"/>
          </w:tcPr>
          <w:p w14:paraId="5E8F6EEB">
            <w:pPr>
              <w:keepNext w:val="0"/>
              <w:keepLines w:val="0"/>
              <w:widowControl/>
              <w:suppressLineNumbers w:val="0"/>
              <w:jc w:val="center"/>
              <w:rPr>
                <w:rStyle w:val="44"/>
                <w:rFonts w:ascii="Times New Roman" w:hAnsi="Times New Roman" w:eastAsia="Times New Roman" w:cs="Times New Roman"/>
                <w:color w:val="auto"/>
                <w:highlight w:val="none"/>
                <w:vertAlign w:val="baseline"/>
              </w:rPr>
            </w:pPr>
            <w:r>
              <w:rPr>
                <w:rFonts w:hint="eastAsia" w:ascii="宋体" w:hAnsi="宋体" w:eastAsia="宋体" w:cs="宋体"/>
                <w:color w:val="auto"/>
                <w:kern w:val="0"/>
                <w:sz w:val="21"/>
                <w:szCs w:val="21"/>
                <w:highlight w:val="none"/>
                <w:lang w:val="en-US" w:eastAsia="zh-CN" w:bidi="ar"/>
              </w:rPr>
              <w:t>序号</w:t>
            </w:r>
          </w:p>
        </w:tc>
        <w:tc>
          <w:tcPr>
            <w:tcW w:w="2032" w:type="dxa"/>
            <w:noWrap w:val="0"/>
            <w:vAlign w:val="center"/>
          </w:tcPr>
          <w:p w14:paraId="70119FF9">
            <w:pPr>
              <w:keepNext w:val="0"/>
              <w:keepLines w:val="0"/>
              <w:widowControl/>
              <w:suppressLineNumbers w:val="0"/>
              <w:jc w:val="center"/>
              <w:rPr>
                <w:rStyle w:val="44"/>
                <w:rFonts w:ascii="Times New Roman" w:hAnsi="Times New Roman" w:eastAsia="Times New Roman" w:cs="Times New Roman"/>
                <w:color w:val="auto"/>
                <w:highlight w:val="none"/>
                <w:vertAlign w:val="baseline"/>
              </w:rPr>
            </w:pPr>
            <w:r>
              <w:rPr>
                <w:rFonts w:hint="eastAsia" w:ascii="宋体" w:hAnsi="宋体" w:eastAsia="宋体" w:cs="宋体"/>
                <w:color w:val="auto"/>
                <w:kern w:val="0"/>
                <w:sz w:val="21"/>
                <w:szCs w:val="21"/>
                <w:highlight w:val="none"/>
                <w:lang w:val="en-US" w:eastAsia="zh-CN" w:bidi="ar"/>
              </w:rPr>
              <w:t>发生时间</w:t>
            </w:r>
          </w:p>
        </w:tc>
        <w:tc>
          <w:tcPr>
            <w:tcW w:w="2845" w:type="dxa"/>
            <w:noWrap w:val="0"/>
            <w:vAlign w:val="center"/>
          </w:tcPr>
          <w:p w14:paraId="4F29A137">
            <w:pPr>
              <w:keepNext w:val="0"/>
              <w:keepLines w:val="0"/>
              <w:widowControl/>
              <w:suppressLineNumbers w:val="0"/>
              <w:jc w:val="center"/>
              <w:rPr>
                <w:rStyle w:val="44"/>
                <w:rFonts w:ascii="Times New Roman" w:hAnsi="Times New Roman" w:eastAsia="Times New Roman" w:cs="Times New Roman"/>
                <w:color w:val="auto"/>
                <w:highlight w:val="none"/>
                <w:vertAlign w:val="baseline"/>
              </w:rPr>
            </w:pPr>
            <w:r>
              <w:rPr>
                <w:rFonts w:hint="eastAsia" w:ascii="宋体" w:hAnsi="宋体" w:eastAsia="宋体" w:cs="宋体"/>
                <w:color w:val="auto"/>
                <w:kern w:val="0"/>
                <w:sz w:val="21"/>
                <w:szCs w:val="21"/>
                <w:highlight w:val="none"/>
                <w:lang w:val="en-US" w:eastAsia="zh-CN" w:bidi="ar"/>
              </w:rPr>
              <w:t>情况简介</w:t>
            </w:r>
          </w:p>
        </w:tc>
        <w:tc>
          <w:tcPr>
            <w:tcW w:w="1784" w:type="dxa"/>
            <w:noWrap w:val="0"/>
            <w:vAlign w:val="center"/>
          </w:tcPr>
          <w:p w14:paraId="64783021">
            <w:pPr>
              <w:keepNext w:val="0"/>
              <w:keepLines w:val="0"/>
              <w:widowControl/>
              <w:suppressLineNumbers w:val="0"/>
              <w:jc w:val="center"/>
              <w:rPr>
                <w:rStyle w:val="44"/>
                <w:rFonts w:ascii="Times New Roman" w:hAnsi="Times New Roman" w:eastAsia="Times New Roman" w:cs="Times New Roman"/>
                <w:color w:val="auto"/>
                <w:highlight w:val="none"/>
                <w:vertAlign w:val="baseline"/>
              </w:rPr>
            </w:pPr>
            <w:r>
              <w:rPr>
                <w:rFonts w:hint="eastAsia" w:ascii="宋体" w:hAnsi="宋体" w:eastAsia="宋体" w:cs="宋体"/>
                <w:color w:val="auto"/>
                <w:kern w:val="0"/>
                <w:sz w:val="21"/>
                <w:szCs w:val="21"/>
                <w:highlight w:val="none"/>
                <w:lang w:val="en-US" w:eastAsia="zh-CN" w:bidi="ar"/>
              </w:rPr>
              <w:t>证明材料索引</w:t>
            </w:r>
          </w:p>
        </w:tc>
      </w:tr>
      <w:tr w14:paraId="54E8D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 w:hRule="atLeast"/>
          <w:jc w:val="center"/>
        </w:trPr>
        <w:tc>
          <w:tcPr>
            <w:tcW w:w="889" w:type="dxa"/>
            <w:vMerge w:val="restart"/>
            <w:noWrap w:val="0"/>
            <w:textDirection w:val="tbLrV"/>
            <w:vAlign w:val="center"/>
          </w:tcPr>
          <w:p w14:paraId="0C417221">
            <w:pPr>
              <w:keepNext w:val="0"/>
              <w:keepLines w:val="0"/>
              <w:widowControl/>
              <w:suppressLineNumbers w:val="0"/>
              <w:ind w:left="113" w:right="113"/>
              <w:jc w:val="center"/>
              <w:rPr>
                <w:rStyle w:val="44"/>
                <w:rFonts w:ascii="Times New Roman" w:hAnsi="Times New Roman" w:eastAsia="Times New Roman" w:cs="Times New Roman"/>
                <w:color w:val="auto"/>
                <w:highlight w:val="none"/>
                <w:vertAlign w:val="baseline"/>
              </w:rPr>
            </w:pPr>
            <w:r>
              <w:rPr>
                <w:rFonts w:hint="eastAsia" w:ascii="宋体" w:hAnsi="宋体" w:eastAsia="宋体" w:cs="宋体"/>
                <w:color w:val="auto"/>
                <w:kern w:val="0"/>
                <w:sz w:val="21"/>
                <w:szCs w:val="21"/>
                <w:highlight w:val="none"/>
                <w:lang w:val="en-US" w:eastAsia="zh-CN" w:bidi="ar"/>
              </w:rPr>
              <w:t>诉 讼 情 况</w:t>
            </w:r>
          </w:p>
        </w:tc>
        <w:tc>
          <w:tcPr>
            <w:tcW w:w="1368" w:type="dxa"/>
            <w:noWrap w:val="0"/>
            <w:vAlign w:val="center"/>
          </w:tcPr>
          <w:p w14:paraId="671ACBE2">
            <w:pPr>
              <w:pStyle w:val="191"/>
              <w:jc w:val="center"/>
              <w:outlineLvl w:val="9"/>
              <w:rPr>
                <w:rStyle w:val="44"/>
                <w:rFonts w:ascii="Times New Roman" w:hAnsi="Times New Roman" w:eastAsia="Times New Roman" w:cs="Times New Roman"/>
                <w:color w:val="auto"/>
                <w:highlight w:val="none"/>
                <w:vertAlign w:val="baseline"/>
              </w:rPr>
            </w:pPr>
          </w:p>
        </w:tc>
        <w:tc>
          <w:tcPr>
            <w:tcW w:w="2032" w:type="dxa"/>
            <w:noWrap w:val="0"/>
            <w:vAlign w:val="center"/>
          </w:tcPr>
          <w:p w14:paraId="27D532BF">
            <w:pPr>
              <w:pStyle w:val="191"/>
              <w:jc w:val="center"/>
              <w:outlineLvl w:val="9"/>
              <w:rPr>
                <w:rStyle w:val="44"/>
                <w:rFonts w:ascii="Times New Roman" w:hAnsi="Times New Roman" w:eastAsia="Times New Roman" w:cs="Times New Roman"/>
                <w:color w:val="auto"/>
                <w:highlight w:val="none"/>
                <w:vertAlign w:val="baseline"/>
              </w:rPr>
            </w:pPr>
          </w:p>
        </w:tc>
        <w:tc>
          <w:tcPr>
            <w:tcW w:w="2845" w:type="dxa"/>
            <w:noWrap w:val="0"/>
            <w:vAlign w:val="center"/>
          </w:tcPr>
          <w:p w14:paraId="69695615">
            <w:pPr>
              <w:pStyle w:val="191"/>
              <w:jc w:val="center"/>
              <w:outlineLvl w:val="9"/>
              <w:rPr>
                <w:rStyle w:val="44"/>
                <w:rFonts w:ascii="Times New Roman" w:hAnsi="Times New Roman" w:eastAsia="Times New Roman" w:cs="Times New Roman"/>
                <w:color w:val="auto"/>
                <w:highlight w:val="none"/>
                <w:vertAlign w:val="baseline"/>
              </w:rPr>
            </w:pPr>
          </w:p>
        </w:tc>
        <w:tc>
          <w:tcPr>
            <w:tcW w:w="1784" w:type="dxa"/>
            <w:noWrap w:val="0"/>
            <w:vAlign w:val="center"/>
          </w:tcPr>
          <w:p w14:paraId="52C0C21B">
            <w:pPr>
              <w:pStyle w:val="191"/>
              <w:jc w:val="center"/>
              <w:outlineLvl w:val="9"/>
              <w:rPr>
                <w:rStyle w:val="44"/>
                <w:rFonts w:ascii="Times New Roman" w:hAnsi="Times New Roman" w:eastAsia="Times New Roman" w:cs="Times New Roman"/>
                <w:color w:val="auto"/>
                <w:highlight w:val="none"/>
                <w:vertAlign w:val="baseline"/>
              </w:rPr>
            </w:pPr>
          </w:p>
        </w:tc>
      </w:tr>
      <w:tr w14:paraId="08B53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 w:hRule="atLeast"/>
          <w:jc w:val="center"/>
        </w:trPr>
        <w:tc>
          <w:tcPr>
            <w:tcW w:w="889" w:type="dxa"/>
            <w:vMerge w:val="continue"/>
            <w:noWrap w:val="0"/>
            <w:vAlign w:val="center"/>
          </w:tcPr>
          <w:p w14:paraId="74858FEF">
            <w:pPr>
              <w:pStyle w:val="191"/>
              <w:jc w:val="center"/>
              <w:outlineLvl w:val="9"/>
              <w:rPr>
                <w:rStyle w:val="44"/>
                <w:rFonts w:ascii="Times New Roman" w:hAnsi="Times New Roman" w:eastAsia="Times New Roman" w:cs="Times New Roman"/>
                <w:color w:val="auto"/>
                <w:highlight w:val="none"/>
                <w:vertAlign w:val="baseline"/>
              </w:rPr>
            </w:pPr>
          </w:p>
        </w:tc>
        <w:tc>
          <w:tcPr>
            <w:tcW w:w="1368" w:type="dxa"/>
            <w:noWrap w:val="0"/>
            <w:vAlign w:val="center"/>
          </w:tcPr>
          <w:p w14:paraId="64BD97DC">
            <w:pPr>
              <w:pStyle w:val="191"/>
              <w:jc w:val="center"/>
              <w:outlineLvl w:val="9"/>
              <w:rPr>
                <w:rStyle w:val="44"/>
                <w:rFonts w:ascii="Times New Roman" w:hAnsi="Times New Roman" w:eastAsia="Times New Roman" w:cs="Times New Roman"/>
                <w:color w:val="auto"/>
                <w:highlight w:val="none"/>
                <w:vertAlign w:val="baseline"/>
              </w:rPr>
            </w:pPr>
          </w:p>
        </w:tc>
        <w:tc>
          <w:tcPr>
            <w:tcW w:w="2032" w:type="dxa"/>
            <w:noWrap w:val="0"/>
            <w:vAlign w:val="center"/>
          </w:tcPr>
          <w:p w14:paraId="7A64C427">
            <w:pPr>
              <w:pStyle w:val="191"/>
              <w:jc w:val="center"/>
              <w:outlineLvl w:val="9"/>
              <w:rPr>
                <w:rStyle w:val="44"/>
                <w:rFonts w:ascii="Times New Roman" w:hAnsi="Times New Roman" w:eastAsia="Times New Roman" w:cs="Times New Roman"/>
                <w:color w:val="auto"/>
                <w:highlight w:val="none"/>
                <w:vertAlign w:val="baseline"/>
              </w:rPr>
            </w:pPr>
          </w:p>
        </w:tc>
        <w:tc>
          <w:tcPr>
            <w:tcW w:w="2845" w:type="dxa"/>
            <w:noWrap w:val="0"/>
            <w:vAlign w:val="center"/>
          </w:tcPr>
          <w:p w14:paraId="034B2F0E">
            <w:pPr>
              <w:pStyle w:val="191"/>
              <w:jc w:val="center"/>
              <w:outlineLvl w:val="9"/>
              <w:rPr>
                <w:rStyle w:val="44"/>
                <w:rFonts w:ascii="Times New Roman" w:hAnsi="Times New Roman" w:eastAsia="Times New Roman" w:cs="Times New Roman"/>
                <w:color w:val="auto"/>
                <w:highlight w:val="none"/>
                <w:vertAlign w:val="baseline"/>
              </w:rPr>
            </w:pPr>
          </w:p>
        </w:tc>
        <w:tc>
          <w:tcPr>
            <w:tcW w:w="1784" w:type="dxa"/>
            <w:noWrap w:val="0"/>
            <w:vAlign w:val="center"/>
          </w:tcPr>
          <w:p w14:paraId="1428E125">
            <w:pPr>
              <w:pStyle w:val="191"/>
              <w:jc w:val="center"/>
              <w:outlineLvl w:val="9"/>
              <w:rPr>
                <w:rStyle w:val="44"/>
                <w:rFonts w:ascii="Times New Roman" w:hAnsi="Times New Roman" w:eastAsia="Times New Roman" w:cs="Times New Roman"/>
                <w:color w:val="auto"/>
                <w:highlight w:val="none"/>
                <w:vertAlign w:val="baseline"/>
              </w:rPr>
            </w:pPr>
          </w:p>
        </w:tc>
      </w:tr>
      <w:tr w14:paraId="660C8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 w:hRule="atLeast"/>
          <w:jc w:val="center"/>
        </w:trPr>
        <w:tc>
          <w:tcPr>
            <w:tcW w:w="889" w:type="dxa"/>
            <w:vMerge w:val="continue"/>
            <w:noWrap w:val="0"/>
            <w:vAlign w:val="center"/>
          </w:tcPr>
          <w:p w14:paraId="590FE40B">
            <w:pPr>
              <w:pStyle w:val="191"/>
              <w:jc w:val="center"/>
              <w:outlineLvl w:val="9"/>
              <w:rPr>
                <w:rStyle w:val="44"/>
                <w:rFonts w:ascii="Times New Roman" w:hAnsi="Times New Roman" w:eastAsia="Times New Roman" w:cs="Times New Roman"/>
                <w:color w:val="auto"/>
                <w:highlight w:val="none"/>
                <w:vertAlign w:val="baseline"/>
              </w:rPr>
            </w:pPr>
          </w:p>
        </w:tc>
        <w:tc>
          <w:tcPr>
            <w:tcW w:w="1368" w:type="dxa"/>
            <w:noWrap w:val="0"/>
            <w:vAlign w:val="center"/>
          </w:tcPr>
          <w:p w14:paraId="70B8D6EE">
            <w:pPr>
              <w:pStyle w:val="191"/>
              <w:jc w:val="center"/>
              <w:outlineLvl w:val="9"/>
              <w:rPr>
                <w:rStyle w:val="44"/>
                <w:rFonts w:ascii="Times New Roman" w:hAnsi="Times New Roman" w:eastAsia="Times New Roman" w:cs="Times New Roman"/>
                <w:color w:val="auto"/>
                <w:highlight w:val="none"/>
                <w:vertAlign w:val="baseline"/>
              </w:rPr>
            </w:pPr>
          </w:p>
        </w:tc>
        <w:tc>
          <w:tcPr>
            <w:tcW w:w="2032" w:type="dxa"/>
            <w:noWrap w:val="0"/>
            <w:vAlign w:val="center"/>
          </w:tcPr>
          <w:p w14:paraId="1F342435">
            <w:pPr>
              <w:pStyle w:val="191"/>
              <w:jc w:val="center"/>
              <w:outlineLvl w:val="9"/>
              <w:rPr>
                <w:rStyle w:val="44"/>
                <w:rFonts w:ascii="Times New Roman" w:hAnsi="Times New Roman" w:eastAsia="Times New Roman" w:cs="Times New Roman"/>
                <w:color w:val="auto"/>
                <w:highlight w:val="none"/>
                <w:vertAlign w:val="baseline"/>
              </w:rPr>
            </w:pPr>
          </w:p>
        </w:tc>
        <w:tc>
          <w:tcPr>
            <w:tcW w:w="2845" w:type="dxa"/>
            <w:noWrap w:val="0"/>
            <w:vAlign w:val="center"/>
          </w:tcPr>
          <w:p w14:paraId="03C36BE7">
            <w:pPr>
              <w:pStyle w:val="191"/>
              <w:jc w:val="center"/>
              <w:outlineLvl w:val="9"/>
              <w:rPr>
                <w:rStyle w:val="44"/>
                <w:rFonts w:ascii="Times New Roman" w:hAnsi="Times New Roman" w:eastAsia="Times New Roman" w:cs="Times New Roman"/>
                <w:color w:val="auto"/>
                <w:highlight w:val="none"/>
                <w:vertAlign w:val="baseline"/>
              </w:rPr>
            </w:pPr>
          </w:p>
        </w:tc>
        <w:tc>
          <w:tcPr>
            <w:tcW w:w="1784" w:type="dxa"/>
            <w:noWrap w:val="0"/>
            <w:vAlign w:val="center"/>
          </w:tcPr>
          <w:p w14:paraId="49CAC625">
            <w:pPr>
              <w:pStyle w:val="191"/>
              <w:jc w:val="center"/>
              <w:outlineLvl w:val="9"/>
              <w:rPr>
                <w:rStyle w:val="44"/>
                <w:rFonts w:ascii="Times New Roman" w:hAnsi="Times New Roman" w:eastAsia="Times New Roman" w:cs="Times New Roman"/>
                <w:color w:val="auto"/>
                <w:highlight w:val="none"/>
                <w:vertAlign w:val="baseline"/>
              </w:rPr>
            </w:pPr>
          </w:p>
        </w:tc>
      </w:tr>
      <w:tr w14:paraId="0A16D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 w:hRule="atLeast"/>
          <w:jc w:val="center"/>
        </w:trPr>
        <w:tc>
          <w:tcPr>
            <w:tcW w:w="889" w:type="dxa"/>
            <w:vMerge w:val="restart"/>
            <w:noWrap w:val="0"/>
            <w:vAlign w:val="center"/>
          </w:tcPr>
          <w:p w14:paraId="0285E063">
            <w:pPr>
              <w:keepNext w:val="0"/>
              <w:keepLines w:val="0"/>
              <w:widowControl/>
              <w:suppressLineNumbers w:val="0"/>
              <w:ind w:left="113" w:right="113"/>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仲 </w:t>
            </w:r>
          </w:p>
          <w:p w14:paraId="72201389">
            <w:pPr>
              <w:keepNext w:val="0"/>
              <w:keepLines w:val="0"/>
              <w:widowControl/>
              <w:suppressLineNumbers w:val="0"/>
              <w:ind w:left="113" w:right="113"/>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裁 </w:t>
            </w:r>
          </w:p>
          <w:p w14:paraId="6126AB24">
            <w:pPr>
              <w:keepNext w:val="0"/>
              <w:keepLines w:val="0"/>
              <w:widowControl/>
              <w:suppressLineNumbers w:val="0"/>
              <w:ind w:left="113" w:right="113"/>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情 </w:t>
            </w:r>
          </w:p>
          <w:p w14:paraId="68BDC073">
            <w:pPr>
              <w:keepNext w:val="0"/>
              <w:keepLines w:val="0"/>
              <w:widowControl/>
              <w:suppressLineNumbers w:val="0"/>
              <w:ind w:left="113" w:right="113"/>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况</w:t>
            </w:r>
          </w:p>
          <w:p w14:paraId="6739DB63">
            <w:pPr>
              <w:pStyle w:val="191"/>
              <w:jc w:val="center"/>
              <w:outlineLvl w:val="9"/>
              <w:rPr>
                <w:rStyle w:val="44"/>
                <w:rFonts w:ascii="Times New Roman" w:hAnsi="Times New Roman" w:eastAsia="Times New Roman" w:cs="Times New Roman"/>
                <w:color w:val="auto"/>
                <w:highlight w:val="none"/>
                <w:vertAlign w:val="baseline"/>
              </w:rPr>
            </w:pPr>
          </w:p>
        </w:tc>
        <w:tc>
          <w:tcPr>
            <w:tcW w:w="1368" w:type="dxa"/>
            <w:noWrap w:val="0"/>
            <w:vAlign w:val="center"/>
          </w:tcPr>
          <w:p w14:paraId="3DBEFC93">
            <w:pPr>
              <w:pStyle w:val="191"/>
              <w:jc w:val="center"/>
              <w:outlineLvl w:val="9"/>
              <w:rPr>
                <w:rStyle w:val="44"/>
                <w:rFonts w:ascii="Times New Roman" w:hAnsi="Times New Roman" w:eastAsia="Times New Roman" w:cs="Times New Roman"/>
                <w:color w:val="auto"/>
                <w:highlight w:val="none"/>
                <w:vertAlign w:val="baseline"/>
              </w:rPr>
            </w:pPr>
          </w:p>
        </w:tc>
        <w:tc>
          <w:tcPr>
            <w:tcW w:w="2032" w:type="dxa"/>
            <w:noWrap w:val="0"/>
            <w:vAlign w:val="center"/>
          </w:tcPr>
          <w:p w14:paraId="75BB066D">
            <w:pPr>
              <w:pStyle w:val="191"/>
              <w:jc w:val="center"/>
              <w:outlineLvl w:val="9"/>
              <w:rPr>
                <w:rStyle w:val="44"/>
                <w:rFonts w:ascii="Times New Roman" w:hAnsi="Times New Roman" w:eastAsia="Times New Roman" w:cs="Times New Roman"/>
                <w:color w:val="auto"/>
                <w:highlight w:val="none"/>
                <w:vertAlign w:val="baseline"/>
              </w:rPr>
            </w:pPr>
          </w:p>
        </w:tc>
        <w:tc>
          <w:tcPr>
            <w:tcW w:w="2845" w:type="dxa"/>
            <w:noWrap w:val="0"/>
            <w:vAlign w:val="center"/>
          </w:tcPr>
          <w:p w14:paraId="3818181C">
            <w:pPr>
              <w:pStyle w:val="191"/>
              <w:jc w:val="center"/>
              <w:outlineLvl w:val="9"/>
              <w:rPr>
                <w:rStyle w:val="44"/>
                <w:rFonts w:ascii="Times New Roman" w:hAnsi="Times New Roman" w:eastAsia="Times New Roman" w:cs="Times New Roman"/>
                <w:color w:val="auto"/>
                <w:highlight w:val="none"/>
                <w:vertAlign w:val="baseline"/>
              </w:rPr>
            </w:pPr>
          </w:p>
        </w:tc>
        <w:tc>
          <w:tcPr>
            <w:tcW w:w="1784" w:type="dxa"/>
            <w:noWrap w:val="0"/>
            <w:vAlign w:val="center"/>
          </w:tcPr>
          <w:p w14:paraId="70E840E2">
            <w:pPr>
              <w:pStyle w:val="191"/>
              <w:jc w:val="center"/>
              <w:outlineLvl w:val="9"/>
              <w:rPr>
                <w:rStyle w:val="44"/>
                <w:rFonts w:ascii="Times New Roman" w:hAnsi="Times New Roman" w:eastAsia="Times New Roman" w:cs="Times New Roman"/>
                <w:color w:val="auto"/>
                <w:highlight w:val="none"/>
                <w:vertAlign w:val="baseline"/>
              </w:rPr>
            </w:pPr>
          </w:p>
        </w:tc>
      </w:tr>
      <w:tr w14:paraId="47247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 w:hRule="atLeast"/>
          <w:jc w:val="center"/>
        </w:trPr>
        <w:tc>
          <w:tcPr>
            <w:tcW w:w="889" w:type="dxa"/>
            <w:vMerge w:val="continue"/>
            <w:noWrap w:val="0"/>
            <w:vAlign w:val="center"/>
          </w:tcPr>
          <w:p w14:paraId="1BF68FE5">
            <w:pPr>
              <w:pStyle w:val="191"/>
              <w:jc w:val="center"/>
              <w:outlineLvl w:val="9"/>
              <w:rPr>
                <w:rStyle w:val="44"/>
                <w:rFonts w:ascii="Times New Roman" w:hAnsi="Times New Roman" w:eastAsia="Times New Roman" w:cs="Times New Roman"/>
                <w:color w:val="auto"/>
                <w:highlight w:val="none"/>
                <w:vertAlign w:val="baseline"/>
              </w:rPr>
            </w:pPr>
          </w:p>
        </w:tc>
        <w:tc>
          <w:tcPr>
            <w:tcW w:w="1368" w:type="dxa"/>
            <w:noWrap w:val="0"/>
            <w:vAlign w:val="center"/>
          </w:tcPr>
          <w:p w14:paraId="02BA781C">
            <w:pPr>
              <w:pStyle w:val="191"/>
              <w:jc w:val="center"/>
              <w:outlineLvl w:val="9"/>
              <w:rPr>
                <w:rStyle w:val="44"/>
                <w:rFonts w:ascii="Times New Roman" w:hAnsi="Times New Roman" w:eastAsia="Times New Roman" w:cs="Times New Roman"/>
                <w:color w:val="auto"/>
                <w:highlight w:val="none"/>
                <w:vertAlign w:val="baseline"/>
              </w:rPr>
            </w:pPr>
          </w:p>
        </w:tc>
        <w:tc>
          <w:tcPr>
            <w:tcW w:w="2032" w:type="dxa"/>
            <w:noWrap w:val="0"/>
            <w:vAlign w:val="center"/>
          </w:tcPr>
          <w:p w14:paraId="22F87FF2">
            <w:pPr>
              <w:pStyle w:val="191"/>
              <w:jc w:val="center"/>
              <w:outlineLvl w:val="9"/>
              <w:rPr>
                <w:rStyle w:val="44"/>
                <w:rFonts w:ascii="Times New Roman" w:hAnsi="Times New Roman" w:eastAsia="Times New Roman" w:cs="Times New Roman"/>
                <w:color w:val="auto"/>
                <w:highlight w:val="none"/>
                <w:vertAlign w:val="baseline"/>
              </w:rPr>
            </w:pPr>
          </w:p>
        </w:tc>
        <w:tc>
          <w:tcPr>
            <w:tcW w:w="2845" w:type="dxa"/>
            <w:noWrap w:val="0"/>
            <w:vAlign w:val="center"/>
          </w:tcPr>
          <w:p w14:paraId="55403182">
            <w:pPr>
              <w:pStyle w:val="191"/>
              <w:jc w:val="center"/>
              <w:outlineLvl w:val="9"/>
              <w:rPr>
                <w:rStyle w:val="44"/>
                <w:rFonts w:ascii="Times New Roman" w:hAnsi="Times New Roman" w:eastAsia="Times New Roman" w:cs="Times New Roman"/>
                <w:color w:val="auto"/>
                <w:highlight w:val="none"/>
                <w:vertAlign w:val="baseline"/>
              </w:rPr>
            </w:pPr>
          </w:p>
        </w:tc>
        <w:tc>
          <w:tcPr>
            <w:tcW w:w="1784" w:type="dxa"/>
            <w:noWrap w:val="0"/>
            <w:vAlign w:val="center"/>
          </w:tcPr>
          <w:p w14:paraId="63E7F898">
            <w:pPr>
              <w:pStyle w:val="191"/>
              <w:jc w:val="center"/>
              <w:outlineLvl w:val="9"/>
              <w:rPr>
                <w:rStyle w:val="44"/>
                <w:rFonts w:ascii="Times New Roman" w:hAnsi="Times New Roman" w:eastAsia="Times New Roman" w:cs="Times New Roman"/>
                <w:color w:val="auto"/>
                <w:highlight w:val="none"/>
                <w:vertAlign w:val="baseline"/>
              </w:rPr>
            </w:pPr>
          </w:p>
        </w:tc>
      </w:tr>
      <w:tr w14:paraId="21019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 w:hRule="atLeast"/>
          <w:jc w:val="center"/>
        </w:trPr>
        <w:tc>
          <w:tcPr>
            <w:tcW w:w="889" w:type="dxa"/>
            <w:vMerge w:val="continue"/>
            <w:noWrap w:val="0"/>
            <w:vAlign w:val="center"/>
          </w:tcPr>
          <w:p w14:paraId="0097B950">
            <w:pPr>
              <w:pStyle w:val="191"/>
              <w:jc w:val="center"/>
              <w:outlineLvl w:val="9"/>
              <w:rPr>
                <w:rStyle w:val="44"/>
                <w:rFonts w:ascii="Times New Roman" w:hAnsi="Times New Roman" w:eastAsia="Times New Roman" w:cs="Times New Roman"/>
                <w:color w:val="auto"/>
                <w:highlight w:val="none"/>
                <w:vertAlign w:val="baseline"/>
              </w:rPr>
            </w:pPr>
          </w:p>
        </w:tc>
        <w:tc>
          <w:tcPr>
            <w:tcW w:w="1368" w:type="dxa"/>
            <w:noWrap w:val="0"/>
            <w:vAlign w:val="center"/>
          </w:tcPr>
          <w:p w14:paraId="2013E4A7">
            <w:pPr>
              <w:pStyle w:val="191"/>
              <w:jc w:val="center"/>
              <w:outlineLvl w:val="9"/>
              <w:rPr>
                <w:rStyle w:val="44"/>
                <w:rFonts w:ascii="Times New Roman" w:hAnsi="Times New Roman" w:eastAsia="Times New Roman" w:cs="Times New Roman"/>
                <w:color w:val="auto"/>
                <w:highlight w:val="none"/>
                <w:vertAlign w:val="baseline"/>
              </w:rPr>
            </w:pPr>
          </w:p>
        </w:tc>
        <w:tc>
          <w:tcPr>
            <w:tcW w:w="2032" w:type="dxa"/>
            <w:noWrap w:val="0"/>
            <w:vAlign w:val="center"/>
          </w:tcPr>
          <w:p w14:paraId="28708F87">
            <w:pPr>
              <w:pStyle w:val="191"/>
              <w:jc w:val="center"/>
              <w:outlineLvl w:val="9"/>
              <w:rPr>
                <w:rStyle w:val="44"/>
                <w:rFonts w:ascii="Times New Roman" w:hAnsi="Times New Roman" w:eastAsia="Times New Roman" w:cs="Times New Roman"/>
                <w:color w:val="auto"/>
                <w:highlight w:val="none"/>
                <w:vertAlign w:val="baseline"/>
              </w:rPr>
            </w:pPr>
          </w:p>
        </w:tc>
        <w:tc>
          <w:tcPr>
            <w:tcW w:w="2845" w:type="dxa"/>
            <w:noWrap w:val="0"/>
            <w:vAlign w:val="center"/>
          </w:tcPr>
          <w:p w14:paraId="71548397">
            <w:pPr>
              <w:pStyle w:val="191"/>
              <w:jc w:val="center"/>
              <w:outlineLvl w:val="9"/>
              <w:rPr>
                <w:rStyle w:val="44"/>
                <w:rFonts w:ascii="Times New Roman" w:hAnsi="Times New Roman" w:eastAsia="Times New Roman" w:cs="Times New Roman"/>
                <w:color w:val="auto"/>
                <w:highlight w:val="none"/>
                <w:vertAlign w:val="baseline"/>
              </w:rPr>
            </w:pPr>
          </w:p>
        </w:tc>
        <w:tc>
          <w:tcPr>
            <w:tcW w:w="1784" w:type="dxa"/>
            <w:noWrap w:val="0"/>
            <w:vAlign w:val="center"/>
          </w:tcPr>
          <w:p w14:paraId="6196A04D">
            <w:pPr>
              <w:pStyle w:val="191"/>
              <w:jc w:val="center"/>
              <w:outlineLvl w:val="9"/>
              <w:rPr>
                <w:rStyle w:val="44"/>
                <w:rFonts w:ascii="Times New Roman" w:hAnsi="Times New Roman" w:eastAsia="Times New Roman" w:cs="Times New Roman"/>
                <w:color w:val="auto"/>
                <w:highlight w:val="none"/>
                <w:vertAlign w:val="baseline"/>
              </w:rPr>
            </w:pPr>
          </w:p>
        </w:tc>
      </w:tr>
    </w:tbl>
    <w:p w14:paraId="50EC0738">
      <w:pPr>
        <w:pStyle w:val="191"/>
        <w:jc w:val="center"/>
        <w:outlineLvl w:val="9"/>
        <w:rPr>
          <w:rStyle w:val="44"/>
          <w:rFonts w:ascii="Times New Roman" w:hAnsi="Times New Roman" w:eastAsia="Times New Roman" w:cs="Times New Roman"/>
          <w:color w:val="auto"/>
          <w:highlight w:val="none"/>
        </w:rPr>
      </w:pPr>
    </w:p>
    <w:p w14:paraId="31D3DC82">
      <w:pPr>
        <w:keepNext w:val="0"/>
        <w:keepLines w:val="0"/>
        <w:pageBreakBefore w:val="0"/>
        <w:widowControl/>
        <w:suppressLineNumbers w:val="0"/>
        <w:kinsoku/>
        <w:wordWrap/>
        <w:overflowPunct/>
        <w:topLinePunct w:val="0"/>
        <w:autoSpaceDE/>
        <w:autoSpaceDN/>
        <w:bidi w:val="0"/>
        <w:adjustRightInd/>
        <w:snapToGrid/>
        <w:spacing w:line="360" w:lineRule="auto"/>
        <w:ind w:left="1260" w:leftChars="200" w:hanging="840" w:hangingChars="4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备注：</w:t>
      </w:r>
      <w:r>
        <w:rPr>
          <w:rFonts w:hint="default" w:ascii="Times New Roman" w:hAnsi="Times New Roman"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 xml:space="preserve">招标文件将近年发生的诉讼和仲裁情况作为资格条件或评审项或否决条件的，投标人应当如实填报相关情况。没有可不填。 </w:t>
      </w:r>
    </w:p>
    <w:p w14:paraId="50AFA947">
      <w:pPr>
        <w:keepNext w:val="0"/>
        <w:keepLines w:val="0"/>
        <w:pageBreakBefore w:val="0"/>
        <w:widowControl/>
        <w:suppressLineNumbers w:val="0"/>
        <w:kinsoku/>
        <w:wordWrap/>
        <w:overflowPunct/>
        <w:topLinePunct w:val="0"/>
        <w:autoSpaceDE/>
        <w:autoSpaceDN/>
        <w:bidi w:val="0"/>
        <w:adjustRightInd/>
        <w:snapToGrid/>
        <w:spacing w:line="360" w:lineRule="auto"/>
        <w:ind w:left="1260" w:leftChars="500" w:hanging="210" w:hangingChars="100"/>
        <w:jc w:val="left"/>
        <w:textAlignment w:val="auto"/>
        <w:rPr>
          <w:color w:val="auto"/>
          <w:highlight w:val="none"/>
        </w:rPr>
      </w:pPr>
      <w:r>
        <w:rPr>
          <w:rFonts w:hint="default" w:ascii="Times New Roman" w:hAnsi="Times New Roman"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 xml:space="preserve">近年发生的诉讼和仲裁情况仅限于申请人败诉的，且可能直接影响正常合同履约有关的案件，不包括调解结案、未终审判决的诉讼或未裁决的仲裁以及与合同履约无直接关联案件。附法院或仲裁机构作出的判决或裁决等有关法律文书。时间为判决或仲裁决定时间。 </w:t>
      </w:r>
    </w:p>
    <w:p w14:paraId="494DA188">
      <w:pPr>
        <w:keepNext w:val="0"/>
        <w:keepLines w:val="0"/>
        <w:pageBreakBefore w:val="0"/>
        <w:widowControl/>
        <w:suppressLineNumbers w:val="0"/>
        <w:kinsoku/>
        <w:wordWrap/>
        <w:overflowPunct/>
        <w:topLinePunct w:val="0"/>
        <w:autoSpaceDE/>
        <w:autoSpaceDN/>
        <w:bidi w:val="0"/>
        <w:adjustRightInd/>
        <w:snapToGrid/>
        <w:spacing w:line="360" w:lineRule="auto"/>
        <w:ind w:left="1260" w:leftChars="500" w:hanging="210" w:hangingChars="1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3.投标人应如实填写近年发生的诉讼及仲裁情况，否则视为不响应招标文件实质性要求，其投标文件将被否决。如投标人因故意隐瞒且查证属实存在影响履约的诉讼及仲裁情况，将视为弄虚作假或以不正当手段骗取中标的行为，将依法依规予以处理。</w:t>
      </w:r>
    </w:p>
    <w:p w14:paraId="54625505">
      <w:pPr>
        <w:rPr>
          <w:color w:val="auto"/>
          <w:highlight w:val="none"/>
        </w:rPr>
      </w:pPr>
    </w:p>
    <w:p w14:paraId="582DCBE2">
      <w:pPr>
        <w:keepNext w:val="0"/>
        <w:keepLines w:val="0"/>
        <w:widowControl/>
        <w:suppressLineNumbers w:val="0"/>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5-3 近年投标人工程获奖情况表</w:t>
      </w:r>
    </w:p>
    <w:p w14:paraId="7DC2FC0B">
      <w:pPr>
        <w:keepNext w:val="0"/>
        <w:keepLines w:val="0"/>
        <w:widowControl/>
        <w:suppressLineNumbers w:val="0"/>
        <w:jc w:val="center"/>
        <w:rPr>
          <w:color w:val="auto"/>
          <w:highlight w:val="none"/>
        </w:rPr>
      </w:pPr>
    </w:p>
    <w:p w14:paraId="43594383">
      <w:pPr>
        <w:pStyle w:val="191"/>
        <w:jc w:val="left"/>
        <w:outlineLvl w:val="9"/>
        <w:rPr>
          <w:rStyle w:val="44"/>
          <w:rFonts w:ascii="Times New Roman" w:hAnsi="Times New Roman" w:eastAsia="Times New Roman" w:cs="Times New Roman"/>
          <w:color w:val="auto"/>
          <w:highlight w:val="none"/>
        </w:rPr>
      </w:pPr>
    </w:p>
    <w:tbl>
      <w:tblPr>
        <w:tblStyle w:val="43"/>
        <w:tblW w:w="92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0"/>
        <w:gridCol w:w="2908"/>
        <w:gridCol w:w="1383"/>
        <w:gridCol w:w="1429"/>
        <w:gridCol w:w="2399"/>
      </w:tblGrid>
      <w:tr w14:paraId="74402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120" w:type="dxa"/>
            <w:noWrap w:val="0"/>
            <w:vAlign w:val="center"/>
          </w:tcPr>
          <w:p w14:paraId="15BB1EDF">
            <w:pPr>
              <w:keepNext w:val="0"/>
              <w:keepLines w:val="0"/>
              <w:widowControl/>
              <w:suppressLineNumbers w:val="0"/>
              <w:jc w:val="center"/>
              <w:rPr>
                <w:rStyle w:val="44"/>
                <w:rFonts w:ascii="Times New Roman" w:hAnsi="Times New Roman" w:eastAsia="Times New Roman" w:cs="Times New Roman"/>
                <w:color w:val="auto"/>
                <w:highlight w:val="none"/>
                <w:vertAlign w:val="baseline"/>
              </w:rPr>
            </w:pPr>
            <w:r>
              <w:rPr>
                <w:rFonts w:hint="eastAsia" w:ascii="宋体" w:hAnsi="宋体" w:eastAsia="宋体" w:cs="宋体"/>
                <w:color w:val="auto"/>
                <w:kern w:val="0"/>
                <w:sz w:val="21"/>
                <w:szCs w:val="21"/>
                <w:highlight w:val="none"/>
                <w:lang w:val="en-US" w:eastAsia="zh-CN" w:bidi="ar"/>
              </w:rPr>
              <w:t>序号</w:t>
            </w:r>
          </w:p>
        </w:tc>
        <w:tc>
          <w:tcPr>
            <w:tcW w:w="2908" w:type="dxa"/>
            <w:noWrap w:val="0"/>
            <w:vAlign w:val="center"/>
          </w:tcPr>
          <w:p w14:paraId="1C427481">
            <w:pPr>
              <w:keepNext w:val="0"/>
              <w:keepLines w:val="0"/>
              <w:widowControl/>
              <w:suppressLineNumbers w:val="0"/>
              <w:jc w:val="center"/>
              <w:rPr>
                <w:rStyle w:val="44"/>
                <w:rFonts w:ascii="Times New Roman" w:hAnsi="Times New Roman" w:eastAsia="Times New Roman" w:cs="Times New Roman"/>
                <w:color w:val="auto"/>
                <w:highlight w:val="none"/>
                <w:vertAlign w:val="baseline"/>
              </w:rPr>
            </w:pPr>
            <w:r>
              <w:rPr>
                <w:rFonts w:hint="eastAsia" w:ascii="宋体" w:hAnsi="宋体" w:eastAsia="宋体" w:cs="宋体"/>
                <w:color w:val="auto"/>
                <w:kern w:val="0"/>
                <w:sz w:val="21"/>
                <w:szCs w:val="21"/>
                <w:highlight w:val="none"/>
                <w:lang w:val="en-US" w:eastAsia="zh-CN" w:bidi="ar"/>
              </w:rPr>
              <w:t>项目名称</w:t>
            </w:r>
          </w:p>
        </w:tc>
        <w:tc>
          <w:tcPr>
            <w:tcW w:w="1383" w:type="dxa"/>
            <w:noWrap w:val="0"/>
            <w:vAlign w:val="center"/>
          </w:tcPr>
          <w:p w14:paraId="0EE31E4E">
            <w:pPr>
              <w:keepNext w:val="0"/>
              <w:keepLines w:val="0"/>
              <w:widowControl/>
              <w:suppressLineNumbers w:val="0"/>
              <w:jc w:val="center"/>
              <w:rPr>
                <w:rStyle w:val="44"/>
                <w:rFonts w:ascii="Times New Roman" w:hAnsi="Times New Roman" w:eastAsia="Times New Roman" w:cs="Times New Roman"/>
                <w:color w:val="auto"/>
                <w:highlight w:val="none"/>
                <w:vertAlign w:val="baseline"/>
              </w:rPr>
            </w:pPr>
            <w:r>
              <w:rPr>
                <w:rFonts w:hint="eastAsia" w:ascii="宋体" w:hAnsi="宋体" w:eastAsia="宋体" w:cs="宋体"/>
                <w:color w:val="auto"/>
                <w:kern w:val="0"/>
                <w:sz w:val="21"/>
                <w:szCs w:val="21"/>
                <w:highlight w:val="none"/>
                <w:lang w:val="en-US" w:eastAsia="zh-CN" w:bidi="ar"/>
              </w:rPr>
              <w:t>获奖名称</w:t>
            </w:r>
          </w:p>
        </w:tc>
        <w:tc>
          <w:tcPr>
            <w:tcW w:w="1429" w:type="dxa"/>
            <w:noWrap w:val="0"/>
            <w:vAlign w:val="center"/>
          </w:tcPr>
          <w:p w14:paraId="00ED2AA0">
            <w:pPr>
              <w:keepNext w:val="0"/>
              <w:keepLines w:val="0"/>
              <w:widowControl/>
              <w:suppressLineNumbers w:val="0"/>
              <w:jc w:val="center"/>
              <w:rPr>
                <w:rStyle w:val="44"/>
                <w:rFonts w:ascii="Times New Roman" w:hAnsi="Times New Roman" w:eastAsia="Times New Roman" w:cs="Times New Roman"/>
                <w:color w:val="auto"/>
                <w:highlight w:val="none"/>
                <w:vertAlign w:val="baseline"/>
              </w:rPr>
            </w:pPr>
            <w:r>
              <w:rPr>
                <w:rFonts w:hint="eastAsia" w:ascii="宋体" w:hAnsi="宋体" w:eastAsia="宋体" w:cs="宋体"/>
                <w:color w:val="auto"/>
                <w:kern w:val="0"/>
                <w:sz w:val="21"/>
                <w:szCs w:val="21"/>
                <w:highlight w:val="none"/>
                <w:lang w:val="en-US" w:eastAsia="zh-CN" w:bidi="ar"/>
              </w:rPr>
              <w:t>获奖日期</w:t>
            </w:r>
          </w:p>
        </w:tc>
        <w:tc>
          <w:tcPr>
            <w:tcW w:w="2399" w:type="dxa"/>
            <w:noWrap w:val="0"/>
            <w:vAlign w:val="center"/>
          </w:tcPr>
          <w:p w14:paraId="66AFB8BF">
            <w:pPr>
              <w:keepNext w:val="0"/>
              <w:keepLines w:val="0"/>
              <w:widowControl/>
              <w:suppressLineNumbers w:val="0"/>
              <w:jc w:val="center"/>
              <w:rPr>
                <w:rStyle w:val="44"/>
                <w:rFonts w:ascii="Times New Roman" w:hAnsi="Times New Roman" w:eastAsia="Times New Roman" w:cs="Times New Roman"/>
                <w:color w:val="auto"/>
                <w:highlight w:val="none"/>
                <w:vertAlign w:val="baseline"/>
              </w:rPr>
            </w:pPr>
            <w:r>
              <w:rPr>
                <w:rFonts w:hint="eastAsia" w:ascii="宋体" w:hAnsi="宋体" w:eastAsia="宋体" w:cs="宋体"/>
                <w:color w:val="auto"/>
                <w:kern w:val="0"/>
                <w:sz w:val="21"/>
                <w:szCs w:val="21"/>
                <w:highlight w:val="none"/>
                <w:lang w:val="en-US" w:eastAsia="zh-CN" w:bidi="ar"/>
              </w:rPr>
              <w:t>颁奖单位</w:t>
            </w:r>
          </w:p>
        </w:tc>
      </w:tr>
      <w:tr w14:paraId="52E62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120" w:type="dxa"/>
            <w:noWrap w:val="0"/>
            <w:vAlign w:val="center"/>
          </w:tcPr>
          <w:p w14:paraId="0319C437">
            <w:pPr>
              <w:pStyle w:val="191"/>
              <w:jc w:val="center"/>
              <w:outlineLvl w:val="9"/>
              <w:rPr>
                <w:rStyle w:val="44"/>
                <w:rFonts w:ascii="Times New Roman" w:hAnsi="Times New Roman" w:eastAsia="Times New Roman" w:cs="Times New Roman"/>
                <w:color w:val="auto"/>
                <w:highlight w:val="none"/>
                <w:vertAlign w:val="baseline"/>
              </w:rPr>
            </w:pPr>
          </w:p>
        </w:tc>
        <w:tc>
          <w:tcPr>
            <w:tcW w:w="2908" w:type="dxa"/>
            <w:noWrap w:val="0"/>
            <w:vAlign w:val="center"/>
          </w:tcPr>
          <w:p w14:paraId="4695D0A9">
            <w:pPr>
              <w:pStyle w:val="191"/>
              <w:jc w:val="center"/>
              <w:outlineLvl w:val="9"/>
              <w:rPr>
                <w:rStyle w:val="44"/>
                <w:rFonts w:ascii="Times New Roman" w:hAnsi="Times New Roman" w:eastAsia="Times New Roman" w:cs="Times New Roman"/>
                <w:color w:val="auto"/>
                <w:highlight w:val="none"/>
                <w:vertAlign w:val="baseline"/>
              </w:rPr>
            </w:pPr>
          </w:p>
        </w:tc>
        <w:tc>
          <w:tcPr>
            <w:tcW w:w="1383" w:type="dxa"/>
            <w:noWrap w:val="0"/>
            <w:vAlign w:val="center"/>
          </w:tcPr>
          <w:p w14:paraId="75B9F271">
            <w:pPr>
              <w:pStyle w:val="191"/>
              <w:jc w:val="center"/>
              <w:outlineLvl w:val="9"/>
              <w:rPr>
                <w:rStyle w:val="44"/>
                <w:rFonts w:ascii="Times New Roman" w:hAnsi="Times New Roman" w:eastAsia="Times New Roman" w:cs="Times New Roman"/>
                <w:color w:val="auto"/>
                <w:highlight w:val="none"/>
                <w:vertAlign w:val="baseline"/>
              </w:rPr>
            </w:pPr>
          </w:p>
        </w:tc>
        <w:tc>
          <w:tcPr>
            <w:tcW w:w="1429" w:type="dxa"/>
            <w:noWrap w:val="0"/>
            <w:vAlign w:val="center"/>
          </w:tcPr>
          <w:p w14:paraId="1500EA84">
            <w:pPr>
              <w:pStyle w:val="191"/>
              <w:jc w:val="center"/>
              <w:outlineLvl w:val="9"/>
              <w:rPr>
                <w:rStyle w:val="44"/>
                <w:rFonts w:ascii="Times New Roman" w:hAnsi="Times New Roman" w:eastAsia="Times New Roman" w:cs="Times New Roman"/>
                <w:color w:val="auto"/>
                <w:highlight w:val="none"/>
                <w:vertAlign w:val="baseline"/>
              </w:rPr>
            </w:pPr>
          </w:p>
        </w:tc>
        <w:tc>
          <w:tcPr>
            <w:tcW w:w="2399" w:type="dxa"/>
            <w:noWrap w:val="0"/>
            <w:vAlign w:val="center"/>
          </w:tcPr>
          <w:p w14:paraId="67AABF28">
            <w:pPr>
              <w:pStyle w:val="191"/>
              <w:jc w:val="center"/>
              <w:outlineLvl w:val="9"/>
              <w:rPr>
                <w:rStyle w:val="44"/>
                <w:rFonts w:ascii="Times New Roman" w:hAnsi="Times New Roman" w:eastAsia="Times New Roman" w:cs="Times New Roman"/>
                <w:color w:val="auto"/>
                <w:highlight w:val="none"/>
                <w:vertAlign w:val="baseline"/>
              </w:rPr>
            </w:pPr>
          </w:p>
        </w:tc>
      </w:tr>
      <w:tr w14:paraId="18554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120" w:type="dxa"/>
            <w:noWrap w:val="0"/>
            <w:vAlign w:val="center"/>
          </w:tcPr>
          <w:p w14:paraId="7890ABCB">
            <w:pPr>
              <w:pStyle w:val="191"/>
              <w:jc w:val="center"/>
              <w:outlineLvl w:val="9"/>
              <w:rPr>
                <w:rStyle w:val="44"/>
                <w:rFonts w:ascii="Times New Roman" w:hAnsi="Times New Roman" w:eastAsia="Times New Roman" w:cs="Times New Roman"/>
                <w:color w:val="auto"/>
                <w:highlight w:val="none"/>
                <w:vertAlign w:val="baseline"/>
              </w:rPr>
            </w:pPr>
          </w:p>
        </w:tc>
        <w:tc>
          <w:tcPr>
            <w:tcW w:w="2908" w:type="dxa"/>
            <w:noWrap w:val="0"/>
            <w:vAlign w:val="center"/>
          </w:tcPr>
          <w:p w14:paraId="4F0686F0">
            <w:pPr>
              <w:pStyle w:val="191"/>
              <w:jc w:val="center"/>
              <w:outlineLvl w:val="9"/>
              <w:rPr>
                <w:rStyle w:val="44"/>
                <w:rFonts w:ascii="Times New Roman" w:hAnsi="Times New Roman" w:eastAsia="Times New Roman" w:cs="Times New Roman"/>
                <w:color w:val="auto"/>
                <w:highlight w:val="none"/>
                <w:vertAlign w:val="baseline"/>
              </w:rPr>
            </w:pPr>
          </w:p>
        </w:tc>
        <w:tc>
          <w:tcPr>
            <w:tcW w:w="1383" w:type="dxa"/>
            <w:noWrap w:val="0"/>
            <w:vAlign w:val="center"/>
          </w:tcPr>
          <w:p w14:paraId="0C4D35F3">
            <w:pPr>
              <w:pStyle w:val="191"/>
              <w:jc w:val="center"/>
              <w:outlineLvl w:val="9"/>
              <w:rPr>
                <w:rStyle w:val="44"/>
                <w:rFonts w:ascii="Times New Roman" w:hAnsi="Times New Roman" w:eastAsia="Times New Roman" w:cs="Times New Roman"/>
                <w:color w:val="auto"/>
                <w:highlight w:val="none"/>
                <w:vertAlign w:val="baseline"/>
              </w:rPr>
            </w:pPr>
          </w:p>
        </w:tc>
        <w:tc>
          <w:tcPr>
            <w:tcW w:w="1429" w:type="dxa"/>
            <w:noWrap w:val="0"/>
            <w:vAlign w:val="center"/>
          </w:tcPr>
          <w:p w14:paraId="4CAD3198">
            <w:pPr>
              <w:pStyle w:val="191"/>
              <w:jc w:val="center"/>
              <w:outlineLvl w:val="9"/>
              <w:rPr>
                <w:rStyle w:val="44"/>
                <w:rFonts w:ascii="Times New Roman" w:hAnsi="Times New Roman" w:eastAsia="Times New Roman" w:cs="Times New Roman"/>
                <w:color w:val="auto"/>
                <w:highlight w:val="none"/>
                <w:vertAlign w:val="baseline"/>
              </w:rPr>
            </w:pPr>
          </w:p>
        </w:tc>
        <w:tc>
          <w:tcPr>
            <w:tcW w:w="2399" w:type="dxa"/>
            <w:noWrap w:val="0"/>
            <w:vAlign w:val="center"/>
          </w:tcPr>
          <w:p w14:paraId="79593324">
            <w:pPr>
              <w:pStyle w:val="191"/>
              <w:jc w:val="center"/>
              <w:outlineLvl w:val="9"/>
              <w:rPr>
                <w:rStyle w:val="44"/>
                <w:rFonts w:ascii="Times New Roman" w:hAnsi="Times New Roman" w:eastAsia="Times New Roman" w:cs="Times New Roman"/>
                <w:color w:val="auto"/>
                <w:highlight w:val="none"/>
                <w:vertAlign w:val="baseline"/>
              </w:rPr>
            </w:pPr>
          </w:p>
        </w:tc>
      </w:tr>
      <w:tr w14:paraId="6FA79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120" w:type="dxa"/>
            <w:noWrap w:val="0"/>
            <w:vAlign w:val="center"/>
          </w:tcPr>
          <w:p w14:paraId="28FD4F7A">
            <w:pPr>
              <w:pStyle w:val="191"/>
              <w:jc w:val="center"/>
              <w:outlineLvl w:val="9"/>
              <w:rPr>
                <w:rStyle w:val="44"/>
                <w:rFonts w:ascii="Times New Roman" w:hAnsi="Times New Roman" w:eastAsia="Times New Roman" w:cs="Times New Roman"/>
                <w:color w:val="auto"/>
                <w:highlight w:val="none"/>
                <w:vertAlign w:val="baseline"/>
              </w:rPr>
            </w:pPr>
          </w:p>
        </w:tc>
        <w:tc>
          <w:tcPr>
            <w:tcW w:w="2908" w:type="dxa"/>
            <w:noWrap w:val="0"/>
            <w:vAlign w:val="center"/>
          </w:tcPr>
          <w:p w14:paraId="3DCB7E03">
            <w:pPr>
              <w:pStyle w:val="191"/>
              <w:jc w:val="center"/>
              <w:outlineLvl w:val="9"/>
              <w:rPr>
                <w:rStyle w:val="44"/>
                <w:rFonts w:ascii="Times New Roman" w:hAnsi="Times New Roman" w:eastAsia="Times New Roman" w:cs="Times New Roman"/>
                <w:color w:val="auto"/>
                <w:highlight w:val="none"/>
                <w:vertAlign w:val="baseline"/>
              </w:rPr>
            </w:pPr>
          </w:p>
        </w:tc>
        <w:tc>
          <w:tcPr>
            <w:tcW w:w="1383" w:type="dxa"/>
            <w:noWrap w:val="0"/>
            <w:vAlign w:val="center"/>
          </w:tcPr>
          <w:p w14:paraId="63604928">
            <w:pPr>
              <w:pStyle w:val="191"/>
              <w:jc w:val="center"/>
              <w:outlineLvl w:val="9"/>
              <w:rPr>
                <w:rStyle w:val="44"/>
                <w:rFonts w:ascii="Times New Roman" w:hAnsi="Times New Roman" w:eastAsia="Times New Roman" w:cs="Times New Roman"/>
                <w:color w:val="auto"/>
                <w:highlight w:val="none"/>
                <w:vertAlign w:val="baseline"/>
              </w:rPr>
            </w:pPr>
          </w:p>
        </w:tc>
        <w:tc>
          <w:tcPr>
            <w:tcW w:w="1429" w:type="dxa"/>
            <w:noWrap w:val="0"/>
            <w:vAlign w:val="center"/>
          </w:tcPr>
          <w:p w14:paraId="343A04C4">
            <w:pPr>
              <w:pStyle w:val="191"/>
              <w:jc w:val="center"/>
              <w:outlineLvl w:val="9"/>
              <w:rPr>
                <w:rStyle w:val="44"/>
                <w:rFonts w:ascii="Times New Roman" w:hAnsi="Times New Roman" w:eastAsia="Times New Roman" w:cs="Times New Roman"/>
                <w:color w:val="auto"/>
                <w:highlight w:val="none"/>
                <w:vertAlign w:val="baseline"/>
              </w:rPr>
            </w:pPr>
          </w:p>
        </w:tc>
        <w:tc>
          <w:tcPr>
            <w:tcW w:w="2399" w:type="dxa"/>
            <w:noWrap w:val="0"/>
            <w:vAlign w:val="center"/>
          </w:tcPr>
          <w:p w14:paraId="1E824BB7">
            <w:pPr>
              <w:pStyle w:val="191"/>
              <w:jc w:val="center"/>
              <w:outlineLvl w:val="9"/>
              <w:rPr>
                <w:rStyle w:val="44"/>
                <w:rFonts w:ascii="Times New Roman" w:hAnsi="Times New Roman" w:eastAsia="Times New Roman" w:cs="Times New Roman"/>
                <w:color w:val="auto"/>
                <w:highlight w:val="none"/>
                <w:vertAlign w:val="baseline"/>
              </w:rPr>
            </w:pPr>
          </w:p>
        </w:tc>
      </w:tr>
      <w:tr w14:paraId="65723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120" w:type="dxa"/>
            <w:noWrap w:val="0"/>
            <w:vAlign w:val="center"/>
          </w:tcPr>
          <w:p w14:paraId="098CE45F">
            <w:pPr>
              <w:pStyle w:val="191"/>
              <w:jc w:val="center"/>
              <w:outlineLvl w:val="9"/>
              <w:rPr>
                <w:rStyle w:val="44"/>
                <w:rFonts w:ascii="Times New Roman" w:hAnsi="Times New Roman" w:eastAsia="Times New Roman" w:cs="Times New Roman"/>
                <w:color w:val="auto"/>
                <w:highlight w:val="none"/>
                <w:vertAlign w:val="baseline"/>
              </w:rPr>
            </w:pPr>
          </w:p>
        </w:tc>
        <w:tc>
          <w:tcPr>
            <w:tcW w:w="2908" w:type="dxa"/>
            <w:noWrap w:val="0"/>
            <w:vAlign w:val="center"/>
          </w:tcPr>
          <w:p w14:paraId="37836FE6">
            <w:pPr>
              <w:pStyle w:val="191"/>
              <w:jc w:val="center"/>
              <w:outlineLvl w:val="9"/>
              <w:rPr>
                <w:rStyle w:val="44"/>
                <w:rFonts w:ascii="Times New Roman" w:hAnsi="Times New Roman" w:eastAsia="Times New Roman" w:cs="Times New Roman"/>
                <w:color w:val="auto"/>
                <w:highlight w:val="none"/>
                <w:vertAlign w:val="baseline"/>
              </w:rPr>
            </w:pPr>
          </w:p>
        </w:tc>
        <w:tc>
          <w:tcPr>
            <w:tcW w:w="1383" w:type="dxa"/>
            <w:noWrap w:val="0"/>
            <w:vAlign w:val="center"/>
          </w:tcPr>
          <w:p w14:paraId="38EF38F6">
            <w:pPr>
              <w:pStyle w:val="191"/>
              <w:jc w:val="center"/>
              <w:outlineLvl w:val="9"/>
              <w:rPr>
                <w:rStyle w:val="44"/>
                <w:rFonts w:ascii="Times New Roman" w:hAnsi="Times New Roman" w:eastAsia="Times New Roman" w:cs="Times New Roman"/>
                <w:color w:val="auto"/>
                <w:highlight w:val="none"/>
                <w:vertAlign w:val="baseline"/>
              </w:rPr>
            </w:pPr>
          </w:p>
        </w:tc>
        <w:tc>
          <w:tcPr>
            <w:tcW w:w="1429" w:type="dxa"/>
            <w:noWrap w:val="0"/>
            <w:vAlign w:val="center"/>
          </w:tcPr>
          <w:p w14:paraId="7CAC5514">
            <w:pPr>
              <w:pStyle w:val="191"/>
              <w:jc w:val="center"/>
              <w:outlineLvl w:val="9"/>
              <w:rPr>
                <w:rStyle w:val="44"/>
                <w:rFonts w:ascii="Times New Roman" w:hAnsi="Times New Roman" w:eastAsia="Times New Roman" w:cs="Times New Roman"/>
                <w:color w:val="auto"/>
                <w:highlight w:val="none"/>
                <w:vertAlign w:val="baseline"/>
              </w:rPr>
            </w:pPr>
          </w:p>
        </w:tc>
        <w:tc>
          <w:tcPr>
            <w:tcW w:w="2399" w:type="dxa"/>
            <w:noWrap w:val="0"/>
            <w:vAlign w:val="center"/>
          </w:tcPr>
          <w:p w14:paraId="3FA65396">
            <w:pPr>
              <w:pStyle w:val="191"/>
              <w:jc w:val="center"/>
              <w:outlineLvl w:val="9"/>
              <w:rPr>
                <w:rStyle w:val="44"/>
                <w:rFonts w:ascii="Times New Roman" w:hAnsi="Times New Roman" w:eastAsia="Times New Roman" w:cs="Times New Roman"/>
                <w:color w:val="auto"/>
                <w:highlight w:val="none"/>
                <w:vertAlign w:val="baseline"/>
              </w:rPr>
            </w:pPr>
          </w:p>
        </w:tc>
      </w:tr>
      <w:tr w14:paraId="3EC0B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120" w:type="dxa"/>
            <w:noWrap w:val="0"/>
            <w:vAlign w:val="center"/>
          </w:tcPr>
          <w:p w14:paraId="24F15EF5">
            <w:pPr>
              <w:pStyle w:val="191"/>
              <w:jc w:val="center"/>
              <w:outlineLvl w:val="9"/>
              <w:rPr>
                <w:rStyle w:val="44"/>
                <w:rFonts w:ascii="Times New Roman" w:hAnsi="Times New Roman" w:eastAsia="Times New Roman" w:cs="Times New Roman"/>
                <w:color w:val="auto"/>
                <w:highlight w:val="none"/>
                <w:vertAlign w:val="baseline"/>
              </w:rPr>
            </w:pPr>
          </w:p>
        </w:tc>
        <w:tc>
          <w:tcPr>
            <w:tcW w:w="2908" w:type="dxa"/>
            <w:noWrap w:val="0"/>
            <w:vAlign w:val="center"/>
          </w:tcPr>
          <w:p w14:paraId="7B56DFBE">
            <w:pPr>
              <w:pStyle w:val="191"/>
              <w:jc w:val="center"/>
              <w:outlineLvl w:val="9"/>
              <w:rPr>
                <w:rStyle w:val="44"/>
                <w:rFonts w:ascii="Times New Roman" w:hAnsi="Times New Roman" w:eastAsia="Times New Roman" w:cs="Times New Roman"/>
                <w:color w:val="auto"/>
                <w:highlight w:val="none"/>
                <w:vertAlign w:val="baseline"/>
              </w:rPr>
            </w:pPr>
          </w:p>
        </w:tc>
        <w:tc>
          <w:tcPr>
            <w:tcW w:w="1383" w:type="dxa"/>
            <w:noWrap w:val="0"/>
            <w:vAlign w:val="center"/>
          </w:tcPr>
          <w:p w14:paraId="10BE63FC">
            <w:pPr>
              <w:pStyle w:val="191"/>
              <w:jc w:val="center"/>
              <w:outlineLvl w:val="9"/>
              <w:rPr>
                <w:rStyle w:val="44"/>
                <w:rFonts w:ascii="Times New Roman" w:hAnsi="Times New Roman" w:eastAsia="Times New Roman" w:cs="Times New Roman"/>
                <w:color w:val="auto"/>
                <w:highlight w:val="none"/>
                <w:vertAlign w:val="baseline"/>
              </w:rPr>
            </w:pPr>
          </w:p>
        </w:tc>
        <w:tc>
          <w:tcPr>
            <w:tcW w:w="1429" w:type="dxa"/>
            <w:noWrap w:val="0"/>
            <w:vAlign w:val="center"/>
          </w:tcPr>
          <w:p w14:paraId="5931FBF0">
            <w:pPr>
              <w:pStyle w:val="191"/>
              <w:jc w:val="center"/>
              <w:outlineLvl w:val="9"/>
              <w:rPr>
                <w:rStyle w:val="44"/>
                <w:rFonts w:ascii="Times New Roman" w:hAnsi="Times New Roman" w:eastAsia="Times New Roman" w:cs="Times New Roman"/>
                <w:color w:val="auto"/>
                <w:highlight w:val="none"/>
                <w:vertAlign w:val="baseline"/>
              </w:rPr>
            </w:pPr>
          </w:p>
        </w:tc>
        <w:tc>
          <w:tcPr>
            <w:tcW w:w="2399" w:type="dxa"/>
            <w:noWrap w:val="0"/>
            <w:vAlign w:val="center"/>
          </w:tcPr>
          <w:p w14:paraId="51F63334">
            <w:pPr>
              <w:pStyle w:val="191"/>
              <w:jc w:val="center"/>
              <w:outlineLvl w:val="9"/>
              <w:rPr>
                <w:rStyle w:val="44"/>
                <w:rFonts w:ascii="Times New Roman" w:hAnsi="Times New Roman" w:eastAsia="Times New Roman" w:cs="Times New Roman"/>
                <w:color w:val="auto"/>
                <w:highlight w:val="none"/>
                <w:vertAlign w:val="baseline"/>
              </w:rPr>
            </w:pPr>
          </w:p>
        </w:tc>
      </w:tr>
      <w:tr w14:paraId="51A9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120" w:type="dxa"/>
            <w:noWrap w:val="0"/>
            <w:vAlign w:val="center"/>
          </w:tcPr>
          <w:p w14:paraId="1DCF297A">
            <w:pPr>
              <w:pStyle w:val="191"/>
              <w:jc w:val="center"/>
              <w:outlineLvl w:val="9"/>
              <w:rPr>
                <w:rStyle w:val="44"/>
                <w:rFonts w:ascii="Times New Roman" w:hAnsi="Times New Roman" w:eastAsia="Times New Roman" w:cs="Times New Roman"/>
                <w:color w:val="auto"/>
                <w:highlight w:val="none"/>
                <w:vertAlign w:val="baseline"/>
              </w:rPr>
            </w:pPr>
          </w:p>
        </w:tc>
        <w:tc>
          <w:tcPr>
            <w:tcW w:w="2908" w:type="dxa"/>
            <w:noWrap w:val="0"/>
            <w:vAlign w:val="center"/>
          </w:tcPr>
          <w:p w14:paraId="1FCD7235">
            <w:pPr>
              <w:pStyle w:val="191"/>
              <w:jc w:val="center"/>
              <w:outlineLvl w:val="9"/>
              <w:rPr>
                <w:rStyle w:val="44"/>
                <w:rFonts w:ascii="Times New Roman" w:hAnsi="Times New Roman" w:eastAsia="Times New Roman" w:cs="Times New Roman"/>
                <w:color w:val="auto"/>
                <w:highlight w:val="none"/>
                <w:vertAlign w:val="baseline"/>
              </w:rPr>
            </w:pPr>
          </w:p>
        </w:tc>
        <w:tc>
          <w:tcPr>
            <w:tcW w:w="1383" w:type="dxa"/>
            <w:noWrap w:val="0"/>
            <w:vAlign w:val="center"/>
          </w:tcPr>
          <w:p w14:paraId="7ECE4AA4">
            <w:pPr>
              <w:pStyle w:val="191"/>
              <w:jc w:val="center"/>
              <w:outlineLvl w:val="9"/>
              <w:rPr>
                <w:rStyle w:val="44"/>
                <w:rFonts w:ascii="Times New Roman" w:hAnsi="Times New Roman" w:eastAsia="Times New Roman" w:cs="Times New Roman"/>
                <w:color w:val="auto"/>
                <w:highlight w:val="none"/>
                <w:vertAlign w:val="baseline"/>
              </w:rPr>
            </w:pPr>
          </w:p>
        </w:tc>
        <w:tc>
          <w:tcPr>
            <w:tcW w:w="1429" w:type="dxa"/>
            <w:noWrap w:val="0"/>
            <w:vAlign w:val="center"/>
          </w:tcPr>
          <w:p w14:paraId="106901B9">
            <w:pPr>
              <w:pStyle w:val="191"/>
              <w:jc w:val="center"/>
              <w:outlineLvl w:val="9"/>
              <w:rPr>
                <w:rStyle w:val="44"/>
                <w:rFonts w:ascii="Times New Roman" w:hAnsi="Times New Roman" w:eastAsia="Times New Roman" w:cs="Times New Roman"/>
                <w:color w:val="auto"/>
                <w:highlight w:val="none"/>
                <w:vertAlign w:val="baseline"/>
              </w:rPr>
            </w:pPr>
          </w:p>
        </w:tc>
        <w:tc>
          <w:tcPr>
            <w:tcW w:w="2399" w:type="dxa"/>
            <w:noWrap w:val="0"/>
            <w:vAlign w:val="center"/>
          </w:tcPr>
          <w:p w14:paraId="24D27063">
            <w:pPr>
              <w:pStyle w:val="191"/>
              <w:jc w:val="center"/>
              <w:outlineLvl w:val="9"/>
              <w:rPr>
                <w:rStyle w:val="44"/>
                <w:rFonts w:ascii="Times New Roman" w:hAnsi="Times New Roman" w:eastAsia="Times New Roman" w:cs="Times New Roman"/>
                <w:color w:val="auto"/>
                <w:highlight w:val="none"/>
                <w:vertAlign w:val="baseline"/>
              </w:rPr>
            </w:pPr>
          </w:p>
        </w:tc>
      </w:tr>
      <w:tr w14:paraId="3E122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120" w:type="dxa"/>
            <w:noWrap w:val="0"/>
            <w:vAlign w:val="center"/>
          </w:tcPr>
          <w:p w14:paraId="40DF1C66">
            <w:pPr>
              <w:pStyle w:val="191"/>
              <w:jc w:val="center"/>
              <w:outlineLvl w:val="9"/>
              <w:rPr>
                <w:rStyle w:val="44"/>
                <w:rFonts w:ascii="Times New Roman" w:hAnsi="Times New Roman" w:eastAsia="Times New Roman" w:cs="Times New Roman"/>
                <w:color w:val="auto"/>
                <w:highlight w:val="none"/>
                <w:vertAlign w:val="baseline"/>
              </w:rPr>
            </w:pPr>
          </w:p>
        </w:tc>
        <w:tc>
          <w:tcPr>
            <w:tcW w:w="2908" w:type="dxa"/>
            <w:noWrap w:val="0"/>
            <w:vAlign w:val="center"/>
          </w:tcPr>
          <w:p w14:paraId="510DCADC">
            <w:pPr>
              <w:pStyle w:val="191"/>
              <w:jc w:val="center"/>
              <w:outlineLvl w:val="9"/>
              <w:rPr>
                <w:rStyle w:val="44"/>
                <w:rFonts w:ascii="Times New Roman" w:hAnsi="Times New Roman" w:eastAsia="Times New Roman" w:cs="Times New Roman"/>
                <w:color w:val="auto"/>
                <w:highlight w:val="none"/>
                <w:vertAlign w:val="baseline"/>
              </w:rPr>
            </w:pPr>
          </w:p>
        </w:tc>
        <w:tc>
          <w:tcPr>
            <w:tcW w:w="1383" w:type="dxa"/>
            <w:noWrap w:val="0"/>
            <w:vAlign w:val="center"/>
          </w:tcPr>
          <w:p w14:paraId="69E904F2">
            <w:pPr>
              <w:pStyle w:val="191"/>
              <w:jc w:val="center"/>
              <w:outlineLvl w:val="9"/>
              <w:rPr>
                <w:rStyle w:val="44"/>
                <w:rFonts w:ascii="Times New Roman" w:hAnsi="Times New Roman" w:eastAsia="Times New Roman" w:cs="Times New Roman"/>
                <w:color w:val="auto"/>
                <w:highlight w:val="none"/>
                <w:vertAlign w:val="baseline"/>
              </w:rPr>
            </w:pPr>
          </w:p>
        </w:tc>
        <w:tc>
          <w:tcPr>
            <w:tcW w:w="1429" w:type="dxa"/>
            <w:noWrap w:val="0"/>
            <w:vAlign w:val="center"/>
          </w:tcPr>
          <w:p w14:paraId="69496660">
            <w:pPr>
              <w:pStyle w:val="191"/>
              <w:jc w:val="center"/>
              <w:outlineLvl w:val="9"/>
              <w:rPr>
                <w:rStyle w:val="44"/>
                <w:rFonts w:ascii="Times New Roman" w:hAnsi="Times New Roman" w:eastAsia="Times New Roman" w:cs="Times New Roman"/>
                <w:color w:val="auto"/>
                <w:highlight w:val="none"/>
                <w:vertAlign w:val="baseline"/>
              </w:rPr>
            </w:pPr>
          </w:p>
        </w:tc>
        <w:tc>
          <w:tcPr>
            <w:tcW w:w="2399" w:type="dxa"/>
            <w:noWrap w:val="0"/>
            <w:vAlign w:val="center"/>
          </w:tcPr>
          <w:p w14:paraId="758133A8">
            <w:pPr>
              <w:pStyle w:val="191"/>
              <w:jc w:val="center"/>
              <w:outlineLvl w:val="9"/>
              <w:rPr>
                <w:rStyle w:val="44"/>
                <w:rFonts w:ascii="Times New Roman" w:hAnsi="Times New Roman" w:eastAsia="Times New Roman" w:cs="Times New Roman"/>
                <w:color w:val="auto"/>
                <w:highlight w:val="none"/>
                <w:vertAlign w:val="baseline"/>
              </w:rPr>
            </w:pPr>
          </w:p>
        </w:tc>
      </w:tr>
      <w:tr w14:paraId="37E00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120" w:type="dxa"/>
            <w:noWrap w:val="0"/>
            <w:vAlign w:val="center"/>
          </w:tcPr>
          <w:p w14:paraId="30870889">
            <w:pPr>
              <w:pStyle w:val="191"/>
              <w:jc w:val="center"/>
              <w:outlineLvl w:val="9"/>
              <w:rPr>
                <w:rStyle w:val="44"/>
                <w:rFonts w:ascii="Times New Roman" w:hAnsi="Times New Roman" w:eastAsia="Times New Roman" w:cs="Times New Roman"/>
                <w:color w:val="auto"/>
                <w:highlight w:val="none"/>
                <w:vertAlign w:val="baseline"/>
              </w:rPr>
            </w:pPr>
          </w:p>
        </w:tc>
        <w:tc>
          <w:tcPr>
            <w:tcW w:w="2908" w:type="dxa"/>
            <w:noWrap w:val="0"/>
            <w:vAlign w:val="center"/>
          </w:tcPr>
          <w:p w14:paraId="16D13851">
            <w:pPr>
              <w:pStyle w:val="191"/>
              <w:jc w:val="center"/>
              <w:outlineLvl w:val="9"/>
              <w:rPr>
                <w:rStyle w:val="44"/>
                <w:rFonts w:ascii="Times New Roman" w:hAnsi="Times New Roman" w:eastAsia="Times New Roman" w:cs="Times New Roman"/>
                <w:color w:val="auto"/>
                <w:highlight w:val="none"/>
                <w:vertAlign w:val="baseline"/>
              </w:rPr>
            </w:pPr>
          </w:p>
        </w:tc>
        <w:tc>
          <w:tcPr>
            <w:tcW w:w="1383" w:type="dxa"/>
            <w:noWrap w:val="0"/>
            <w:vAlign w:val="center"/>
          </w:tcPr>
          <w:p w14:paraId="54DAC91D">
            <w:pPr>
              <w:pStyle w:val="191"/>
              <w:jc w:val="center"/>
              <w:outlineLvl w:val="9"/>
              <w:rPr>
                <w:rStyle w:val="44"/>
                <w:rFonts w:ascii="Times New Roman" w:hAnsi="Times New Roman" w:eastAsia="Times New Roman" w:cs="Times New Roman"/>
                <w:color w:val="auto"/>
                <w:highlight w:val="none"/>
                <w:vertAlign w:val="baseline"/>
              </w:rPr>
            </w:pPr>
          </w:p>
        </w:tc>
        <w:tc>
          <w:tcPr>
            <w:tcW w:w="1429" w:type="dxa"/>
            <w:noWrap w:val="0"/>
            <w:vAlign w:val="center"/>
          </w:tcPr>
          <w:p w14:paraId="46053CA5">
            <w:pPr>
              <w:pStyle w:val="191"/>
              <w:jc w:val="center"/>
              <w:outlineLvl w:val="9"/>
              <w:rPr>
                <w:rStyle w:val="44"/>
                <w:rFonts w:ascii="Times New Roman" w:hAnsi="Times New Roman" w:eastAsia="Times New Roman" w:cs="Times New Roman"/>
                <w:color w:val="auto"/>
                <w:highlight w:val="none"/>
                <w:vertAlign w:val="baseline"/>
              </w:rPr>
            </w:pPr>
          </w:p>
        </w:tc>
        <w:tc>
          <w:tcPr>
            <w:tcW w:w="2399" w:type="dxa"/>
            <w:noWrap w:val="0"/>
            <w:vAlign w:val="center"/>
          </w:tcPr>
          <w:p w14:paraId="50570AEC">
            <w:pPr>
              <w:pStyle w:val="191"/>
              <w:jc w:val="center"/>
              <w:outlineLvl w:val="9"/>
              <w:rPr>
                <w:rStyle w:val="44"/>
                <w:rFonts w:ascii="Times New Roman" w:hAnsi="Times New Roman" w:eastAsia="Times New Roman" w:cs="Times New Roman"/>
                <w:color w:val="auto"/>
                <w:highlight w:val="none"/>
                <w:vertAlign w:val="baseline"/>
              </w:rPr>
            </w:pPr>
          </w:p>
        </w:tc>
      </w:tr>
      <w:tr w14:paraId="7F543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120" w:type="dxa"/>
            <w:noWrap w:val="0"/>
            <w:vAlign w:val="center"/>
          </w:tcPr>
          <w:p w14:paraId="5E1F48D5">
            <w:pPr>
              <w:pStyle w:val="191"/>
              <w:jc w:val="center"/>
              <w:outlineLvl w:val="9"/>
              <w:rPr>
                <w:rStyle w:val="44"/>
                <w:rFonts w:ascii="Times New Roman" w:hAnsi="Times New Roman" w:eastAsia="Times New Roman" w:cs="Times New Roman"/>
                <w:color w:val="auto"/>
                <w:highlight w:val="none"/>
                <w:vertAlign w:val="baseline"/>
              </w:rPr>
            </w:pPr>
          </w:p>
        </w:tc>
        <w:tc>
          <w:tcPr>
            <w:tcW w:w="2908" w:type="dxa"/>
            <w:noWrap w:val="0"/>
            <w:vAlign w:val="center"/>
          </w:tcPr>
          <w:p w14:paraId="02DEDA60">
            <w:pPr>
              <w:pStyle w:val="191"/>
              <w:jc w:val="center"/>
              <w:outlineLvl w:val="9"/>
              <w:rPr>
                <w:rStyle w:val="44"/>
                <w:rFonts w:ascii="Times New Roman" w:hAnsi="Times New Roman" w:eastAsia="Times New Roman" w:cs="Times New Roman"/>
                <w:color w:val="auto"/>
                <w:highlight w:val="none"/>
                <w:vertAlign w:val="baseline"/>
              </w:rPr>
            </w:pPr>
          </w:p>
        </w:tc>
        <w:tc>
          <w:tcPr>
            <w:tcW w:w="1383" w:type="dxa"/>
            <w:noWrap w:val="0"/>
            <w:vAlign w:val="center"/>
          </w:tcPr>
          <w:p w14:paraId="4EC67550">
            <w:pPr>
              <w:pStyle w:val="191"/>
              <w:jc w:val="center"/>
              <w:outlineLvl w:val="9"/>
              <w:rPr>
                <w:rStyle w:val="44"/>
                <w:rFonts w:ascii="Times New Roman" w:hAnsi="Times New Roman" w:eastAsia="Times New Roman" w:cs="Times New Roman"/>
                <w:color w:val="auto"/>
                <w:highlight w:val="none"/>
                <w:vertAlign w:val="baseline"/>
              </w:rPr>
            </w:pPr>
          </w:p>
        </w:tc>
        <w:tc>
          <w:tcPr>
            <w:tcW w:w="1429" w:type="dxa"/>
            <w:noWrap w:val="0"/>
            <w:vAlign w:val="center"/>
          </w:tcPr>
          <w:p w14:paraId="1749172D">
            <w:pPr>
              <w:pStyle w:val="191"/>
              <w:jc w:val="center"/>
              <w:outlineLvl w:val="9"/>
              <w:rPr>
                <w:rStyle w:val="44"/>
                <w:rFonts w:ascii="Times New Roman" w:hAnsi="Times New Roman" w:eastAsia="Times New Roman" w:cs="Times New Roman"/>
                <w:color w:val="auto"/>
                <w:highlight w:val="none"/>
                <w:vertAlign w:val="baseline"/>
              </w:rPr>
            </w:pPr>
          </w:p>
        </w:tc>
        <w:tc>
          <w:tcPr>
            <w:tcW w:w="2399" w:type="dxa"/>
            <w:noWrap w:val="0"/>
            <w:vAlign w:val="center"/>
          </w:tcPr>
          <w:p w14:paraId="6F2782BE">
            <w:pPr>
              <w:pStyle w:val="191"/>
              <w:jc w:val="center"/>
              <w:outlineLvl w:val="9"/>
              <w:rPr>
                <w:rStyle w:val="44"/>
                <w:rFonts w:ascii="Times New Roman" w:hAnsi="Times New Roman" w:eastAsia="Times New Roman" w:cs="Times New Roman"/>
                <w:color w:val="auto"/>
                <w:highlight w:val="none"/>
                <w:vertAlign w:val="baseline"/>
              </w:rPr>
            </w:pPr>
          </w:p>
        </w:tc>
      </w:tr>
      <w:tr w14:paraId="47684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120" w:type="dxa"/>
            <w:noWrap w:val="0"/>
            <w:vAlign w:val="center"/>
          </w:tcPr>
          <w:p w14:paraId="3A7C3A99">
            <w:pPr>
              <w:pStyle w:val="191"/>
              <w:jc w:val="center"/>
              <w:outlineLvl w:val="9"/>
              <w:rPr>
                <w:rStyle w:val="44"/>
                <w:rFonts w:ascii="Times New Roman" w:hAnsi="Times New Roman" w:eastAsia="Times New Roman" w:cs="Times New Roman"/>
                <w:color w:val="auto"/>
                <w:highlight w:val="none"/>
                <w:vertAlign w:val="baseline"/>
              </w:rPr>
            </w:pPr>
          </w:p>
        </w:tc>
        <w:tc>
          <w:tcPr>
            <w:tcW w:w="2908" w:type="dxa"/>
            <w:noWrap w:val="0"/>
            <w:vAlign w:val="center"/>
          </w:tcPr>
          <w:p w14:paraId="7268AEEC">
            <w:pPr>
              <w:pStyle w:val="191"/>
              <w:jc w:val="center"/>
              <w:outlineLvl w:val="9"/>
              <w:rPr>
                <w:rStyle w:val="44"/>
                <w:rFonts w:ascii="Times New Roman" w:hAnsi="Times New Roman" w:eastAsia="Times New Roman" w:cs="Times New Roman"/>
                <w:color w:val="auto"/>
                <w:highlight w:val="none"/>
                <w:vertAlign w:val="baseline"/>
              </w:rPr>
            </w:pPr>
          </w:p>
        </w:tc>
        <w:tc>
          <w:tcPr>
            <w:tcW w:w="1383" w:type="dxa"/>
            <w:noWrap w:val="0"/>
            <w:vAlign w:val="center"/>
          </w:tcPr>
          <w:p w14:paraId="2A8BD64A">
            <w:pPr>
              <w:pStyle w:val="191"/>
              <w:jc w:val="center"/>
              <w:outlineLvl w:val="9"/>
              <w:rPr>
                <w:rStyle w:val="44"/>
                <w:rFonts w:ascii="Times New Roman" w:hAnsi="Times New Roman" w:eastAsia="Times New Roman" w:cs="Times New Roman"/>
                <w:color w:val="auto"/>
                <w:highlight w:val="none"/>
                <w:vertAlign w:val="baseline"/>
              </w:rPr>
            </w:pPr>
          </w:p>
        </w:tc>
        <w:tc>
          <w:tcPr>
            <w:tcW w:w="1429" w:type="dxa"/>
            <w:noWrap w:val="0"/>
            <w:vAlign w:val="center"/>
          </w:tcPr>
          <w:p w14:paraId="241BEA9D">
            <w:pPr>
              <w:pStyle w:val="191"/>
              <w:jc w:val="center"/>
              <w:outlineLvl w:val="9"/>
              <w:rPr>
                <w:rStyle w:val="44"/>
                <w:rFonts w:ascii="Times New Roman" w:hAnsi="Times New Roman" w:eastAsia="Times New Roman" w:cs="Times New Roman"/>
                <w:color w:val="auto"/>
                <w:highlight w:val="none"/>
                <w:vertAlign w:val="baseline"/>
              </w:rPr>
            </w:pPr>
          </w:p>
        </w:tc>
        <w:tc>
          <w:tcPr>
            <w:tcW w:w="2399" w:type="dxa"/>
            <w:noWrap w:val="0"/>
            <w:vAlign w:val="center"/>
          </w:tcPr>
          <w:p w14:paraId="1CE1F83E">
            <w:pPr>
              <w:pStyle w:val="191"/>
              <w:jc w:val="center"/>
              <w:outlineLvl w:val="9"/>
              <w:rPr>
                <w:rStyle w:val="44"/>
                <w:rFonts w:ascii="Times New Roman" w:hAnsi="Times New Roman" w:eastAsia="Times New Roman" w:cs="Times New Roman"/>
                <w:color w:val="auto"/>
                <w:highlight w:val="none"/>
                <w:vertAlign w:val="baseline"/>
              </w:rPr>
            </w:pPr>
          </w:p>
        </w:tc>
      </w:tr>
      <w:tr w14:paraId="0EF93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120" w:type="dxa"/>
            <w:noWrap w:val="0"/>
            <w:vAlign w:val="center"/>
          </w:tcPr>
          <w:p w14:paraId="7454CE87">
            <w:pPr>
              <w:pStyle w:val="191"/>
              <w:jc w:val="center"/>
              <w:outlineLvl w:val="9"/>
              <w:rPr>
                <w:rStyle w:val="44"/>
                <w:rFonts w:ascii="Times New Roman" w:hAnsi="Times New Roman" w:eastAsia="Times New Roman" w:cs="Times New Roman"/>
                <w:color w:val="auto"/>
                <w:highlight w:val="none"/>
                <w:vertAlign w:val="baseline"/>
              </w:rPr>
            </w:pPr>
          </w:p>
        </w:tc>
        <w:tc>
          <w:tcPr>
            <w:tcW w:w="2908" w:type="dxa"/>
            <w:noWrap w:val="0"/>
            <w:vAlign w:val="center"/>
          </w:tcPr>
          <w:p w14:paraId="7E6DC01B">
            <w:pPr>
              <w:pStyle w:val="191"/>
              <w:jc w:val="center"/>
              <w:outlineLvl w:val="9"/>
              <w:rPr>
                <w:rStyle w:val="44"/>
                <w:rFonts w:ascii="Times New Roman" w:hAnsi="Times New Roman" w:eastAsia="Times New Roman" w:cs="Times New Roman"/>
                <w:color w:val="auto"/>
                <w:highlight w:val="none"/>
                <w:vertAlign w:val="baseline"/>
              </w:rPr>
            </w:pPr>
          </w:p>
        </w:tc>
        <w:tc>
          <w:tcPr>
            <w:tcW w:w="1383" w:type="dxa"/>
            <w:noWrap w:val="0"/>
            <w:vAlign w:val="center"/>
          </w:tcPr>
          <w:p w14:paraId="12219D9B">
            <w:pPr>
              <w:pStyle w:val="191"/>
              <w:jc w:val="center"/>
              <w:outlineLvl w:val="9"/>
              <w:rPr>
                <w:rStyle w:val="44"/>
                <w:rFonts w:ascii="Times New Roman" w:hAnsi="Times New Roman" w:eastAsia="Times New Roman" w:cs="Times New Roman"/>
                <w:color w:val="auto"/>
                <w:highlight w:val="none"/>
                <w:vertAlign w:val="baseline"/>
              </w:rPr>
            </w:pPr>
          </w:p>
        </w:tc>
        <w:tc>
          <w:tcPr>
            <w:tcW w:w="1429" w:type="dxa"/>
            <w:noWrap w:val="0"/>
            <w:vAlign w:val="center"/>
          </w:tcPr>
          <w:p w14:paraId="1D29CDED">
            <w:pPr>
              <w:pStyle w:val="191"/>
              <w:jc w:val="center"/>
              <w:outlineLvl w:val="9"/>
              <w:rPr>
                <w:rStyle w:val="44"/>
                <w:rFonts w:ascii="Times New Roman" w:hAnsi="Times New Roman" w:eastAsia="Times New Roman" w:cs="Times New Roman"/>
                <w:color w:val="auto"/>
                <w:highlight w:val="none"/>
                <w:vertAlign w:val="baseline"/>
              </w:rPr>
            </w:pPr>
          </w:p>
        </w:tc>
        <w:tc>
          <w:tcPr>
            <w:tcW w:w="2399" w:type="dxa"/>
            <w:noWrap w:val="0"/>
            <w:vAlign w:val="center"/>
          </w:tcPr>
          <w:p w14:paraId="610BAF14">
            <w:pPr>
              <w:pStyle w:val="191"/>
              <w:jc w:val="center"/>
              <w:outlineLvl w:val="9"/>
              <w:rPr>
                <w:rStyle w:val="44"/>
                <w:rFonts w:ascii="Times New Roman" w:hAnsi="Times New Roman" w:eastAsia="Times New Roman" w:cs="Times New Roman"/>
                <w:color w:val="auto"/>
                <w:highlight w:val="none"/>
                <w:vertAlign w:val="baseline"/>
              </w:rPr>
            </w:pPr>
          </w:p>
        </w:tc>
      </w:tr>
      <w:tr w14:paraId="7A402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1120" w:type="dxa"/>
            <w:noWrap w:val="0"/>
            <w:vAlign w:val="center"/>
          </w:tcPr>
          <w:p w14:paraId="62DAE42B">
            <w:pPr>
              <w:pStyle w:val="191"/>
              <w:jc w:val="center"/>
              <w:outlineLvl w:val="9"/>
              <w:rPr>
                <w:rStyle w:val="44"/>
                <w:rFonts w:ascii="Times New Roman" w:hAnsi="Times New Roman" w:eastAsia="Times New Roman" w:cs="Times New Roman"/>
                <w:color w:val="auto"/>
                <w:highlight w:val="none"/>
                <w:vertAlign w:val="baseline"/>
              </w:rPr>
            </w:pPr>
          </w:p>
        </w:tc>
        <w:tc>
          <w:tcPr>
            <w:tcW w:w="2908" w:type="dxa"/>
            <w:noWrap w:val="0"/>
            <w:vAlign w:val="center"/>
          </w:tcPr>
          <w:p w14:paraId="1D4A825F">
            <w:pPr>
              <w:pStyle w:val="191"/>
              <w:jc w:val="center"/>
              <w:outlineLvl w:val="9"/>
              <w:rPr>
                <w:rStyle w:val="44"/>
                <w:rFonts w:ascii="Times New Roman" w:hAnsi="Times New Roman" w:eastAsia="Times New Roman" w:cs="Times New Roman"/>
                <w:color w:val="auto"/>
                <w:highlight w:val="none"/>
                <w:vertAlign w:val="baseline"/>
              </w:rPr>
            </w:pPr>
          </w:p>
        </w:tc>
        <w:tc>
          <w:tcPr>
            <w:tcW w:w="1383" w:type="dxa"/>
            <w:noWrap w:val="0"/>
            <w:vAlign w:val="center"/>
          </w:tcPr>
          <w:p w14:paraId="2B1914D2">
            <w:pPr>
              <w:pStyle w:val="191"/>
              <w:jc w:val="center"/>
              <w:outlineLvl w:val="9"/>
              <w:rPr>
                <w:rStyle w:val="44"/>
                <w:rFonts w:ascii="Times New Roman" w:hAnsi="Times New Roman" w:eastAsia="Times New Roman" w:cs="Times New Roman"/>
                <w:color w:val="auto"/>
                <w:highlight w:val="none"/>
                <w:vertAlign w:val="baseline"/>
              </w:rPr>
            </w:pPr>
          </w:p>
        </w:tc>
        <w:tc>
          <w:tcPr>
            <w:tcW w:w="1429" w:type="dxa"/>
            <w:noWrap w:val="0"/>
            <w:vAlign w:val="center"/>
          </w:tcPr>
          <w:p w14:paraId="4E599265">
            <w:pPr>
              <w:pStyle w:val="191"/>
              <w:jc w:val="center"/>
              <w:outlineLvl w:val="9"/>
              <w:rPr>
                <w:rStyle w:val="44"/>
                <w:rFonts w:ascii="Times New Roman" w:hAnsi="Times New Roman" w:eastAsia="Times New Roman" w:cs="Times New Roman"/>
                <w:color w:val="auto"/>
                <w:highlight w:val="none"/>
                <w:vertAlign w:val="baseline"/>
              </w:rPr>
            </w:pPr>
          </w:p>
        </w:tc>
        <w:tc>
          <w:tcPr>
            <w:tcW w:w="2399" w:type="dxa"/>
            <w:noWrap w:val="0"/>
            <w:vAlign w:val="center"/>
          </w:tcPr>
          <w:p w14:paraId="5B6A80F0">
            <w:pPr>
              <w:pStyle w:val="191"/>
              <w:jc w:val="center"/>
              <w:outlineLvl w:val="9"/>
              <w:rPr>
                <w:rStyle w:val="44"/>
                <w:rFonts w:ascii="Times New Roman" w:hAnsi="Times New Roman" w:eastAsia="Times New Roman" w:cs="Times New Roman"/>
                <w:color w:val="auto"/>
                <w:highlight w:val="none"/>
                <w:vertAlign w:val="baseline"/>
              </w:rPr>
            </w:pPr>
          </w:p>
        </w:tc>
      </w:tr>
      <w:tr w14:paraId="26578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1120" w:type="dxa"/>
            <w:noWrap w:val="0"/>
            <w:vAlign w:val="center"/>
          </w:tcPr>
          <w:p w14:paraId="7068895B">
            <w:pPr>
              <w:pStyle w:val="191"/>
              <w:jc w:val="center"/>
              <w:outlineLvl w:val="9"/>
              <w:rPr>
                <w:rStyle w:val="44"/>
                <w:rFonts w:ascii="Times New Roman" w:hAnsi="Times New Roman" w:eastAsia="Times New Roman" w:cs="Times New Roman"/>
                <w:color w:val="auto"/>
                <w:highlight w:val="none"/>
                <w:vertAlign w:val="baseline"/>
              </w:rPr>
            </w:pPr>
          </w:p>
        </w:tc>
        <w:tc>
          <w:tcPr>
            <w:tcW w:w="2908" w:type="dxa"/>
            <w:noWrap w:val="0"/>
            <w:vAlign w:val="center"/>
          </w:tcPr>
          <w:p w14:paraId="5DBBE3D5">
            <w:pPr>
              <w:pStyle w:val="191"/>
              <w:jc w:val="center"/>
              <w:outlineLvl w:val="9"/>
              <w:rPr>
                <w:rStyle w:val="44"/>
                <w:rFonts w:ascii="Times New Roman" w:hAnsi="Times New Roman" w:eastAsia="Times New Roman" w:cs="Times New Roman"/>
                <w:color w:val="auto"/>
                <w:highlight w:val="none"/>
                <w:vertAlign w:val="baseline"/>
              </w:rPr>
            </w:pPr>
          </w:p>
        </w:tc>
        <w:tc>
          <w:tcPr>
            <w:tcW w:w="1383" w:type="dxa"/>
            <w:noWrap w:val="0"/>
            <w:vAlign w:val="center"/>
          </w:tcPr>
          <w:p w14:paraId="43DFE0F6">
            <w:pPr>
              <w:pStyle w:val="191"/>
              <w:jc w:val="center"/>
              <w:outlineLvl w:val="9"/>
              <w:rPr>
                <w:rStyle w:val="44"/>
                <w:rFonts w:ascii="Times New Roman" w:hAnsi="Times New Roman" w:eastAsia="Times New Roman" w:cs="Times New Roman"/>
                <w:color w:val="auto"/>
                <w:highlight w:val="none"/>
                <w:vertAlign w:val="baseline"/>
              </w:rPr>
            </w:pPr>
          </w:p>
        </w:tc>
        <w:tc>
          <w:tcPr>
            <w:tcW w:w="1429" w:type="dxa"/>
            <w:noWrap w:val="0"/>
            <w:vAlign w:val="center"/>
          </w:tcPr>
          <w:p w14:paraId="50DC9C33">
            <w:pPr>
              <w:pStyle w:val="191"/>
              <w:jc w:val="center"/>
              <w:outlineLvl w:val="9"/>
              <w:rPr>
                <w:rStyle w:val="44"/>
                <w:rFonts w:ascii="Times New Roman" w:hAnsi="Times New Roman" w:eastAsia="Times New Roman" w:cs="Times New Roman"/>
                <w:color w:val="auto"/>
                <w:highlight w:val="none"/>
                <w:vertAlign w:val="baseline"/>
              </w:rPr>
            </w:pPr>
          </w:p>
        </w:tc>
        <w:tc>
          <w:tcPr>
            <w:tcW w:w="2399" w:type="dxa"/>
            <w:noWrap w:val="0"/>
            <w:vAlign w:val="center"/>
          </w:tcPr>
          <w:p w14:paraId="1FACB2FD">
            <w:pPr>
              <w:pStyle w:val="191"/>
              <w:jc w:val="center"/>
              <w:outlineLvl w:val="9"/>
              <w:rPr>
                <w:rStyle w:val="44"/>
                <w:rFonts w:ascii="Times New Roman" w:hAnsi="Times New Roman" w:eastAsia="Times New Roman" w:cs="Times New Roman"/>
                <w:color w:val="auto"/>
                <w:highlight w:val="none"/>
                <w:vertAlign w:val="baseline"/>
              </w:rPr>
            </w:pPr>
          </w:p>
        </w:tc>
      </w:tr>
      <w:tr w14:paraId="5B580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1120" w:type="dxa"/>
            <w:noWrap w:val="0"/>
            <w:vAlign w:val="center"/>
          </w:tcPr>
          <w:p w14:paraId="1C32AE70">
            <w:pPr>
              <w:pStyle w:val="191"/>
              <w:jc w:val="center"/>
              <w:outlineLvl w:val="9"/>
              <w:rPr>
                <w:rStyle w:val="44"/>
                <w:rFonts w:ascii="Times New Roman" w:hAnsi="Times New Roman" w:eastAsia="Times New Roman" w:cs="Times New Roman"/>
                <w:color w:val="auto"/>
                <w:highlight w:val="none"/>
                <w:vertAlign w:val="baseline"/>
              </w:rPr>
            </w:pPr>
          </w:p>
        </w:tc>
        <w:tc>
          <w:tcPr>
            <w:tcW w:w="2908" w:type="dxa"/>
            <w:noWrap w:val="0"/>
            <w:vAlign w:val="center"/>
          </w:tcPr>
          <w:p w14:paraId="04F2E8A6">
            <w:pPr>
              <w:pStyle w:val="191"/>
              <w:jc w:val="center"/>
              <w:outlineLvl w:val="9"/>
              <w:rPr>
                <w:rStyle w:val="44"/>
                <w:rFonts w:ascii="Times New Roman" w:hAnsi="Times New Roman" w:eastAsia="Times New Roman" w:cs="Times New Roman"/>
                <w:color w:val="auto"/>
                <w:highlight w:val="none"/>
                <w:vertAlign w:val="baseline"/>
              </w:rPr>
            </w:pPr>
          </w:p>
        </w:tc>
        <w:tc>
          <w:tcPr>
            <w:tcW w:w="1383" w:type="dxa"/>
            <w:noWrap w:val="0"/>
            <w:vAlign w:val="center"/>
          </w:tcPr>
          <w:p w14:paraId="5C41EB9E">
            <w:pPr>
              <w:pStyle w:val="191"/>
              <w:jc w:val="center"/>
              <w:outlineLvl w:val="9"/>
              <w:rPr>
                <w:rStyle w:val="44"/>
                <w:rFonts w:ascii="Times New Roman" w:hAnsi="Times New Roman" w:eastAsia="Times New Roman" w:cs="Times New Roman"/>
                <w:color w:val="auto"/>
                <w:highlight w:val="none"/>
                <w:vertAlign w:val="baseline"/>
              </w:rPr>
            </w:pPr>
          </w:p>
        </w:tc>
        <w:tc>
          <w:tcPr>
            <w:tcW w:w="1429" w:type="dxa"/>
            <w:noWrap w:val="0"/>
            <w:vAlign w:val="center"/>
          </w:tcPr>
          <w:p w14:paraId="3FFFFD0D">
            <w:pPr>
              <w:pStyle w:val="191"/>
              <w:jc w:val="center"/>
              <w:outlineLvl w:val="9"/>
              <w:rPr>
                <w:rStyle w:val="44"/>
                <w:rFonts w:ascii="Times New Roman" w:hAnsi="Times New Roman" w:eastAsia="Times New Roman" w:cs="Times New Roman"/>
                <w:color w:val="auto"/>
                <w:highlight w:val="none"/>
                <w:vertAlign w:val="baseline"/>
              </w:rPr>
            </w:pPr>
          </w:p>
        </w:tc>
        <w:tc>
          <w:tcPr>
            <w:tcW w:w="2399" w:type="dxa"/>
            <w:noWrap w:val="0"/>
            <w:vAlign w:val="center"/>
          </w:tcPr>
          <w:p w14:paraId="77C7246F">
            <w:pPr>
              <w:pStyle w:val="191"/>
              <w:jc w:val="center"/>
              <w:outlineLvl w:val="9"/>
              <w:rPr>
                <w:rStyle w:val="44"/>
                <w:rFonts w:ascii="Times New Roman" w:hAnsi="Times New Roman" w:eastAsia="Times New Roman" w:cs="Times New Roman"/>
                <w:color w:val="auto"/>
                <w:highlight w:val="none"/>
                <w:vertAlign w:val="baseline"/>
              </w:rPr>
            </w:pPr>
          </w:p>
        </w:tc>
      </w:tr>
      <w:tr w14:paraId="36C65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1120" w:type="dxa"/>
            <w:noWrap w:val="0"/>
            <w:vAlign w:val="center"/>
          </w:tcPr>
          <w:p w14:paraId="36F9B24A">
            <w:pPr>
              <w:pStyle w:val="191"/>
              <w:jc w:val="center"/>
              <w:outlineLvl w:val="9"/>
              <w:rPr>
                <w:rStyle w:val="44"/>
                <w:rFonts w:ascii="Times New Roman" w:hAnsi="Times New Roman" w:eastAsia="Times New Roman" w:cs="Times New Roman"/>
                <w:color w:val="auto"/>
                <w:highlight w:val="none"/>
                <w:vertAlign w:val="baseline"/>
              </w:rPr>
            </w:pPr>
          </w:p>
        </w:tc>
        <w:tc>
          <w:tcPr>
            <w:tcW w:w="2908" w:type="dxa"/>
            <w:noWrap w:val="0"/>
            <w:vAlign w:val="center"/>
          </w:tcPr>
          <w:p w14:paraId="720743DF">
            <w:pPr>
              <w:pStyle w:val="191"/>
              <w:jc w:val="center"/>
              <w:outlineLvl w:val="9"/>
              <w:rPr>
                <w:rStyle w:val="44"/>
                <w:rFonts w:ascii="Times New Roman" w:hAnsi="Times New Roman" w:eastAsia="Times New Roman" w:cs="Times New Roman"/>
                <w:color w:val="auto"/>
                <w:highlight w:val="none"/>
                <w:vertAlign w:val="baseline"/>
              </w:rPr>
            </w:pPr>
          </w:p>
        </w:tc>
        <w:tc>
          <w:tcPr>
            <w:tcW w:w="1383" w:type="dxa"/>
            <w:noWrap w:val="0"/>
            <w:vAlign w:val="center"/>
          </w:tcPr>
          <w:p w14:paraId="6E7ECA74">
            <w:pPr>
              <w:pStyle w:val="191"/>
              <w:jc w:val="center"/>
              <w:outlineLvl w:val="9"/>
              <w:rPr>
                <w:rStyle w:val="44"/>
                <w:rFonts w:ascii="Times New Roman" w:hAnsi="Times New Roman" w:eastAsia="Times New Roman" w:cs="Times New Roman"/>
                <w:color w:val="auto"/>
                <w:highlight w:val="none"/>
                <w:vertAlign w:val="baseline"/>
              </w:rPr>
            </w:pPr>
          </w:p>
        </w:tc>
        <w:tc>
          <w:tcPr>
            <w:tcW w:w="1429" w:type="dxa"/>
            <w:noWrap w:val="0"/>
            <w:vAlign w:val="center"/>
          </w:tcPr>
          <w:p w14:paraId="3B000EA9">
            <w:pPr>
              <w:pStyle w:val="191"/>
              <w:jc w:val="center"/>
              <w:outlineLvl w:val="9"/>
              <w:rPr>
                <w:rStyle w:val="44"/>
                <w:rFonts w:ascii="Times New Roman" w:hAnsi="Times New Roman" w:eastAsia="Times New Roman" w:cs="Times New Roman"/>
                <w:color w:val="auto"/>
                <w:highlight w:val="none"/>
                <w:vertAlign w:val="baseline"/>
              </w:rPr>
            </w:pPr>
          </w:p>
        </w:tc>
        <w:tc>
          <w:tcPr>
            <w:tcW w:w="2399" w:type="dxa"/>
            <w:noWrap w:val="0"/>
            <w:vAlign w:val="center"/>
          </w:tcPr>
          <w:p w14:paraId="2D4542A9">
            <w:pPr>
              <w:pStyle w:val="191"/>
              <w:jc w:val="center"/>
              <w:outlineLvl w:val="9"/>
              <w:rPr>
                <w:rStyle w:val="44"/>
                <w:rFonts w:ascii="Times New Roman" w:hAnsi="Times New Roman" w:eastAsia="Times New Roman" w:cs="Times New Roman"/>
                <w:color w:val="auto"/>
                <w:highlight w:val="none"/>
                <w:vertAlign w:val="baseline"/>
              </w:rPr>
            </w:pPr>
          </w:p>
        </w:tc>
      </w:tr>
    </w:tbl>
    <w:p w14:paraId="0BB0D097">
      <w:pPr>
        <w:keepNext w:val="0"/>
        <w:keepLines w:val="0"/>
        <w:widowControl/>
        <w:suppressLineNumbers w:val="0"/>
        <w:ind w:firstLine="420" w:firstLineChars="200"/>
        <w:jc w:val="left"/>
        <w:rPr>
          <w:color w:val="auto"/>
          <w:highlight w:val="none"/>
        </w:rPr>
      </w:pPr>
      <w:r>
        <w:rPr>
          <w:rFonts w:hint="eastAsia" w:ascii="宋体" w:hAnsi="宋体" w:eastAsia="宋体" w:cs="宋体"/>
          <w:color w:val="auto"/>
          <w:kern w:val="0"/>
          <w:sz w:val="21"/>
          <w:szCs w:val="21"/>
          <w:highlight w:val="none"/>
          <w:lang w:val="en-US" w:eastAsia="zh-CN" w:bidi="ar"/>
        </w:rPr>
        <w:t xml:space="preserve">备注：1.本表后应附表彰文件、获奖证书及其他证明材料等。以表彰文件、获奖证书的颁 </w:t>
      </w:r>
    </w:p>
    <w:p w14:paraId="5E2432D9">
      <w:pPr>
        <w:keepNext w:val="0"/>
        <w:keepLines w:val="0"/>
        <w:widowControl/>
        <w:suppressLineNumbers w:val="0"/>
        <w:ind w:firstLine="1260" w:firstLineChars="600"/>
        <w:jc w:val="left"/>
        <w:rPr>
          <w:color w:val="auto"/>
          <w:highlight w:val="none"/>
        </w:rPr>
      </w:pPr>
      <w:r>
        <w:rPr>
          <w:rFonts w:hint="eastAsia" w:ascii="宋体" w:hAnsi="宋体" w:eastAsia="宋体" w:cs="宋体"/>
          <w:color w:val="auto"/>
          <w:kern w:val="0"/>
          <w:sz w:val="21"/>
          <w:szCs w:val="21"/>
          <w:highlight w:val="none"/>
          <w:lang w:val="en-US" w:eastAsia="zh-CN" w:bidi="ar"/>
        </w:rPr>
        <w:t xml:space="preserve">发时间为准。 </w:t>
      </w:r>
    </w:p>
    <w:p w14:paraId="58DF2AA2">
      <w:pPr>
        <w:keepNext w:val="0"/>
        <w:keepLines w:val="0"/>
        <w:widowControl/>
        <w:suppressLineNumbers w:val="0"/>
        <w:ind w:firstLine="1050" w:firstLineChars="500"/>
        <w:jc w:val="left"/>
        <w:rPr>
          <w:color w:val="auto"/>
          <w:highlight w:val="none"/>
        </w:rPr>
      </w:pPr>
      <w:r>
        <w:rPr>
          <w:rFonts w:hint="eastAsia" w:ascii="宋体" w:hAnsi="宋体" w:eastAsia="宋体" w:cs="宋体"/>
          <w:color w:val="auto"/>
          <w:kern w:val="0"/>
          <w:sz w:val="21"/>
          <w:szCs w:val="21"/>
          <w:highlight w:val="none"/>
          <w:lang w:val="en-US" w:eastAsia="zh-CN" w:bidi="ar"/>
        </w:rPr>
        <w:t>2.颁奖单位应当是国家机关或民政部门注册登记的合法颁奖单位</w:t>
      </w:r>
    </w:p>
    <w:p w14:paraId="689FF99D">
      <w:pPr>
        <w:rPr>
          <w:color w:val="auto"/>
          <w:highlight w:val="none"/>
        </w:rPr>
      </w:pPr>
    </w:p>
    <w:p w14:paraId="3167C905">
      <w:pPr>
        <w:rPr>
          <w:color w:val="auto"/>
          <w:highlight w:val="none"/>
        </w:rPr>
      </w:pPr>
    </w:p>
    <w:p w14:paraId="3B75D513">
      <w:pPr>
        <w:rPr>
          <w:color w:val="auto"/>
          <w:highlight w:val="none"/>
        </w:rPr>
      </w:pPr>
    </w:p>
    <w:p w14:paraId="2C37B0DE">
      <w:pPr>
        <w:rPr>
          <w:b/>
          <w:bCs/>
          <w:color w:val="auto"/>
          <w:highlight w:val="none"/>
        </w:rPr>
      </w:pPr>
    </w:p>
    <w:p w14:paraId="687C089E">
      <w:pPr>
        <w:pStyle w:val="191"/>
        <w:jc w:val="center"/>
        <w:outlineLvl w:val="9"/>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5-4 近年项目经理工程获奖情况表</w:t>
      </w:r>
    </w:p>
    <w:p w14:paraId="79F8D683">
      <w:pPr>
        <w:pStyle w:val="191"/>
        <w:jc w:val="center"/>
        <w:outlineLvl w:val="9"/>
        <w:rPr>
          <w:rStyle w:val="44"/>
          <w:rFonts w:ascii="Times New Roman" w:hAnsi="Times New Roman" w:eastAsia="Times New Roman" w:cs="Times New Roman"/>
          <w:color w:val="auto"/>
          <w:highlight w:val="none"/>
        </w:rPr>
      </w:pP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8"/>
        <w:gridCol w:w="2674"/>
        <w:gridCol w:w="1278"/>
        <w:gridCol w:w="1322"/>
        <w:gridCol w:w="2210"/>
      </w:tblGrid>
      <w:tr w14:paraId="3F97F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059" w:type="dxa"/>
            <w:noWrap w:val="0"/>
            <w:vAlign w:val="center"/>
          </w:tcPr>
          <w:p w14:paraId="582FB9AD">
            <w:pPr>
              <w:keepNext w:val="0"/>
              <w:keepLines w:val="0"/>
              <w:widowControl/>
              <w:suppressLineNumbers w:val="0"/>
              <w:jc w:val="center"/>
              <w:rPr>
                <w:rStyle w:val="44"/>
                <w:rFonts w:ascii="Times New Roman" w:hAnsi="Times New Roman" w:eastAsia="Times New Roman" w:cs="Times New Roman"/>
                <w:color w:val="auto"/>
                <w:highlight w:val="none"/>
                <w:vertAlign w:val="baseline"/>
              </w:rPr>
            </w:pPr>
            <w:r>
              <w:rPr>
                <w:rFonts w:hint="eastAsia" w:ascii="宋体" w:hAnsi="宋体" w:eastAsia="宋体" w:cs="宋体"/>
                <w:color w:val="auto"/>
                <w:kern w:val="0"/>
                <w:sz w:val="21"/>
                <w:szCs w:val="21"/>
                <w:highlight w:val="none"/>
                <w:lang w:val="en-US" w:eastAsia="zh-CN" w:bidi="ar"/>
              </w:rPr>
              <w:t>序号</w:t>
            </w:r>
          </w:p>
        </w:tc>
        <w:tc>
          <w:tcPr>
            <w:tcW w:w="2750" w:type="dxa"/>
            <w:noWrap w:val="0"/>
            <w:vAlign w:val="center"/>
          </w:tcPr>
          <w:p w14:paraId="53352899">
            <w:pPr>
              <w:keepNext w:val="0"/>
              <w:keepLines w:val="0"/>
              <w:widowControl/>
              <w:suppressLineNumbers w:val="0"/>
              <w:jc w:val="center"/>
              <w:rPr>
                <w:rStyle w:val="44"/>
                <w:rFonts w:ascii="Times New Roman" w:hAnsi="Times New Roman" w:eastAsia="Times New Roman" w:cs="Times New Roman"/>
                <w:color w:val="auto"/>
                <w:highlight w:val="none"/>
                <w:vertAlign w:val="baseline"/>
              </w:rPr>
            </w:pPr>
            <w:r>
              <w:rPr>
                <w:rFonts w:hint="eastAsia" w:ascii="宋体" w:hAnsi="宋体" w:eastAsia="宋体" w:cs="宋体"/>
                <w:color w:val="auto"/>
                <w:kern w:val="0"/>
                <w:sz w:val="21"/>
                <w:szCs w:val="21"/>
                <w:highlight w:val="none"/>
                <w:lang w:val="en-US" w:eastAsia="zh-CN" w:bidi="ar"/>
              </w:rPr>
              <w:t>项目名称</w:t>
            </w:r>
          </w:p>
        </w:tc>
        <w:tc>
          <w:tcPr>
            <w:tcW w:w="1307" w:type="dxa"/>
            <w:noWrap w:val="0"/>
            <w:vAlign w:val="center"/>
          </w:tcPr>
          <w:p w14:paraId="712975E0">
            <w:pPr>
              <w:keepNext w:val="0"/>
              <w:keepLines w:val="0"/>
              <w:widowControl/>
              <w:suppressLineNumbers w:val="0"/>
              <w:jc w:val="center"/>
              <w:rPr>
                <w:rStyle w:val="44"/>
                <w:rFonts w:ascii="Times New Roman" w:hAnsi="Times New Roman" w:eastAsia="Times New Roman" w:cs="Times New Roman"/>
                <w:color w:val="auto"/>
                <w:highlight w:val="none"/>
                <w:vertAlign w:val="baseline"/>
              </w:rPr>
            </w:pPr>
            <w:r>
              <w:rPr>
                <w:rFonts w:hint="eastAsia" w:ascii="宋体" w:hAnsi="宋体" w:eastAsia="宋体" w:cs="宋体"/>
                <w:color w:val="auto"/>
                <w:kern w:val="0"/>
                <w:sz w:val="21"/>
                <w:szCs w:val="21"/>
                <w:highlight w:val="none"/>
                <w:lang w:val="en-US" w:eastAsia="zh-CN" w:bidi="ar"/>
              </w:rPr>
              <w:t>获奖名称</w:t>
            </w:r>
          </w:p>
        </w:tc>
        <w:tc>
          <w:tcPr>
            <w:tcW w:w="1352" w:type="dxa"/>
            <w:noWrap w:val="0"/>
            <w:vAlign w:val="center"/>
          </w:tcPr>
          <w:p w14:paraId="0E6B28F2">
            <w:pPr>
              <w:keepNext w:val="0"/>
              <w:keepLines w:val="0"/>
              <w:widowControl/>
              <w:suppressLineNumbers w:val="0"/>
              <w:jc w:val="center"/>
              <w:rPr>
                <w:rStyle w:val="44"/>
                <w:rFonts w:ascii="Times New Roman" w:hAnsi="Times New Roman" w:eastAsia="Times New Roman" w:cs="Times New Roman"/>
                <w:color w:val="auto"/>
                <w:highlight w:val="none"/>
                <w:vertAlign w:val="baseline"/>
              </w:rPr>
            </w:pPr>
            <w:r>
              <w:rPr>
                <w:rFonts w:hint="eastAsia" w:ascii="宋体" w:hAnsi="宋体" w:eastAsia="宋体" w:cs="宋体"/>
                <w:color w:val="auto"/>
                <w:kern w:val="0"/>
                <w:sz w:val="21"/>
                <w:szCs w:val="21"/>
                <w:highlight w:val="none"/>
                <w:lang w:val="en-US" w:eastAsia="zh-CN" w:bidi="ar"/>
              </w:rPr>
              <w:t>获奖日期</w:t>
            </w:r>
          </w:p>
        </w:tc>
        <w:tc>
          <w:tcPr>
            <w:tcW w:w="2269" w:type="dxa"/>
            <w:noWrap w:val="0"/>
            <w:vAlign w:val="center"/>
          </w:tcPr>
          <w:p w14:paraId="611E7400">
            <w:pPr>
              <w:keepNext w:val="0"/>
              <w:keepLines w:val="0"/>
              <w:widowControl/>
              <w:suppressLineNumbers w:val="0"/>
              <w:jc w:val="center"/>
              <w:rPr>
                <w:rStyle w:val="44"/>
                <w:rFonts w:ascii="Times New Roman" w:hAnsi="Times New Roman" w:eastAsia="Times New Roman" w:cs="Times New Roman"/>
                <w:color w:val="auto"/>
                <w:highlight w:val="none"/>
                <w:vertAlign w:val="baseline"/>
              </w:rPr>
            </w:pPr>
            <w:r>
              <w:rPr>
                <w:rFonts w:hint="eastAsia" w:ascii="宋体" w:hAnsi="宋体" w:eastAsia="宋体" w:cs="宋体"/>
                <w:color w:val="auto"/>
                <w:kern w:val="0"/>
                <w:sz w:val="21"/>
                <w:szCs w:val="21"/>
                <w:highlight w:val="none"/>
                <w:lang w:val="en-US" w:eastAsia="zh-CN" w:bidi="ar"/>
              </w:rPr>
              <w:t>颁奖单位</w:t>
            </w:r>
          </w:p>
        </w:tc>
      </w:tr>
      <w:tr w14:paraId="56230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1059" w:type="dxa"/>
            <w:noWrap w:val="0"/>
            <w:vAlign w:val="center"/>
          </w:tcPr>
          <w:p w14:paraId="016080E4">
            <w:pPr>
              <w:pStyle w:val="191"/>
              <w:jc w:val="center"/>
              <w:outlineLvl w:val="9"/>
              <w:rPr>
                <w:rStyle w:val="44"/>
                <w:rFonts w:ascii="Times New Roman" w:hAnsi="Times New Roman" w:eastAsia="Times New Roman" w:cs="Times New Roman"/>
                <w:color w:val="auto"/>
                <w:highlight w:val="none"/>
                <w:vertAlign w:val="baseline"/>
              </w:rPr>
            </w:pPr>
          </w:p>
        </w:tc>
        <w:tc>
          <w:tcPr>
            <w:tcW w:w="2750" w:type="dxa"/>
            <w:noWrap w:val="0"/>
            <w:vAlign w:val="center"/>
          </w:tcPr>
          <w:p w14:paraId="61FF6BD4">
            <w:pPr>
              <w:pStyle w:val="191"/>
              <w:jc w:val="center"/>
              <w:outlineLvl w:val="9"/>
              <w:rPr>
                <w:rStyle w:val="44"/>
                <w:rFonts w:ascii="Times New Roman" w:hAnsi="Times New Roman" w:eastAsia="Times New Roman" w:cs="Times New Roman"/>
                <w:color w:val="auto"/>
                <w:highlight w:val="none"/>
                <w:vertAlign w:val="baseline"/>
              </w:rPr>
            </w:pPr>
          </w:p>
        </w:tc>
        <w:tc>
          <w:tcPr>
            <w:tcW w:w="1307" w:type="dxa"/>
            <w:noWrap w:val="0"/>
            <w:vAlign w:val="center"/>
          </w:tcPr>
          <w:p w14:paraId="06088898">
            <w:pPr>
              <w:pStyle w:val="191"/>
              <w:jc w:val="center"/>
              <w:outlineLvl w:val="9"/>
              <w:rPr>
                <w:rStyle w:val="44"/>
                <w:rFonts w:ascii="Times New Roman" w:hAnsi="Times New Roman" w:eastAsia="Times New Roman" w:cs="Times New Roman"/>
                <w:color w:val="auto"/>
                <w:highlight w:val="none"/>
                <w:vertAlign w:val="baseline"/>
              </w:rPr>
            </w:pPr>
          </w:p>
        </w:tc>
        <w:tc>
          <w:tcPr>
            <w:tcW w:w="1352" w:type="dxa"/>
            <w:noWrap w:val="0"/>
            <w:vAlign w:val="center"/>
          </w:tcPr>
          <w:p w14:paraId="51FD0DD7">
            <w:pPr>
              <w:pStyle w:val="191"/>
              <w:jc w:val="center"/>
              <w:outlineLvl w:val="9"/>
              <w:rPr>
                <w:rStyle w:val="44"/>
                <w:rFonts w:ascii="Times New Roman" w:hAnsi="Times New Roman" w:eastAsia="Times New Roman" w:cs="Times New Roman"/>
                <w:color w:val="auto"/>
                <w:highlight w:val="none"/>
                <w:vertAlign w:val="baseline"/>
              </w:rPr>
            </w:pPr>
          </w:p>
        </w:tc>
        <w:tc>
          <w:tcPr>
            <w:tcW w:w="2269" w:type="dxa"/>
            <w:noWrap w:val="0"/>
            <w:vAlign w:val="center"/>
          </w:tcPr>
          <w:p w14:paraId="7D71153A">
            <w:pPr>
              <w:pStyle w:val="191"/>
              <w:jc w:val="center"/>
              <w:outlineLvl w:val="9"/>
              <w:rPr>
                <w:rStyle w:val="44"/>
                <w:rFonts w:ascii="Times New Roman" w:hAnsi="Times New Roman" w:eastAsia="Times New Roman" w:cs="Times New Roman"/>
                <w:color w:val="auto"/>
                <w:highlight w:val="none"/>
                <w:vertAlign w:val="baseline"/>
              </w:rPr>
            </w:pPr>
          </w:p>
        </w:tc>
      </w:tr>
      <w:tr w14:paraId="1DA4B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1059" w:type="dxa"/>
            <w:noWrap w:val="0"/>
            <w:vAlign w:val="center"/>
          </w:tcPr>
          <w:p w14:paraId="59481E2A">
            <w:pPr>
              <w:pStyle w:val="191"/>
              <w:jc w:val="center"/>
              <w:outlineLvl w:val="9"/>
              <w:rPr>
                <w:rStyle w:val="44"/>
                <w:rFonts w:ascii="Times New Roman" w:hAnsi="Times New Roman" w:eastAsia="Times New Roman" w:cs="Times New Roman"/>
                <w:color w:val="auto"/>
                <w:highlight w:val="none"/>
                <w:vertAlign w:val="baseline"/>
              </w:rPr>
            </w:pPr>
          </w:p>
        </w:tc>
        <w:tc>
          <w:tcPr>
            <w:tcW w:w="2750" w:type="dxa"/>
            <w:noWrap w:val="0"/>
            <w:vAlign w:val="center"/>
          </w:tcPr>
          <w:p w14:paraId="4DC3BA69">
            <w:pPr>
              <w:pStyle w:val="191"/>
              <w:jc w:val="center"/>
              <w:outlineLvl w:val="9"/>
              <w:rPr>
                <w:rStyle w:val="44"/>
                <w:rFonts w:ascii="Times New Roman" w:hAnsi="Times New Roman" w:eastAsia="Times New Roman" w:cs="Times New Roman"/>
                <w:color w:val="auto"/>
                <w:highlight w:val="none"/>
                <w:vertAlign w:val="baseline"/>
              </w:rPr>
            </w:pPr>
          </w:p>
        </w:tc>
        <w:tc>
          <w:tcPr>
            <w:tcW w:w="1307" w:type="dxa"/>
            <w:noWrap w:val="0"/>
            <w:vAlign w:val="center"/>
          </w:tcPr>
          <w:p w14:paraId="03EBA2A6">
            <w:pPr>
              <w:pStyle w:val="191"/>
              <w:jc w:val="center"/>
              <w:outlineLvl w:val="9"/>
              <w:rPr>
                <w:rStyle w:val="44"/>
                <w:rFonts w:ascii="Times New Roman" w:hAnsi="Times New Roman" w:eastAsia="Times New Roman" w:cs="Times New Roman"/>
                <w:color w:val="auto"/>
                <w:highlight w:val="none"/>
                <w:vertAlign w:val="baseline"/>
              </w:rPr>
            </w:pPr>
          </w:p>
        </w:tc>
        <w:tc>
          <w:tcPr>
            <w:tcW w:w="1352" w:type="dxa"/>
            <w:noWrap w:val="0"/>
            <w:vAlign w:val="center"/>
          </w:tcPr>
          <w:p w14:paraId="43913148">
            <w:pPr>
              <w:pStyle w:val="191"/>
              <w:jc w:val="center"/>
              <w:outlineLvl w:val="9"/>
              <w:rPr>
                <w:rStyle w:val="44"/>
                <w:rFonts w:ascii="Times New Roman" w:hAnsi="Times New Roman" w:eastAsia="Times New Roman" w:cs="Times New Roman"/>
                <w:color w:val="auto"/>
                <w:highlight w:val="none"/>
                <w:vertAlign w:val="baseline"/>
              </w:rPr>
            </w:pPr>
          </w:p>
        </w:tc>
        <w:tc>
          <w:tcPr>
            <w:tcW w:w="2269" w:type="dxa"/>
            <w:noWrap w:val="0"/>
            <w:vAlign w:val="center"/>
          </w:tcPr>
          <w:p w14:paraId="327A731D">
            <w:pPr>
              <w:pStyle w:val="191"/>
              <w:jc w:val="center"/>
              <w:outlineLvl w:val="9"/>
              <w:rPr>
                <w:rStyle w:val="44"/>
                <w:rFonts w:ascii="Times New Roman" w:hAnsi="Times New Roman" w:eastAsia="Times New Roman" w:cs="Times New Roman"/>
                <w:color w:val="auto"/>
                <w:highlight w:val="none"/>
                <w:vertAlign w:val="baseline"/>
              </w:rPr>
            </w:pPr>
          </w:p>
        </w:tc>
      </w:tr>
      <w:tr w14:paraId="73406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1059" w:type="dxa"/>
            <w:noWrap w:val="0"/>
            <w:vAlign w:val="center"/>
          </w:tcPr>
          <w:p w14:paraId="0D71718A">
            <w:pPr>
              <w:pStyle w:val="191"/>
              <w:jc w:val="center"/>
              <w:outlineLvl w:val="9"/>
              <w:rPr>
                <w:rStyle w:val="44"/>
                <w:rFonts w:ascii="Times New Roman" w:hAnsi="Times New Roman" w:eastAsia="Times New Roman" w:cs="Times New Roman"/>
                <w:color w:val="auto"/>
                <w:highlight w:val="none"/>
                <w:vertAlign w:val="baseline"/>
              </w:rPr>
            </w:pPr>
          </w:p>
        </w:tc>
        <w:tc>
          <w:tcPr>
            <w:tcW w:w="2750" w:type="dxa"/>
            <w:noWrap w:val="0"/>
            <w:vAlign w:val="center"/>
          </w:tcPr>
          <w:p w14:paraId="3A79344F">
            <w:pPr>
              <w:pStyle w:val="191"/>
              <w:jc w:val="center"/>
              <w:outlineLvl w:val="9"/>
              <w:rPr>
                <w:rStyle w:val="44"/>
                <w:rFonts w:ascii="Times New Roman" w:hAnsi="Times New Roman" w:eastAsia="Times New Roman" w:cs="Times New Roman"/>
                <w:color w:val="auto"/>
                <w:highlight w:val="none"/>
                <w:vertAlign w:val="baseline"/>
              </w:rPr>
            </w:pPr>
          </w:p>
        </w:tc>
        <w:tc>
          <w:tcPr>
            <w:tcW w:w="1307" w:type="dxa"/>
            <w:noWrap w:val="0"/>
            <w:vAlign w:val="center"/>
          </w:tcPr>
          <w:p w14:paraId="45E02D8D">
            <w:pPr>
              <w:pStyle w:val="191"/>
              <w:jc w:val="center"/>
              <w:outlineLvl w:val="9"/>
              <w:rPr>
                <w:rStyle w:val="44"/>
                <w:rFonts w:ascii="Times New Roman" w:hAnsi="Times New Roman" w:eastAsia="Times New Roman" w:cs="Times New Roman"/>
                <w:color w:val="auto"/>
                <w:highlight w:val="none"/>
                <w:vertAlign w:val="baseline"/>
              </w:rPr>
            </w:pPr>
          </w:p>
        </w:tc>
        <w:tc>
          <w:tcPr>
            <w:tcW w:w="1352" w:type="dxa"/>
            <w:noWrap w:val="0"/>
            <w:vAlign w:val="center"/>
          </w:tcPr>
          <w:p w14:paraId="6FEF7920">
            <w:pPr>
              <w:pStyle w:val="191"/>
              <w:jc w:val="center"/>
              <w:outlineLvl w:val="9"/>
              <w:rPr>
                <w:rStyle w:val="44"/>
                <w:rFonts w:ascii="Times New Roman" w:hAnsi="Times New Roman" w:eastAsia="Times New Roman" w:cs="Times New Roman"/>
                <w:color w:val="auto"/>
                <w:highlight w:val="none"/>
                <w:vertAlign w:val="baseline"/>
              </w:rPr>
            </w:pPr>
          </w:p>
        </w:tc>
        <w:tc>
          <w:tcPr>
            <w:tcW w:w="2269" w:type="dxa"/>
            <w:noWrap w:val="0"/>
            <w:vAlign w:val="center"/>
          </w:tcPr>
          <w:p w14:paraId="60BEB41D">
            <w:pPr>
              <w:pStyle w:val="191"/>
              <w:jc w:val="center"/>
              <w:outlineLvl w:val="9"/>
              <w:rPr>
                <w:rStyle w:val="44"/>
                <w:rFonts w:ascii="Times New Roman" w:hAnsi="Times New Roman" w:eastAsia="Times New Roman" w:cs="Times New Roman"/>
                <w:color w:val="auto"/>
                <w:highlight w:val="none"/>
                <w:vertAlign w:val="baseline"/>
              </w:rPr>
            </w:pPr>
          </w:p>
        </w:tc>
      </w:tr>
      <w:tr w14:paraId="24F0E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1059" w:type="dxa"/>
            <w:noWrap w:val="0"/>
            <w:vAlign w:val="center"/>
          </w:tcPr>
          <w:p w14:paraId="318F23E2">
            <w:pPr>
              <w:pStyle w:val="191"/>
              <w:jc w:val="center"/>
              <w:outlineLvl w:val="9"/>
              <w:rPr>
                <w:rStyle w:val="44"/>
                <w:rFonts w:ascii="Times New Roman" w:hAnsi="Times New Roman" w:eastAsia="Times New Roman" w:cs="Times New Roman"/>
                <w:color w:val="auto"/>
                <w:highlight w:val="none"/>
                <w:vertAlign w:val="baseline"/>
              </w:rPr>
            </w:pPr>
          </w:p>
        </w:tc>
        <w:tc>
          <w:tcPr>
            <w:tcW w:w="2750" w:type="dxa"/>
            <w:noWrap w:val="0"/>
            <w:vAlign w:val="center"/>
          </w:tcPr>
          <w:p w14:paraId="78F0FFCD">
            <w:pPr>
              <w:pStyle w:val="191"/>
              <w:jc w:val="center"/>
              <w:outlineLvl w:val="9"/>
              <w:rPr>
                <w:rStyle w:val="44"/>
                <w:rFonts w:ascii="Times New Roman" w:hAnsi="Times New Roman" w:eastAsia="Times New Roman" w:cs="Times New Roman"/>
                <w:color w:val="auto"/>
                <w:highlight w:val="none"/>
                <w:vertAlign w:val="baseline"/>
              </w:rPr>
            </w:pPr>
          </w:p>
        </w:tc>
        <w:tc>
          <w:tcPr>
            <w:tcW w:w="1307" w:type="dxa"/>
            <w:noWrap w:val="0"/>
            <w:vAlign w:val="center"/>
          </w:tcPr>
          <w:p w14:paraId="5B2E4BB5">
            <w:pPr>
              <w:pStyle w:val="191"/>
              <w:jc w:val="center"/>
              <w:outlineLvl w:val="9"/>
              <w:rPr>
                <w:rStyle w:val="44"/>
                <w:rFonts w:ascii="Times New Roman" w:hAnsi="Times New Roman" w:eastAsia="Times New Roman" w:cs="Times New Roman"/>
                <w:color w:val="auto"/>
                <w:highlight w:val="none"/>
                <w:vertAlign w:val="baseline"/>
              </w:rPr>
            </w:pPr>
          </w:p>
        </w:tc>
        <w:tc>
          <w:tcPr>
            <w:tcW w:w="1352" w:type="dxa"/>
            <w:noWrap w:val="0"/>
            <w:vAlign w:val="center"/>
          </w:tcPr>
          <w:p w14:paraId="624B0331">
            <w:pPr>
              <w:pStyle w:val="191"/>
              <w:jc w:val="center"/>
              <w:outlineLvl w:val="9"/>
              <w:rPr>
                <w:rStyle w:val="44"/>
                <w:rFonts w:ascii="Times New Roman" w:hAnsi="Times New Roman" w:eastAsia="Times New Roman" w:cs="Times New Roman"/>
                <w:color w:val="auto"/>
                <w:highlight w:val="none"/>
                <w:vertAlign w:val="baseline"/>
              </w:rPr>
            </w:pPr>
          </w:p>
        </w:tc>
        <w:tc>
          <w:tcPr>
            <w:tcW w:w="2269" w:type="dxa"/>
            <w:noWrap w:val="0"/>
            <w:vAlign w:val="center"/>
          </w:tcPr>
          <w:p w14:paraId="7EC1AAA7">
            <w:pPr>
              <w:pStyle w:val="191"/>
              <w:jc w:val="center"/>
              <w:outlineLvl w:val="9"/>
              <w:rPr>
                <w:rStyle w:val="44"/>
                <w:rFonts w:ascii="Times New Roman" w:hAnsi="Times New Roman" w:eastAsia="Times New Roman" w:cs="Times New Roman"/>
                <w:color w:val="auto"/>
                <w:highlight w:val="none"/>
                <w:vertAlign w:val="baseline"/>
              </w:rPr>
            </w:pPr>
          </w:p>
        </w:tc>
      </w:tr>
      <w:tr w14:paraId="79EED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1059" w:type="dxa"/>
            <w:noWrap w:val="0"/>
            <w:vAlign w:val="center"/>
          </w:tcPr>
          <w:p w14:paraId="5E6385D6">
            <w:pPr>
              <w:pStyle w:val="191"/>
              <w:jc w:val="center"/>
              <w:outlineLvl w:val="9"/>
              <w:rPr>
                <w:rStyle w:val="44"/>
                <w:rFonts w:ascii="Times New Roman" w:hAnsi="Times New Roman" w:eastAsia="Times New Roman" w:cs="Times New Roman"/>
                <w:color w:val="auto"/>
                <w:highlight w:val="none"/>
                <w:vertAlign w:val="baseline"/>
              </w:rPr>
            </w:pPr>
          </w:p>
        </w:tc>
        <w:tc>
          <w:tcPr>
            <w:tcW w:w="2750" w:type="dxa"/>
            <w:noWrap w:val="0"/>
            <w:vAlign w:val="center"/>
          </w:tcPr>
          <w:p w14:paraId="314A9147">
            <w:pPr>
              <w:pStyle w:val="191"/>
              <w:jc w:val="center"/>
              <w:outlineLvl w:val="9"/>
              <w:rPr>
                <w:rStyle w:val="44"/>
                <w:rFonts w:ascii="Times New Roman" w:hAnsi="Times New Roman" w:eastAsia="Times New Roman" w:cs="Times New Roman"/>
                <w:color w:val="auto"/>
                <w:highlight w:val="none"/>
                <w:vertAlign w:val="baseline"/>
              </w:rPr>
            </w:pPr>
          </w:p>
        </w:tc>
        <w:tc>
          <w:tcPr>
            <w:tcW w:w="1307" w:type="dxa"/>
            <w:noWrap w:val="0"/>
            <w:vAlign w:val="center"/>
          </w:tcPr>
          <w:p w14:paraId="477480E0">
            <w:pPr>
              <w:pStyle w:val="191"/>
              <w:jc w:val="center"/>
              <w:outlineLvl w:val="9"/>
              <w:rPr>
                <w:rStyle w:val="44"/>
                <w:rFonts w:ascii="Times New Roman" w:hAnsi="Times New Roman" w:eastAsia="Times New Roman" w:cs="Times New Roman"/>
                <w:color w:val="auto"/>
                <w:highlight w:val="none"/>
                <w:vertAlign w:val="baseline"/>
              </w:rPr>
            </w:pPr>
          </w:p>
        </w:tc>
        <w:tc>
          <w:tcPr>
            <w:tcW w:w="1352" w:type="dxa"/>
            <w:noWrap w:val="0"/>
            <w:vAlign w:val="center"/>
          </w:tcPr>
          <w:p w14:paraId="59A084A9">
            <w:pPr>
              <w:pStyle w:val="191"/>
              <w:jc w:val="center"/>
              <w:outlineLvl w:val="9"/>
              <w:rPr>
                <w:rStyle w:val="44"/>
                <w:rFonts w:ascii="Times New Roman" w:hAnsi="Times New Roman" w:eastAsia="Times New Roman" w:cs="Times New Roman"/>
                <w:color w:val="auto"/>
                <w:highlight w:val="none"/>
                <w:vertAlign w:val="baseline"/>
              </w:rPr>
            </w:pPr>
          </w:p>
        </w:tc>
        <w:tc>
          <w:tcPr>
            <w:tcW w:w="2269" w:type="dxa"/>
            <w:noWrap w:val="0"/>
            <w:vAlign w:val="center"/>
          </w:tcPr>
          <w:p w14:paraId="179BE598">
            <w:pPr>
              <w:pStyle w:val="191"/>
              <w:jc w:val="center"/>
              <w:outlineLvl w:val="9"/>
              <w:rPr>
                <w:rStyle w:val="44"/>
                <w:rFonts w:ascii="Times New Roman" w:hAnsi="Times New Roman" w:eastAsia="Times New Roman" w:cs="Times New Roman"/>
                <w:color w:val="auto"/>
                <w:highlight w:val="none"/>
                <w:vertAlign w:val="baseline"/>
              </w:rPr>
            </w:pPr>
          </w:p>
        </w:tc>
      </w:tr>
      <w:tr w14:paraId="3A82B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1059" w:type="dxa"/>
            <w:noWrap w:val="0"/>
            <w:vAlign w:val="center"/>
          </w:tcPr>
          <w:p w14:paraId="7C7B4758">
            <w:pPr>
              <w:pStyle w:val="191"/>
              <w:jc w:val="center"/>
              <w:outlineLvl w:val="9"/>
              <w:rPr>
                <w:rStyle w:val="44"/>
                <w:rFonts w:ascii="Times New Roman" w:hAnsi="Times New Roman" w:eastAsia="Times New Roman" w:cs="Times New Roman"/>
                <w:color w:val="auto"/>
                <w:highlight w:val="none"/>
                <w:vertAlign w:val="baseline"/>
              </w:rPr>
            </w:pPr>
          </w:p>
        </w:tc>
        <w:tc>
          <w:tcPr>
            <w:tcW w:w="2750" w:type="dxa"/>
            <w:noWrap w:val="0"/>
            <w:vAlign w:val="center"/>
          </w:tcPr>
          <w:p w14:paraId="0BA8C724">
            <w:pPr>
              <w:pStyle w:val="191"/>
              <w:jc w:val="center"/>
              <w:outlineLvl w:val="9"/>
              <w:rPr>
                <w:rStyle w:val="44"/>
                <w:rFonts w:ascii="Times New Roman" w:hAnsi="Times New Roman" w:eastAsia="Times New Roman" w:cs="Times New Roman"/>
                <w:color w:val="auto"/>
                <w:highlight w:val="none"/>
                <w:vertAlign w:val="baseline"/>
              </w:rPr>
            </w:pPr>
          </w:p>
        </w:tc>
        <w:tc>
          <w:tcPr>
            <w:tcW w:w="1307" w:type="dxa"/>
            <w:noWrap w:val="0"/>
            <w:vAlign w:val="center"/>
          </w:tcPr>
          <w:p w14:paraId="1E7107D9">
            <w:pPr>
              <w:pStyle w:val="191"/>
              <w:jc w:val="center"/>
              <w:outlineLvl w:val="9"/>
              <w:rPr>
                <w:rStyle w:val="44"/>
                <w:rFonts w:ascii="Times New Roman" w:hAnsi="Times New Roman" w:eastAsia="Times New Roman" w:cs="Times New Roman"/>
                <w:color w:val="auto"/>
                <w:highlight w:val="none"/>
                <w:vertAlign w:val="baseline"/>
              </w:rPr>
            </w:pPr>
          </w:p>
        </w:tc>
        <w:tc>
          <w:tcPr>
            <w:tcW w:w="1352" w:type="dxa"/>
            <w:noWrap w:val="0"/>
            <w:vAlign w:val="center"/>
          </w:tcPr>
          <w:p w14:paraId="4D96EA41">
            <w:pPr>
              <w:pStyle w:val="191"/>
              <w:jc w:val="center"/>
              <w:outlineLvl w:val="9"/>
              <w:rPr>
                <w:rStyle w:val="44"/>
                <w:rFonts w:ascii="Times New Roman" w:hAnsi="Times New Roman" w:eastAsia="Times New Roman" w:cs="Times New Roman"/>
                <w:color w:val="auto"/>
                <w:highlight w:val="none"/>
                <w:vertAlign w:val="baseline"/>
              </w:rPr>
            </w:pPr>
          </w:p>
        </w:tc>
        <w:tc>
          <w:tcPr>
            <w:tcW w:w="2269" w:type="dxa"/>
            <w:noWrap w:val="0"/>
            <w:vAlign w:val="center"/>
          </w:tcPr>
          <w:p w14:paraId="2E57FFD4">
            <w:pPr>
              <w:pStyle w:val="191"/>
              <w:jc w:val="center"/>
              <w:outlineLvl w:val="9"/>
              <w:rPr>
                <w:rStyle w:val="44"/>
                <w:rFonts w:ascii="Times New Roman" w:hAnsi="Times New Roman" w:eastAsia="Times New Roman" w:cs="Times New Roman"/>
                <w:color w:val="auto"/>
                <w:highlight w:val="none"/>
                <w:vertAlign w:val="baseline"/>
              </w:rPr>
            </w:pPr>
          </w:p>
        </w:tc>
      </w:tr>
      <w:tr w14:paraId="54D3C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1059" w:type="dxa"/>
            <w:noWrap w:val="0"/>
            <w:vAlign w:val="center"/>
          </w:tcPr>
          <w:p w14:paraId="7F481890">
            <w:pPr>
              <w:pStyle w:val="191"/>
              <w:jc w:val="center"/>
              <w:outlineLvl w:val="9"/>
              <w:rPr>
                <w:rStyle w:val="44"/>
                <w:rFonts w:ascii="Times New Roman" w:hAnsi="Times New Roman" w:eastAsia="Times New Roman" w:cs="Times New Roman"/>
                <w:color w:val="auto"/>
                <w:highlight w:val="none"/>
                <w:vertAlign w:val="baseline"/>
              </w:rPr>
            </w:pPr>
          </w:p>
        </w:tc>
        <w:tc>
          <w:tcPr>
            <w:tcW w:w="2750" w:type="dxa"/>
            <w:noWrap w:val="0"/>
            <w:vAlign w:val="center"/>
          </w:tcPr>
          <w:p w14:paraId="7CE55FE0">
            <w:pPr>
              <w:pStyle w:val="191"/>
              <w:jc w:val="center"/>
              <w:outlineLvl w:val="9"/>
              <w:rPr>
                <w:rStyle w:val="44"/>
                <w:rFonts w:ascii="Times New Roman" w:hAnsi="Times New Roman" w:eastAsia="Times New Roman" w:cs="Times New Roman"/>
                <w:color w:val="auto"/>
                <w:highlight w:val="none"/>
                <w:vertAlign w:val="baseline"/>
              </w:rPr>
            </w:pPr>
          </w:p>
        </w:tc>
        <w:tc>
          <w:tcPr>
            <w:tcW w:w="1307" w:type="dxa"/>
            <w:noWrap w:val="0"/>
            <w:vAlign w:val="center"/>
          </w:tcPr>
          <w:p w14:paraId="17643502">
            <w:pPr>
              <w:pStyle w:val="191"/>
              <w:jc w:val="center"/>
              <w:outlineLvl w:val="9"/>
              <w:rPr>
                <w:rStyle w:val="44"/>
                <w:rFonts w:ascii="Times New Roman" w:hAnsi="Times New Roman" w:eastAsia="Times New Roman" w:cs="Times New Roman"/>
                <w:color w:val="auto"/>
                <w:highlight w:val="none"/>
                <w:vertAlign w:val="baseline"/>
              </w:rPr>
            </w:pPr>
          </w:p>
        </w:tc>
        <w:tc>
          <w:tcPr>
            <w:tcW w:w="1352" w:type="dxa"/>
            <w:noWrap w:val="0"/>
            <w:vAlign w:val="center"/>
          </w:tcPr>
          <w:p w14:paraId="0E5FE6F4">
            <w:pPr>
              <w:pStyle w:val="191"/>
              <w:jc w:val="center"/>
              <w:outlineLvl w:val="9"/>
              <w:rPr>
                <w:rStyle w:val="44"/>
                <w:rFonts w:ascii="Times New Roman" w:hAnsi="Times New Roman" w:eastAsia="Times New Roman" w:cs="Times New Roman"/>
                <w:color w:val="auto"/>
                <w:highlight w:val="none"/>
                <w:vertAlign w:val="baseline"/>
              </w:rPr>
            </w:pPr>
          </w:p>
        </w:tc>
        <w:tc>
          <w:tcPr>
            <w:tcW w:w="2269" w:type="dxa"/>
            <w:noWrap w:val="0"/>
            <w:vAlign w:val="center"/>
          </w:tcPr>
          <w:p w14:paraId="4148AC9B">
            <w:pPr>
              <w:pStyle w:val="191"/>
              <w:jc w:val="center"/>
              <w:outlineLvl w:val="9"/>
              <w:rPr>
                <w:rStyle w:val="44"/>
                <w:rFonts w:ascii="Times New Roman" w:hAnsi="Times New Roman" w:eastAsia="Times New Roman" w:cs="Times New Roman"/>
                <w:color w:val="auto"/>
                <w:highlight w:val="none"/>
                <w:vertAlign w:val="baseline"/>
              </w:rPr>
            </w:pPr>
          </w:p>
        </w:tc>
      </w:tr>
      <w:tr w14:paraId="6F733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1059" w:type="dxa"/>
            <w:noWrap w:val="0"/>
            <w:vAlign w:val="center"/>
          </w:tcPr>
          <w:p w14:paraId="4F33A807">
            <w:pPr>
              <w:pStyle w:val="191"/>
              <w:jc w:val="center"/>
              <w:outlineLvl w:val="9"/>
              <w:rPr>
                <w:rStyle w:val="44"/>
                <w:rFonts w:ascii="Times New Roman" w:hAnsi="Times New Roman" w:eastAsia="Times New Roman" w:cs="Times New Roman"/>
                <w:color w:val="auto"/>
                <w:highlight w:val="none"/>
                <w:vertAlign w:val="baseline"/>
              </w:rPr>
            </w:pPr>
          </w:p>
        </w:tc>
        <w:tc>
          <w:tcPr>
            <w:tcW w:w="2750" w:type="dxa"/>
            <w:noWrap w:val="0"/>
            <w:vAlign w:val="center"/>
          </w:tcPr>
          <w:p w14:paraId="3248B3EB">
            <w:pPr>
              <w:pStyle w:val="191"/>
              <w:jc w:val="center"/>
              <w:outlineLvl w:val="9"/>
              <w:rPr>
                <w:rStyle w:val="44"/>
                <w:rFonts w:ascii="Times New Roman" w:hAnsi="Times New Roman" w:eastAsia="Times New Roman" w:cs="Times New Roman"/>
                <w:color w:val="auto"/>
                <w:highlight w:val="none"/>
                <w:vertAlign w:val="baseline"/>
              </w:rPr>
            </w:pPr>
          </w:p>
        </w:tc>
        <w:tc>
          <w:tcPr>
            <w:tcW w:w="1307" w:type="dxa"/>
            <w:noWrap w:val="0"/>
            <w:vAlign w:val="center"/>
          </w:tcPr>
          <w:p w14:paraId="33821281">
            <w:pPr>
              <w:pStyle w:val="191"/>
              <w:jc w:val="center"/>
              <w:outlineLvl w:val="9"/>
              <w:rPr>
                <w:rStyle w:val="44"/>
                <w:rFonts w:ascii="Times New Roman" w:hAnsi="Times New Roman" w:eastAsia="Times New Roman" w:cs="Times New Roman"/>
                <w:color w:val="auto"/>
                <w:highlight w:val="none"/>
                <w:vertAlign w:val="baseline"/>
              </w:rPr>
            </w:pPr>
          </w:p>
        </w:tc>
        <w:tc>
          <w:tcPr>
            <w:tcW w:w="1352" w:type="dxa"/>
            <w:noWrap w:val="0"/>
            <w:vAlign w:val="center"/>
          </w:tcPr>
          <w:p w14:paraId="130A16FB">
            <w:pPr>
              <w:pStyle w:val="191"/>
              <w:jc w:val="center"/>
              <w:outlineLvl w:val="9"/>
              <w:rPr>
                <w:rStyle w:val="44"/>
                <w:rFonts w:ascii="Times New Roman" w:hAnsi="Times New Roman" w:eastAsia="Times New Roman" w:cs="Times New Roman"/>
                <w:color w:val="auto"/>
                <w:highlight w:val="none"/>
                <w:vertAlign w:val="baseline"/>
              </w:rPr>
            </w:pPr>
          </w:p>
        </w:tc>
        <w:tc>
          <w:tcPr>
            <w:tcW w:w="2269" w:type="dxa"/>
            <w:noWrap w:val="0"/>
            <w:vAlign w:val="center"/>
          </w:tcPr>
          <w:p w14:paraId="50FA4AA4">
            <w:pPr>
              <w:pStyle w:val="191"/>
              <w:jc w:val="center"/>
              <w:outlineLvl w:val="9"/>
              <w:rPr>
                <w:rStyle w:val="44"/>
                <w:rFonts w:ascii="Times New Roman" w:hAnsi="Times New Roman" w:eastAsia="Times New Roman" w:cs="Times New Roman"/>
                <w:color w:val="auto"/>
                <w:highlight w:val="none"/>
                <w:vertAlign w:val="baseline"/>
              </w:rPr>
            </w:pPr>
          </w:p>
        </w:tc>
      </w:tr>
      <w:tr w14:paraId="10370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1059" w:type="dxa"/>
            <w:noWrap w:val="0"/>
            <w:vAlign w:val="center"/>
          </w:tcPr>
          <w:p w14:paraId="54DD52E1">
            <w:pPr>
              <w:pStyle w:val="191"/>
              <w:jc w:val="center"/>
              <w:outlineLvl w:val="9"/>
              <w:rPr>
                <w:rStyle w:val="44"/>
                <w:rFonts w:ascii="Times New Roman" w:hAnsi="Times New Roman" w:eastAsia="Times New Roman" w:cs="Times New Roman"/>
                <w:color w:val="auto"/>
                <w:highlight w:val="none"/>
                <w:vertAlign w:val="baseline"/>
              </w:rPr>
            </w:pPr>
          </w:p>
        </w:tc>
        <w:tc>
          <w:tcPr>
            <w:tcW w:w="2750" w:type="dxa"/>
            <w:noWrap w:val="0"/>
            <w:vAlign w:val="center"/>
          </w:tcPr>
          <w:p w14:paraId="7C144DBA">
            <w:pPr>
              <w:pStyle w:val="191"/>
              <w:jc w:val="center"/>
              <w:outlineLvl w:val="9"/>
              <w:rPr>
                <w:rStyle w:val="44"/>
                <w:rFonts w:ascii="Times New Roman" w:hAnsi="Times New Roman" w:eastAsia="Times New Roman" w:cs="Times New Roman"/>
                <w:color w:val="auto"/>
                <w:highlight w:val="none"/>
                <w:vertAlign w:val="baseline"/>
              </w:rPr>
            </w:pPr>
          </w:p>
        </w:tc>
        <w:tc>
          <w:tcPr>
            <w:tcW w:w="1307" w:type="dxa"/>
            <w:noWrap w:val="0"/>
            <w:vAlign w:val="center"/>
          </w:tcPr>
          <w:p w14:paraId="1DCE8AE5">
            <w:pPr>
              <w:pStyle w:val="191"/>
              <w:jc w:val="center"/>
              <w:outlineLvl w:val="9"/>
              <w:rPr>
                <w:rStyle w:val="44"/>
                <w:rFonts w:ascii="Times New Roman" w:hAnsi="Times New Roman" w:eastAsia="Times New Roman" w:cs="Times New Roman"/>
                <w:color w:val="auto"/>
                <w:highlight w:val="none"/>
                <w:vertAlign w:val="baseline"/>
              </w:rPr>
            </w:pPr>
          </w:p>
        </w:tc>
        <w:tc>
          <w:tcPr>
            <w:tcW w:w="1352" w:type="dxa"/>
            <w:noWrap w:val="0"/>
            <w:vAlign w:val="center"/>
          </w:tcPr>
          <w:p w14:paraId="4676FEB8">
            <w:pPr>
              <w:pStyle w:val="191"/>
              <w:jc w:val="center"/>
              <w:outlineLvl w:val="9"/>
              <w:rPr>
                <w:rStyle w:val="44"/>
                <w:rFonts w:ascii="Times New Roman" w:hAnsi="Times New Roman" w:eastAsia="Times New Roman" w:cs="Times New Roman"/>
                <w:color w:val="auto"/>
                <w:highlight w:val="none"/>
                <w:vertAlign w:val="baseline"/>
              </w:rPr>
            </w:pPr>
          </w:p>
        </w:tc>
        <w:tc>
          <w:tcPr>
            <w:tcW w:w="2269" w:type="dxa"/>
            <w:noWrap w:val="0"/>
            <w:vAlign w:val="center"/>
          </w:tcPr>
          <w:p w14:paraId="25A20173">
            <w:pPr>
              <w:pStyle w:val="191"/>
              <w:jc w:val="center"/>
              <w:outlineLvl w:val="9"/>
              <w:rPr>
                <w:rStyle w:val="44"/>
                <w:rFonts w:ascii="Times New Roman" w:hAnsi="Times New Roman" w:eastAsia="Times New Roman" w:cs="Times New Roman"/>
                <w:color w:val="auto"/>
                <w:highlight w:val="none"/>
                <w:vertAlign w:val="baseline"/>
              </w:rPr>
            </w:pPr>
          </w:p>
        </w:tc>
      </w:tr>
      <w:tr w14:paraId="1357D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1059" w:type="dxa"/>
            <w:noWrap w:val="0"/>
            <w:vAlign w:val="center"/>
          </w:tcPr>
          <w:p w14:paraId="5986B863">
            <w:pPr>
              <w:pStyle w:val="191"/>
              <w:jc w:val="center"/>
              <w:outlineLvl w:val="9"/>
              <w:rPr>
                <w:rStyle w:val="44"/>
                <w:rFonts w:ascii="Times New Roman" w:hAnsi="Times New Roman" w:eastAsia="Times New Roman" w:cs="Times New Roman"/>
                <w:color w:val="auto"/>
                <w:highlight w:val="none"/>
                <w:vertAlign w:val="baseline"/>
              </w:rPr>
            </w:pPr>
          </w:p>
        </w:tc>
        <w:tc>
          <w:tcPr>
            <w:tcW w:w="2750" w:type="dxa"/>
            <w:noWrap w:val="0"/>
            <w:vAlign w:val="center"/>
          </w:tcPr>
          <w:p w14:paraId="303B7E66">
            <w:pPr>
              <w:pStyle w:val="191"/>
              <w:jc w:val="center"/>
              <w:outlineLvl w:val="9"/>
              <w:rPr>
                <w:rStyle w:val="44"/>
                <w:rFonts w:ascii="Times New Roman" w:hAnsi="Times New Roman" w:eastAsia="Times New Roman" w:cs="Times New Roman"/>
                <w:color w:val="auto"/>
                <w:highlight w:val="none"/>
                <w:vertAlign w:val="baseline"/>
              </w:rPr>
            </w:pPr>
          </w:p>
        </w:tc>
        <w:tc>
          <w:tcPr>
            <w:tcW w:w="1307" w:type="dxa"/>
            <w:noWrap w:val="0"/>
            <w:vAlign w:val="center"/>
          </w:tcPr>
          <w:p w14:paraId="44BBC36F">
            <w:pPr>
              <w:pStyle w:val="191"/>
              <w:jc w:val="center"/>
              <w:outlineLvl w:val="9"/>
              <w:rPr>
                <w:rStyle w:val="44"/>
                <w:rFonts w:ascii="Times New Roman" w:hAnsi="Times New Roman" w:eastAsia="Times New Roman" w:cs="Times New Roman"/>
                <w:color w:val="auto"/>
                <w:highlight w:val="none"/>
                <w:vertAlign w:val="baseline"/>
              </w:rPr>
            </w:pPr>
          </w:p>
        </w:tc>
        <w:tc>
          <w:tcPr>
            <w:tcW w:w="1352" w:type="dxa"/>
            <w:noWrap w:val="0"/>
            <w:vAlign w:val="center"/>
          </w:tcPr>
          <w:p w14:paraId="786981F9">
            <w:pPr>
              <w:pStyle w:val="191"/>
              <w:jc w:val="center"/>
              <w:outlineLvl w:val="9"/>
              <w:rPr>
                <w:rStyle w:val="44"/>
                <w:rFonts w:ascii="Times New Roman" w:hAnsi="Times New Roman" w:eastAsia="Times New Roman" w:cs="Times New Roman"/>
                <w:color w:val="auto"/>
                <w:highlight w:val="none"/>
                <w:vertAlign w:val="baseline"/>
              </w:rPr>
            </w:pPr>
          </w:p>
        </w:tc>
        <w:tc>
          <w:tcPr>
            <w:tcW w:w="2269" w:type="dxa"/>
            <w:noWrap w:val="0"/>
            <w:vAlign w:val="center"/>
          </w:tcPr>
          <w:p w14:paraId="657810C8">
            <w:pPr>
              <w:pStyle w:val="191"/>
              <w:jc w:val="center"/>
              <w:outlineLvl w:val="9"/>
              <w:rPr>
                <w:rStyle w:val="44"/>
                <w:rFonts w:ascii="Times New Roman" w:hAnsi="Times New Roman" w:eastAsia="Times New Roman" w:cs="Times New Roman"/>
                <w:color w:val="auto"/>
                <w:highlight w:val="none"/>
                <w:vertAlign w:val="baseline"/>
              </w:rPr>
            </w:pPr>
          </w:p>
        </w:tc>
      </w:tr>
      <w:tr w14:paraId="4D111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1059" w:type="dxa"/>
            <w:noWrap w:val="0"/>
            <w:vAlign w:val="center"/>
          </w:tcPr>
          <w:p w14:paraId="5401660E">
            <w:pPr>
              <w:pStyle w:val="191"/>
              <w:jc w:val="center"/>
              <w:outlineLvl w:val="9"/>
              <w:rPr>
                <w:rStyle w:val="44"/>
                <w:rFonts w:ascii="Times New Roman" w:hAnsi="Times New Roman" w:eastAsia="Times New Roman" w:cs="Times New Roman"/>
                <w:color w:val="auto"/>
                <w:highlight w:val="none"/>
                <w:vertAlign w:val="baseline"/>
              </w:rPr>
            </w:pPr>
          </w:p>
        </w:tc>
        <w:tc>
          <w:tcPr>
            <w:tcW w:w="2750" w:type="dxa"/>
            <w:noWrap w:val="0"/>
            <w:vAlign w:val="center"/>
          </w:tcPr>
          <w:p w14:paraId="6A905992">
            <w:pPr>
              <w:pStyle w:val="191"/>
              <w:jc w:val="center"/>
              <w:outlineLvl w:val="9"/>
              <w:rPr>
                <w:rStyle w:val="44"/>
                <w:rFonts w:ascii="Times New Roman" w:hAnsi="Times New Roman" w:eastAsia="Times New Roman" w:cs="Times New Roman"/>
                <w:color w:val="auto"/>
                <w:highlight w:val="none"/>
                <w:vertAlign w:val="baseline"/>
              </w:rPr>
            </w:pPr>
          </w:p>
        </w:tc>
        <w:tc>
          <w:tcPr>
            <w:tcW w:w="1307" w:type="dxa"/>
            <w:noWrap w:val="0"/>
            <w:vAlign w:val="center"/>
          </w:tcPr>
          <w:p w14:paraId="6EFD41E9">
            <w:pPr>
              <w:pStyle w:val="191"/>
              <w:jc w:val="center"/>
              <w:outlineLvl w:val="9"/>
              <w:rPr>
                <w:rStyle w:val="44"/>
                <w:rFonts w:ascii="Times New Roman" w:hAnsi="Times New Roman" w:eastAsia="Times New Roman" w:cs="Times New Roman"/>
                <w:color w:val="auto"/>
                <w:highlight w:val="none"/>
                <w:vertAlign w:val="baseline"/>
              </w:rPr>
            </w:pPr>
          </w:p>
        </w:tc>
        <w:tc>
          <w:tcPr>
            <w:tcW w:w="1352" w:type="dxa"/>
            <w:noWrap w:val="0"/>
            <w:vAlign w:val="center"/>
          </w:tcPr>
          <w:p w14:paraId="5E473143">
            <w:pPr>
              <w:pStyle w:val="191"/>
              <w:jc w:val="center"/>
              <w:outlineLvl w:val="9"/>
              <w:rPr>
                <w:rStyle w:val="44"/>
                <w:rFonts w:ascii="Times New Roman" w:hAnsi="Times New Roman" w:eastAsia="Times New Roman" w:cs="Times New Roman"/>
                <w:color w:val="auto"/>
                <w:highlight w:val="none"/>
                <w:vertAlign w:val="baseline"/>
              </w:rPr>
            </w:pPr>
          </w:p>
        </w:tc>
        <w:tc>
          <w:tcPr>
            <w:tcW w:w="2269" w:type="dxa"/>
            <w:noWrap w:val="0"/>
            <w:vAlign w:val="center"/>
          </w:tcPr>
          <w:p w14:paraId="541D0A15">
            <w:pPr>
              <w:pStyle w:val="191"/>
              <w:jc w:val="center"/>
              <w:outlineLvl w:val="9"/>
              <w:rPr>
                <w:rStyle w:val="44"/>
                <w:rFonts w:ascii="Times New Roman" w:hAnsi="Times New Roman" w:eastAsia="Times New Roman" w:cs="Times New Roman"/>
                <w:color w:val="auto"/>
                <w:highlight w:val="none"/>
                <w:vertAlign w:val="baseline"/>
              </w:rPr>
            </w:pPr>
          </w:p>
        </w:tc>
      </w:tr>
      <w:tr w14:paraId="7E200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1059" w:type="dxa"/>
            <w:noWrap w:val="0"/>
            <w:vAlign w:val="center"/>
          </w:tcPr>
          <w:p w14:paraId="1FC538DD">
            <w:pPr>
              <w:pStyle w:val="191"/>
              <w:jc w:val="center"/>
              <w:outlineLvl w:val="9"/>
              <w:rPr>
                <w:rStyle w:val="44"/>
                <w:rFonts w:ascii="Times New Roman" w:hAnsi="Times New Roman" w:eastAsia="Times New Roman" w:cs="Times New Roman"/>
                <w:color w:val="auto"/>
                <w:highlight w:val="none"/>
                <w:vertAlign w:val="baseline"/>
              </w:rPr>
            </w:pPr>
          </w:p>
        </w:tc>
        <w:tc>
          <w:tcPr>
            <w:tcW w:w="2750" w:type="dxa"/>
            <w:noWrap w:val="0"/>
            <w:vAlign w:val="center"/>
          </w:tcPr>
          <w:p w14:paraId="3E2B3F46">
            <w:pPr>
              <w:pStyle w:val="191"/>
              <w:jc w:val="center"/>
              <w:outlineLvl w:val="9"/>
              <w:rPr>
                <w:rStyle w:val="44"/>
                <w:rFonts w:ascii="Times New Roman" w:hAnsi="Times New Roman" w:eastAsia="Times New Roman" w:cs="Times New Roman"/>
                <w:color w:val="auto"/>
                <w:highlight w:val="none"/>
                <w:vertAlign w:val="baseline"/>
              </w:rPr>
            </w:pPr>
          </w:p>
        </w:tc>
        <w:tc>
          <w:tcPr>
            <w:tcW w:w="1307" w:type="dxa"/>
            <w:noWrap w:val="0"/>
            <w:vAlign w:val="center"/>
          </w:tcPr>
          <w:p w14:paraId="08A28EF1">
            <w:pPr>
              <w:pStyle w:val="191"/>
              <w:jc w:val="center"/>
              <w:outlineLvl w:val="9"/>
              <w:rPr>
                <w:rStyle w:val="44"/>
                <w:rFonts w:ascii="Times New Roman" w:hAnsi="Times New Roman" w:eastAsia="Times New Roman" w:cs="Times New Roman"/>
                <w:color w:val="auto"/>
                <w:highlight w:val="none"/>
                <w:vertAlign w:val="baseline"/>
              </w:rPr>
            </w:pPr>
          </w:p>
        </w:tc>
        <w:tc>
          <w:tcPr>
            <w:tcW w:w="1352" w:type="dxa"/>
            <w:noWrap w:val="0"/>
            <w:vAlign w:val="center"/>
          </w:tcPr>
          <w:p w14:paraId="4CD673E7">
            <w:pPr>
              <w:pStyle w:val="191"/>
              <w:jc w:val="center"/>
              <w:outlineLvl w:val="9"/>
              <w:rPr>
                <w:rStyle w:val="44"/>
                <w:rFonts w:ascii="Times New Roman" w:hAnsi="Times New Roman" w:eastAsia="Times New Roman" w:cs="Times New Roman"/>
                <w:color w:val="auto"/>
                <w:highlight w:val="none"/>
                <w:vertAlign w:val="baseline"/>
              </w:rPr>
            </w:pPr>
          </w:p>
        </w:tc>
        <w:tc>
          <w:tcPr>
            <w:tcW w:w="2269" w:type="dxa"/>
            <w:noWrap w:val="0"/>
            <w:vAlign w:val="center"/>
          </w:tcPr>
          <w:p w14:paraId="4D3B087A">
            <w:pPr>
              <w:pStyle w:val="191"/>
              <w:jc w:val="center"/>
              <w:outlineLvl w:val="9"/>
              <w:rPr>
                <w:rStyle w:val="44"/>
                <w:rFonts w:ascii="Times New Roman" w:hAnsi="Times New Roman" w:eastAsia="Times New Roman" w:cs="Times New Roman"/>
                <w:color w:val="auto"/>
                <w:highlight w:val="none"/>
                <w:vertAlign w:val="baseline"/>
              </w:rPr>
            </w:pPr>
          </w:p>
        </w:tc>
      </w:tr>
    </w:tbl>
    <w:p w14:paraId="3A9DD7E8">
      <w:pPr>
        <w:keepNext w:val="0"/>
        <w:keepLines w:val="0"/>
        <w:pageBreakBefore w:val="0"/>
        <w:widowControl/>
        <w:suppressLineNumbers w:val="0"/>
        <w:kinsoku/>
        <w:wordWrap/>
        <w:overflowPunct/>
        <w:topLinePunct w:val="0"/>
        <w:autoSpaceDE/>
        <w:autoSpaceDN/>
        <w:bidi w:val="0"/>
        <w:adjustRightInd/>
        <w:snapToGrid/>
        <w:spacing w:line="360" w:lineRule="auto"/>
        <w:ind w:firstLine="1050" w:firstLineChars="5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备注：1.本表后应附表彰文件、获奖证书及其他证明材料等。 </w:t>
      </w:r>
    </w:p>
    <w:p w14:paraId="51A6355A">
      <w:pPr>
        <w:keepNext w:val="0"/>
        <w:keepLines w:val="0"/>
        <w:pageBreakBefore w:val="0"/>
        <w:widowControl/>
        <w:suppressLineNumbers w:val="0"/>
        <w:kinsoku/>
        <w:wordWrap/>
        <w:overflowPunct/>
        <w:topLinePunct w:val="0"/>
        <w:autoSpaceDE/>
        <w:autoSpaceDN/>
        <w:bidi w:val="0"/>
        <w:adjustRightInd/>
        <w:snapToGrid/>
        <w:spacing w:line="360" w:lineRule="auto"/>
        <w:ind w:firstLine="1680" w:firstLineChars="8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2.颁奖单位应当是国家机关或民政部门注册登记的合法颁奖单位。</w:t>
      </w:r>
    </w:p>
    <w:p w14:paraId="12F8676D">
      <w:pPr>
        <w:rPr>
          <w:color w:val="auto"/>
          <w:highlight w:val="none"/>
        </w:rPr>
      </w:pPr>
    </w:p>
    <w:p w14:paraId="64783D11">
      <w:pPr>
        <w:rPr>
          <w:color w:val="auto"/>
          <w:highlight w:val="none"/>
        </w:rPr>
      </w:pPr>
    </w:p>
    <w:p w14:paraId="6502921E">
      <w:pPr>
        <w:rPr>
          <w:color w:val="auto"/>
          <w:highlight w:val="none"/>
        </w:rPr>
      </w:pPr>
    </w:p>
    <w:p w14:paraId="6EAC7DF8">
      <w:pPr>
        <w:rPr>
          <w:color w:val="auto"/>
          <w:highlight w:val="none"/>
        </w:rPr>
      </w:pPr>
    </w:p>
    <w:p w14:paraId="711C277F">
      <w:pPr>
        <w:rPr>
          <w:color w:val="auto"/>
          <w:highlight w:val="none"/>
        </w:rPr>
      </w:pPr>
    </w:p>
    <w:p w14:paraId="69BED6AE">
      <w:pPr>
        <w:keepNext w:val="0"/>
        <w:keepLines w:val="0"/>
        <w:widowControl/>
        <w:suppressLineNumbers w:val="0"/>
        <w:jc w:val="center"/>
        <w:rPr>
          <w:b/>
          <w:bCs/>
          <w:color w:val="auto"/>
          <w:highlight w:val="none"/>
        </w:rPr>
      </w:pPr>
      <w:r>
        <w:rPr>
          <w:rFonts w:hint="default" w:ascii="Times New Roman" w:hAnsi="Times New Roman" w:eastAsia="宋体" w:cs="Times New Roman"/>
          <w:b/>
          <w:bCs/>
          <w:color w:val="auto"/>
          <w:kern w:val="0"/>
          <w:sz w:val="24"/>
          <w:szCs w:val="24"/>
          <w:highlight w:val="none"/>
          <w:lang w:val="en-US" w:eastAsia="zh-CN" w:bidi="ar"/>
        </w:rPr>
        <w:t xml:space="preserve">5-5 </w:t>
      </w:r>
      <w:r>
        <w:rPr>
          <w:rFonts w:ascii="黑体" w:hAnsi="宋体" w:eastAsia="黑体" w:cs="黑体"/>
          <w:b/>
          <w:bCs/>
          <w:color w:val="auto"/>
          <w:kern w:val="0"/>
          <w:sz w:val="24"/>
          <w:szCs w:val="24"/>
          <w:highlight w:val="none"/>
          <w:lang w:val="en-US" w:eastAsia="zh-CN" w:bidi="ar"/>
        </w:rPr>
        <w:t>近年获表彰情况表</w:t>
      </w:r>
    </w:p>
    <w:p w14:paraId="75781BC8">
      <w:pPr>
        <w:pStyle w:val="191"/>
        <w:jc w:val="left"/>
        <w:outlineLvl w:val="9"/>
        <w:rPr>
          <w:rStyle w:val="44"/>
          <w:rFonts w:ascii="Times New Roman" w:hAnsi="Times New Roman" w:eastAsia="Times New Roman" w:cs="Times New Roman"/>
          <w:color w:val="auto"/>
          <w:highlight w:val="none"/>
        </w:rPr>
      </w:pP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9"/>
        <w:gridCol w:w="2658"/>
        <w:gridCol w:w="1285"/>
        <w:gridCol w:w="1328"/>
        <w:gridCol w:w="2202"/>
      </w:tblGrid>
      <w:tr w14:paraId="39E68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117" w:type="dxa"/>
            <w:noWrap w:val="0"/>
            <w:vAlign w:val="center"/>
          </w:tcPr>
          <w:p w14:paraId="0D150801">
            <w:pPr>
              <w:keepNext w:val="0"/>
              <w:keepLines w:val="0"/>
              <w:widowControl/>
              <w:suppressLineNumbers w:val="0"/>
              <w:jc w:val="center"/>
              <w:rPr>
                <w:rStyle w:val="44"/>
                <w:rFonts w:ascii="Times New Roman" w:hAnsi="Times New Roman" w:eastAsia="Times New Roman" w:cs="Times New Roman"/>
                <w:color w:val="auto"/>
                <w:highlight w:val="none"/>
                <w:vertAlign w:val="baseline"/>
              </w:rPr>
            </w:pPr>
            <w:r>
              <w:rPr>
                <w:rFonts w:hint="eastAsia" w:ascii="宋体" w:hAnsi="宋体" w:eastAsia="宋体" w:cs="宋体"/>
                <w:color w:val="auto"/>
                <w:kern w:val="0"/>
                <w:sz w:val="21"/>
                <w:szCs w:val="21"/>
                <w:highlight w:val="none"/>
                <w:lang w:val="en-US" w:eastAsia="zh-CN" w:bidi="ar"/>
              </w:rPr>
              <w:t>序号</w:t>
            </w:r>
          </w:p>
        </w:tc>
        <w:tc>
          <w:tcPr>
            <w:tcW w:w="2901" w:type="dxa"/>
            <w:noWrap w:val="0"/>
            <w:vAlign w:val="center"/>
          </w:tcPr>
          <w:p w14:paraId="03F6A9A4">
            <w:pPr>
              <w:keepNext w:val="0"/>
              <w:keepLines w:val="0"/>
              <w:widowControl/>
              <w:suppressLineNumbers w:val="0"/>
              <w:jc w:val="center"/>
              <w:rPr>
                <w:rStyle w:val="44"/>
                <w:rFonts w:ascii="Times New Roman" w:hAnsi="Times New Roman" w:eastAsia="Times New Roman" w:cs="Times New Roman"/>
                <w:color w:val="auto"/>
                <w:highlight w:val="none"/>
                <w:vertAlign w:val="baseline"/>
              </w:rPr>
            </w:pPr>
            <w:r>
              <w:rPr>
                <w:rFonts w:hint="eastAsia" w:ascii="宋体" w:hAnsi="宋体" w:eastAsia="宋体" w:cs="宋体"/>
                <w:color w:val="auto"/>
                <w:kern w:val="0"/>
                <w:sz w:val="21"/>
                <w:szCs w:val="21"/>
                <w:highlight w:val="none"/>
                <w:lang w:val="en-US" w:eastAsia="zh-CN" w:bidi="ar"/>
              </w:rPr>
              <w:t>获奖主体名称</w:t>
            </w:r>
          </w:p>
        </w:tc>
        <w:tc>
          <w:tcPr>
            <w:tcW w:w="1379" w:type="dxa"/>
            <w:noWrap w:val="0"/>
            <w:vAlign w:val="center"/>
          </w:tcPr>
          <w:p w14:paraId="32B899FF">
            <w:pPr>
              <w:keepNext w:val="0"/>
              <w:keepLines w:val="0"/>
              <w:widowControl/>
              <w:suppressLineNumbers w:val="0"/>
              <w:jc w:val="center"/>
              <w:rPr>
                <w:rStyle w:val="44"/>
                <w:rFonts w:ascii="Times New Roman" w:hAnsi="Times New Roman" w:eastAsia="Times New Roman" w:cs="Times New Roman"/>
                <w:color w:val="auto"/>
                <w:highlight w:val="none"/>
                <w:vertAlign w:val="baseline"/>
              </w:rPr>
            </w:pPr>
            <w:r>
              <w:rPr>
                <w:rFonts w:hint="eastAsia" w:ascii="宋体" w:hAnsi="宋体" w:eastAsia="宋体" w:cs="宋体"/>
                <w:color w:val="auto"/>
                <w:kern w:val="0"/>
                <w:sz w:val="21"/>
                <w:szCs w:val="21"/>
                <w:highlight w:val="none"/>
                <w:lang w:val="en-US" w:eastAsia="zh-CN" w:bidi="ar"/>
              </w:rPr>
              <w:t>获奖名称</w:t>
            </w:r>
          </w:p>
        </w:tc>
        <w:tc>
          <w:tcPr>
            <w:tcW w:w="1426" w:type="dxa"/>
            <w:noWrap w:val="0"/>
            <w:vAlign w:val="center"/>
          </w:tcPr>
          <w:p w14:paraId="75DC2094">
            <w:pPr>
              <w:keepNext w:val="0"/>
              <w:keepLines w:val="0"/>
              <w:widowControl/>
              <w:suppressLineNumbers w:val="0"/>
              <w:jc w:val="center"/>
              <w:rPr>
                <w:rStyle w:val="44"/>
                <w:rFonts w:ascii="Times New Roman" w:hAnsi="Times New Roman" w:eastAsia="Times New Roman" w:cs="Times New Roman"/>
                <w:color w:val="auto"/>
                <w:highlight w:val="none"/>
                <w:vertAlign w:val="baseline"/>
              </w:rPr>
            </w:pPr>
            <w:r>
              <w:rPr>
                <w:rFonts w:hint="eastAsia" w:ascii="宋体" w:hAnsi="宋体" w:eastAsia="宋体" w:cs="宋体"/>
                <w:color w:val="auto"/>
                <w:kern w:val="0"/>
                <w:sz w:val="21"/>
                <w:szCs w:val="21"/>
                <w:highlight w:val="none"/>
                <w:lang w:val="en-US" w:eastAsia="zh-CN" w:bidi="ar"/>
              </w:rPr>
              <w:t>获奖日期</w:t>
            </w:r>
          </w:p>
        </w:tc>
        <w:tc>
          <w:tcPr>
            <w:tcW w:w="2395" w:type="dxa"/>
            <w:noWrap w:val="0"/>
            <w:vAlign w:val="center"/>
          </w:tcPr>
          <w:p w14:paraId="40077673">
            <w:pPr>
              <w:keepNext w:val="0"/>
              <w:keepLines w:val="0"/>
              <w:widowControl/>
              <w:suppressLineNumbers w:val="0"/>
              <w:jc w:val="center"/>
              <w:rPr>
                <w:rStyle w:val="44"/>
                <w:rFonts w:ascii="Times New Roman" w:hAnsi="Times New Roman" w:eastAsia="Times New Roman" w:cs="Times New Roman"/>
                <w:color w:val="auto"/>
                <w:highlight w:val="none"/>
                <w:vertAlign w:val="baseline"/>
              </w:rPr>
            </w:pPr>
            <w:r>
              <w:rPr>
                <w:rFonts w:hint="eastAsia" w:ascii="宋体" w:hAnsi="宋体" w:eastAsia="宋体" w:cs="宋体"/>
                <w:color w:val="auto"/>
                <w:kern w:val="0"/>
                <w:sz w:val="21"/>
                <w:szCs w:val="21"/>
                <w:highlight w:val="none"/>
                <w:lang w:val="en-US" w:eastAsia="zh-CN" w:bidi="ar"/>
              </w:rPr>
              <w:t>颁奖单位</w:t>
            </w:r>
          </w:p>
        </w:tc>
      </w:tr>
      <w:tr w14:paraId="21903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1117" w:type="dxa"/>
            <w:noWrap w:val="0"/>
            <w:vAlign w:val="center"/>
          </w:tcPr>
          <w:p w14:paraId="40C20985">
            <w:pPr>
              <w:pStyle w:val="191"/>
              <w:jc w:val="center"/>
              <w:outlineLvl w:val="9"/>
              <w:rPr>
                <w:rStyle w:val="44"/>
                <w:rFonts w:ascii="Times New Roman" w:hAnsi="Times New Roman" w:eastAsia="Times New Roman" w:cs="Times New Roman"/>
                <w:color w:val="auto"/>
                <w:highlight w:val="none"/>
                <w:vertAlign w:val="baseline"/>
              </w:rPr>
            </w:pPr>
          </w:p>
        </w:tc>
        <w:tc>
          <w:tcPr>
            <w:tcW w:w="2901" w:type="dxa"/>
            <w:noWrap w:val="0"/>
            <w:vAlign w:val="center"/>
          </w:tcPr>
          <w:p w14:paraId="1FB2A708">
            <w:pPr>
              <w:pStyle w:val="191"/>
              <w:jc w:val="center"/>
              <w:outlineLvl w:val="9"/>
              <w:rPr>
                <w:rStyle w:val="44"/>
                <w:rFonts w:ascii="Times New Roman" w:hAnsi="Times New Roman" w:eastAsia="Times New Roman" w:cs="Times New Roman"/>
                <w:color w:val="auto"/>
                <w:highlight w:val="none"/>
                <w:vertAlign w:val="baseline"/>
              </w:rPr>
            </w:pPr>
          </w:p>
        </w:tc>
        <w:tc>
          <w:tcPr>
            <w:tcW w:w="1379" w:type="dxa"/>
            <w:noWrap w:val="0"/>
            <w:vAlign w:val="center"/>
          </w:tcPr>
          <w:p w14:paraId="05F7A921">
            <w:pPr>
              <w:pStyle w:val="191"/>
              <w:jc w:val="center"/>
              <w:outlineLvl w:val="9"/>
              <w:rPr>
                <w:rStyle w:val="44"/>
                <w:rFonts w:ascii="Times New Roman" w:hAnsi="Times New Roman" w:eastAsia="Times New Roman" w:cs="Times New Roman"/>
                <w:color w:val="auto"/>
                <w:highlight w:val="none"/>
                <w:vertAlign w:val="baseline"/>
              </w:rPr>
            </w:pPr>
          </w:p>
        </w:tc>
        <w:tc>
          <w:tcPr>
            <w:tcW w:w="1426" w:type="dxa"/>
            <w:noWrap w:val="0"/>
            <w:vAlign w:val="center"/>
          </w:tcPr>
          <w:p w14:paraId="3549E546">
            <w:pPr>
              <w:pStyle w:val="191"/>
              <w:jc w:val="center"/>
              <w:outlineLvl w:val="9"/>
              <w:rPr>
                <w:rStyle w:val="44"/>
                <w:rFonts w:ascii="Times New Roman" w:hAnsi="Times New Roman" w:eastAsia="Times New Roman" w:cs="Times New Roman"/>
                <w:color w:val="auto"/>
                <w:highlight w:val="none"/>
                <w:vertAlign w:val="baseline"/>
              </w:rPr>
            </w:pPr>
          </w:p>
        </w:tc>
        <w:tc>
          <w:tcPr>
            <w:tcW w:w="2395" w:type="dxa"/>
            <w:noWrap w:val="0"/>
            <w:vAlign w:val="center"/>
          </w:tcPr>
          <w:p w14:paraId="4063A63D">
            <w:pPr>
              <w:pStyle w:val="191"/>
              <w:jc w:val="center"/>
              <w:outlineLvl w:val="9"/>
              <w:rPr>
                <w:rStyle w:val="44"/>
                <w:rFonts w:ascii="Times New Roman" w:hAnsi="Times New Roman" w:eastAsia="Times New Roman" w:cs="Times New Roman"/>
                <w:color w:val="auto"/>
                <w:highlight w:val="none"/>
                <w:vertAlign w:val="baseline"/>
              </w:rPr>
            </w:pPr>
          </w:p>
        </w:tc>
      </w:tr>
      <w:tr w14:paraId="51A18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1117" w:type="dxa"/>
            <w:noWrap w:val="0"/>
            <w:vAlign w:val="center"/>
          </w:tcPr>
          <w:p w14:paraId="5D99C09D">
            <w:pPr>
              <w:pStyle w:val="191"/>
              <w:jc w:val="center"/>
              <w:outlineLvl w:val="9"/>
              <w:rPr>
                <w:rStyle w:val="44"/>
                <w:rFonts w:ascii="Times New Roman" w:hAnsi="Times New Roman" w:eastAsia="Times New Roman" w:cs="Times New Roman"/>
                <w:color w:val="auto"/>
                <w:highlight w:val="none"/>
                <w:vertAlign w:val="baseline"/>
              </w:rPr>
            </w:pPr>
          </w:p>
        </w:tc>
        <w:tc>
          <w:tcPr>
            <w:tcW w:w="2901" w:type="dxa"/>
            <w:noWrap w:val="0"/>
            <w:vAlign w:val="center"/>
          </w:tcPr>
          <w:p w14:paraId="471C5D64">
            <w:pPr>
              <w:pStyle w:val="191"/>
              <w:jc w:val="center"/>
              <w:outlineLvl w:val="9"/>
              <w:rPr>
                <w:rStyle w:val="44"/>
                <w:rFonts w:ascii="Times New Roman" w:hAnsi="Times New Roman" w:eastAsia="Times New Roman" w:cs="Times New Roman"/>
                <w:color w:val="auto"/>
                <w:highlight w:val="none"/>
                <w:vertAlign w:val="baseline"/>
              </w:rPr>
            </w:pPr>
          </w:p>
        </w:tc>
        <w:tc>
          <w:tcPr>
            <w:tcW w:w="1379" w:type="dxa"/>
            <w:noWrap w:val="0"/>
            <w:vAlign w:val="center"/>
          </w:tcPr>
          <w:p w14:paraId="0662BD01">
            <w:pPr>
              <w:pStyle w:val="191"/>
              <w:jc w:val="center"/>
              <w:outlineLvl w:val="9"/>
              <w:rPr>
                <w:rStyle w:val="44"/>
                <w:rFonts w:ascii="Times New Roman" w:hAnsi="Times New Roman" w:eastAsia="Times New Roman" w:cs="Times New Roman"/>
                <w:color w:val="auto"/>
                <w:highlight w:val="none"/>
                <w:vertAlign w:val="baseline"/>
              </w:rPr>
            </w:pPr>
          </w:p>
        </w:tc>
        <w:tc>
          <w:tcPr>
            <w:tcW w:w="1426" w:type="dxa"/>
            <w:noWrap w:val="0"/>
            <w:vAlign w:val="center"/>
          </w:tcPr>
          <w:p w14:paraId="09D2A827">
            <w:pPr>
              <w:pStyle w:val="191"/>
              <w:jc w:val="center"/>
              <w:outlineLvl w:val="9"/>
              <w:rPr>
                <w:rStyle w:val="44"/>
                <w:rFonts w:ascii="Times New Roman" w:hAnsi="Times New Roman" w:eastAsia="Times New Roman" w:cs="Times New Roman"/>
                <w:color w:val="auto"/>
                <w:highlight w:val="none"/>
                <w:vertAlign w:val="baseline"/>
              </w:rPr>
            </w:pPr>
          </w:p>
        </w:tc>
        <w:tc>
          <w:tcPr>
            <w:tcW w:w="2395" w:type="dxa"/>
            <w:noWrap w:val="0"/>
            <w:vAlign w:val="center"/>
          </w:tcPr>
          <w:p w14:paraId="73EBEDAC">
            <w:pPr>
              <w:pStyle w:val="191"/>
              <w:jc w:val="center"/>
              <w:outlineLvl w:val="9"/>
              <w:rPr>
                <w:rStyle w:val="44"/>
                <w:rFonts w:ascii="Times New Roman" w:hAnsi="Times New Roman" w:eastAsia="Times New Roman" w:cs="Times New Roman"/>
                <w:color w:val="auto"/>
                <w:highlight w:val="none"/>
                <w:vertAlign w:val="baseline"/>
              </w:rPr>
            </w:pPr>
          </w:p>
        </w:tc>
      </w:tr>
      <w:tr w14:paraId="45245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1117" w:type="dxa"/>
            <w:noWrap w:val="0"/>
            <w:vAlign w:val="center"/>
          </w:tcPr>
          <w:p w14:paraId="5D8C4DDF">
            <w:pPr>
              <w:pStyle w:val="191"/>
              <w:jc w:val="center"/>
              <w:outlineLvl w:val="9"/>
              <w:rPr>
                <w:rStyle w:val="44"/>
                <w:rFonts w:ascii="Times New Roman" w:hAnsi="Times New Roman" w:eastAsia="Times New Roman" w:cs="Times New Roman"/>
                <w:color w:val="auto"/>
                <w:highlight w:val="none"/>
                <w:vertAlign w:val="baseline"/>
              </w:rPr>
            </w:pPr>
          </w:p>
        </w:tc>
        <w:tc>
          <w:tcPr>
            <w:tcW w:w="2901" w:type="dxa"/>
            <w:noWrap w:val="0"/>
            <w:vAlign w:val="center"/>
          </w:tcPr>
          <w:p w14:paraId="2AB4474D">
            <w:pPr>
              <w:pStyle w:val="191"/>
              <w:jc w:val="center"/>
              <w:outlineLvl w:val="9"/>
              <w:rPr>
                <w:rStyle w:val="44"/>
                <w:rFonts w:ascii="Times New Roman" w:hAnsi="Times New Roman" w:eastAsia="Times New Roman" w:cs="Times New Roman"/>
                <w:color w:val="auto"/>
                <w:highlight w:val="none"/>
                <w:vertAlign w:val="baseline"/>
              </w:rPr>
            </w:pPr>
          </w:p>
        </w:tc>
        <w:tc>
          <w:tcPr>
            <w:tcW w:w="1379" w:type="dxa"/>
            <w:noWrap w:val="0"/>
            <w:vAlign w:val="center"/>
          </w:tcPr>
          <w:p w14:paraId="0C4DA2FC">
            <w:pPr>
              <w:pStyle w:val="191"/>
              <w:jc w:val="center"/>
              <w:outlineLvl w:val="9"/>
              <w:rPr>
                <w:rStyle w:val="44"/>
                <w:rFonts w:ascii="Times New Roman" w:hAnsi="Times New Roman" w:eastAsia="Times New Roman" w:cs="Times New Roman"/>
                <w:color w:val="auto"/>
                <w:highlight w:val="none"/>
                <w:vertAlign w:val="baseline"/>
              </w:rPr>
            </w:pPr>
          </w:p>
        </w:tc>
        <w:tc>
          <w:tcPr>
            <w:tcW w:w="1426" w:type="dxa"/>
            <w:noWrap w:val="0"/>
            <w:vAlign w:val="center"/>
          </w:tcPr>
          <w:p w14:paraId="0CB6B8A4">
            <w:pPr>
              <w:pStyle w:val="191"/>
              <w:jc w:val="center"/>
              <w:outlineLvl w:val="9"/>
              <w:rPr>
                <w:rStyle w:val="44"/>
                <w:rFonts w:ascii="Times New Roman" w:hAnsi="Times New Roman" w:eastAsia="Times New Roman" w:cs="Times New Roman"/>
                <w:color w:val="auto"/>
                <w:highlight w:val="none"/>
                <w:vertAlign w:val="baseline"/>
              </w:rPr>
            </w:pPr>
          </w:p>
        </w:tc>
        <w:tc>
          <w:tcPr>
            <w:tcW w:w="2395" w:type="dxa"/>
            <w:noWrap w:val="0"/>
            <w:vAlign w:val="center"/>
          </w:tcPr>
          <w:p w14:paraId="786BAE33">
            <w:pPr>
              <w:pStyle w:val="191"/>
              <w:jc w:val="center"/>
              <w:outlineLvl w:val="9"/>
              <w:rPr>
                <w:rStyle w:val="44"/>
                <w:rFonts w:ascii="Times New Roman" w:hAnsi="Times New Roman" w:eastAsia="Times New Roman" w:cs="Times New Roman"/>
                <w:color w:val="auto"/>
                <w:highlight w:val="none"/>
                <w:vertAlign w:val="baseline"/>
              </w:rPr>
            </w:pPr>
          </w:p>
        </w:tc>
      </w:tr>
      <w:tr w14:paraId="2F10B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1117" w:type="dxa"/>
            <w:noWrap w:val="0"/>
            <w:vAlign w:val="center"/>
          </w:tcPr>
          <w:p w14:paraId="59387649">
            <w:pPr>
              <w:pStyle w:val="191"/>
              <w:jc w:val="center"/>
              <w:outlineLvl w:val="9"/>
              <w:rPr>
                <w:rStyle w:val="44"/>
                <w:rFonts w:ascii="Times New Roman" w:hAnsi="Times New Roman" w:eastAsia="Times New Roman" w:cs="Times New Roman"/>
                <w:color w:val="auto"/>
                <w:highlight w:val="none"/>
                <w:vertAlign w:val="baseline"/>
              </w:rPr>
            </w:pPr>
          </w:p>
        </w:tc>
        <w:tc>
          <w:tcPr>
            <w:tcW w:w="2901" w:type="dxa"/>
            <w:noWrap w:val="0"/>
            <w:vAlign w:val="center"/>
          </w:tcPr>
          <w:p w14:paraId="5D7B30AC">
            <w:pPr>
              <w:pStyle w:val="191"/>
              <w:jc w:val="center"/>
              <w:outlineLvl w:val="9"/>
              <w:rPr>
                <w:rStyle w:val="44"/>
                <w:rFonts w:ascii="Times New Roman" w:hAnsi="Times New Roman" w:eastAsia="Times New Roman" w:cs="Times New Roman"/>
                <w:color w:val="auto"/>
                <w:highlight w:val="none"/>
                <w:vertAlign w:val="baseline"/>
              </w:rPr>
            </w:pPr>
          </w:p>
        </w:tc>
        <w:tc>
          <w:tcPr>
            <w:tcW w:w="1379" w:type="dxa"/>
            <w:noWrap w:val="0"/>
            <w:vAlign w:val="center"/>
          </w:tcPr>
          <w:p w14:paraId="0DBDFD42">
            <w:pPr>
              <w:pStyle w:val="191"/>
              <w:jc w:val="center"/>
              <w:outlineLvl w:val="9"/>
              <w:rPr>
                <w:rStyle w:val="44"/>
                <w:rFonts w:ascii="Times New Roman" w:hAnsi="Times New Roman" w:eastAsia="Times New Roman" w:cs="Times New Roman"/>
                <w:color w:val="auto"/>
                <w:highlight w:val="none"/>
                <w:vertAlign w:val="baseline"/>
              </w:rPr>
            </w:pPr>
          </w:p>
        </w:tc>
        <w:tc>
          <w:tcPr>
            <w:tcW w:w="1426" w:type="dxa"/>
            <w:noWrap w:val="0"/>
            <w:vAlign w:val="center"/>
          </w:tcPr>
          <w:p w14:paraId="2A86C3D1">
            <w:pPr>
              <w:pStyle w:val="191"/>
              <w:jc w:val="center"/>
              <w:outlineLvl w:val="9"/>
              <w:rPr>
                <w:rStyle w:val="44"/>
                <w:rFonts w:ascii="Times New Roman" w:hAnsi="Times New Roman" w:eastAsia="Times New Roman" w:cs="Times New Roman"/>
                <w:color w:val="auto"/>
                <w:highlight w:val="none"/>
                <w:vertAlign w:val="baseline"/>
              </w:rPr>
            </w:pPr>
          </w:p>
        </w:tc>
        <w:tc>
          <w:tcPr>
            <w:tcW w:w="2395" w:type="dxa"/>
            <w:noWrap w:val="0"/>
            <w:vAlign w:val="center"/>
          </w:tcPr>
          <w:p w14:paraId="02DA3AD7">
            <w:pPr>
              <w:pStyle w:val="191"/>
              <w:jc w:val="center"/>
              <w:outlineLvl w:val="9"/>
              <w:rPr>
                <w:rStyle w:val="44"/>
                <w:rFonts w:ascii="Times New Roman" w:hAnsi="Times New Roman" w:eastAsia="Times New Roman" w:cs="Times New Roman"/>
                <w:color w:val="auto"/>
                <w:highlight w:val="none"/>
                <w:vertAlign w:val="baseline"/>
              </w:rPr>
            </w:pPr>
          </w:p>
        </w:tc>
      </w:tr>
      <w:tr w14:paraId="65171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1117" w:type="dxa"/>
            <w:noWrap w:val="0"/>
            <w:vAlign w:val="center"/>
          </w:tcPr>
          <w:p w14:paraId="38BD15BE">
            <w:pPr>
              <w:pStyle w:val="191"/>
              <w:jc w:val="center"/>
              <w:outlineLvl w:val="9"/>
              <w:rPr>
                <w:rStyle w:val="44"/>
                <w:rFonts w:ascii="Times New Roman" w:hAnsi="Times New Roman" w:eastAsia="Times New Roman" w:cs="Times New Roman"/>
                <w:color w:val="auto"/>
                <w:highlight w:val="none"/>
                <w:vertAlign w:val="baseline"/>
              </w:rPr>
            </w:pPr>
          </w:p>
        </w:tc>
        <w:tc>
          <w:tcPr>
            <w:tcW w:w="2901" w:type="dxa"/>
            <w:noWrap w:val="0"/>
            <w:vAlign w:val="center"/>
          </w:tcPr>
          <w:p w14:paraId="4AF32B66">
            <w:pPr>
              <w:pStyle w:val="191"/>
              <w:jc w:val="center"/>
              <w:outlineLvl w:val="9"/>
              <w:rPr>
                <w:rStyle w:val="44"/>
                <w:rFonts w:ascii="Times New Roman" w:hAnsi="Times New Roman" w:eastAsia="Times New Roman" w:cs="Times New Roman"/>
                <w:color w:val="auto"/>
                <w:highlight w:val="none"/>
                <w:vertAlign w:val="baseline"/>
              </w:rPr>
            </w:pPr>
          </w:p>
        </w:tc>
        <w:tc>
          <w:tcPr>
            <w:tcW w:w="1379" w:type="dxa"/>
            <w:noWrap w:val="0"/>
            <w:vAlign w:val="center"/>
          </w:tcPr>
          <w:p w14:paraId="39DA7BBA">
            <w:pPr>
              <w:pStyle w:val="191"/>
              <w:jc w:val="center"/>
              <w:outlineLvl w:val="9"/>
              <w:rPr>
                <w:rStyle w:val="44"/>
                <w:rFonts w:ascii="Times New Roman" w:hAnsi="Times New Roman" w:eastAsia="Times New Roman" w:cs="Times New Roman"/>
                <w:color w:val="auto"/>
                <w:highlight w:val="none"/>
                <w:vertAlign w:val="baseline"/>
              </w:rPr>
            </w:pPr>
          </w:p>
        </w:tc>
        <w:tc>
          <w:tcPr>
            <w:tcW w:w="1426" w:type="dxa"/>
            <w:noWrap w:val="0"/>
            <w:vAlign w:val="center"/>
          </w:tcPr>
          <w:p w14:paraId="0BD8BFA7">
            <w:pPr>
              <w:pStyle w:val="191"/>
              <w:jc w:val="center"/>
              <w:outlineLvl w:val="9"/>
              <w:rPr>
                <w:rStyle w:val="44"/>
                <w:rFonts w:ascii="Times New Roman" w:hAnsi="Times New Roman" w:eastAsia="Times New Roman" w:cs="Times New Roman"/>
                <w:color w:val="auto"/>
                <w:highlight w:val="none"/>
                <w:vertAlign w:val="baseline"/>
              </w:rPr>
            </w:pPr>
          </w:p>
        </w:tc>
        <w:tc>
          <w:tcPr>
            <w:tcW w:w="2395" w:type="dxa"/>
            <w:noWrap w:val="0"/>
            <w:vAlign w:val="center"/>
          </w:tcPr>
          <w:p w14:paraId="04FC53FA">
            <w:pPr>
              <w:pStyle w:val="191"/>
              <w:jc w:val="center"/>
              <w:outlineLvl w:val="9"/>
              <w:rPr>
                <w:rStyle w:val="44"/>
                <w:rFonts w:ascii="Times New Roman" w:hAnsi="Times New Roman" w:eastAsia="Times New Roman" w:cs="Times New Roman"/>
                <w:color w:val="auto"/>
                <w:highlight w:val="none"/>
                <w:vertAlign w:val="baseline"/>
              </w:rPr>
            </w:pPr>
          </w:p>
        </w:tc>
      </w:tr>
      <w:tr w14:paraId="4FCC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6" w:hRule="atLeast"/>
          <w:jc w:val="center"/>
        </w:trPr>
        <w:tc>
          <w:tcPr>
            <w:tcW w:w="1117" w:type="dxa"/>
            <w:noWrap w:val="0"/>
            <w:vAlign w:val="center"/>
          </w:tcPr>
          <w:p w14:paraId="476FF804">
            <w:pPr>
              <w:pStyle w:val="191"/>
              <w:jc w:val="center"/>
              <w:outlineLvl w:val="9"/>
              <w:rPr>
                <w:rStyle w:val="44"/>
                <w:rFonts w:ascii="Times New Roman" w:hAnsi="Times New Roman" w:eastAsia="Times New Roman" w:cs="Times New Roman"/>
                <w:color w:val="auto"/>
                <w:highlight w:val="none"/>
                <w:vertAlign w:val="baseline"/>
              </w:rPr>
            </w:pPr>
          </w:p>
        </w:tc>
        <w:tc>
          <w:tcPr>
            <w:tcW w:w="2901" w:type="dxa"/>
            <w:noWrap w:val="0"/>
            <w:vAlign w:val="center"/>
          </w:tcPr>
          <w:p w14:paraId="377151DC">
            <w:pPr>
              <w:pStyle w:val="191"/>
              <w:jc w:val="center"/>
              <w:outlineLvl w:val="9"/>
              <w:rPr>
                <w:rStyle w:val="44"/>
                <w:rFonts w:ascii="Times New Roman" w:hAnsi="Times New Roman" w:eastAsia="Times New Roman" w:cs="Times New Roman"/>
                <w:color w:val="auto"/>
                <w:highlight w:val="none"/>
                <w:vertAlign w:val="baseline"/>
              </w:rPr>
            </w:pPr>
          </w:p>
        </w:tc>
        <w:tc>
          <w:tcPr>
            <w:tcW w:w="1379" w:type="dxa"/>
            <w:noWrap w:val="0"/>
            <w:vAlign w:val="center"/>
          </w:tcPr>
          <w:p w14:paraId="2150C4EE">
            <w:pPr>
              <w:pStyle w:val="191"/>
              <w:jc w:val="center"/>
              <w:outlineLvl w:val="9"/>
              <w:rPr>
                <w:rStyle w:val="44"/>
                <w:rFonts w:ascii="Times New Roman" w:hAnsi="Times New Roman" w:eastAsia="Times New Roman" w:cs="Times New Roman"/>
                <w:color w:val="auto"/>
                <w:highlight w:val="none"/>
                <w:vertAlign w:val="baseline"/>
              </w:rPr>
            </w:pPr>
          </w:p>
        </w:tc>
        <w:tc>
          <w:tcPr>
            <w:tcW w:w="1426" w:type="dxa"/>
            <w:noWrap w:val="0"/>
            <w:vAlign w:val="center"/>
          </w:tcPr>
          <w:p w14:paraId="24F47D2C">
            <w:pPr>
              <w:pStyle w:val="191"/>
              <w:jc w:val="center"/>
              <w:outlineLvl w:val="9"/>
              <w:rPr>
                <w:rStyle w:val="44"/>
                <w:rFonts w:ascii="Times New Roman" w:hAnsi="Times New Roman" w:eastAsia="Times New Roman" w:cs="Times New Roman"/>
                <w:color w:val="auto"/>
                <w:highlight w:val="none"/>
                <w:vertAlign w:val="baseline"/>
              </w:rPr>
            </w:pPr>
          </w:p>
        </w:tc>
        <w:tc>
          <w:tcPr>
            <w:tcW w:w="2395" w:type="dxa"/>
            <w:noWrap w:val="0"/>
            <w:vAlign w:val="center"/>
          </w:tcPr>
          <w:p w14:paraId="4B7A1EEA">
            <w:pPr>
              <w:pStyle w:val="191"/>
              <w:jc w:val="center"/>
              <w:outlineLvl w:val="9"/>
              <w:rPr>
                <w:rStyle w:val="44"/>
                <w:rFonts w:ascii="Times New Roman" w:hAnsi="Times New Roman" w:eastAsia="Times New Roman" w:cs="Times New Roman"/>
                <w:color w:val="auto"/>
                <w:highlight w:val="none"/>
                <w:vertAlign w:val="baseline"/>
              </w:rPr>
            </w:pPr>
          </w:p>
        </w:tc>
      </w:tr>
      <w:tr w14:paraId="0D444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1117" w:type="dxa"/>
            <w:noWrap w:val="0"/>
            <w:vAlign w:val="center"/>
          </w:tcPr>
          <w:p w14:paraId="4D1D384E">
            <w:pPr>
              <w:pStyle w:val="191"/>
              <w:jc w:val="center"/>
              <w:outlineLvl w:val="9"/>
              <w:rPr>
                <w:rStyle w:val="44"/>
                <w:rFonts w:ascii="Times New Roman" w:hAnsi="Times New Roman" w:eastAsia="Times New Roman" w:cs="Times New Roman"/>
                <w:color w:val="auto"/>
                <w:highlight w:val="none"/>
                <w:vertAlign w:val="baseline"/>
              </w:rPr>
            </w:pPr>
          </w:p>
        </w:tc>
        <w:tc>
          <w:tcPr>
            <w:tcW w:w="2901" w:type="dxa"/>
            <w:noWrap w:val="0"/>
            <w:vAlign w:val="center"/>
          </w:tcPr>
          <w:p w14:paraId="3697E6C1">
            <w:pPr>
              <w:pStyle w:val="191"/>
              <w:jc w:val="center"/>
              <w:outlineLvl w:val="9"/>
              <w:rPr>
                <w:rStyle w:val="44"/>
                <w:rFonts w:ascii="Times New Roman" w:hAnsi="Times New Roman" w:eastAsia="Times New Roman" w:cs="Times New Roman"/>
                <w:color w:val="auto"/>
                <w:highlight w:val="none"/>
                <w:vertAlign w:val="baseline"/>
              </w:rPr>
            </w:pPr>
          </w:p>
        </w:tc>
        <w:tc>
          <w:tcPr>
            <w:tcW w:w="1379" w:type="dxa"/>
            <w:noWrap w:val="0"/>
            <w:vAlign w:val="center"/>
          </w:tcPr>
          <w:p w14:paraId="739DBF66">
            <w:pPr>
              <w:pStyle w:val="191"/>
              <w:jc w:val="center"/>
              <w:outlineLvl w:val="9"/>
              <w:rPr>
                <w:rStyle w:val="44"/>
                <w:rFonts w:ascii="Times New Roman" w:hAnsi="Times New Roman" w:eastAsia="Times New Roman" w:cs="Times New Roman"/>
                <w:color w:val="auto"/>
                <w:highlight w:val="none"/>
                <w:vertAlign w:val="baseline"/>
              </w:rPr>
            </w:pPr>
          </w:p>
        </w:tc>
        <w:tc>
          <w:tcPr>
            <w:tcW w:w="1426" w:type="dxa"/>
            <w:noWrap w:val="0"/>
            <w:vAlign w:val="center"/>
          </w:tcPr>
          <w:p w14:paraId="2AF19437">
            <w:pPr>
              <w:pStyle w:val="191"/>
              <w:jc w:val="center"/>
              <w:outlineLvl w:val="9"/>
              <w:rPr>
                <w:rStyle w:val="44"/>
                <w:rFonts w:ascii="Times New Roman" w:hAnsi="Times New Roman" w:eastAsia="Times New Roman" w:cs="Times New Roman"/>
                <w:color w:val="auto"/>
                <w:highlight w:val="none"/>
                <w:vertAlign w:val="baseline"/>
              </w:rPr>
            </w:pPr>
          </w:p>
        </w:tc>
        <w:tc>
          <w:tcPr>
            <w:tcW w:w="2395" w:type="dxa"/>
            <w:noWrap w:val="0"/>
            <w:vAlign w:val="center"/>
          </w:tcPr>
          <w:p w14:paraId="60C61BED">
            <w:pPr>
              <w:pStyle w:val="191"/>
              <w:jc w:val="center"/>
              <w:outlineLvl w:val="9"/>
              <w:rPr>
                <w:rStyle w:val="44"/>
                <w:rFonts w:ascii="Times New Roman" w:hAnsi="Times New Roman" w:eastAsia="Times New Roman" w:cs="Times New Roman"/>
                <w:color w:val="auto"/>
                <w:highlight w:val="none"/>
                <w:vertAlign w:val="baseline"/>
              </w:rPr>
            </w:pPr>
          </w:p>
        </w:tc>
      </w:tr>
      <w:tr w14:paraId="65A3E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1117" w:type="dxa"/>
            <w:noWrap w:val="0"/>
            <w:vAlign w:val="center"/>
          </w:tcPr>
          <w:p w14:paraId="6EA6DA2C">
            <w:pPr>
              <w:pStyle w:val="191"/>
              <w:jc w:val="center"/>
              <w:outlineLvl w:val="9"/>
              <w:rPr>
                <w:rStyle w:val="44"/>
                <w:rFonts w:ascii="Times New Roman" w:hAnsi="Times New Roman" w:eastAsia="Times New Roman" w:cs="Times New Roman"/>
                <w:color w:val="auto"/>
                <w:highlight w:val="none"/>
                <w:vertAlign w:val="baseline"/>
              </w:rPr>
            </w:pPr>
          </w:p>
        </w:tc>
        <w:tc>
          <w:tcPr>
            <w:tcW w:w="2901" w:type="dxa"/>
            <w:noWrap w:val="0"/>
            <w:vAlign w:val="center"/>
          </w:tcPr>
          <w:p w14:paraId="677883B7">
            <w:pPr>
              <w:pStyle w:val="191"/>
              <w:jc w:val="center"/>
              <w:outlineLvl w:val="9"/>
              <w:rPr>
                <w:rStyle w:val="44"/>
                <w:rFonts w:ascii="Times New Roman" w:hAnsi="Times New Roman" w:eastAsia="Times New Roman" w:cs="Times New Roman"/>
                <w:color w:val="auto"/>
                <w:highlight w:val="none"/>
                <w:vertAlign w:val="baseline"/>
              </w:rPr>
            </w:pPr>
          </w:p>
        </w:tc>
        <w:tc>
          <w:tcPr>
            <w:tcW w:w="1379" w:type="dxa"/>
            <w:noWrap w:val="0"/>
            <w:vAlign w:val="center"/>
          </w:tcPr>
          <w:p w14:paraId="6168F2DF">
            <w:pPr>
              <w:pStyle w:val="191"/>
              <w:jc w:val="center"/>
              <w:outlineLvl w:val="9"/>
              <w:rPr>
                <w:rStyle w:val="44"/>
                <w:rFonts w:ascii="Times New Roman" w:hAnsi="Times New Roman" w:eastAsia="Times New Roman" w:cs="Times New Roman"/>
                <w:color w:val="auto"/>
                <w:highlight w:val="none"/>
                <w:vertAlign w:val="baseline"/>
              </w:rPr>
            </w:pPr>
          </w:p>
        </w:tc>
        <w:tc>
          <w:tcPr>
            <w:tcW w:w="1426" w:type="dxa"/>
            <w:noWrap w:val="0"/>
            <w:vAlign w:val="center"/>
          </w:tcPr>
          <w:p w14:paraId="4D76B463">
            <w:pPr>
              <w:pStyle w:val="191"/>
              <w:jc w:val="center"/>
              <w:outlineLvl w:val="9"/>
              <w:rPr>
                <w:rStyle w:val="44"/>
                <w:rFonts w:ascii="Times New Roman" w:hAnsi="Times New Roman" w:eastAsia="Times New Roman" w:cs="Times New Roman"/>
                <w:color w:val="auto"/>
                <w:highlight w:val="none"/>
                <w:vertAlign w:val="baseline"/>
              </w:rPr>
            </w:pPr>
          </w:p>
        </w:tc>
        <w:tc>
          <w:tcPr>
            <w:tcW w:w="2395" w:type="dxa"/>
            <w:noWrap w:val="0"/>
            <w:vAlign w:val="center"/>
          </w:tcPr>
          <w:p w14:paraId="4EF45961">
            <w:pPr>
              <w:pStyle w:val="191"/>
              <w:jc w:val="center"/>
              <w:outlineLvl w:val="9"/>
              <w:rPr>
                <w:rStyle w:val="44"/>
                <w:rFonts w:ascii="Times New Roman" w:hAnsi="Times New Roman" w:eastAsia="Times New Roman" w:cs="Times New Roman"/>
                <w:color w:val="auto"/>
                <w:highlight w:val="none"/>
                <w:vertAlign w:val="baseline"/>
              </w:rPr>
            </w:pPr>
          </w:p>
        </w:tc>
      </w:tr>
      <w:tr w14:paraId="3A394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1117" w:type="dxa"/>
            <w:noWrap w:val="0"/>
            <w:vAlign w:val="center"/>
          </w:tcPr>
          <w:p w14:paraId="52D7FF5A">
            <w:pPr>
              <w:pStyle w:val="191"/>
              <w:jc w:val="center"/>
              <w:outlineLvl w:val="9"/>
              <w:rPr>
                <w:rStyle w:val="44"/>
                <w:rFonts w:ascii="Times New Roman" w:hAnsi="Times New Roman" w:eastAsia="Times New Roman" w:cs="Times New Roman"/>
                <w:color w:val="auto"/>
                <w:highlight w:val="none"/>
                <w:vertAlign w:val="baseline"/>
              </w:rPr>
            </w:pPr>
          </w:p>
        </w:tc>
        <w:tc>
          <w:tcPr>
            <w:tcW w:w="2901" w:type="dxa"/>
            <w:noWrap w:val="0"/>
            <w:vAlign w:val="center"/>
          </w:tcPr>
          <w:p w14:paraId="3093D36E">
            <w:pPr>
              <w:pStyle w:val="191"/>
              <w:jc w:val="center"/>
              <w:outlineLvl w:val="9"/>
              <w:rPr>
                <w:rStyle w:val="44"/>
                <w:rFonts w:ascii="Times New Roman" w:hAnsi="Times New Roman" w:eastAsia="Times New Roman" w:cs="Times New Roman"/>
                <w:color w:val="auto"/>
                <w:highlight w:val="none"/>
                <w:vertAlign w:val="baseline"/>
              </w:rPr>
            </w:pPr>
          </w:p>
        </w:tc>
        <w:tc>
          <w:tcPr>
            <w:tcW w:w="1379" w:type="dxa"/>
            <w:noWrap w:val="0"/>
            <w:vAlign w:val="center"/>
          </w:tcPr>
          <w:p w14:paraId="5E81F5BB">
            <w:pPr>
              <w:pStyle w:val="191"/>
              <w:jc w:val="center"/>
              <w:outlineLvl w:val="9"/>
              <w:rPr>
                <w:rStyle w:val="44"/>
                <w:rFonts w:ascii="Times New Roman" w:hAnsi="Times New Roman" w:eastAsia="Times New Roman" w:cs="Times New Roman"/>
                <w:color w:val="auto"/>
                <w:highlight w:val="none"/>
                <w:vertAlign w:val="baseline"/>
              </w:rPr>
            </w:pPr>
          </w:p>
        </w:tc>
        <w:tc>
          <w:tcPr>
            <w:tcW w:w="1426" w:type="dxa"/>
            <w:noWrap w:val="0"/>
            <w:vAlign w:val="center"/>
          </w:tcPr>
          <w:p w14:paraId="17CC4919">
            <w:pPr>
              <w:pStyle w:val="191"/>
              <w:jc w:val="center"/>
              <w:outlineLvl w:val="9"/>
              <w:rPr>
                <w:rStyle w:val="44"/>
                <w:rFonts w:ascii="Times New Roman" w:hAnsi="Times New Roman" w:eastAsia="Times New Roman" w:cs="Times New Roman"/>
                <w:color w:val="auto"/>
                <w:highlight w:val="none"/>
                <w:vertAlign w:val="baseline"/>
              </w:rPr>
            </w:pPr>
          </w:p>
        </w:tc>
        <w:tc>
          <w:tcPr>
            <w:tcW w:w="2395" w:type="dxa"/>
            <w:noWrap w:val="0"/>
            <w:vAlign w:val="center"/>
          </w:tcPr>
          <w:p w14:paraId="44814E16">
            <w:pPr>
              <w:pStyle w:val="191"/>
              <w:jc w:val="center"/>
              <w:outlineLvl w:val="9"/>
              <w:rPr>
                <w:rStyle w:val="44"/>
                <w:rFonts w:ascii="Times New Roman" w:hAnsi="Times New Roman" w:eastAsia="Times New Roman" w:cs="Times New Roman"/>
                <w:color w:val="auto"/>
                <w:highlight w:val="none"/>
                <w:vertAlign w:val="baseline"/>
              </w:rPr>
            </w:pPr>
          </w:p>
        </w:tc>
      </w:tr>
      <w:tr w14:paraId="193A0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1117" w:type="dxa"/>
            <w:noWrap w:val="0"/>
            <w:vAlign w:val="center"/>
          </w:tcPr>
          <w:p w14:paraId="1D072510">
            <w:pPr>
              <w:pStyle w:val="191"/>
              <w:jc w:val="center"/>
              <w:outlineLvl w:val="9"/>
              <w:rPr>
                <w:rStyle w:val="44"/>
                <w:rFonts w:ascii="Times New Roman" w:hAnsi="Times New Roman" w:eastAsia="Times New Roman" w:cs="Times New Roman"/>
                <w:color w:val="auto"/>
                <w:highlight w:val="none"/>
                <w:vertAlign w:val="baseline"/>
              </w:rPr>
            </w:pPr>
          </w:p>
        </w:tc>
        <w:tc>
          <w:tcPr>
            <w:tcW w:w="2901" w:type="dxa"/>
            <w:noWrap w:val="0"/>
            <w:vAlign w:val="center"/>
          </w:tcPr>
          <w:p w14:paraId="76096CCB">
            <w:pPr>
              <w:pStyle w:val="191"/>
              <w:jc w:val="center"/>
              <w:outlineLvl w:val="9"/>
              <w:rPr>
                <w:rStyle w:val="44"/>
                <w:rFonts w:ascii="Times New Roman" w:hAnsi="Times New Roman" w:eastAsia="Times New Roman" w:cs="Times New Roman"/>
                <w:color w:val="auto"/>
                <w:highlight w:val="none"/>
                <w:vertAlign w:val="baseline"/>
              </w:rPr>
            </w:pPr>
          </w:p>
        </w:tc>
        <w:tc>
          <w:tcPr>
            <w:tcW w:w="1379" w:type="dxa"/>
            <w:noWrap w:val="0"/>
            <w:vAlign w:val="center"/>
          </w:tcPr>
          <w:p w14:paraId="4F29379B">
            <w:pPr>
              <w:pStyle w:val="191"/>
              <w:jc w:val="center"/>
              <w:outlineLvl w:val="9"/>
              <w:rPr>
                <w:rStyle w:val="44"/>
                <w:rFonts w:ascii="Times New Roman" w:hAnsi="Times New Roman" w:eastAsia="Times New Roman" w:cs="Times New Roman"/>
                <w:color w:val="auto"/>
                <w:highlight w:val="none"/>
                <w:vertAlign w:val="baseline"/>
              </w:rPr>
            </w:pPr>
          </w:p>
        </w:tc>
        <w:tc>
          <w:tcPr>
            <w:tcW w:w="1426" w:type="dxa"/>
            <w:noWrap w:val="0"/>
            <w:vAlign w:val="center"/>
          </w:tcPr>
          <w:p w14:paraId="0E6966AF">
            <w:pPr>
              <w:pStyle w:val="191"/>
              <w:jc w:val="center"/>
              <w:outlineLvl w:val="9"/>
              <w:rPr>
                <w:rStyle w:val="44"/>
                <w:rFonts w:ascii="Times New Roman" w:hAnsi="Times New Roman" w:eastAsia="Times New Roman" w:cs="Times New Roman"/>
                <w:color w:val="auto"/>
                <w:highlight w:val="none"/>
                <w:vertAlign w:val="baseline"/>
              </w:rPr>
            </w:pPr>
          </w:p>
        </w:tc>
        <w:tc>
          <w:tcPr>
            <w:tcW w:w="2395" w:type="dxa"/>
            <w:noWrap w:val="0"/>
            <w:vAlign w:val="center"/>
          </w:tcPr>
          <w:p w14:paraId="45F4DDEA">
            <w:pPr>
              <w:pStyle w:val="191"/>
              <w:jc w:val="center"/>
              <w:outlineLvl w:val="9"/>
              <w:rPr>
                <w:rStyle w:val="44"/>
                <w:rFonts w:ascii="Times New Roman" w:hAnsi="Times New Roman" w:eastAsia="Times New Roman" w:cs="Times New Roman"/>
                <w:color w:val="auto"/>
                <w:highlight w:val="none"/>
                <w:vertAlign w:val="baseline"/>
              </w:rPr>
            </w:pPr>
          </w:p>
        </w:tc>
      </w:tr>
      <w:tr w14:paraId="4208C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1117" w:type="dxa"/>
            <w:noWrap w:val="0"/>
            <w:vAlign w:val="center"/>
          </w:tcPr>
          <w:p w14:paraId="03650E60">
            <w:pPr>
              <w:pStyle w:val="191"/>
              <w:jc w:val="center"/>
              <w:outlineLvl w:val="9"/>
              <w:rPr>
                <w:rStyle w:val="44"/>
                <w:rFonts w:ascii="Times New Roman" w:hAnsi="Times New Roman" w:eastAsia="Times New Roman" w:cs="Times New Roman"/>
                <w:color w:val="auto"/>
                <w:highlight w:val="none"/>
                <w:vertAlign w:val="baseline"/>
              </w:rPr>
            </w:pPr>
          </w:p>
        </w:tc>
        <w:tc>
          <w:tcPr>
            <w:tcW w:w="2901" w:type="dxa"/>
            <w:noWrap w:val="0"/>
            <w:vAlign w:val="center"/>
          </w:tcPr>
          <w:p w14:paraId="5738BD96">
            <w:pPr>
              <w:pStyle w:val="191"/>
              <w:jc w:val="center"/>
              <w:outlineLvl w:val="9"/>
              <w:rPr>
                <w:rStyle w:val="44"/>
                <w:rFonts w:ascii="Times New Roman" w:hAnsi="Times New Roman" w:eastAsia="Times New Roman" w:cs="Times New Roman"/>
                <w:color w:val="auto"/>
                <w:highlight w:val="none"/>
                <w:vertAlign w:val="baseline"/>
              </w:rPr>
            </w:pPr>
          </w:p>
        </w:tc>
        <w:tc>
          <w:tcPr>
            <w:tcW w:w="1379" w:type="dxa"/>
            <w:noWrap w:val="0"/>
            <w:vAlign w:val="center"/>
          </w:tcPr>
          <w:p w14:paraId="53BC0911">
            <w:pPr>
              <w:pStyle w:val="191"/>
              <w:jc w:val="center"/>
              <w:outlineLvl w:val="9"/>
              <w:rPr>
                <w:rStyle w:val="44"/>
                <w:rFonts w:ascii="Times New Roman" w:hAnsi="Times New Roman" w:eastAsia="Times New Roman" w:cs="Times New Roman"/>
                <w:color w:val="auto"/>
                <w:highlight w:val="none"/>
                <w:vertAlign w:val="baseline"/>
              </w:rPr>
            </w:pPr>
          </w:p>
        </w:tc>
        <w:tc>
          <w:tcPr>
            <w:tcW w:w="1426" w:type="dxa"/>
            <w:noWrap w:val="0"/>
            <w:vAlign w:val="center"/>
          </w:tcPr>
          <w:p w14:paraId="1500601A">
            <w:pPr>
              <w:pStyle w:val="191"/>
              <w:jc w:val="center"/>
              <w:outlineLvl w:val="9"/>
              <w:rPr>
                <w:rStyle w:val="44"/>
                <w:rFonts w:ascii="Times New Roman" w:hAnsi="Times New Roman" w:eastAsia="Times New Roman" w:cs="Times New Roman"/>
                <w:color w:val="auto"/>
                <w:highlight w:val="none"/>
                <w:vertAlign w:val="baseline"/>
              </w:rPr>
            </w:pPr>
          </w:p>
        </w:tc>
        <w:tc>
          <w:tcPr>
            <w:tcW w:w="2395" w:type="dxa"/>
            <w:noWrap w:val="0"/>
            <w:vAlign w:val="center"/>
          </w:tcPr>
          <w:p w14:paraId="4990C9C1">
            <w:pPr>
              <w:pStyle w:val="191"/>
              <w:jc w:val="center"/>
              <w:outlineLvl w:val="9"/>
              <w:rPr>
                <w:rStyle w:val="44"/>
                <w:rFonts w:ascii="Times New Roman" w:hAnsi="Times New Roman" w:eastAsia="Times New Roman" w:cs="Times New Roman"/>
                <w:color w:val="auto"/>
                <w:highlight w:val="none"/>
                <w:vertAlign w:val="baseline"/>
              </w:rPr>
            </w:pPr>
          </w:p>
        </w:tc>
      </w:tr>
      <w:tr w14:paraId="1D1A1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17" w:type="dxa"/>
            <w:noWrap w:val="0"/>
            <w:vAlign w:val="center"/>
          </w:tcPr>
          <w:p w14:paraId="1F7CC8F1">
            <w:pPr>
              <w:pStyle w:val="191"/>
              <w:jc w:val="center"/>
              <w:outlineLvl w:val="9"/>
              <w:rPr>
                <w:rStyle w:val="44"/>
                <w:rFonts w:ascii="Times New Roman" w:hAnsi="Times New Roman" w:eastAsia="Times New Roman" w:cs="Times New Roman"/>
                <w:color w:val="auto"/>
                <w:highlight w:val="none"/>
                <w:vertAlign w:val="baseline"/>
              </w:rPr>
            </w:pPr>
          </w:p>
        </w:tc>
        <w:tc>
          <w:tcPr>
            <w:tcW w:w="2901" w:type="dxa"/>
            <w:noWrap w:val="0"/>
            <w:vAlign w:val="center"/>
          </w:tcPr>
          <w:p w14:paraId="3A5D365A">
            <w:pPr>
              <w:pStyle w:val="191"/>
              <w:jc w:val="center"/>
              <w:outlineLvl w:val="9"/>
              <w:rPr>
                <w:rStyle w:val="44"/>
                <w:rFonts w:ascii="Times New Roman" w:hAnsi="Times New Roman" w:eastAsia="Times New Roman" w:cs="Times New Roman"/>
                <w:color w:val="auto"/>
                <w:highlight w:val="none"/>
                <w:vertAlign w:val="baseline"/>
              </w:rPr>
            </w:pPr>
          </w:p>
        </w:tc>
        <w:tc>
          <w:tcPr>
            <w:tcW w:w="1379" w:type="dxa"/>
            <w:noWrap w:val="0"/>
            <w:vAlign w:val="center"/>
          </w:tcPr>
          <w:p w14:paraId="4350FF9E">
            <w:pPr>
              <w:pStyle w:val="191"/>
              <w:jc w:val="center"/>
              <w:outlineLvl w:val="9"/>
              <w:rPr>
                <w:rStyle w:val="44"/>
                <w:rFonts w:ascii="Times New Roman" w:hAnsi="Times New Roman" w:eastAsia="Times New Roman" w:cs="Times New Roman"/>
                <w:color w:val="auto"/>
                <w:highlight w:val="none"/>
                <w:vertAlign w:val="baseline"/>
              </w:rPr>
            </w:pPr>
          </w:p>
        </w:tc>
        <w:tc>
          <w:tcPr>
            <w:tcW w:w="1426" w:type="dxa"/>
            <w:noWrap w:val="0"/>
            <w:vAlign w:val="center"/>
          </w:tcPr>
          <w:p w14:paraId="61F45B53">
            <w:pPr>
              <w:pStyle w:val="191"/>
              <w:jc w:val="center"/>
              <w:outlineLvl w:val="9"/>
              <w:rPr>
                <w:rStyle w:val="44"/>
                <w:rFonts w:ascii="Times New Roman" w:hAnsi="Times New Roman" w:eastAsia="Times New Roman" w:cs="Times New Roman"/>
                <w:color w:val="auto"/>
                <w:highlight w:val="none"/>
                <w:vertAlign w:val="baseline"/>
              </w:rPr>
            </w:pPr>
          </w:p>
        </w:tc>
        <w:tc>
          <w:tcPr>
            <w:tcW w:w="2395" w:type="dxa"/>
            <w:noWrap w:val="0"/>
            <w:vAlign w:val="center"/>
          </w:tcPr>
          <w:p w14:paraId="73CD75C1">
            <w:pPr>
              <w:pStyle w:val="191"/>
              <w:jc w:val="center"/>
              <w:outlineLvl w:val="9"/>
              <w:rPr>
                <w:rStyle w:val="44"/>
                <w:rFonts w:ascii="Times New Roman" w:hAnsi="Times New Roman" w:eastAsia="Times New Roman" w:cs="Times New Roman"/>
                <w:color w:val="auto"/>
                <w:highlight w:val="none"/>
                <w:vertAlign w:val="baseline"/>
              </w:rPr>
            </w:pPr>
          </w:p>
        </w:tc>
      </w:tr>
    </w:tbl>
    <w:p w14:paraId="4F17D495">
      <w:pPr>
        <w:keepNext w:val="0"/>
        <w:keepLines w:val="0"/>
        <w:pageBreakBefore w:val="0"/>
        <w:widowControl/>
        <w:suppressLineNumbers w:val="0"/>
        <w:kinsoku/>
        <w:wordWrap/>
        <w:overflowPunct/>
        <w:topLinePunct w:val="0"/>
        <w:autoSpaceDE/>
        <w:autoSpaceDN/>
        <w:bidi w:val="0"/>
        <w:adjustRightInd/>
        <w:snapToGrid/>
        <w:spacing w:line="360" w:lineRule="auto"/>
        <w:ind w:firstLine="1050" w:firstLineChars="5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备注：1.本表后应附表彰文件、获奖证书及其他证明材料等。 </w:t>
      </w:r>
    </w:p>
    <w:p w14:paraId="203AE0B5">
      <w:pPr>
        <w:keepNext w:val="0"/>
        <w:keepLines w:val="0"/>
        <w:pageBreakBefore w:val="0"/>
        <w:widowControl/>
        <w:suppressLineNumbers w:val="0"/>
        <w:kinsoku/>
        <w:wordWrap/>
        <w:overflowPunct/>
        <w:topLinePunct w:val="0"/>
        <w:autoSpaceDE/>
        <w:autoSpaceDN/>
        <w:bidi w:val="0"/>
        <w:adjustRightInd/>
        <w:snapToGrid/>
        <w:spacing w:line="360" w:lineRule="auto"/>
        <w:ind w:firstLine="1680" w:firstLineChars="8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2.颁奖单位应当是国家机关或民政部门注册登记的合法颁奖单位。</w:t>
      </w:r>
    </w:p>
    <w:p w14:paraId="037D8808">
      <w:pPr>
        <w:pStyle w:val="191"/>
        <w:jc w:val="left"/>
        <w:outlineLvl w:val="9"/>
        <w:rPr>
          <w:rStyle w:val="44"/>
          <w:rFonts w:hint="default" w:ascii="Times New Roman" w:hAnsi="Times New Roman" w:eastAsia="宋体" w:cs="Times New Roman"/>
          <w:color w:val="auto"/>
          <w:highlight w:val="none"/>
          <w:lang w:val="en-US" w:eastAsia="zh-CN"/>
        </w:rPr>
      </w:pPr>
    </w:p>
    <w:p w14:paraId="46965016">
      <w:pPr>
        <w:rPr>
          <w:color w:val="auto"/>
          <w:highlight w:val="none"/>
        </w:rPr>
      </w:pPr>
    </w:p>
    <w:p w14:paraId="39AAAAE8">
      <w:pPr>
        <w:spacing w:line="440" w:lineRule="exact"/>
        <w:rPr>
          <w:color w:val="auto"/>
          <w:highlight w:val="none"/>
        </w:rPr>
      </w:pPr>
      <w:r>
        <w:rPr>
          <w:color w:val="auto"/>
          <w:highlight w:val="none"/>
        </w:rPr>
        <w:br w:type="page"/>
      </w:r>
      <w:bookmarkStart w:id="1895" w:name="_Toc152042602"/>
      <w:bookmarkStart w:id="1896" w:name="_Toc247527853"/>
      <w:bookmarkStart w:id="1897" w:name="_Toc247514305"/>
      <w:bookmarkStart w:id="1898" w:name="_Toc247530162"/>
      <w:bookmarkStart w:id="1899" w:name="_Toc152045813"/>
      <w:bookmarkStart w:id="1900" w:name="_Toc144974881"/>
    </w:p>
    <w:p w14:paraId="662ED84E">
      <w:pPr>
        <w:pStyle w:val="4"/>
        <w:jc w:val="center"/>
        <w:rPr>
          <w:rFonts w:hint="eastAsia" w:eastAsia="黑体"/>
          <w:color w:val="auto"/>
          <w:highlight w:val="none"/>
          <w:lang w:eastAsia="zh-CN"/>
        </w:rPr>
      </w:pPr>
      <w:bookmarkStart w:id="1901" w:name="_Toc3050"/>
      <w:bookmarkStart w:id="1902" w:name="_Toc7956842"/>
      <w:bookmarkStart w:id="1903" w:name="_Toc6121"/>
      <w:bookmarkStart w:id="1904" w:name="_Toc11965"/>
      <w:r>
        <w:rPr>
          <w:rFonts w:hint="eastAsia"/>
          <w:color w:val="auto"/>
          <w:highlight w:val="none"/>
        </w:rPr>
        <w:t>（六）</w:t>
      </w:r>
      <w:bookmarkEnd w:id="1901"/>
      <w:bookmarkEnd w:id="1902"/>
      <w:bookmarkEnd w:id="1903"/>
      <w:bookmarkEnd w:id="1904"/>
      <w:r>
        <w:rPr>
          <w:rFonts w:hint="eastAsia"/>
          <w:color w:val="auto"/>
          <w:highlight w:val="none"/>
          <w:lang w:eastAsia="zh-CN"/>
        </w:rPr>
        <w:t>承诺书</w:t>
      </w:r>
    </w:p>
    <w:p w14:paraId="252F824F">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highlight w:val="none"/>
        </w:rPr>
      </w:pP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（招标人名称）： </w:t>
      </w:r>
    </w:p>
    <w:p w14:paraId="5E10AE9C">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我方在此声明，我方拟派往</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（标段名称）（以下简称“本工程”）的项目经理</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（项目经理姓名）现阶段（投标截止时间之前）没有担任其他在施建设工程项目的项目经理。 </w:t>
      </w:r>
    </w:p>
    <w:p w14:paraId="6CE1DC86">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根据《注册建造师执业管理办法（试行）》第九条规定“注册建造师不得同时担任两个及以上建设工程施工项目负责人”， 第十条规定“注册建造师担任施工项目负责人期间原则上不得更换”。我方拟派项目经理的能够参加本工程的投标是基于以下理由： </w:t>
      </w:r>
    </w:p>
    <w:p w14:paraId="6BCFAEAC">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拟派项目经理无在建工程。 </w:t>
      </w:r>
    </w:p>
    <w:p w14:paraId="70952B74">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拟派项目经理存在《注册建造师执业管理办法（试行）》第九条规定的下列情形： </w:t>
      </w:r>
    </w:p>
    <w:p w14:paraId="2A180D92">
      <w:pPr>
        <w:keepNext w:val="0"/>
        <w:keepLines w:val="0"/>
        <w:pageBreakBefore w:val="0"/>
        <w:widowControl/>
        <w:suppressLineNumbers w:val="0"/>
        <w:kinsoku/>
        <w:wordWrap/>
        <w:overflowPunct/>
        <w:topLinePunct w:val="0"/>
        <w:autoSpaceDE/>
        <w:autoSpaceDN/>
        <w:bidi w:val="0"/>
        <w:adjustRightInd/>
        <w:snapToGrid/>
        <w:spacing w:line="360" w:lineRule="auto"/>
        <w:ind w:firstLine="840" w:firstLineChars="4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□同一工程相邻分段发包或分期施工的； </w:t>
      </w:r>
    </w:p>
    <w:p w14:paraId="4850E953">
      <w:pPr>
        <w:keepNext w:val="0"/>
        <w:keepLines w:val="0"/>
        <w:pageBreakBefore w:val="0"/>
        <w:widowControl/>
        <w:suppressLineNumbers w:val="0"/>
        <w:kinsoku/>
        <w:wordWrap/>
        <w:overflowPunct/>
        <w:topLinePunct w:val="0"/>
        <w:autoSpaceDE/>
        <w:autoSpaceDN/>
        <w:bidi w:val="0"/>
        <w:adjustRightInd/>
        <w:snapToGrid/>
        <w:spacing w:line="360" w:lineRule="auto"/>
        <w:ind w:firstLine="840" w:firstLineChars="4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□合同约定的工程验收合格的； </w:t>
      </w:r>
    </w:p>
    <w:p w14:paraId="45D1DF30">
      <w:pPr>
        <w:keepNext w:val="0"/>
        <w:keepLines w:val="0"/>
        <w:pageBreakBefore w:val="0"/>
        <w:widowControl/>
        <w:suppressLineNumbers w:val="0"/>
        <w:kinsoku/>
        <w:wordWrap/>
        <w:overflowPunct/>
        <w:topLinePunct w:val="0"/>
        <w:autoSpaceDE/>
        <w:autoSpaceDN/>
        <w:bidi w:val="0"/>
        <w:adjustRightInd/>
        <w:snapToGrid/>
        <w:spacing w:line="360" w:lineRule="auto"/>
        <w:ind w:firstLine="840" w:firstLineChars="4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□因非承包方原因致使工程项目停工超过 120 天（含），经建设单位同意的。 </w:t>
      </w:r>
    </w:p>
    <w:p w14:paraId="0BC833DE">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拟派项目经理担任其他施工项目负责人期间因下列原因进行了更换，并办理书面交接手续： </w:t>
      </w:r>
    </w:p>
    <w:p w14:paraId="4C10BE8F">
      <w:pPr>
        <w:keepNext w:val="0"/>
        <w:keepLines w:val="0"/>
        <w:pageBreakBefore w:val="0"/>
        <w:widowControl/>
        <w:suppressLineNumbers w:val="0"/>
        <w:kinsoku/>
        <w:wordWrap/>
        <w:overflowPunct/>
        <w:topLinePunct w:val="0"/>
        <w:autoSpaceDE/>
        <w:autoSpaceDN/>
        <w:bidi w:val="0"/>
        <w:adjustRightInd/>
        <w:snapToGrid/>
        <w:spacing w:line="360" w:lineRule="auto"/>
        <w:ind w:firstLine="840" w:firstLineChars="4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□发包方与注册建造师受聘企业已解除承包合同的； </w:t>
      </w:r>
    </w:p>
    <w:p w14:paraId="28CF77FB">
      <w:pPr>
        <w:keepNext w:val="0"/>
        <w:keepLines w:val="0"/>
        <w:pageBreakBefore w:val="0"/>
        <w:widowControl/>
        <w:suppressLineNumbers w:val="0"/>
        <w:kinsoku/>
        <w:wordWrap/>
        <w:overflowPunct/>
        <w:topLinePunct w:val="0"/>
        <w:autoSpaceDE/>
        <w:autoSpaceDN/>
        <w:bidi w:val="0"/>
        <w:adjustRightInd/>
        <w:snapToGrid/>
        <w:spacing w:line="360" w:lineRule="auto"/>
        <w:ind w:firstLine="840" w:firstLineChars="4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□发包方同意更换项目负责人的； </w:t>
      </w:r>
    </w:p>
    <w:p w14:paraId="7B1A4069">
      <w:pPr>
        <w:keepNext w:val="0"/>
        <w:keepLines w:val="0"/>
        <w:pageBreakBefore w:val="0"/>
        <w:widowControl/>
        <w:suppressLineNumbers w:val="0"/>
        <w:kinsoku/>
        <w:wordWrap/>
        <w:overflowPunct/>
        <w:topLinePunct w:val="0"/>
        <w:autoSpaceDE/>
        <w:autoSpaceDN/>
        <w:bidi w:val="0"/>
        <w:adjustRightInd/>
        <w:snapToGrid/>
        <w:spacing w:line="360" w:lineRule="auto"/>
        <w:ind w:firstLine="840" w:firstLineChars="4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□因不可抗力等特殊情况必须更换项目负责人的。 </w:t>
      </w:r>
    </w:p>
    <w:p w14:paraId="7BE4A855">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u w:val="single"/>
          <w:lang w:val="en-US" w:eastAsia="zh-CN" w:bidi="ar"/>
        </w:rPr>
        <w:t xml:space="preserve">                        </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 </w:t>
      </w:r>
    </w:p>
    <w:p w14:paraId="2B99A7A2">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我方保证上述信息的真实性和准确性，并承担相应的法律责任。 </w:t>
      </w:r>
    </w:p>
    <w:p w14:paraId="4A572559">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 xml:space="preserve">特此承诺。 </w:t>
      </w:r>
    </w:p>
    <w:p w14:paraId="43964D99">
      <w:pPr>
        <w:keepNext w:val="0"/>
        <w:keepLines w:val="0"/>
        <w:pageBreakBefore w:val="0"/>
        <w:widowControl/>
        <w:suppressLineNumbers w:val="0"/>
        <w:kinsoku/>
        <w:wordWrap/>
        <w:overflowPunct/>
        <w:topLinePunct w:val="0"/>
        <w:autoSpaceDE/>
        <w:autoSpaceDN/>
        <w:bidi w:val="0"/>
        <w:adjustRightInd/>
        <w:snapToGrid/>
        <w:spacing w:line="360" w:lineRule="auto"/>
        <w:ind w:firstLine="4410" w:firstLineChars="21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（盖单位章） </w:t>
      </w:r>
    </w:p>
    <w:p w14:paraId="1677F82C">
      <w:pPr>
        <w:keepNext w:val="0"/>
        <w:keepLines w:val="0"/>
        <w:pageBreakBefore w:val="0"/>
        <w:widowControl/>
        <w:suppressLineNumbers w:val="0"/>
        <w:kinsoku/>
        <w:wordWrap/>
        <w:overflowPunct/>
        <w:topLinePunct w:val="0"/>
        <w:autoSpaceDE/>
        <w:autoSpaceDN/>
        <w:bidi w:val="0"/>
        <w:adjustRightInd/>
        <w:snapToGrid/>
        <w:spacing w:line="360" w:lineRule="auto"/>
        <w:ind w:firstLine="3360" w:firstLineChars="1600"/>
        <w:jc w:val="left"/>
        <w:textAlignment w:val="auto"/>
        <w:rPr>
          <w:color w:val="auto"/>
          <w:highlight w:val="none"/>
        </w:rPr>
      </w:pPr>
      <w:r>
        <w:rPr>
          <w:rFonts w:hint="eastAsia" w:ascii="宋体" w:hAnsi="宋体" w:eastAsia="宋体" w:cs="宋体"/>
          <w:color w:val="auto"/>
          <w:kern w:val="0"/>
          <w:sz w:val="21"/>
          <w:szCs w:val="21"/>
          <w:highlight w:val="none"/>
          <w:lang w:val="en-US" w:eastAsia="zh-CN" w:bidi="ar"/>
        </w:rPr>
        <w:t>法定代表人或授权委托人：</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（签章） </w:t>
      </w:r>
    </w:p>
    <w:p w14:paraId="2C2A2640">
      <w:pPr>
        <w:keepNext w:val="0"/>
        <w:keepLines w:val="0"/>
        <w:pageBreakBefore w:val="0"/>
        <w:widowControl/>
        <w:suppressLineNumbers w:val="0"/>
        <w:kinsoku/>
        <w:wordWrap/>
        <w:overflowPunct/>
        <w:topLinePunct w:val="0"/>
        <w:autoSpaceDE/>
        <w:autoSpaceDN/>
        <w:bidi w:val="0"/>
        <w:adjustRightInd/>
        <w:snapToGrid/>
        <w:spacing w:line="360" w:lineRule="auto"/>
        <w:ind w:firstLine="5880" w:firstLineChars="2800"/>
        <w:jc w:val="left"/>
        <w:textAlignment w:val="auto"/>
        <w:rPr>
          <w:color w:val="auto"/>
          <w:highlight w:val="none"/>
        </w:rPr>
      </w:pP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年</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月</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日</w:t>
      </w:r>
    </w:p>
    <w:p w14:paraId="36F0EBBE">
      <w:pPr>
        <w:spacing w:line="440" w:lineRule="exact"/>
        <w:rPr>
          <w:color w:val="auto"/>
          <w:sz w:val="20"/>
          <w:szCs w:val="20"/>
          <w:highlight w:val="none"/>
        </w:rPr>
      </w:pPr>
    </w:p>
    <w:p w14:paraId="33DB5C30">
      <w:pPr>
        <w:spacing w:line="440" w:lineRule="exact"/>
        <w:rPr>
          <w:rFonts w:eastAsia="黑体"/>
          <w:color w:val="auto"/>
          <w:sz w:val="20"/>
          <w:szCs w:val="20"/>
          <w:highlight w:val="none"/>
        </w:rPr>
      </w:pPr>
      <w:r>
        <w:rPr>
          <w:rFonts w:eastAsia="黑体"/>
          <w:color w:val="auto"/>
          <w:sz w:val="20"/>
          <w:szCs w:val="20"/>
          <w:highlight w:val="none"/>
        </w:rPr>
        <w:br w:type="page"/>
      </w:r>
    </w:p>
    <w:p w14:paraId="598FA3C0">
      <w:pPr>
        <w:spacing w:line="440" w:lineRule="exact"/>
        <w:jc w:val="center"/>
        <w:outlineLvl w:val="1"/>
        <w:rPr>
          <w:b/>
          <w:bCs/>
          <w:color w:val="auto"/>
          <w:sz w:val="36"/>
          <w:szCs w:val="36"/>
          <w:highlight w:val="none"/>
        </w:rPr>
      </w:pPr>
      <w:bookmarkStart w:id="1905" w:name="_Toc26884"/>
      <w:r>
        <w:rPr>
          <w:rFonts w:hint="eastAsia" w:eastAsia="黑体"/>
          <w:color w:val="auto"/>
          <w:sz w:val="23"/>
          <w:szCs w:val="23"/>
          <w:highlight w:val="none"/>
          <w:lang w:eastAsia="zh-CN"/>
        </w:rPr>
        <w:t>九、其他材料</w:t>
      </w:r>
      <w:bookmarkEnd w:id="1895"/>
      <w:bookmarkEnd w:id="1896"/>
      <w:bookmarkEnd w:id="1897"/>
      <w:bookmarkEnd w:id="1898"/>
      <w:bookmarkEnd w:id="1899"/>
      <w:bookmarkEnd w:id="1900"/>
      <w:bookmarkEnd w:id="1905"/>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Times">
    <w:altName w:val="Times New Roman"/>
    <w:panose1 w:val="02020603050405020304"/>
    <w:charset w:val="00"/>
    <w:family w:val="roman"/>
    <w:pitch w:val="default"/>
    <w:sig w:usb0="00000000" w:usb1="00000000" w:usb2="00000009" w:usb3="00000000" w:csb0="000001FF" w:csb1="00000000"/>
  </w:font>
  <w:font w:name="CG Times">
    <w:panose1 w:val="02020603050405020304"/>
    <w:charset w:val="00"/>
    <w:family w:val="roman"/>
    <w:pitch w:val="default"/>
    <w:sig w:usb0="00000007" w:usb1="00000000" w:usb2="00000000" w:usb3="00000000" w:csb0="00000093" w:csb1="00000000"/>
  </w:font>
  <w:font w:name="Calibri Light">
    <w:panose1 w:val="020F03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MS Mincho">
    <w:altName w:val="Yu Gothic UI"/>
    <w:panose1 w:val="02020609040205080304"/>
    <w:charset w:val="80"/>
    <w:family w:val="moder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 w:name="Segoe UI Symbol">
    <w:panose1 w:val="020B0502040204020203"/>
    <w:charset w:val="00"/>
    <w:family w:val="swiss"/>
    <w:pitch w:val="default"/>
    <w:sig w:usb0="800001E3" w:usb1="1200FFEF" w:usb2="00040000" w:usb3="04000000" w:csb0="00000001" w:csb1="40000000"/>
  </w:font>
  <w:font w:name="微软雅黑">
    <w:panose1 w:val="020B0503020204020204"/>
    <w:charset w:val="86"/>
    <w:family w:val="auto"/>
    <w:pitch w:val="default"/>
    <w:sig w:usb0="80000287" w:usb1="2ACF3C50" w:usb2="00000016" w:usb3="00000000" w:csb0="0004001F" w:csb1="00000000"/>
  </w:font>
  <w:font w:name="方正小标宋简体">
    <w:altName w:val="微软雅黑"/>
    <w:panose1 w:val="00000000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78A291">
    <w:pPr>
      <w:pStyle w:val="2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06687">
    <w:pPr>
      <w:pStyle w:val="26"/>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8711C68">
                          <w:pPr>
                            <w:pStyle w:val="26"/>
                          </w:pPr>
                          <w:r>
                            <w:fldChar w:fldCharType="begin"/>
                          </w:r>
                          <w:r>
                            <w:instrText xml:space="preserve"> PAGE  \* MERGEFORMAT </w:instrText>
                          </w:r>
                          <w:r>
                            <w:fldChar w:fldCharType="separate"/>
                          </w:r>
                          <w:r>
                            <w:t>33</w:t>
                          </w:r>
                          <w:r>
                            <w:fldChar w:fldCharType="end"/>
                          </w:r>
                        </w:p>
                      </w:txbxContent>
                    </wps:txbx>
                    <wps:bodyPr wrap="none" lIns="0" tIns="0" rIns="0" bIns="0" upright="0">
                      <a:spAutoFit/>
                    </wps:bodyPr>
                  </wps:wsp>
                </a:graphicData>
              </a:graphic>
            </wp:anchor>
          </w:drawing>
        </mc:Choice>
        <mc:Fallback>
          <w:pict>
            <v:shape id="文本框 112"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gkruScoBAACcAwAADgAAAAAAAAABACAAAAAeAQAAZHJzL2Uyb0Rv&#10;Yy54bWxQSwUGAAAAAAYABgBZAQAAWgUAAAAA&#10;">
              <v:fill on="f" focussize="0,0"/>
              <v:stroke on="f"/>
              <v:imagedata o:title=""/>
              <o:lock v:ext="edit" aspectratio="f"/>
              <v:textbox inset="0mm,0mm,0mm,0mm" style="mso-fit-shape-to-text:t;">
                <w:txbxContent>
                  <w:p w14:paraId="18711C68">
                    <w:pPr>
                      <w:pStyle w:val="26"/>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D71D2">
    <w:pPr>
      <w:pStyle w:val="26"/>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EB1191B">
                          <w:pPr>
                            <w:pStyle w:val="26"/>
                          </w:pPr>
                          <w:r>
                            <w:fldChar w:fldCharType="begin"/>
                          </w:r>
                          <w:r>
                            <w:instrText xml:space="preserve"> PAGE  \* MERGEFORMAT </w:instrText>
                          </w:r>
                          <w:r>
                            <w:fldChar w:fldCharType="separate"/>
                          </w:r>
                          <w:r>
                            <w:t>34</w:t>
                          </w:r>
                          <w:r>
                            <w:fldChar w:fldCharType="end"/>
                          </w:r>
                        </w:p>
                      </w:txbxContent>
                    </wps:txbx>
                    <wps:bodyPr wrap="none" lIns="0" tIns="0" rIns="0" bIns="0" upright="0">
                      <a:spAutoFit/>
                    </wps:bodyPr>
                  </wps:wsp>
                </a:graphicData>
              </a:graphic>
            </wp:anchor>
          </w:drawing>
        </mc:Choice>
        <mc:Fallback>
          <w:pict>
            <v:shape id="文本框 113"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OmCff3LAQAAnAMAAA4AAAAAAAAAAQAgAAAAHgEAAGRycy9lMm9E&#10;b2MueG1sUEsFBgAAAAAGAAYAWQEAAFsFAAAAAA==&#10;">
              <v:fill on="f" focussize="0,0"/>
              <v:stroke on="f"/>
              <v:imagedata o:title=""/>
              <o:lock v:ext="edit" aspectratio="f"/>
              <v:textbox inset="0mm,0mm,0mm,0mm" style="mso-fit-shape-to-text:t;">
                <w:txbxContent>
                  <w:p w14:paraId="0EB1191B">
                    <w:pPr>
                      <w:pStyle w:val="26"/>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8FD1F">
    <w:pPr>
      <w:pStyle w:val="26"/>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B5F42DF">
                          <w:pPr>
                            <w:pStyle w:val="26"/>
                          </w:pPr>
                          <w:r>
                            <w:fldChar w:fldCharType="begin"/>
                          </w:r>
                          <w:r>
                            <w:instrText xml:space="preserve"> PAGE  \* MERGEFORMAT </w:instrText>
                          </w:r>
                          <w:r>
                            <w:fldChar w:fldCharType="separate"/>
                          </w:r>
                          <w:r>
                            <w:t>35</w:t>
                          </w:r>
                          <w:r>
                            <w:fldChar w:fldCharType="end"/>
                          </w:r>
                        </w:p>
                      </w:txbxContent>
                    </wps:txbx>
                    <wps:bodyPr wrap="none" lIns="0" tIns="0" rIns="0" bIns="0" upright="0">
                      <a:spAutoFit/>
                    </wps:bodyPr>
                  </wps:wsp>
                </a:graphicData>
              </a:graphic>
            </wp:anchor>
          </w:drawing>
        </mc:Choice>
        <mc:Fallback>
          <w:pict>
            <v:shape id="文本框 114"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BHI9ZbLAQAAnAMAAA4AAAAAAAAAAQAgAAAAHgEAAGRycy9lMm9E&#10;b2MueG1sUEsFBgAAAAAGAAYAWQEAAFsFAAAAAA==&#10;">
              <v:fill on="f" focussize="0,0"/>
              <v:stroke on="f"/>
              <v:imagedata o:title=""/>
              <o:lock v:ext="edit" aspectratio="f"/>
              <v:textbox inset="0mm,0mm,0mm,0mm" style="mso-fit-shape-to-text:t;">
                <w:txbxContent>
                  <w:p w14:paraId="6B5F42DF">
                    <w:pPr>
                      <w:pStyle w:val="26"/>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3EE05">
    <w:pPr>
      <w:pStyle w:val="26"/>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2FB5D7C">
                          <w:pPr>
                            <w:pStyle w:val="26"/>
                          </w:pPr>
                          <w:r>
                            <w:fldChar w:fldCharType="begin"/>
                          </w:r>
                          <w:r>
                            <w:instrText xml:space="preserve"> PAGE  \* MERGEFORMAT </w:instrText>
                          </w:r>
                          <w:r>
                            <w:fldChar w:fldCharType="separate"/>
                          </w:r>
                          <w:r>
                            <w:t>36</w:t>
                          </w:r>
                          <w:r>
                            <w:fldChar w:fldCharType="end"/>
                          </w:r>
                        </w:p>
                      </w:txbxContent>
                    </wps:txbx>
                    <wps:bodyPr wrap="none" lIns="0" tIns="0" rIns="0" bIns="0" upright="0">
                      <a:spAutoFit/>
                    </wps:bodyPr>
                  </wps:wsp>
                </a:graphicData>
              </a:graphic>
            </wp:anchor>
          </w:drawing>
        </mc:Choice>
        <mc:Fallback>
          <w:pict>
            <v:shape id="文本框 115"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gBmIssBAACcAwAADgAAAGRycy9lMm9Eb2MueG1srVPNjtMwEL4j8Q6W&#10;79RpE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rl5S4rjFiV++f7v8+HX5+ZUs&#10;l6+yQn2AGhPvAqam4a0fcG9mP6AzEx9UtPmLlAjGUd/zVV85JCLyo/Vqva4wJDA2XxCfPTwPEdI7&#10;6S3JRkMjDrDoyk8fII2pc0qu5vytNqYM0bi/HIiZPSz3PvaYrTTsh4nQ3rdn5NPj7BvqcNUpMe8d&#10;SpvXZDbibOxn4xiiPnRlj3I9CG+OCZsoveUKI+xUGIdW2E0Llrfiz3vJevipt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HoAZiLLAQAAnAMAAA4AAAAAAAAAAQAgAAAAHgEAAGRycy9lMm9E&#10;b2MueG1sUEsFBgAAAAAGAAYAWQEAAFsFAAAAAA==&#10;">
              <v:fill on="f" focussize="0,0"/>
              <v:stroke on="f"/>
              <v:imagedata o:title=""/>
              <o:lock v:ext="edit" aspectratio="f"/>
              <v:textbox inset="0mm,0mm,0mm,0mm" style="mso-fit-shape-to-text:t;">
                <w:txbxContent>
                  <w:p w14:paraId="42FB5D7C">
                    <w:pPr>
                      <w:pStyle w:val="26"/>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7D689">
    <w:pPr>
      <w:pStyle w:val="26"/>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BA5E34">
                          <w:pPr>
                            <w:pStyle w:val="26"/>
                          </w:pPr>
                          <w:r>
                            <w:fldChar w:fldCharType="begin"/>
                          </w:r>
                          <w:r>
                            <w:instrText xml:space="preserve"> PAGE  \* MERGEFORMAT </w:instrText>
                          </w:r>
                          <w:r>
                            <w:fldChar w:fldCharType="separate"/>
                          </w:r>
                          <w:r>
                            <w:t>37</w:t>
                          </w:r>
                          <w:r>
                            <w:fldChar w:fldCharType="end"/>
                          </w:r>
                        </w:p>
                      </w:txbxContent>
                    </wps:txbx>
                    <wps:bodyPr wrap="none" lIns="0" tIns="0" rIns="0" bIns="0" upright="0">
                      <a:spAutoFit/>
                    </wps:bodyPr>
                  </wps:wsp>
                </a:graphicData>
              </a:graphic>
            </wp:anchor>
          </w:drawing>
        </mc:Choice>
        <mc:Fallback>
          <w:pict>
            <v:shape id="文本框 11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WEy9ssBAACcAwAADgAAAGRycy9lMm9Eb2MueG1srVPNjtMwEL4j8Q6W&#10;79Rph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dPWaEsctTvzy4/vl5+/Lr29k&#10;ubzJCvUBaky8D5iahrd+wL2Z/YDOTHxQ0eYvUiIYR33PV33lkIjIj9ar9brCkMDYfEF89vA8REjv&#10;pLckGw2NOMCiKz99gDSmzim5mvN32pgyROP+ciBm9rDc+9hjttKwHyZCe9+ekU+Ps2+ow1WnxLx3&#10;KG1ek9mIs7GfjWOI+tCVPcr1ILw5Jmyi9JYrjLBTYRxaYTctWN6Kx/eS9fBTbf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O1hMvbLAQAAnAMAAA4AAAAAAAAAAQAgAAAAHgEAAGRycy9lMm9E&#10;b2MueG1sUEsFBgAAAAAGAAYAWQEAAFsFAAAAAA==&#10;">
              <v:fill on="f" focussize="0,0"/>
              <v:stroke on="f"/>
              <v:imagedata o:title=""/>
              <o:lock v:ext="edit" aspectratio="f"/>
              <v:textbox inset="0mm,0mm,0mm,0mm" style="mso-fit-shape-to-text:t;">
                <w:txbxContent>
                  <w:p w14:paraId="4BBA5E34">
                    <w:pPr>
                      <w:pStyle w:val="26"/>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86B98F">
    <w:pPr>
      <w:pStyle w:val="26"/>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2238EC">
                          <w:pPr>
                            <w:pStyle w:val="26"/>
                          </w:pPr>
                          <w:r>
                            <w:fldChar w:fldCharType="begin"/>
                          </w:r>
                          <w:r>
                            <w:instrText xml:space="preserve"> PAGE  \* MERGEFORMAT </w:instrText>
                          </w:r>
                          <w:r>
                            <w:fldChar w:fldCharType="separate"/>
                          </w:r>
                          <w:r>
                            <w:t>38</w:t>
                          </w:r>
                          <w:r>
                            <w:fldChar w:fldCharType="end"/>
                          </w:r>
                        </w:p>
                      </w:txbxContent>
                    </wps:txbx>
                    <wps:bodyPr wrap="none" lIns="0" tIns="0" rIns="0" bIns="0" upright="0">
                      <a:spAutoFit/>
                    </wps:bodyPr>
                  </wps:wsp>
                </a:graphicData>
              </a:graphic>
            </wp:anchor>
          </w:drawing>
        </mc:Choice>
        <mc:Fallback>
          <w:pict>
            <v:shape id="文本框 117"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qmhQssBAACcAwAADgAAAGRycy9lMm9Eb2MueG1srVPNjtMwEL4j8Q6W&#10;79RpJaCK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tuGrl5S4rjFiV++f7v8+HX5+ZUs&#10;l6+zQn2AGhPvAqam4a0fcG9mP6AzEx9UtPmLlAjGUd/zVV85JCLyo/Vqva4wJDA2XxCfPTwPEdI7&#10;6S3JRkMjDrDoyk8fII2pc0qu5vytNqYM0bi/HIiZPSz3PvaYrTTsh4nQ3rdn5NPj7BvqcNUpMe8d&#10;SpvXZDbibOxn4xiiPnRlj3I9CG+OCZsoveUKI+xUGIdW2E0Llrfiz3vJevipt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IapoULLAQAAnAMAAA4AAAAAAAAAAQAgAAAAHgEAAGRycy9lMm9E&#10;b2MueG1sUEsFBgAAAAAGAAYAWQEAAFsFAAAAAA==&#10;">
              <v:fill on="f" focussize="0,0"/>
              <v:stroke on="f"/>
              <v:imagedata o:title=""/>
              <o:lock v:ext="edit" aspectratio="f"/>
              <v:textbox inset="0mm,0mm,0mm,0mm" style="mso-fit-shape-to-text:t;">
                <w:txbxContent>
                  <w:p w14:paraId="212238EC">
                    <w:pPr>
                      <w:pStyle w:val="26"/>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CC6D8">
    <w:pPr>
      <w:pStyle w:val="26"/>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2AD1895">
                          <w:pPr>
                            <w:pStyle w:val="26"/>
                          </w:pPr>
                          <w:r>
                            <w:fldChar w:fldCharType="begin"/>
                          </w:r>
                          <w:r>
                            <w:instrText xml:space="preserve"> PAGE  \* MERGEFORMAT </w:instrText>
                          </w:r>
                          <w:r>
                            <w:fldChar w:fldCharType="separate"/>
                          </w:r>
                          <w:r>
                            <w:t>39</w:t>
                          </w:r>
                          <w:r>
                            <w:fldChar w:fldCharType="end"/>
                          </w:r>
                        </w:p>
                      </w:txbxContent>
                    </wps:txbx>
                    <wps:bodyPr wrap="none" lIns="0" tIns="0" rIns="0" bIns="0" upright="0">
                      <a:spAutoFit/>
                    </wps:bodyPr>
                  </wps:wsp>
                </a:graphicData>
              </a:graphic>
            </wp:anchor>
          </w:drawing>
        </mc:Choice>
        <mc:Fallback>
          <w:pict>
            <v:shape id="文本框 118"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HbLs/PLAQAAnAMAAA4AAAAAAAAAAQAgAAAAHgEAAGRycy9lMm9E&#10;b2MueG1sUEsFBgAAAAAGAAYAWQEAAFsFAAAAAA==&#10;">
              <v:fill on="f" focussize="0,0"/>
              <v:stroke on="f"/>
              <v:imagedata o:title=""/>
              <o:lock v:ext="edit" aspectratio="f"/>
              <v:textbox inset="0mm,0mm,0mm,0mm" style="mso-fit-shape-to-text:t;">
                <w:txbxContent>
                  <w:p w14:paraId="22AD1895">
                    <w:pPr>
                      <w:pStyle w:val="26"/>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0CDC7">
    <w:pPr>
      <w:pStyle w:val="26"/>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0C13253">
                          <w:pPr>
                            <w:pStyle w:val="26"/>
                          </w:pPr>
                          <w:r>
                            <w:fldChar w:fldCharType="begin"/>
                          </w:r>
                          <w:r>
                            <w:instrText xml:space="preserve"> PAGE  \* MERGEFORMAT </w:instrText>
                          </w:r>
                          <w:r>
                            <w:fldChar w:fldCharType="separate"/>
                          </w:r>
                          <w:r>
                            <w:t>50</w:t>
                          </w:r>
                          <w:r>
                            <w:fldChar w:fldCharType="end"/>
                          </w:r>
                        </w:p>
                      </w:txbxContent>
                    </wps:txbx>
                    <wps:bodyPr wrap="none" lIns="0" tIns="0" rIns="0" bIns="0" upright="0">
                      <a:spAutoFit/>
                    </wps:bodyPr>
                  </wps:wsp>
                </a:graphicData>
              </a:graphic>
            </wp:anchor>
          </w:drawing>
        </mc:Choice>
        <mc:Fallback>
          <w:pict>
            <v:shape id="文本框 121"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AnUrCzLAQAAnAMAAA4AAAAAAAAAAQAgAAAAHgEAAGRycy9lMm9E&#10;b2MueG1sUEsFBgAAAAAGAAYAWQEAAFsFAAAAAA==&#10;">
              <v:fill on="f" focussize="0,0"/>
              <v:stroke on="f"/>
              <v:imagedata o:title=""/>
              <o:lock v:ext="edit" aspectratio="f"/>
              <v:textbox inset="0mm,0mm,0mm,0mm" style="mso-fit-shape-to-text:t;">
                <w:txbxContent>
                  <w:p w14:paraId="60C13253">
                    <w:pPr>
                      <w:pStyle w:val="26"/>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C2EEE">
    <w:pPr>
      <w:pStyle w:val="26"/>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AB5DA02">
                          <w:pPr>
                            <w:pStyle w:val="26"/>
                          </w:pPr>
                          <w:r>
                            <w:fldChar w:fldCharType="begin"/>
                          </w:r>
                          <w:r>
                            <w:instrText xml:space="preserve"> PAGE  \* MERGEFORMAT </w:instrText>
                          </w:r>
                          <w:r>
                            <w:fldChar w:fldCharType="separate"/>
                          </w:r>
                          <w:r>
                            <w:t>51</w:t>
                          </w:r>
                          <w:r>
                            <w:fldChar w:fldCharType="end"/>
                          </w:r>
                        </w:p>
                      </w:txbxContent>
                    </wps:txbx>
                    <wps:bodyPr wrap="none" lIns="0" tIns="0" rIns="0" bIns="0" upright="0">
                      <a:spAutoFit/>
                    </wps:bodyPr>
                  </wps:wsp>
                </a:graphicData>
              </a:graphic>
            </wp:anchor>
          </w:drawing>
        </mc:Choice>
        <mc:Fallback>
          <w:pict>
            <v:shape id="文本框 122"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DymAn3LAQAAnAMAAA4AAAAAAAAAAQAgAAAAHgEAAGRycy9lMm9E&#10;b2MueG1sUEsFBgAAAAAGAAYAWQEAAFsFAAAAAA==&#10;">
              <v:fill on="f" focussize="0,0"/>
              <v:stroke on="f"/>
              <v:imagedata o:title=""/>
              <o:lock v:ext="edit" aspectratio="f"/>
              <v:textbox inset="0mm,0mm,0mm,0mm" style="mso-fit-shape-to-text:t;">
                <w:txbxContent>
                  <w:p w14:paraId="0AB5DA02">
                    <w:pPr>
                      <w:pStyle w:val="26"/>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E8E98">
    <w:pPr>
      <w:pStyle w:val="26"/>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C37DB69">
                          <w:pPr>
                            <w:pStyle w:val="26"/>
                          </w:pPr>
                          <w:r>
                            <w:fldChar w:fldCharType="begin"/>
                          </w:r>
                          <w:r>
                            <w:instrText xml:space="preserve"> PAGE  \* MERGEFORMAT </w:instrText>
                          </w:r>
                          <w:r>
                            <w:fldChar w:fldCharType="separate"/>
                          </w:r>
                          <w:r>
                            <w:t>53</w:t>
                          </w:r>
                          <w:r>
                            <w:fldChar w:fldCharType="end"/>
                          </w:r>
                        </w:p>
                      </w:txbxContent>
                    </wps:txbx>
                    <wps:bodyPr wrap="none" lIns="0" tIns="0" rIns="0" bIns="0" upright="0">
                      <a:spAutoFit/>
                    </wps:bodyPr>
                  </wps:wsp>
                </a:graphicData>
              </a:graphic>
            </wp:anchor>
          </w:drawing>
        </mc:Choice>
        <mc:Fallback>
          <w:pict>
            <v:shape id="文本框 124"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CvJBmizAEAAJwDAAAOAAAAAAAAAAEAIAAAAB4BAABkcnMvZTJv&#10;RG9jLnhtbFBLBQYAAAAABgAGAFkBAABcBQAAAAA=&#10;">
              <v:fill on="f" focussize="0,0"/>
              <v:stroke on="f"/>
              <v:imagedata o:title=""/>
              <o:lock v:ext="edit" aspectratio="f"/>
              <v:textbox inset="0mm,0mm,0mm,0mm" style="mso-fit-shape-to-text:t;">
                <w:txbxContent>
                  <w:p w14:paraId="6C37DB69">
                    <w:pPr>
                      <w:pStyle w:val="26"/>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CBB5C">
    <w:pPr>
      <w:pStyle w:val="2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DC2A954">
                          <w:pPr>
                            <w:pStyle w:val="26"/>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9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5dX/wsoBAACaAwAADgAAAAAAAAABACAAAAAeAQAAZHJzL2Uyb0Rv&#10;Yy54bWxQSwUGAAAAAAYABgBZAQAAWgUAAAAA&#10;">
              <v:fill on="f" focussize="0,0"/>
              <v:stroke on="f"/>
              <v:imagedata o:title=""/>
              <o:lock v:ext="edit" aspectratio="f"/>
              <v:textbox inset="0mm,0mm,0mm,0mm" style="mso-fit-shape-to-text:t;">
                <w:txbxContent>
                  <w:p w14:paraId="5DC2A954">
                    <w:pPr>
                      <w:pStyle w:val="2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EABEA">
    <w:pPr>
      <w:pStyle w:val="26"/>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3F76BAC">
                          <w:pPr>
                            <w:pStyle w:val="26"/>
                          </w:pPr>
                          <w:r>
                            <w:fldChar w:fldCharType="begin"/>
                          </w:r>
                          <w:r>
                            <w:instrText xml:space="preserve"> PAGE  \* MERGEFORMAT </w:instrText>
                          </w:r>
                          <w:r>
                            <w:fldChar w:fldCharType="separate"/>
                          </w:r>
                          <w:r>
                            <w:t>54</w:t>
                          </w:r>
                          <w:r>
                            <w:fldChar w:fldCharType="end"/>
                          </w:r>
                        </w:p>
                      </w:txbxContent>
                    </wps:txbx>
                    <wps:bodyPr wrap="none" lIns="0" tIns="0" rIns="0" bIns="0" upright="0">
                      <a:spAutoFit/>
                    </wps:bodyPr>
                  </wps:wsp>
                </a:graphicData>
              </a:graphic>
            </wp:anchor>
          </w:drawing>
        </mc:Choice>
        <mc:Fallback>
          <w:pict>
            <v:shape id="文本框 125"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MTsihbLAQAAnAMAAA4AAAAAAAAAAQAgAAAAHgEAAGRycy9lMm9E&#10;b2MueG1sUEsFBgAAAAAGAAYAWQEAAFsFAAAAAA==&#10;">
              <v:fill on="f" focussize="0,0"/>
              <v:stroke on="f"/>
              <v:imagedata o:title=""/>
              <o:lock v:ext="edit" aspectratio="f"/>
              <v:textbox inset="0mm,0mm,0mm,0mm" style="mso-fit-shape-to-text:t;">
                <w:txbxContent>
                  <w:p w14:paraId="63F76BAC">
                    <w:pPr>
                      <w:pStyle w:val="26"/>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51AA2">
    <w:pPr>
      <w:pStyle w:val="26"/>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3E75CFD">
                          <w:pPr>
                            <w:pStyle w:val="26"/>
                          </w:pPr>
                          <w:r>
                            <w:fldChar w:fldCharType="begin"/>
                          </w:r>
                          <w:r>
                            <w:instrText xml:space="preserve"> PAGE  \* MERGEFORMAT </w:instrText>
                          </w:r>
                          <w:r>
                            <w:fldChar w:fldCharType="separate"/>
                          </w:r>
                          <w:r>
                            <w:t>55</w:t>
                          </w:r>
                          <w:r>
                            <w:fldChar w:fldCharType="end"/>
                          </w:r>
                        </w:p>
                      </w:txbxContent>
                    </wps:txbx>
                    <wps:bodyPr wrap="none" lIns="0" tIns="0" rIns="0" bIns="0" upright="0">
                      <a:spAutoFit/>
                    </wps:bodyPr>
                  </wps:wsp>
                </a:graphicData>
              </a:graphic>
            </wp:anchor>
          </w:drawing>
        </mc:Choice>
        <mc:Fallback>
          <w:pict>
            <v:shape id="文本框 1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FON3sLLAQAAnAMAAA4AAAAAAAAAAQAgAAAAHgEAAGRycy9lMm9E&#10;b2MueG1sUEsFBgAAAAAGAAYAWQEAAFsFAAAAAA==&#10;">
              <v:fill on="f" focussize="0,0"/>
              <v:stroke on="f"/>
              <v:imagedata o:title=""/>
              <o:lock v:ext="edit" aspectratio="f"/>
              <v:textbox inset="0mm,0mm,0mm,0mm" style="mso-fit-shape-to-text:t;">
                <w:txbxContent>
                  <w:p w14:paraId="63E75CFD">
                    <w:pPr>
                      <w:pStyle w:val="26"/>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0C7FB0">
    <w:pPr>
      <w:pStyle w:val="26"/>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D5F190E">
                          <w:pPr>
                            <w:pStyle w:val="26"/>
                          </w:pPr>
                          <w:r>
                            <w:fldChar w:fldCharType="begin"/>
                          </w:r>
                          <w:r>
                            <w:instrText xml:space="preserve"> PAGE  \* MERGEFORMAT </w:instrText>
                          </w:r>
                          <w:r>
                            <w:fldChar w:fldCharType="separate"/>
                          </w:r>
                          <w:r>
                            <w:t>57</w:t>
                          </w:r>
                          <w:r>
                            <w:fldChar w:fldCharType="end"/>
                          </w:r>
                        </w:p>
                      </w:txbxContent>
                    </wps:txbx>
                    <wps:bodyPr wrap="none" lIns="0" tIns="0" rIns="0" bIns="0" upright="0">
                      <a:spAutoFit/>
                    </wps:bodyPr>
                  </wps:wsp>
                </a:graphicData>
              </a:graphic>
            </wp:anchor>
          </w:drawing>
        </mc:Choice>
        <mc:Fallback>
          <w:pict>
            <v:shape id="文本框 127"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DhFTXbLAQAAnAMAAA4AAAAAAAAAAQAgAAAAHgEAAGRycy9lMm9E&#10;b2MueG1sUEsFBgAAAAAGAAYAWQEAAFsFAAAAAA==&#10;">
              <v:fill on="f" focussize="0,0"/>
              <v:stroke on="f"/>
              <v:imagedata o:title=""/>
              <o:lock v:ext="edit" aspectratio="f"/>
              <v:textbox inset="0mm,0mm,0mm,0mm" style="mso-fit-shape-to-text:t;">
                <w:txbxContent>
                  <w:p w14:paraId="0D5F190E">
                    <w:pPr>
                      <w:pStyle w:val="26"/>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7F0C77">
    <w:pPr>
      <w:pStyle w:val="26"/>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1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6302ACC">
                          <w:pPr>
                            <w:pStyle w:val="26"/>
                          </w:pPr>
                          <w:r>
                            <w:fldChar w:fldCharType="begin"/>
                          </w:r>
                          <w:r>
                            <w:instrText xml:space="preserve"> PAGE  \* MERGEFORMAT </w:instrText>
                          </w:r>
                          <w:r>
                            <w:fldChar w:fldCharType="separate"/>
                          </w:r>
                          <w:r>
                            <w:t>58</w:t>
                          </w:r>
                          <w:r>
                            <w:fldChar w:fldCharType="end"/>
                          </w:r>
                        </w:p>
                      </w:txbxContent>
                    </wps:txbx>
                    <wps:bodyPr wrap="none" lIns="0" tIns="0" rIns="0" bIns="0" upright="0">
                      <a:spAutoFit/>
                    </wps:bodyPr>
                  </wps:wsp>
                </a:graphicData>
              </a:graphic>
            </wp:anchor>
          </w:drawing>
        </mc:Choice>
        <mc:Fallback>
          <w:pict>
            <v:shape id="文本框 128"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MgnX8fLAQAAnAMAAA4AAAAAAAAAAQAgAAAAHgEAAGRycy9lMm9E&#10;b2MueG1sUEsFBgAAAAAGAAYAWQEAAFsFAAAAAA==&#10;">
              <v:fill on="f" focussize="0,0"/>
              <v:stroke on="f"/>
              <v:imagedata o:title=""/>
              <o:lock v:ext="edit" aspectratio="f"/>
              <v:textbox inset="0mm,0mm,0mm,0mm" style="mso-fit-shape-to-text:t;">
                <w:txbxContent>
                  <w:p w14:paraId="56302ACC">
                    <w:pPr>
                      <w:pStyle w:val="26"/>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CB2DD">
    <w:pPr>
      <w:pStyle w:val="26"/>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1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8BF3F12">
                          <w:pPr>
                            <w:pStyle w:val="26"/>
                          </w:pPr>
                          <w:r>
                            <w:fldChar w:fldCharType="begin"/>
                          </w:r>
                          <w:r>
                            <w:instrText xml:space="preserve"> PAGE  \* MERGEFORMAT </w:instrText>
                          </w:r>
                          <w:r>
                            <w:fldChar w:fldCharType="separate"/>
                          </w:r>
                          <w:r>
                            <w:t>59</w:t>
                          </w:r>
                          <w:r>
                            <w:fldChar w:fldCharType="end"/>
                          </w:r>
                        </w:p>
                      </w:txbxContent>
                    </wps:txbx>
                    <wps:bodyPr wrap="none" lIns="0" tIns="0" rIns="0" bIns="0" upright="0">
                      <a:spAutoFit/>
                    </wps:bodyPr>
                  </wps:wsp>
                </a:graphicData>
              </a:graphic>
            </wp:anchor>
          </w:drawing>
        </mc:Choice>
        <mc:Fallback>
          <w:pict>
            <v:shape id="文本框 129"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KPvzHPLAQAAnAMAAA4AAAAAAAAAAQAgAAAAHgEAAGRycy9lMm9E&#10;b2MueG1sUEsFBgAAAAAGAAYAWQEAAFsFAAAAAA==&#10;">
              <v:fill on="f" focussize="0,0"/>
              <v:stroke on="f"/>
              <v:imagedata o:title=""/>
              <o:lock v:ext="edit" aspectratio="f"/>
              <v:textbox inset="0mm,0mm,0mm,0mm" style="mso-fit-shape-to-text:t;">
                <w:txbxContent>
                  <w:p w14:paraId="48BF3F12">
                    <w:pPr>
                      <w:pStyle w:val="26"/>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EB9A9">
    <w:pPr>
      <w:pStyle w:val="26"/>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1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A191A0D">
                          <w:pPr>
                            <w:pStyle w:val="26"/>
                          </w:pPr>
                          <w:r>
                            <w:fldChar w:fldCharType="begin"/>
                          </w:r>
                          <w:r>
                            <w:instrText xml:space="preserve"> PAGE  \* MERGEFORMAT </w:instrText>
                          </w:r>
                          <w:r>
                            <w:fldChar w:fldCharType="separate"/>
                          </w:r>
                          <w:r>
                            <w:t>60</w:t>
                          </w:r>
                          <w:r>
                            <w:fldChar w:fldCharType="end"/>
                          </w:r>
                        </w:p>
                      </w:txbxContent>
                    </wps:txbx>
                    <wps:bodyPr wrap="none" lIns="0" tIns="0" rIns="0" bIns="0" upright="0">
                      <a:spAutoFit/>
                    </wps:bodyPr>
                  </wps:wsp>
                </a:graphicData>
              </a:graphic>
            </wp:anchor>
          </w:drawing>
        </mc:Choice>
        <mc:Fallback>
          <w:pict>
            <v:shape id="文本框 130"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ejfrQsoBAACcAwAADgAAAAAAAAABACAAAAAeAQAAZHJzL2Uyb0Rv&#10;Yy54bWxQSwUGAAAAAAYABgBZAQAAWgUAAAAA&#10;">
              <v:fill on="f" focussize="0,0"/>
              <v:stroke on="f"/>
              <v:imagedata o:title=""/>
              <o:lock v:ext="edit" aspectratio="f"/>
              <v:textbox inset="0mm,0mm,0mm,0mm" style="mso-fit-shape-to-text:t;">
                <w:txbxContent>
                  <w:p w14:paraId="4A191A0D">
                    <w:pPr>
                      <w:pStyle w:val="26"/>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2D360">
    <w:pPr>
      <w:pStyle w:val="26"/>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1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6822EB">
                          <w:pPr>
                            <w:pStyle w:val="26"/>
                          </w:pPr>
                          <w:r>
                            <w:fldChar w:fldCharType="begin"/>
                          </w:r>
                          <w:r>
                            <w:instrText xml:space="preserve"> PAGE  \* MERGEFORMAT </w:instrText>
                          </w:r>
                          <w:r>
                            <w:fldChar w:fldCharType="separate"/>
                          </w:r>
                          <w:r>
                            <w:t>61</w:t>
                          </w:r>
                          <w:r>
                            <w:fldChar w:fldCharType="end"/>
                          </w:r>
                        </w:p>
                      </w:txbxContent>
                    </wps:txbx>
                    <wps:bodyPr wrap="none" lIns="0" tIns="0" rIns="0" bIns="0" upright="0">
                      <a:spAutoFit/>
                    </wps:bodyPr>
                  </wps:wsp>
                </a:graphicData>
              </a:graphic>
            </wp:anchor>
          </w:drawing>
        </mc:Choice>
        <mc:Fallback>
          <w:pict>
            <v:shape id="文本框 131"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BH/ePbLAQAAnAMAAA4AAAAAAAAAAQAgAAAAHgEAAGRycy9lMm9E&#10;b2MueG1sUEsFBgAAAAAGAAYAWQEAAFsFAAAAAA==&#10;">
              <v:fill on="f" focussize="0,0"/>
              <v:stroke on="f"/>
              <v:imagedata o:title=""/>
              <o:lock v:ext="edit" aspectratio="f"/>
              <v:textbox inset="0mm,0mm,0mm,0mm" style="mso-fit-shape-to-text:t;">
                <w:txbxContent>
                  <w:p w14:paraId="5F6822EB">
                    <w:pPr>
                      <w:pStyle w:val="26"/>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142B7">
    <w:pPr>
      <w:pStyle w:val="26"/>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7A062C">
                          <w:pPr>
                            <w:pStyle w:val="26"/>
                          </w:pPr>
                          <w:r>
                            <w:fldChar w:fldCharType="begin"/>
                          </w:r>
                          <w:r>
                            <w:instrText xml:space="preserve"> PAGE  \* MERGEFORMAT </w:instrText>
                          </w:r>
                          <w:r>
                            <w:fldChar w:fldCharType="separate"/>
                          </w:r>
                          <w:r>
                            <w:t>62</w:t>
                          </w:r>
                          <w:r>
                            <w:fldChar w:fldCharType="end"/>
                          </w:r>
                        </w:p>
                      </w:txbxContent>
                    </wps:txbx>
                    <wps:bodyPr wrap="none" lIns="0" tIns="0" rIns="0" bIns="0" upright="0">
                      <a:spAutoFit/>
                    </wps:bodyPr>
                  </wps:wsp>
                </a:graphicData>
              </a:graphic>
            </wp:anchor>
          </w:drawing>
        </mc:Choice>
        <mc:Fallback>
          <w:pict>
            <v:shape id="文本框 132"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DOF/coBAACc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kJJHLc48cv3b5cfvy4/v5Ll&#10;y1VWqA9QY+JdwNQ0vPUD7s3sB3Rm4oOKNn+REsE4gp2v+sohEZEfrVfrdYUhgbH5gvjs4XmIkN5J&#10;b0k2GhpxgEVXfvoAaUydU3I152+1MWWIxv3lQMzsYbn3scdspWE/TIT2vj0jnx5n31CHq06Jee9Q&#10;WuwvzUacjf1sHEPUh67sUa4H4c0xYROlt1xhhJ0K49AKu2nB8lb8eS9ZDz/V9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HDOF/coBAACcAwAADgAAAAAAAAABACAAAAAeAQAAZHJzL2Uyb0Rv&#10;Yy54bWxQSwUGAAAAAAYABgBZAQAAWgUAAAAA&#10;">
              <v:fill on="f" focussize="0,0"/>
              <v:stroke on="f"/>
              <v:imagedata o:title=""/>
              <o:lock v:ext="edit" aspectratio="f"/>
              <v:textbox inset="0mm,0mm,0mm,0mm" style="mso-fit-shape-to-text:t;">
                <w:txbxContent>
                  <w:p w14:paraId="767A062C">
                    <w:pPr>
                      <w:pStyle w:val="26"/>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E92B4">
    <w:pPr>
      <w:pStyle w:val="26"/>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80D7D8C">
                          <w:pPr>
                            <w:pStyle w:val="26"/>
                          </w:pPr>
                          <w:r>
                            <w:fldChar w:fldCharType="begin"/>
                          </w:r>
                          <w:r>
                            <w:instrText xml:space="preserve"> PAGE  \* MERGEFORMAT </w:instrText>
                          </w:r>
                          <w:r>
                            <w:fldChar w:fldCharType="separate"/>
                          </w:r>
                          <w:r>
                            <w:t>63</w:t>
                          </w:r>
                          <w:r>
                            <w:fldChar w:fldCharType="end"/>
                          </w:r>
                        </w:p>
                      </w:txbxContent>
                    </wps:txbx>
                    <wps:bodyPr wrap="none" lIns="0" tIns="0" rIns="0" bIns="0" upright="0">
                      <a:spAutoFit/>
                    </wps:bodyPr>
                  </wps:wsp>
                </a:graphicData>
              </a:graphic>
            </wp:anchor>
          </w:drawing>
        </mc:Choice>
        <mc:Fallback>
          <w:pict>
            <v:shape id="文本框 133"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Hf7FknLAQAAnAMAAA4AAAAAAAAAAQAgAAAAHgEAAGRycy9lMm9E&#10;b2MueG1sUEsFBgAAAAAGAAYAWQEAAFsFAAAAAA==&#10;">
              <v:fill on="f" focussize="0,0"/>
              <v:stroke on="f"/>
              <v:imagedata o:title=""/>
              <o:lock v:ext="edit" aspectratio="f"/>
              <v:textbox inset="0mm,0mm,0mm,0mm" style="mso-fit-shape-to-text:t;">
                <w:txbxContent>
                  <w:p w14:paraId="780D7D8C">
                    <w:pPr>
                      <w:pStyle w:val="26"/>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3A38B">
    <w:pPr>
      <w:pStyle w:val="26"/>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1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0283D25">
                          <w:pPr>
                            <w:pStyle w:val="26"/>
                          </w:pPr>
                          <w:r>
                            <w:fldChar w:fldCharType="begin"/>
                          </w:r>
                          <w:r>
                            <w:instrText xml:space="preserve"> PAGE  \* MERGEFORMAT </w:instrText>
                          </w:r>
                          <w:r>
                            <w:fldChar w:fldCharType="separate"/>
                          </w:r>
                          <w:r>
                            <w:t>64</w:t>
                          </w:r>
                          <w:r>
                            <w:fldChar w:fldCharType="end"/>
                          </w:r>
                        </w:p>
                      </w:txbxContent>
                    </wps:txbx>
                    <wps:bodyPr wrap="none" lIns="0" tIns="0" rIns="0" bIns="0" upright="0">
                      <a:spAutoFit/>
                    </wps:bodyPr>
                  </wps:wsp>
                </a:graphicData>
              </a:graphic>
            </wp:anchor>
          </w:drawing>
        </mc:Choice>
        <mc:Fallback>
          <w:pict>
            <v:shape id="文本框 134"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I+xniLLAQAAnAMAAA4AAAAAAAAAAQAgAAAAHgEAAGRycy9lMm9E&#10;b2MueG1sUEsFBgAAAAAGAAYAWQEAAFsFAAAAAA==&#10;">
              <v:fill on="f" focussize="0,0"/>
              <v:stroke on="f"/>
              <v:imagedata o:title=""/>
              <o:lock v:ext="edit" aspectratio="f"/>
              <v:textbox inset="0mm,0mm,0mm,0mm" style="mso-fit-shape-to-text:t;">
                <w:txbxContent>
                  <w:p w14:paraId="20283D25">
                    <w:pPr>
                      <w:pStyle w:val="26"/>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852D9">
    <w:pPr>
      <w:pStyle w:val="26"/>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9BE8167">
                          <w:pPr>
                            <w:pStyle w:val="26"/>
                          </w:pPr>
                          <w:r>
                            <w:fldChar w:fldCharType="begin"/>
                          </w:r>
                          <w:r>
                            <w:instrText xml:space="preserve"> PAGE  \* MERGEFORMAT </w:instrText>
                          </w:r>
                          <w:r>
                            <w:fldChar w:fldCharType="separate"/>
                          </w:r>
                          <w:r>
                            <w:t>18</w:t>
                          </w:r>
                          <w:r>
                            <w:fldChar w:fldCharType="end"/>
                          </w:r>
                        </w:p>
                      </w:txbxContent>
                    </wps:txbx>
                    <wps:bodyPr wrap="none" lIns="0" tIns="0" rIns="0" bIns="0" upright="0">
                      <a:spAutoFit/>
                    </wps:bodyPr>
                  </wps:wsp>
                </a:graphicData>
              </a:graphic>
            </wp:anchor>
          </w:drawing>
        </mc:Choice>
        <mc:Fallback>
          <w:pict>
            <v:shape id="文本框 97"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4a93ByQEAAJoDAAAOAAAAAAAAAAEAIAAAAB4BAABkcnMvZTJvRG9j&#10;LnhtbFBLBQYAAAAABgAGAFkBAABZBQAAAAA=&#10;">
              <v:fill on="f" focussize="0,0"/>
              <v:stroke on="f"/>
              <v:imagedata o:title=""/>
              <o:lock v:ext="edit" aspectratio="f"/>
              <v:textbox inset="0mm,0mm,0mm,0mm" style="mso-fit-shape-to-text:t;">
                <w:txbxContent>
                  <w:p w14:paraId="69BE8167">
                    <w:pPr>
                      <w:pStyle w:val="26"/>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04485">
    <w:pPr>
      <w:pStyle w:val="26"/>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1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EF5D35D">
                          <w:pPr>
                            <w:pStyle w:val="26"/>
                          </w:pPr>
                          <w:r>
                            <w:fldChar w:fldCharType="begin"/>
                          </w:r>
                          <w:r>
                            <w:instrText xml:space="preserve"> PAGE  \* MERGEFORMAT </w:instrText>
                          </w:r>
                          <w:r>
                            <w:fldChar w:fldCharType="separate"/>
                          </w:r>
                          <w:r>
                            <w:t>65</w:t>
                          </w:r>
                          <w:r>
                            <w:fldChar w:fldCharType="end"/>
                          </w:r>
                        </w:p>
                      </w:txbxContent>
                    </wps:txbx>
                    <wps:bodyPr wrap="none" lIns="0" tIns="0" rIns="0" bIns="0" upright="0">
                      <a:spAutoFit/>
                    </wps:bodyPr>
                  </wps:wsp>
                </a:graphicData>
              </a:graphic>
            </wp:anchor>
          </w:drawing>
        </mc:Choice>
        <mc:Fallback>
          <w:pict>
            <v:shape id="文本框 135"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DkeQ2WzAEAAJwDAAAOAAAAAAAAAAEAIAAAAB4BAABkcnMvZTJv&#10;RG9jLnhtbFBLBQYAAAAABgAGAFkBAABcBQAAAAA=&#10;">
              <v:fill on="f" focussize="0,0"/>
              <v:stroke on="f"/>
              <v:imagedata o:title=""/>
              <o:lock v:ext="edit" aspectratio="f"/>
              <v:textbox inset="0mm,0mm,0mm,0mm" style="mso-fit-shape-to-text:t;">
                <w:txbxContent>
                  <w:p w14:paraId="6EF5D35D">
                    <w:pPr>
                      <w:pStyle w:val="26"/>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D3157">
    <w:pPr>
      <w:pStyle w:val="26"/>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1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0DB74EC">
                          <w:pPr>
                            <w:pStyle w:val="26"/>
                          </w:pPr>
                          <w:r>
                            <w:fldChar w:fldCharType="begin"/>
                          </w:r>
                          <w:r>
                            <w:instrText xml:space="preserve"> PAGE  \* MERGEFORMAT </w:instrText>
                          </w:r>
                          <w:r>
                            <w:fldChar w:fldCharType="separate"/>
                          </w:r>
                          <w:r>
                            <w:t>66</w:t>
                          </w:r>
                          <w:r>
                            <w:fldChar w:fldCharType="end"/>
                          </w:r>
                        </w:p>
                      </w:txbxContent>
                    </wps:txbx>
                    <wps:bodyPr wrap="none" lIns="0" tIns="0" rIns="0" bIns="0" upright="0">
                      <a:spAutoFit/>
                    </wps:bodyPr>
                  </wps:wsp>
                </a:graphicData>
              </a:graphic>
            </wp:anchor>
          </w:drawing>
        </mc:Choice>
        <mc:Fallback>
          <w:pict>
            <v:shape id="文本框 13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HMYWULLAQAAnAMAAA4AAAAAAAAAAQAgAAAAHgEAAGRycy9lMm9E&#10;b2MueG1sUEsFBgAAAAAGAAYAWQEAAFsFAAAAAA==&#10;">
              <v:fill on="f" focussize="0,0"/>
              <v:stroke on="f"/>
              <v:imagedata o:title=""/>
              <o:lock v:ext="edit" aspectratio="f"/>
              <v:textbox inset="0mm,0mm,0mm,0mm" style="mso-fit-shape-to-text:t;">
                <w:txbxContent>
                  <w:p w14:paraId="00DB74EC">
                    <w:pPr>
                      <w:pStyle w:val="26"/>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6444B2">
    <w:pPr>
      <w:pStyle w:val="26"/>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1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8D0242C">
                          <w:pPr>
                            <w:pStyle w:val="26"/>
                          </w:pPr>
                          <w:r>
                            <w:fldChar w:fldCharType="begin"/>
                          </w:r>
                          <w:r>
                            <w:instrText xml:space="preserve"> PAGE  \* MERGEFORMAT </w:instrText>
                          </w:r>
                          <w:r>
                            <w:fldChar w:fldCharType="separate"/>
                          </w:r>
                          <w:r>
                            <w:t>67</w:t>
                          </w:r>
                          <w:r>
                            <w:fldChar w:fldCharType="end"/>
                          </w:r>
                        </w:p>
                      </w:txbxContent>
                    </wps:txbx>
                    <wps:bodyPr wrap="none" lIns="0" tIns="0" rIns="0" bIns="0" upright="0">
                      <a:spAutoFit/>
                    </wps:bodyPr>
                  </wps:wsp>
                </a:graphicData>
              </a:graphic>
            </wp:anchor>
          </w:drawing>
        </mc:Choice>
        <mc:Fallback>
          <w:pict>
            <v:shape id="文本框 137"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Y0Mr2zAEAAJwDAAAOAAAAAAAAAAEAIAAAAB4BAABkcnMvZTJv&#10;RG9jLnhtbFBLBQYAAAAABgAGAFkBAABcBQAAAAA=&#10;">
              <v:fill on="f" focussize="0,0"/>
              <v:stroke on="f"/>
              <v:imagedata o:title=""/>
              <o:lock v:ext="edit" aspectratio="f"/>
              <v:textbox inset="0mm,0mm,0mm,0mm" style="mso-fit-shape-to-text:t;">
                <w:txbxContent>
                  <w:p w14:paraId="28D0242C">
                    <w:pPr>
                      <w:pStyle w:val="26"/>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CB590">
    <w:pPr>
      <w:pStyle w:val="26"/>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1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D915202">
                          <w:pPr>
                            <w:pStyle w:val="26"/>
                          </w:pPr>
                          <w:r>
                            <w:fldChar w:fldCharType="begin"/>
                          </w:r>
                          <w:r>
                            <w:instrText xml:space="preserve"> PAGE  \* MERGEFORMAT </w:instrText>
                          </w:r>
                          <w:r>
                            <w:fldChar w:fldCharType="separate"/>
                          </w:r>
                          <w:r>
                            <w:t>68</w:t>
                          </w:r>
                          <w:r>
                            <w:fldChar w:fldCharType="end"/>
                          </w:r>
                        </w:p>
                      </w:txbxContent>
                    </wps:txbx>
                    <wps:bodyPr wrap="none" lIns="0" tIns="0" rIns="0" bIns="0" upright="0">
                      <a:spAutoFit/>
                    </wps:bodyPr>
                  </wps:wsp>
                </a:graphicData>
              </a:graphic>
            </wp:anchor>
          </w:drawing>
        </mc:Choice>
        <mc:Fallback>
          <w:pict>
            <v:shape id="文本框 138"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DosthHzAEAAJwDAAAOAAAAAAAAAAEAIAAAAB4BAABkcnMvZTJv&#10;RG9jLnhtbFBLBQYAAAAABgAGAFkBAABcBQAAAAA=&#10;">
              <v:fill on="f" focussize="0,0"/>
              <v:stroke on="f"/>
              <v:imagedata o:title=""/>
              <o:lock v:ext="edit" aspectratio="f"/>
              <v:textbox inset="0mm,0mm,0mm,0mm" style="mso-fit-shape-to-text:t;">
                <w:txbxContent>
                  <w:p w14:paraId="1D915202">
                    <w:pPr>
                      <w:pStyle w:val="26"/>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18C47">
    <w:pPr>
      <w:pStyle w:val="26"/>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1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5B3B0AA">
                          <w:pPr>
                            <w:pStyle w:val="26"/>
                          </w:pPr>
                          <w:r>
                            <w:fldChar w:fldCharType="begin"/>
                          </w:r>
                          <w:r>
                            <w:instrText xml:space="preserve"> PAGE  \* MERGEFORMAT </w:instrText>
                          </w:r>
                          <w:r>
                            <w:fldChar w:fldCharType="separate"/>
                          </w:r>
                          <w:r>
                            <w:t>69</w:t>
                          </w:r>
                          <w:r>
                            <w:fldChar w:fldCharType="end"/>
                          </w:r>
                        </w:p>
                      </w:txbxContent>
                    </wps:txbx>
                    <wps:bodyPr wrap="none" lIns="0" tIns="0" rIns="0" bIns="0" upright="0">
                      <a:spAutoFit/>
                    </wps:bodyPr>
                  </wps:wsp>
                </a:graphicData>
              </a:graphic>
            </wp:anchor>
          </w:drawing>
        </mc:Choice>
        <mc:Fallback>
          <w:pict>
            <v:shape id="文本框 139"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g3pL880BAACcAwAADgAAAAAAAAABACAAAAAeAQAAZHJzL2Uy&#10;b0RvYy54bWxQSwUGAAAAAAYABgBZAQAAXQUAAAAA&#10;">
              <v:fill on="f" focussize="0,0"/>
              <v:stroke on="f"/>
              <v:imagedata o:title=""/>
              <o:lock v:ext="edit" aspectratio="f"/>
              <v:textbox inset="0mm,0mm,0mm,0mm" style="mso-fit-shape-to-text:t;">
                <w:txbxContent>
                  <w:p w14:paraId="75B3B0AA">
                    <w:pPr>
                      <w:pStyle w:val="26"/>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D5F63">
    <w:pPr>
      <w:pStyle w:val="26"/>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1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F752EC8">
                          <w:pPr>
                            <w:pStyle w:val="26"/>
                          </w:pPr>
                          <w:r>
                            <w:fldChar w:fldCharType="begin"/>
                          </w:r>
                          <w:r>
                            <w:instrText xml:space="preserve"> PAGE  \* MERGEFORMAT </w:instrText>
                          </w:r>
                          <w:r>
                            <w:fldChar w:fldCharType="separate"/>
                          </w:r>
                          <w:r>
                            <w:t>70</w:t>
                          </w:r>
                          <w:r>
                            <w:fldChar w:fldCharType="end"/>
                          </w:r>
                        </w:p>
                      </w:txbxContent>
                    </wps:txbx>
                    <wps:bodyPr wrap="none" lIns="0" tIns="0" rIns="0" bIns="0" upright="0">
                      <a:spAutoFit/>
                    </wps:bodyPr>
                  </wps:wsp>
                </a:graphicData>
              </a:graphic>
            </wp:anchor>
          </w:drawing>
        </mc:Choice>
        <mc:Fallback>
          <w:pict>
            <v:shape id="文本框 140"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8exUK8oBAACcAwAADgAAAAAAAAABACAAAAAeAQAAZHJzL2Uyb0Rv&#10;Yy54bWxQSwUGAAAAAAYABgBZAQAAWgUAAAAA&#10;">
              <v:fill on="f" focussize="0,0"/>
              <v:stroke on="f"/>
              <v:imagedata o:title=""/>
              <o:lock v:ext="edit" aspectratio="f"/>
              <v:textbox inset="0mm,0mm,0mm,0mm" style="mso-fit-shape-to-text:t;">
                <w:txbxContent>
                  <w:p w14:paraId="4F752EC8">
                    <w:pPr>
                      <w:pStyle w:val="26"/>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81974">
    <w:pPr>
      <w:pStyle w:val="26"/>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1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4AD12F8">
                          <w:pPr>
                            <w:pStyle w:val="26"/>
                          </w:pPr>
                          <w:r>
                            <w:fldChar w:fldCharType="begin"/>
                          </w:r>
                          <w:r>
                            <w:instrText xml:space="preserve"> PAGE  \* MERGEFORMAT </w:instrText>
                          </w:r>
                          <w:r>
                            <w:fldChar w:fldCharType="separate"/>
                          </w:r>
                          <w:r>
                            <w:t>72</w:t>
                          </w:r>
                          <w:r>
                            <w:fldChar w:fldCharType="end"/>
                          </w:r>
                        </w:p>
                      </w:txbxContent>
                    </wps:txbx>
                    <wps:bodyPr wrap="none" lIns="0" tIns="0" rIns="0" bIns="0" upright="0">
                      <a:spAutoFit/>
                    </wps:bodyPr>
                  </wps:wsp>
                </a:graphicData>
              </a:graphic>
            </wp:anchor>
          </w:drawing>
        </mc:Choice>
        <mc:Fallback>
          <w:pict>
            <v:shape id="文本框 141"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Jokx5/LAQAAnAMAAA4AAAAAAAAAAQAgAAAAHgEAAGRycy9lMm9E&#10;b2MueG1sUEsFBgAAAAAGAAYAWQEAAFsFAAAAAA==&#10;">
              <v:fill on="f" focussize="0,0"/>
              <v:stroke on="f"/>
              <v:imagedata o:title=""/>
              <o:lock v:ext="edit" aspectratio="f"/>
              <v:textbox inset="0mm,0mm,0mm,0mm" style="mso-fit-shape-to-text:t;">
                <w:txbxContent>
                  <w:p w14:paraId="64AD12F8">
                    <w:pPr>
                      <w:pStyle w:val="26"/>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753F3">
    <w:r>
      <w:fldChar w:fldCharType="begin"/>
    </w:r>
    <w:r>
      <w:instrText xml:space="preserve"> PAGE   \* MERGEFORMAT </w:instrText>
    </w:r>
    <w:r>
      <w:fldChar w:fldCharType="separate"/>
    </w:r>
    <w:r>
      <w:rPr>
        <w:rFonts w:eastAsia="Times New Roman"/>
        <w:sz w:val="18"/>
      </w:rPr>
      <w:t>1</w:t>
    </w:r>
    <w:r>
      <w:rPr>
        <w:rFonts w:eastAsia="Times New Roman"/>
        <w:sz w:val="18"/>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469E3">
    <w:pPr>
      <w:pStyle w:val="26"/>
      <w:rPr>
        <w:rFonts w:cs="宋体"/>
      </w:rPr>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1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131603">
                          <w:pPr>
                            <w:pStyle w:val="26"/>
                          </w:pPr>
                          <w:r>
                            <w:fldChar w:fldCharType="begin"/>
                          </w:r>
                          <w:r>
                            <w:instrText xml:space="preserve"> PAGE  \* MERGEFORMAT </w:instrText>
                          </w:r>
                          <w:r>
                            <w:fldChar w:fldCharType="separate"/>
                          </w:r>
                          <w:r>
                            <w:t>73</w:t>
                          </w:r>
                          <w:r>
                            <w:fldChar w:fldCharType="end"/>
                          </w:r>
                        </w:p>
                      </w:txbxContent>
                    </wps:txbx>
                    <wps:bodyPr wrap="none" lIns="0" tIns="0" rIns="0" bIns="0" upright="0">
                      <a:spAutoFit/>
                    </wps:bodyPr>
                  </wps:wsp>
                </a:graphicData>
              </a:graphic>
            </wp:anchor>
          </w:drawing>
        </mc:Choice>
        <mc:Fallback>
          <w:pict>
            <v:shape id="文本框 142"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1ZpzsoBAACc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kJJHLc48cv3b5cfvy4/v5Ll&#10;y1VWqA9QY+JdwNQ0vPUD7s3sB3Rm4oOKNn+REsE4gp2v+sohEZEfrVfrdYUhgbH5gvjs4XmIkN5J&#10;b0k2GhpxgEVXfvoAaUydU3I152+1MWWIxv3lQMzsYbn3scdspWE/TIT2vj0jnx5n31CHq06Jee9Q&#10;WuwvzUacjf1sHEPUh67sUa4H4c0xYROlt1xhhJ0K49AKu2nB8lb8eS9ZDz/V9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r1ZpzsoBAACcAwAADgAAAAAAAAABACAAAAAeAQAAZHJzL2Uyb0Rv&#10;Yy54bWxQSwUGAAAAAAYABgBZAQAAWgUAAAAA&#10;">
              <v:fill on="f" focussize="0,0"/>
              <v:stroke on="f"/>
              <v:imagedata o:title=""/>
              <o:lock v:ext="edit" aspectratio="f"/>
              <v:textbox inset="0mm,0mm,0mm,0mm" style="mso-fit-shape-to-text:t;">
                <w:txbxContent>
                  <w:p w14:paraId="29131603">
                    <w:pPr>
                      <w:pStyle w:val="26"/>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209AC">
    <w:pPr>
      <w:pStyle w:val="2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1BFF000">
                          <w:pPr>
                            <w:pStyle w:val="26"/>
                          </w:pPr>
                          <w:r>
                            <w:fldChar w:fldCharType="begin"/>
                          </w:r>
                          <w:r>
                            <w:instrText xml:space="preserve"> PAGE  \* MERGEFORMAT </w:instrText>
                          </w:r>
                          <w:r>
                            <w:fldChar w:fldCharType="separate"/>
                          </w:r>
                          <w:r>
                            <w:t>19</w:t>
                          </w:r>
                          <w:r>
                            <w:fldChar w:fldCharType="end"/>
                          </w:r>
                        </w:p>
                      </w:txbxContent>
                    </wps:txbx>
                    <wps:bodyPr wrap="none" lIns="0" tIns="0" rIns="0" bIns="0" upright="0">
                      <a:spAutoFit/>
                    </wps:bodyPr>
                  </wps:wsp>
                </a:graphicData>
              </a:graphic>
            </wp:anchor>
          </w:drawing>
        </mc:Choice>
        <mc:Fallback>
          <w:pict>
            <v:shape id="文本框 98"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k06IVyQEAAJoDAAAOAAAAAAAAAAEAIAAAAB4BAABkcnMvZTJvRG9j&#10;LnhtbFBLBQYAAAAABgAGAFkBAABZBQAAAAA=&#10;">
              <v:fill on="f" focussize="0,0"/>
              <v:stroke on="f"/>
              <v:imagedata o:title=""/>
              <o:lock v:ext="edit" aspectratio="f"/>
              <v:textbox inset="0mm,0mm,0mm,0mm" style="mso-fit-shape-to-text:t;">
                <w:txbxContent>
                  <w:p w14:paraId="71BFF000">
                    <w:pPr>
                      <w:pStyle w:val="26"/>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46056">
    <w:pPr>
      <w:pStyle w:val="26"/>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658C2C6">
                          <w:pPr>
                            <w:pStyle w:val="26"/>
                          </w:pPr>
                          <w:r>
                            <w:fldChar w:fldCharType="begin"/>
                          </w:r>
                          <w:r>
                            <w:instrText xml:space="preserve"> PAGE  \* MERGEFORMAT </w:instrText>
                          </w:r>
                          <w:r>
                            <w:fldChar w:fldCharType="separate"/>
                          </w:r>
                          <w:r>
                            <w:t>20</w:t>
                          </w:r>
                          <w:r>
                            <w:fldChar w:fldCharType="end"/>
                          </w:r>
                        </w:p>
                      </w:txbxContent>
                    </wps:txbx>
                    <wps:bodyPr wrap="none" lIns="0" tIns="0" rIns="0" bIns="0" upright="0">
                      <a:spAutoFit/>
                    </wps:bodyPr>
                  </wps:wsp>
                </a:graphicData>
              </a:graphic>
            </wp:anchor>
          </w:drawing>
        </mc:Choice>
        <mc:Fallback>
          <w:pict>
            <v:shape id="文本框 99"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MsGfEyQEAAJoDAAAOAAAAAAAAAAEAIAAAAB4BAABkcnMvZTJvRG9j&#10;LnhtbFBLBQYAAAAABgAGAFkBAABZBQAAAAA=&#10;">
              <v:fill on="f" focussize="0,0"/>
              <v:stroke on="f"/>
              <v:imagedata o:title=""/>
              <o:lock v:ext="edit" aspectratio="f"/>
              <v:textbox inset="0mm,0mm,0mm,0mm" style="mso-fit-shape-to-text:t;">
                <w:txbxContent>
                  <w:p w14:paraId="6658C2C6">
                    <w:pPr>
                      <w:pStyle w:val="26"/>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285E8">
    <w:pPr>
      <w:pStyle w:val="26"/>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EC61C91">
                          <w:pPr>
                            <w:pStyle w:val="26"/>
                          </w:pPr>
                          <w:r>
                            <w:fldChar w:fldCharType="begin"/>
                          </w:r>
                          <w:r>
                            <w:instrText xml:space="preserve"> PAGE  \* MERGEFORMAT </w:instrText>
                          </w:r>
                          <w:r>
                            <w:fldChar w:fldCharType="separate"/>
                          </w:r>
                          <w:r>
                            <w:t>29</w:t>
                          </w:r>
                          <w:r>
                            <w:fldChar w:fldCharType="end"/>
                          </w:r>
                        </w:p>
                      </w:txbxContent>
                    </wps:txbx>
                    <wps:bodyPr wrap="none" lIns="0" tIns="0" rIns="0" bIns="0" upright="0">
                      <a:spAutoFit/>
                    </wps:bodyPr>
                  </wps:wsp>
                </a:graphicData>
              </a:graphic>
            </wp:anchor>
          </w:drawing>
        </mc:Choice>
        <mc:Fallback>
          <w:pict>
            <v:shape id="文本框 108"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uXeGqcoBAACcAwAADgAAAAAAAAABACAAAAAeAQAAZHJzL2Uyb0Rv&#10;Yy54bWxQSwUGAAAAAAYABgBZAQAAWgUAAAAA&#10;">
              <v:fill on="f" focussize="0,0"/>
              <v:stroke on="f"/>
              <v:imagedata o:title=""/>
              <o:lock v:ext="edit" aspectratio="f"/>
              <v:textbox inset="0mm,0mm,0mm,0mm" style="mso-fit-shape-to-text:t;">
                <w:txbxContent>
                  <w:p w14:paraId="5EC61C91">
                    <w:pPr>
                      <w:pStyle w:val="26"/>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05A2A">
    <w:pPr>
      <w:pStyle w:val="26"/>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EC60D4C">
                          <w:pPr>
                            <w:pStyle w:val="26"/>
                          </w:pPr>
                          <w:r>
                            <w:fldChar w:fldCharType="begin"/>
                          </w:r>
                          <w:r>
                            <w:instrText xml:space="preserve"> PAGE  \* MERGEFORMAT </w:instrText>
                          </w:r>
                          <w:r>
                            <w:fldChar w:fldCharType="separate"/>
                          </w:r>
                          <w:r>
                            <w:t>30</w:t>
                          </w:r>
                          <w:r>
                            <w:fldChar w:fldCharType="end"/>
                          </w:r>
                        </w:p>
                      </w:txbxContent>
                    </wps:txbx>
                    <wps:bodyPr wrap="none" lIns="0" tIns="0" rIns="0" bIns="0" upright="0">
                      <a:spAutoFit/>
                    </wps:bodyPr>
                  </wps:wsp>
                </a:graphicData>
              </a:graphic>
            </wp:anchor>
          </w:drawing>
        </mc:Choice>
        <mc:Fallback>
          <w:pict>
            <v:shape id="文本框 109"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SvxUdyQEAAJwDAAAOAAAAAAAAAAEAIAAAAB4BAABkcnMvZTJvRG9j&#10;LnhtbFBLBQYAAAAABgAGAFkBAABZBQAAAAA=&#10;">
              <v:fill on="f" focussize="0,0"/>
              <v:stroke on="f"/>
              <v:imagedata o:title=""/>
              <o:lock v:ext="edit" aspectratio="f"/>
              <v:textbox inset="0mm,0mm,0mm,0mm" style="mso-fit-shape-to-text:t;">
                <w:txbxContent>
                  <w:p w14:paraId="3EC60D4C">
                    <w:pPr>
                      <w:pStyle w:val="26"/>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02BF9">
    <w:pPr>
      <w:pStyle w:val="26"/>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8CEAF53">
                          <w:pPr>
                            <w:pStyle w:val="26"/>
                          </w:pPr>
                          <w:r>
                            <w:fldChar w:fldCharType="begin"/>
                          </w:r>
                          <w:r>
                            <w:instrText xml:space="preserve"> PAGE  \* MERGEFORMAT </w:instrText>
                          </w:r>
                          <w:r>
                            <w:fldChar w:fldCharType="separate"/>
                          </w:r>
                          <w:r>
                            <w:t>31</w:t>
                          </w:r>
                          <w:r>
                            <w:fldChar w:fldCharType="end"/>
                          </w:r>
                        </w:p>
                      </w:txbxContent>
                    </wps:txbx>
                    <wps:bodyPr wrap="none" lIns="0" tIns="0" rIns="0" bIns="0" upright="0">
                      <a:spAutoFit/>
                    </wps:bodyPr>
                  </wps:wsp>
                </a:graphicData>
              </a:graphic>
            </wp:anchor>
          </w:drawing>
        </mc:Choice>
        <mc:Fallback>
          <w:pict>
            <v:shape id="文本框 110"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AtnMizIAQAAnAMAAA4AAAAAAAAAAQAgAAAAHgEAAGRycy9lMm9Eb2Mu&#10;eG1sUEsFBgAAAAAGAAYAWQEAAFgFAAAAAA==&#10;">
              <v:fill on="f" focussize="0,0"/>
              <v:stroke on="f"/>
              <v:imagedata o:title=""/>
              <o:lock v:ext="edit" aspectratio="f"/>
              <v:textbox inset="0mm,0mm,0mm,0mm" style="mso-fit-shape-to-text:t;">
                <w:txbxContent>
                  <w:p w14:paraId="28CEAF53">
                    <w:pPr>
                      <w:pStyle w:val="26"/>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1B397">
    <w:pPr>
      <w:pStyle w:val="26"/>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DEA6B4D">
                          <w:pPr>
                            <w:pStyle w:val="26"/>
                          </w:pPr>
                          <w:r>
                            <w:fldChar w:fldCharType="begin"/>
                          </w:r>
                          <w:r>
                            <w:instrText xml:space="preserve"> PAGE  \* MERGEFORMAT </w:instrText>
                          </w:r>
                          <w:r>
                            <w:fldChar w:fldCharType="separate"/>
                          </w:r>
                          <w:r>
                            <w:t>32</w:t>
                          </w:r>
                          <w:r>
                            <w:fldChar w:fldCharType="end"/>
                          </w:r>
                        </w:p>
                      </w:txbxContent>
                    </wps:txbx>
                    <wps:bodyPr wrap="none" lIns="0" tIns="0" rIns="0" bIns="0" upright="0">
                      <a:spAutoFit/>
                    </wps:bodyPr>
                  </wps:wsp>
                </a:graphicData>
              </a:graphic>
            </wp:anchor>
          </w:drawing>
        </mc:Choice>
        <mc:Fallback>
          <w:pict>
            <v:shape id="文本框 111"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YK+hmMoBAACcAwAADgAAAAAAAAABACAAAAAeAQAAZHJzL2Uyb0Rv&#10;Yy54bWxQSwUGAAAAAAYABgBZAQAAWgUAAAAA&#10;">
              <v:fill on="f" focussize="0,0"/>
              <v:stroke on="f"/>
              <v:imagedata o:title=""/>
              <o:lock v:ext="edit" aspectratio="f"/>
              <v:textbox inset="0mm,0mm,0mm,0mm" style="mso-fit-shape-to-text:t;">
                <w:txbxContent>
                  <w:p w14:paraId="7DEA6B4D">
                    <w:pPr>
                      <w:pStyle w:val="26"/>
                    </w:pPr>
                    <w:r>
                      <w:fldChar w:fldCharType="begin"/>
                    </w:r>
                    <w:r>
                      <w:instrText xml:space="preserve"> PAGE  \* MERGEFORMAT </w:instrText>
                    </w:r>
                    <w:r>
                      <w:fldChar w:fldCharType="separate"/>
                    </w:r>
                    <w:r>
                      <w:t>32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035DE">
    <w:pPr>
      <w:pStyle w:val="17"/>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C7D1F">
    <w:pPr>
      <w:pStyle w:val="2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863A2">
    <w:pPr>
      <w:pStyle w:val="17"/>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F55B3F">
    <w:pPr>
      <w:pStyle w:val="17"/>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DEC66C">
    <w:pPr>
      <w:pStyle w:val="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06344E"/>
    <w:multiLevelType w:val="singleLevel"/>
    <w:tmpl w:val="8D06344E"/>
    <w:lvl w:ilvl="0" w:tentative="0">
      <w:start w:val="6"/>
      <w:numFmt w:val="chineseCounting"/>
      <w:suff w:val="nothing"/>
      <w:lvlText w:val="%1、"/>
      <w:lvlJc w:val="left"/>
      <w:rPr>
        <w:rFonts w:hint="eastAsia"/>
      </w:rPr>
    </w:lvl>
  </w:abstractNum>
  <w:abstractNum w:abstractNumId="1">
    <w:nsid w:val="2C962FD5"/>
    <w:multiLevelType w:val="singleLevel"/>
    <w:tmpl w:val="2C962FD5"/>
    <w:lvl w:ilvl="0" w:tentative="0">
      <w:start w:val="1"/>
      <w:numFmt w:val="chineseCounting"/>
      <w:pStyle w:val="160"/>
      <w:suff w:val="nothing"/>
      <w:lvlText w:val="（%1）"/>
      <w:lvlJc w:val="left"/>
      <w:rPr>
        <w:rFonts w:hint="eastAsia" w:cs="Times New Roman"/>
      </w:rPr>
    </w:lvl>
  </w:abstractNum>
  <w:abstractNum w:abstractNumId="2">
    <w:nsid w:val="301F5202"/>
    <w:multiLevelType w:val="multilevel"/>
    <w:tmpl w:val="301F5202"/>
    <w:lvl w:ilvl="0" w:tentative="0">
      <w:start w:val="1"/>
      <w:numFmt w:val="decimal"/>
      <w:pStyle w:val="178"/>
      <w:lvlText w:val="第%1条"/>
      <w:lvlJc w:val="left"/>
      <w:pPr>
        <w:ind w:left="851" w:firstLine="0"/>
      </w:pPr>
    </w:lvl>
    <w:lvl w:ilvl="1" w:tentative="0">
      <w:start w:val="1"/>
      <w:numFmt w:val="decimal"/>
      <w:lvlText w:val="%1.%2"/>
      <w:lvlJc w:val="left"/>
      <w:pPr>
        <w:ind w:left="991" w:hanging="567"/>
      </w:pPr>
    </w:lvl>
    <w:lvl w:ilvl="2" w:tentative="0">
      <w:start w:val="1"/>
      <w:numFmt w:val="decimal"/>
      <w:lvlText w:val="%1.%2.%3"/>
      <w:lvlJc w:val="left"/>
      <w:pPr>
        <w:ind w:left="2835" w:hanging="567"/>
      </w:pPr>
    </w:lvl>
    <w:lvl w:ilvl="3" w:tentative="0">
      <w:start w:val="1"/>
      <w:numFmt w:val="decimal"/>
      <w:lvlText w:val="%1.%2.%3.%4"/>
      <w:lvlJc w:val="left"/>
      <w:pPr>
        <w:ind w:left="1983" w:hanging="708"/>
      </w:pPr>
    </w:lvl>
    <w:lvl w:ilvl="4" w:tentative="0">
      <w:start w:val="1"/>
      <w:numFmt w:val="decimal"/>
      <w:lvlText w:val="%1.%2.%3.%4.%5"/>
      <w:lvlJc w:val="left"/>
      <w:pPr>
        <w:ind w:left="2550" w:hanging="850"/>
      </w:pPr>
    </w:lvl>
    <w:lvl w:ilvl="5" w:tentative="0">
      <w:start w:val="1"/>
      <w:numFmt w:val="decimal"/>
      <w:pStyle w:val="171"/>
      <w:lvlText w:val="%1.%2.%3.%4.%5.%6"/>
      <w:lvlJc w:val="left"/>
      <w:pPr>
        <w:ind w:left="3259" w:hanging="1134"/>
      </w:pPr>
    </w:lvl>
    <w:lvl w:ilvl="6" w:tentative="0">
      <w:start w:val="1"/>
      <w:numFmt w:val="decimal"/>
      <w:lvlText w:val="%1.%2.%3.%4.%5.%6.%7"/>
      <w:lvlJc w:val="left"/>
      <w:pPr>
        <w:ind w:left="3826" w:hanging="1276"/>
      </w:pPr>
    </w:lvl>
    <w:lvl w:ilvl="7" w:tentative="0">
      <w:start w:val="1"/>
      <w:numFmt w:val="decimal"/>
      <w:lvlText w:val="%1.%2.%3.%4.%5.%6.%7.%8"/>
      <w:lvlJc w:val="left"/>
      <w:pPr>
        <w:ind w:left="4393" w:hanging="1418"/>
      </w:pPr>
    </w:lvl>
    <w:lvl w:ilvl="8" w:tentative="0">
      <w:start w:val="1"/>
      <w:numFmt w:val="decimal"/>
      <w:lvlText w:val="%1.%2.%3.%4.%5.%6.%7.%8.%9"/>
      <w:lvlJc w:val="left"/>
      <w:pPr>
        <w:ind w:left="5101" w:hanging="1700"/>
      </w:pPr>
    </w:lvl>
  </w:abstractNum>
  <w:abstractNum w:abstractNumId="3">
    <w:nsid w:val="352C1810"/>
    <w:multiLevelType w:val="multilevel"/>
    <w:tmpl w:val="352C1810"/>
    <w:lvl w:ilvl="0" w:tentative="0">
      <w:start w:val="1"/>
      <w:numFmt w:val="japaneseCounting"/>
      <w:pStyle w:val="164"/>
      <w:lvlText w:val="%1、"/>
      <w:lvlJc w:val="left"/>
      <w:pPr>
        <w:ind w:left="420" w:hanging="420"/>
      </w:pPr>
      <w:rPr>
        <w:rFonts w:hint="default" w:hAnsi="宋体"/>
      </w:rPr>
    </w:lvl>
    <w:lvl w:ilvl="1" w:tentative="0">
      <w:start w:val="1"/>
      <w:numFmt w:val="lowerLetter"/>
      <w:pStyle w:val="174"/>
      <w:lvlText w:val="%2)"/>
      <w:lvlJc w:val="left"/>
      <w:pPr>
        <w:ind w:left="840" w:hanging="420"/>
      </w:pPr>
    </w:lvl>
    <w:lvl w:ilvl="2" w:tentative="0">
      <w:start w:val="1"/>
      <w:numFmt w:val="lowerRoman"/>
      <w:pStyle w:val="162"/>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B47F53E"/>
    <w:multiLevelType w:val="singleLevel"/>
    <w:tmpl w:val="3B47F53E"/>
    <w:lvl w:ilvl="0" w:tentative="0">
      <w:start w:val="2"/>
      <w:numFmt w:val="chineseCounting"/>
      <w:suff w:val="nothing"/>
      <w:lvlText w:val="（%1）"/>
      <w:lvlJc w:val="left"/>
      <w:rPr>
        <w:rFonts w:hint="eastAsia"/>
      </w:rPr>
    </w:lvl>
  </w:abstractNum>
  <w:abstractNum w:abstractNumId="5">
    <w:nsid w:val="61BD6C99"/>
    <w:multiLevelType w:val="multilevel"/>
    <w:tmpl w:val="61BD6C99"/>
    <w:lvl w:ilvl="0" w:tentative="0">
      <w:start w:val="1"/>
      <w:numFmt w:val="lowerRoman"/>
      <w:pStyle w:val="181"/>
      <w:lvlText w:val="(%1)"/>
      <w:lvlJc w:val="left"/>
      <w:pPr>
        <w:ind w:left="1560" w:hanging="7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6">
    <w:nsid w:val="6E87019F"/>
    <w:multiLevelType w:val="multilevel"/>
    <w:tmpl w:val="6E87019F"/>
    <w:lvl w:ilvl="0" w:tentative="0">
      <w:start w:val="1"/>
      <w:numFmt w:val="chineseCountingThousand"/>
      <w:pStyle w:val="154"/>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7">
    <w:nsid w:val="72DF347D"/>
    <w:multiLevelType w:val="multilevel"/>
    <w:tmpl w:val="72DF347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pStyle w:val="168"/>
      <w:lvlText w:val="(%5)"/>
      <w:lvlJc w:val="left"/>
      <w:pPr>
        <w:ind w:left="113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7543651A"/>
    <w:multiLevelType w:val="multilevel"/>
    <w:tmpl w:val="7543651A"/>
    <w:lvl w:ilvl="0" w:tentative="0">
      <w:start w:val="1"/>
      <w:numFmt w:val="lowerLetter"/>
      <w:pStyle w:val="173"/>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79EDD65B"/>
    <w:multiLevelType w:val="singleLevel"/>
    <w:tmpl w:val="79EDD65B"/>
    <w:lvl w:ilvl="0" w:tentative="0">
      <w:start w:val="1"/>
      <w:numFmt w:val="decimal"/>
      <w:lvlText w:val="%1."/>
      <w:lvlJc w:val="left"/>
      <w:pPr>
        <w:tabs>
          <w:tab w:val="left" w:pos="312"/>
        </w:tabs>
      </w:pPr>
    </w:lvl>
  </w:abstractNum>
  <w:num w:numId="1">
    <w:abstractNumId w:val="6"/>
  </w:num>
  <w:num w:numId="2">
    <w:abstractNumId w:val="1"/>
  </w:num>
  <w:num w:numId="3">
    <w:abstractNumId w:val="3"/>
  </w:num>
  <w:num w:numId="4">
    <w:abstractNumId w:val="7"/>
  </w:num>
  <w:num w:numId="5">
    <w:abstractNumId w:val="2"/>
  </w:num>
  <w:num w:numId="6">
    <w:abstractNumId w:val="8"/>
  </w:num>
  <w:num w:numId="7">
    <w:abstractNumId w:val="5"/>
  </w:num>
  <w:num w:numId="8">
    <w:abstractNumId w:val="0"/>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doNotTrackMove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B20"/>
    <w:rsid w:val="00011E1A"/>
    <w:rsid w:val="00012CA5"/>
    <w:rsid w:val="00014C95"/>
    <w:rsid w:val="00017DAB"/>
    <w:rsid w:val="00020B02"/>
    <w:rsid w:val="00023C7A"/>
    <w:rsid w:val="00023D79"/>
    <w:rsid w:val="000322D0"/>
    <w:rsid w:val="00032D51"/>
    <w:rsid w:val="0004006C"/>
    <w:rsid w:val="000424EA"/>
    <w:rsid w:val="00043510"/>
    <w:rsid w:val="0004411A"/>
    <w:rsid w:val="00047195"/>
    <w:rsid w:val="00060B03"/>
    <w:rsid w:val="00063276"/>
    <w:rsid w:val="000635CB"/>
    <w:rsid w:val="00063662"/>
    <w:rsid w:val="00066159"/>
    <w:rsid w:val="0006726D"/>
    <w:rsid w:val="00081F0E"/>
    <w:rsid w:val="0008545D"/>
    <w:rsid w:val="0008705B"/>
    <w:rsid w:val="00087EFE"/>
    <w:rsid w:val="0009075B"/>
    <w:rsid w:val="00092B0F"/>
    <w:rsid w:val="00092C7C"/>
    <w:rsid w:val="0009453A"/>
    <w:rsid w:val="00096B73"/>
    <w:rsid w:val="000A3D62"/>
    <w:rsid w:val="000A559C"/>
    <w:rsid w:val="000A77BB"/>
    <w:rsid w:val="000B040F"/>
    <w:rsid w:val="000B1B2B"/>
    <w:rsid w:val="000B247B"/>
    <w:rsid w:val="000B4958"/>
    <w:rsid w:val="000B61E4"/>
    <w:rsid w:val="000B7348"/>
    <w:rsid w:val="000B7C8D"/>
    <w:rsid w:val="000D3848"/>
    <w:rsid w:val="000F0644"/>
    <w:rsid w:val="000F1876"/>
    <w:rsid w:val="000F1E37"/>
    <w:rsid w:val="000F6935"/>
    <w:rsid w:val="001008D6"/>
    <w:rsid w:val="001009CF"/>
    <w:rsid w:val="0010358C"/>
    <w:rsid w:val="00106E42"/>
    <w:rsid w:val="00111C79"/>
    <w:rsid w:val="001126A7"/>
    <w:rsid w:val="00114E42"/>
    <w:rsid w:val="0011539C"/>
    <w:rsid w:val="00116F50"/>
    <w:rsid w:val="00117538"/>
    <w:rsid w:val="001221BB"/>
    <w:rsid w:val="00123207"/>
    <w:rsid w:val="00124403"/>
    <w:rsid w:val="0013122C"/>
    <w:rsid w:val="00134795"/>
    <w:rsid w:val="00134C4E"/>
    <w:rsid w:val="0013544A"/>
    <w:rsid w:val="0013653C"/>
    <w:rsid w:val="001407AF"/>
    <w:rsid w:val="0015290F"/>
    <w:rsid w:val="00152C6C"/>
    <w:rsid w:val="0015403F"/>
    <w:rsid w:val="0016445C"/>
    <w:rsid w:val="00170642"/>
    <w:rsid w:val="00172805"/>
    <w:rsid w:val="00172A27"/>
    <w:rsid w:val="00173BBD"/>
    <w:rsid w:val="00175963"/>
    <w:rsid w:val="0017638B"/>
    <w:rsid w:val="00177AC0"/>
    <w:rsid w:val="001806B9"/>
    <w:rsid w:val="001970F7"/>
    <w:rsid w:val="001979D0"/>
    <w:rsid w:val="001A27B3"/>
    <w:rsid w:val="001A35E8"/>
    <w:rsid w:val="001A4D6D"/>
    <w:rsid w:val="001A595F"/>
    <w:rsid w:val="001B0CB9"/>
    <w:rsid w:val="001B3B59"/>
    <w:rsid w:val="001B58AB"/>
    <w:rsid w:val="001B7883"/>
    <w:rsid w:val="001C24C9"/>
    <w:rsid w:val="001C50DB"/>
    <w:rsid w:val="001D3F36"/>
    <w:rsid w:val="001D5C67"/>
    <w:rsid w:val="001D5EB9"/>
    <w:rsid w:val="001D7BEF"/>
    <w:rsid w:val="001E3D54"/>
    <w:rsid w:val="001E4C1B"/>
    <w:rsid w:val="001E5584"/>
    <w:rsid w:val="001E676E"/>
    <w:rsid w:val="001E7CEF"/>
    <w:rsid w:val="001F1957"/>
    <w:rsid w:val="001F207C"/>
    <w:rsid w:val="001F259D"/>
    <w:rsid w:val="001F7950"/>
    <w:rsid w:val="00203E13"/>
    <w:rsid w:val="0021227F"/>
    <w:rsid w:val="00213A8A"/>
    <w:rsid w:val="002146CC"/>
    <w:rsid w:val="00216030"/>
    <w:rsid w:val="002164C4"/>
    <w:rsid w:val="002266E3"/>
    <w:rsid w:val="002278AE"/>
    <w:rsid w:val="00231D99"/>
    <w:rsid w:val="00236824"/>
    <w:rsid w:val="00246CB5"/>
    <w:rsid w:val="0025107B"/>
    <w:rsid w:val="00257A92"/>
    <w:rsid w:val="00262F54"/>
    <w:rsid w:val="002648FB"/>
    <w:rsid w:val="00265440"/>
    <w:rsid w:val="00273229"/>
    <w:rsid w:val="002755B8"/>
    <w:rsid w:val="00275A09"/>
    <w:rsid w:val="00275D78"/>
    <w:rsid w:val="00285E55"/>
    <w:rsid w:val="0028676F"/>
    <w:rsid w:val="00286B1B"/>
    <w:rsid w:val="0028769C"/>
    <w:rsid w:val="0029694F"/>
    <w:rsid w:val="002A631A"/>
    <w:rsid w:val="002A7ADB"/>
    <w:rsid w:val="002B1F03"/>
    <w:rsid w:val="002B6218"/>
    <w:rsid w:val="002B6B40"/>
    <w:rsid w:val="002C1030"/>
    <w:rsid w:val="002C1936"/>
    <w:rsid w:val="002D0E91"/>
    <w:rsid w:val="002E2EA5"/>
    <w:rsid w:val="002E5E85"/>
    <w:rsid w:val="002E76FF"/>
    <w:rsid w:val="002F0BD9"/>
    <w:rsid w:val="002F1218"/>
    <w:rsid w:val="002F1D8D"/>
    <w:rsid w:val="002F5E51"/>
    <w:rsid w:val="002F5EF9"/>
    <w:rsid w:val="00311E35"/>
    <w:rsid w:val="00316072"/>
    <w:rsid w:val="003201D0"/>
    <w:rsid w:val="00324D80"/>
    <w:rsid w:val="0032520A"/>
    <w:rsid w:val="00331C26"/>
    <w:rsid w:val="00331DB4"/>
    <w:rsid w:val="00331F7E"/>
    <w:rsid w:val="0033341E"/>
    <w:rsid w:val="00343BB5"/>
    <w:rsid w:val="003441C3"/>
    <w:rsid w:val="003455E5"/>
    <w:rsid w:val="003507E3"/>
    <w:rsid w:val="00350D86"/>
    <w:rsid w:val="00351033"/>
    <w:rsid w:val="00352E49"/>
    <w:rsid w:val="0035509C"/>
    <w:rsid w:val="00356501"/>
    <w:rsid w:val="00360875"/>
    <w:rsid w:val="00365909"/>
    <w:rsid w:val="00366D5B"/>
    <w:rsid w:val="00374CE7"/>
    <w:rsid w:val="00375143"/>
    <w:rsid w:val="00375C22"/>
    <w:rsid w:val="0037681C"/>
    <w:rsid w:val="00382B0E"/>
    <w:rsid w:val="00386C23"/>
    <w:rsid w:val="003879CA"/>
    <w:rsid w:val="003A03B6"/>
    <w:rsid w:val="003A1575"/>
    <w:rsid w:val="003A3E8B"/>
    <w:rsid w:val="003A54C1"/>
    <w:rsid w:val="003A7866"/>
    <w:rsid w:val="003B4255"/>
    <w:rsid w:val="003B74F8"/>
    <w:rsid w:val="003C0835"/>
    <w:rsid w:val="003C10F7"/>
    <w:rsid w:val="003C2166"/>
    <w:rsid w:val="003C2382"/>
    <w:rsid w:val="003C5EE0"/>
    <w:rsid w:val="003D0A0A"/>
    <w:rsid w:val="003D0AE6"/>
    <w:rsid w:val="003D15EE"/>
    <w:rsid w:val="003D2C32"/>
    <w:rsid w:val="003D53E1"/>
    <w:rsid w:val="003D615B"/>
    <w:rsid w:val="003D6816"/>
    <w:rsid w:val="003E058A"/>
    <w:rsid w:val="003E2265"/>
    <w:rsid w:val="003E38BE"/>
    <w:rsid w:val="003E3AFD"/>
    <w:rsid w:val="003E55F1"/>
    <w:rsid w:val="003E6A69"/>
    <w:rsid w:val="003E7123"/>
    <w:rsid w:val="003F4359"/>
    <w:rsid w:val="003F5A0F"/>
    <w:rsid w:val="00411E97"/>
    <w:rsid w:val="00415069"/>
    <w:rsid w:val="0041534F"/>
    <w:rsid w:val="00415A3E"/>
    <w:rsid w:val="00420419"/>
    <w:rsid w:val="00421119"/>
    <w:rsid w:val="00426E2D"/>
    <w:rsid w:val="00431EE3"/>
    <w:rsid w:val="004342BC"/>
    <w:rsid w:val="00444FDE"/>
    <w:rsid w:val="00453475"/>
    <w:rsid w:val="00457544"/>
    <w:rsid w:val="00467D57"/>
    <w:rsid w:val="0047339F"/>
    <w:rsid w:val="004743F3"/>
    <w:rsid w:val="0047553F"/>
    <w:rsid w:val="004756A2"/>
    <w:rsid w:val="00477AE2"/>
    <w:rsid w:val="004803F8"/>
    <w:rsid w:val="00481B3F"/>
    <w:rsid w:val="00483D88"/>
    <w:rsid w:val="004858D8"/>
    <w:rsid w:val="0049591C"/>
    <w:rsid w:val="00496255"/>
    <w:rsid w:val="004B7509"/>
    <w:rsid w:val="004C184F"/>
    <w:rsid w:val="004C2054"/>
    <w:rsid w:val="004C2357"/>
    <w:rsid w:val="004E1BE4"/>
    <w:rsid w:val="004E4B96"/>
    <w:rsid w:val="004E5845"/>
    <w:rsid w:val="004F02CC"/>
    <w:rsid w:val="004F0F98"/>
    <w:rsid w:val="004F0FAE"/>
    <w:rsid w:val="004F1D2A"/>
    <w:rsid w:val="004F38B1"/>
    <w:rsid w:val="004F41AF"/>
    <w:rsid w:val="004F4230"/>
    <w:rsid w:val="004F6D62"/>
    <w:rsid w:val="004F6E26"/>
    <w:rsid w:val="00501CBA"/>
    <w:rsid w:val="005113A3"/>
    <w:rsid w:val="00511AF6"/>
    <w:rsid w:val="0051206E"/>
    <w:rsid w:val="00512148"/>
    <w:rsid w:val="0051308A"/>
    <w:rsid w:val="00516276"/>
    <w:rsid w:val="00520FAF"/>
    <w:rsid w:val="00521D3C"/>
    <w:rsid w:val="0052607C"/>
    <w:rsid w:val="00533628"/>
    <w:rsid w:val="00536907"/>
    <w:rsid w:val="005420DB"/>
    <w:rsid w:val="00547F21"/>
    <w:rsid w:val="00550013"/>
    <w:rsid w:val="0055089E"/>
    <w:rsid w:val="00552669"/>
    <w:rsid w:val="0055590F"/>
    <w:rsid w:val="00563BBC"/>
    <w:rsid w:val="00565C2F"/>
    <w:rsid w:val="0056757D"/>
    <w:rsid w:val="00567D1C"/>
    <w:rsid w:val="005717B4"/>
    <w:rsid w:val="005766BF"/>
    <w:rsid w:val="00581A95"/>
    <w:rsid w:val="005832A1"/>
    <w:rsid w:val="00583D71"/>
    <w:rsid w:val="005865D5"/>
    <w:rsid w:val="00590300"/>
    <w:rsid w:val="005927E6"/>
    <w:rsid w:val="0059347A"/>
    <w:rsid w:val="005956A3"/>
    <w:rsid w:val="00595881"/>
    <w:rsid w:val="005979BC"/>
    <w:rsid w:val="005A087C"/>
    <w:rsid w:val="005A4845"/>
    <w:rsid w:val="005A60BA"/>
    <w:rsid w:val="005B7EE9"/>
    <w:rsid w:val="005C1944"/>
    <w:rsid w:val="005D1A11"/>
    <w:rsid w:val="005D2607"/>
    <w:rsid w:val="005D3176"/>
    <w:rsid w:val="005D4162"/>
    <w:rsid w:val="005D76C1"/>
    <w:rsid w:val="005E1182"/>
    <w:rsid w:val="005E1C84"/>
    <w:rsid w:val="005E2D73"/>
    <w:rsid w:val="005E4FAE"/>
    <w:rsid w:val="005F380F"/>
    <w:rsid w:val="00601126"/>
    <w:rsid w:val="00604C36"/>
    <w:rsid w:val="00606494"/>
    <w:rsid w:val="0061292D"/>
    <w:rsid w:val="00613642"/>
    <w:rsid w:val="006138DA"/>
    <w:rsid w:val="0061394A"/>
    <w:rsid w:val="00615100"/>
    <w:rsid w:val="00616108"/>
    <w:rsid w:val="00617763"/>
    <w:rsid w:val="00620645"/>
    <w:rsid w:val="006235E1"/>
    <w:rsid w:val="00624FAA"/>
    <w:rsid w:val="00626728"/>
    <w:rsid w:val="006326BE"/>
    <w:rsid w:val="00637C10"/>
    <w:rsid w:val="0064218B"/>
    <w:rsid w:val="00642931"/>
    <w:rsid w:val="00645586"/>
    <w:rsid w:val="0064588A"/>
    <w:rsid w:val="0064591F"/>
    <w:rsid w:val="00651756"/>
    <w:rsid w:val="0065268D"/>
    <w:rsid w:val="00654D44"/>
    <w:rsid w:val="00655A64"/>
    <w:rsid w:val="00662218"/>
    <w:rsid w:val="00664714"/>
    <w:rsid w:val="006676A7"/>
    <w:rsid w:val="006678AE"/>
    <w:rsid w:val="00670E9A"/>
    <w:rsid w:val="00671762"/>
    <w:rsid w:val="00675D37"/>
    <w:rsid w:val="006769B7"/>
    <w:rsid w:val="00680BB0"/>
    <w:rsid w:val="00680E82"/>
    <w:rsid w:val="0068105C"/>
    <w:rsid w:val="0068278A"/>
    <w:rsid w:val="00690400"/>
    <w:rsid w:val="006905E1"/>
    <w:rsid w:val="0069375E"/>
    <w:rsid w:val="006961C5"/>
    <w:rsid w:val="00697E57"/>
    <w:rsid w:val="006A2879"/>
    <w:rsid w:val="006A3B0D"/>
    <w:rsid w:val="006A4859"/>
    <w:rsid w:val="006A5636"/>
    <w:rsid w:val="006B0D8A"/>
    <w:rsid w:val="006B5ABD"/>
    <w:rsid w:val="006C11D6"/>
    <w:rsid w:val="006D1FF9"/>
    <w:rsid w:val="006D42D9"/>
    <w:rsid w:val="006D5AC1"/>
    <w:rsid w:val="006E0CAC"/>
    <w:rsid w:val="006E4A35"/>
    <w:rsid w:val="006F106A"/>
    <w:rsid w:val="006F1B24"/>
    <w:rsid w:val="006F1DD9"/>
    <w:rsid w:val="006F2E89"/>
    <w:rsid w:val="007005B2"/>
    <w:rsid w:val="00704341"/>
    <w:rsid w:val="0071022F"/>
    <w:rsid w:val="0071039D"/>
    <w:rsid w:val="00711764"/>
    <w:rsid w:val="00714EFF"/>
    <w:rsid w:val="007155ED"/>
    <w:rsid w:val="00720650"/>
    <w:rsid w:val="00727063"/>
    <w:rsid w:val="0072776F"/>
    <w:rsid w:val="007312F9"/>
    <w:rsid w:val="00741108"/>
    <w:rsid w:val="00746395"/>
    <w:rsid w:val="00756AA8"/>
    <w:rsid w:val="007575A8"/>
    <w:rsid w:val="007661DC"/>
    <w:rsid w:val="0077045E"/>
    <w:rsid w:val="00774CDD"/>
    <w:rsid w:val="00782170"/>
    <w:rsid w:val="007821DF"/>
    <w:rsid w:val="00782F31"/>
    <w:rsid w:val="00783845"/>
    <w:rsid w:val="00785986"/>
    <w:rsid w:val="00793D3D"/>
    <w:rsid w:val="0079490D"/>
    <w:rsid w:val="00795D9A"/>
    <w:rsid w:val="007962B8"/>
    <w:rsid w:val="007A4449"/>
    <w:rsid w:val="007A509A"/>
    <w:rsid w:val="007A5A31"/>
    <w:rsid w:val="007B43AA"/>
    <w:rsid w:val="007B7EF2"/>
    <w:rsid w:val="007C213E"/>
    <w:rsid w:val="007C50A5"/>
    <w:rsid w:val="007C78F5"/>
    <w:rsid w:val="007D5086"/>
    <w:rsid w:val="007E1A18"/>
    <w:rsid w:val="007E23AB"/>
    <w:rsid w:val="007E2A4D"/>
    <w:rsid w:val="007E3E2A"/>
    <w:rsid w:val="007E496D"/>
    <w:rsid w:val="007E52F7"/>
    <w:rsid w:val="007E7AE4"/>
    <w:rsid w:val="007F0769"/>
    <w:rsid w:val="00800AE9"/>
    <w:rsid w:val="008126E0"/>
    <w:rsid w:val="00813921"/>
    <w:rsid w:val="0081457F"/>
    <w:rsid w:val="0081639A"/>
    <w:rsid w:val="00816C20"/>
    <w:rsid w:val="00820A11"/>
    <w:rsid w:val="00821177"/>
    <w:rsid w:val="00821776"/>
    <w:rsid w:val="00822063"/>
    <w:rsid w:val="0082271B"/>
    <w:rsid w:val="00822C0B"/>
    <w:rsid w:val="008245A1"/>
    <w:rsid w:val="0083078E"/>
    <w:rsid w:val="00834E31"/>
    <w:rsid w:val="00835AC9"/>
    <w:rsid w:val="00842561"/>
    <w:rsid w:val="00856E34"/>
    <w:rsid w:val="00860729"/>
    <w:rsid w:val="00861D02"/>
    <w:rsid w:val="0086496B"/>
    <w:rsid w:val="00864F5C"/>
    <w:rsid w:val="00865EF9"/>
    <w:rsid w:val="008670D4"/>
    <w:rsid w:val="008719A8"/>
    <w:rsid w:val="00872CF9"/>
    <w:rsid w:val="00880B82"/>
    <w:rsid w:val="008843B6"/>
    <w:rsid w:val="00886180"/>
    <w:rsid w:val="00886770"/>
    <w:rsid w:val="008905AD"/>
    <w:rsid w:val="008909DA"/>
    <w:rsid w:val="00890F42"/>
    <w:rsid w:val="00897939"/>
    <w:rsid w:val="008A7325"/>
    <w:rsid w:val="008A7935"/>
    <w:rsid w:val="008B0826"/>
    <w:rsid w:val="008B4534"/>
    <w:rsid w:val="008B7E58"/>
    <w:rsid w:val="008C02FA"/>
    <w:rsid w:val="008C4BD1"/>
    <w:rsid w:val="008C4D46"/>
    <w:rsid w:val="008D058C"/>
    <w:rsid w:val="008D1F36"/>
    <w:rsid w:val="008D32F0"/>
    <w:rsid w:val="008D332A"/>
    <w:rsid w:val="008D35EA"/>
    <w:rsid w:val="008E1359"/>
    <w:rsid w:val="008E1C68"/>
    <w:rsid w:val="008E3B59"/>
    <w:rsid w:val="008E67FE"/>
    <w:rsid w:val="008E6952"/>
    <w:rsid w:val="008F15F8"/>
    <w:rsid w:val="008F4156"/>
    <w:rsid w:val="008F6305"/>
    <w:rsid w:val="008F7088"/>
    <w:rsid w:val="00900341"/>
    <w:rsid w:val="00902014"/>
    <w:rsid w:val="009076C5"/>
    <w:rsid w:val="00910589"/>
    <w:rsid w:val="009106AD"/>
    <w:rsid w:val="00910A3D"/>
    <w:rsid w:val="009121D5"/>
    <w:rsid w:val="00912471"/>
    <w:rsid w:val="009129F3"/>
    <w:rsid w:val="00915259"/>
    <w:rsid w:val="00915858"/>
    <w:rsid w:val="00916A99"/>
    <w:rsid w:val="00920C27"/>
    <w:rsid w:val="00923C0A"/>
    <w:rsid w:val="00925F86"/>
    <w:rsid w:val="009261D8"/>
    <w:rsid w:val="00931C16"/>
    <w:rsid w:val="00931E35"/>
    <w:rsid w:val="0093278E"/>
    <w:rsid w:val="00937841"/>
    <w:rsid w:val="00940B54"/>
    <w:rsid w:val="009413C1"/>
    <w:rsid w:val="00942F09"/>
    <w:rsid w:val="009433DC"/>
    <w:rsid w:val="00951D33"/>
    <w:rsid w:val="00963EDA"/>
    <w:rsid w:val="00964F2F"/>
    <w:rsid w:val="009668D3"/>
    <w:rsid w:val="009747E9"/>
    <w:rsid w:val="00974BF9"/>
    <w:rsid w:val="00975C31"/>
    <w:rsid w:val="009776F2"/>
    <w:rsid w:val="009812F7"/>
    <w:rsid w:val="0098230A"/>
    <w:rsid w:val="0098304D"/>
    <w:rsid w:val="00993022"/>
    <w:rsid w:val="00997575"/>
    <w:rsid w:val="009A069A"/>
    <w:rsid w:val="009A2F80"/>
    <w:rsid w:val="009A4692"/>
    <w:rsid w:val="009A51E9"/>
    <w:rsid w:val="009A5575"/>
    <w:rsid w:val="009B15A0"/>
    <w:rsid w:val="009C1840"/>
    <w:rsid w:val="009C227C"/>
    <w:rsid w:val="009C475D"/>
    <w:rsid w:val="009C5A65"/>
    <w:rsid w:val="009C7A8F"/>
    <w:rsid w:val="009D2591"/>
    <w:rsid w:val="009E10E7"/>
    <w:rsid w:val="009E1785"/>
    <w:rsid w:val="009E2362"/>
    <w:rsid w:val="009E2A69"/>
    <w:rsid w:val="009E45EE"/>
    <w:rsid w:val="009E4C85"/>
    <w:rsid w:val="009F01B1"/>
    <w:rsid w:val="009F0F21"/>
    <w:rsid w:val="009F1B9B"/>
    <w:rsid w:val="009F2812"/>
    <w:rsid w:val="009F5807"/>
    <w:rsid w:val="00A0184B"/>
    <w:rsid w:val="00A01E85"/>
    <w:rsid w:val="00A02555"/>
    <w:rsid w:val="00A11A6C"/>
    <w:rsid w:val="00A12029"/>
    <w:rsid w:val="00A1274C"/>
    <w:rsid w:val="00A13ACF"/>
    <w:rsid w:val="00A2030D"/>
    <w:rsid w:val="00A21245"/>
    <w:rsid w:val="00A229CB"/>
    <w:rsid w:val="00A2629A"/>
    <w:rsid w:val="00A40408"/>
    <w:rsid w:val="00A46D0C"/>
    <w:rsid w:val="00A5014C"/>
    <w:rsid w:val="00A533A0"/>
    <w:rsid w:val="00A579B9"/>
    <w:rsid w:val="00A604F1"/>
    <w:rsid w:val="00A60660"/>
    <w:rsid w:val="00A62008"/>
    <w:rsid w:val="00A62085"/>
    <w:rsid w:val="00A62D2C"/>
    <w:rsid w:val="00A64B54"/>
    <w:rsid w:val="00A66484"/>
    <w:rsid w:val="00A72917"/>
    <w:rsid w:val="00A72D8D"/>
    <w:rsid w:val="00A72F61"/>
    <w:rsid w:val="00A77936"/>
    <w:rsid w:val="00A80D6F"/>
    <w:rsid w:val="00A824FD"/>
    <w:rsid w:val="00A856FE"/>
    <w:rsid w:val="00A8648A"/>
    <w:rsid w:val="00A865A2"/>
    <w:rsid w:val="00A87D26"/>
    <w:rsid w:val="00A91949"/>
    <w:rsid w:val="00A91955"/>
    <w:rsid w:val="00A91EAA"/>
    <w:rsid w:val="00A9270D"/>
    <w:rsid w:val="00A929C8"/>
    <w:rsid w:val="00AA34E9"/>
    <w:rsid w:val="00AA3D44"/>
    <w:rsid w:val="00AA6474"/>
    <w:rsid w:val="00AB14B2"/>
    <w:rsid w:val="00AB7D49"/>
    <w:rsid w:val="00AC1BC3"/>
    <w:rsid w:val="00AC2F89"/>
    <w:rsid w:val="00AD2C35"/>
    <w:rsid w:val="00AD2FCE"/>
    <w:rsid w:val="00AD3CDB"/>
    <w:rsid w:val="00AD56F8"/>
    <w:rsid w:val="00AE222A"/>
    <w:rsid w:val="00AE6562"/>
    <w:rsid w:val="00AE74AC"/>
    <w:rsid w:val="00AF1FB1"/>
    <w:rsid w:val="00AF77F5"/>
    <w:rsid w:val="00AF78A4"/>
    <w:rsid w:val="00B07150"/>
    <w:rsid w:val="00B10444"/>
    <w:rsid w:val="00B13E93"/>
    <w:rsid w:val="00B21B07"/>
    <w:rsid w:val="00B30351"/>
    <w:rsid w:val="00B430FB"/>
    <w:rsid w:val="00B4371F"/>
    <w:rsid w:val="00B44139"/>
    <w:rsid w:val="00B51A35"/>
    <w:rsid w:val="00B55CC7"/>
    <w:rsid w:val="00B57CF8"/>
    <w:rsid w:val="00B616E1"/>
    <w:rsid w:val="00B624A9"/>
    <w:rsid w:val="00B63DD1"/>
    <w:rsid w:val="00B65C21"/>
    <w:rsid w:val="00B672FE"/>
    <w:rsid w:val="00B70257"/>
    <w:rsid w:val="00B718D0"/>
    <w:rsid w:val="00B7398C"/>
    <w:rsid w:val="00B73D62"/>
    <w:rsid w:val="00B74A7F"/>
    <w:rsid w:val="00B75C13"/>
    <w:rsid w:val="00B764D5"/>
    <w:rsid w:val="00B76F8F"/>
    <w:rsid w:val="00B8158D"/>
    <w:rsid w:val="00B8354B"/>
    <w:rsid w:val="00B855CA"/>
    <w:rsid w:val="00B868A7"/>
    <w:rsid w:val="00B93E8A"/>
    <w:rsid w:val="00B97948"/>
    <w:rsid w:val="00BA2513"/>
    <w:rsid w:val="00BA26CF"/>
    <w:rsid w:val="00BA46B9"/>
    <w:rsid w:val="00BA4FB1"/>
    <w:rsid w:val="00BA7083"/>
    <w:rsid w:val="00BB0AE2"/>
    <w:rsid w:val="00BC0D90"/>
    <w:rsid w:val="00BC4F03"/>
    <w:rsid w:val="00BC6A29"/>
    <w:rsid w:val="00BD2451"/>
    <w:rsid w:val="00BE2EE0"/>
    <w:rsid w:val="00BE3AC8"/>
    <w:rsid w:val="00BE46AB"/>
    <w:rsid w:val="00BE5A6B"/>
    <w:rsid w:val="00BE6C91"/>
    <w:rsid w:val="00BF295E"/>
    <w:rsid w:val="00BF547C"/>
    <w:rsid w:val="00C03EFC"/>
    <w:rsid w:val="00C05802"/>
    <w:rsid w:val="00C07FA2"/>
    <w:rsid w:val="00C106F4"/>
    <w:rsid w:val="00C10B02"/>
    <w:rsid w:val="00C12D3F"/>
    <w:rsid w:val="00C17145"/>
    <w:rsid w:val="00C22F7C"/>
    <w:rsid w:val="00C26054"/>
    <w:rsid w:val="00C36447"/>
    <w:rsid w:val="00C417E8"/>
    <w:rsid w:val="00C42E68"/>
    <w:rsid w:val="00C445A5"/>
    <w:rsid w:val="00C50790"/>
    <w:rsid w:val="00C52BA1"/>
    <w:rsid w:val="00C53A4C"/>
    <w:rsid w:val="00C53B17"/>
    <w:rsid w:val="00C54D76"/>
    <w:rsid w:val="00C571A9"/>
    <w:rsid w:val="00C60A73"/>
    <w:rsid w:val="00C61CF3"/>
    <w:rsid w:val="00C63714"/>
    <w:rsid w:val="00C84B3E"/>
    <w:rsid w:val="00C852CE"/>
    <w:rsid w:val="00C90FA6"/>
    <w:rsid w:val="00C934ED"/>
    <w:rsid w:val="00C958E2"/>
    <w:rsid w:val="00CA09E8"/>
    <w:rsid w:val="00CA2B6E"/>
    <w:rsid w:val="00CB15BD"/>
    <w:rsid w:val="00CB3D4F"/>
    <w:rsid w:val="00CB432D"/>
    <w:rsid w:val="00CB580D"/>
    <w:rsid w:val="00CC0B4E"/>
    <w:rsid w:val="00CC1EB2"/>
    <w:rsid w:val="00CC3018"/>
    <w:rsid w:val="00CC519C"/>
    <w:rsid w:val="00CC56CD"/>
    <w:rsid w:val="00CF42E1"/>
    <w:rsid w:val="00CF460F"/>
    <w:rsid w:val="00CF5A10"/>
    <w:rsid w:val="00CF5D97"/>
    <w:rsid w:val="00CF6616"/>
    <w:rsid w:val="00D036F5"/>
    <w:rsid w:val="00D07943"/>
    <w:rsid w:val="00D13F26"/>
    <w:rsid w:val="00D1534F"/>
    <w:rsid w:val="00D15B75"/>
    <w:rsid w:val="00D1602A"/>
    <w:rsid w:val="00D16223"/>
    <w:rsid w:val="00D2394F"/>
    <w:rsid w:val="00D24BFA"/>
    <w:rsid w:val="00D24D06"/>
    <w:rsid w:val="00D2729C"/>
    <w:rsid w:val="00D27608"/>
    <w:rsid w:val="00D311CE"/>
    <w:rsid w:val="00D318F8"/>
    <w:rsid w:val="00D35C4E"/>
    <w:rsid w:val="00D422F1"/>
    <w:rsid w:val="00D45648"/>
    <w:rsid w:val="00D501F2"/>
    <w:rsid w:val="00D50A08"/>
    <w:rsid w:val="00D529BE"/>
    <w:rsid w:val="00D52C49"/>
    <w:rsid w:val="00D531B7"/>
    <w:rsid w:val="00D6017A"/>
    <w:rsid w:val="00D6222B"/>
    <w:rsid w:val="00D63051"/>
    <w:rsid w:val="00D6509D"/>
    <w:rsid w:val="00D67239"/>
    <w:rsid w:val="00D70226"/>
    <w:rsid w:val="00D7258A"/>
    <w:rsid w:val="00D7332B"/>
    <w:rsid w:val="00D734E7"/>
    <w:rsid w:val="00D8382A"/>
    <w:rsid w:val="00D85732"/>
    <w:rsid w:val="00D9114F"/>
    <w:rsid w:val="00DA3AA7"/>
    <w:rsid w:val="00DA746A"/>
    <w:rsid w:val="00DA7539"/>
    <w:rsid w:val="00DA7D99"/>
    <w:rsid w:val="00DB2414"/>
    <w:rsid w:val="00DB7E00"/>
    <w:rsid w:val="00DC7B93"/>
    <w:rsid w:val="00DD0622"/>
    <w:rsid w:val="00DD1C58"/>
    <w:rsid w:val="00DD240D"/>
    <w:rsid w:val="00DD35A5"/>
    <w:rsid w:val="00DD7659"/>
    <w:rsid w:val="00DE0785"/>
    <w:rsid w:val="00DE1105"/>
    <w:rsid w:val="00DE1536"/>
    <w:rsid w:val="00DE6928"/>
    <w:rsid w:val="00E02E37"/>
    <w:rsid w:val="00E04C34"/>
    <w:rsid w:val="00E04E79"/>
    <w:rsid w:val="00E05FAF"/>
    <w:rsid w:val="00E077C5"/>
    <w:rsid w:val="00E12565"/>
    <w:rsid w:val="00E127BC"/>
    <w:rsid w:val="00E148F3"/>
    <w:rsid w:val="00E173E4"/>
    <w:rsid w:val="00E23295"/>
    <w:rsid w:val="00E24B22"/>
    <w:rsid w:val="00E40880"/>
    <w:rsid w:val="00E41B23"/>
    <w:rsid w:val="00E41CCA"/>
    <w:rsid w:val="00E4445A"/>
    <w:rsid w:val="00E44D83"/>
    <w:rsid w:val="00E51E6E"/>
    <w:rsid w:val="00E55B2B"/>
    <w:rsid w:val="00E56280"/>
    <w:rsid w:val="00E6537D"/>
    <w:rsid w:val="00E6745E"/>
    <w:rsid w:val="00E7189A"/>
    <w:rsid w:val="00E76457"/>
    <w:rsid w:val="00E81095"/>
    <w:rsid w:val="00E82B6F"/>
    <w:rsid w:val="00E874E2"/>
    <w:rsid w:val="00E96008"/>
    <w:rsid w:val="00E97552"/>
    <w:rsid w:val="00EB0309"/>
    <w:rsid w:val="00EB149E"/>
    <w:rsid w:val="00EB304C"/>
    <w:rsid w:val="00EB3C3F"/>
    <w:rsid w:val="00EB3CC3"/>
    <w:rsid w:val="00EC25D6"/>
    <w:rsid w:val="00EC7685"/>
    <w:rsid w:val="00ED441D"/>
    <w:rsid w:val="00ED4737"/>
    <w:rsid w:val="00EE0CC2"/>
    <w:rsid w:val="00EE1260"/>
    <w:rsid w:val="00EE4CB8"/>
    <w:rsid w:val="00EF6D9E"/>
    <w:rsid w:val="00F05708"/>
    <w:rsid w:val="00F073C3"/>
    <w:rsid w:val="00F07D89"/>
    <w:rsid w:val="00F10A34"/>
    <w:rsid w:val="00F116AB"/>
    <w:rsid w:val="00F120A0"/>
    <w:rsid w:val="00F1378D"/>
    <w:rsid w:val="00F216FE"/>
    <w:rsid w:val="00F26077"/>
    <w:rsid w:val="00F26D0B"/>
    <w:rsid w:val="00F27956"/>
    <w:rsid w:val="00F30D45"/>
    <w:rsid w:val="00F31839"/>
    <w:rsid w:val="00F43432"/>
    <w:rsid w:val="00F45473"/>
    <w:rsid w:val="00F60140"/>
    <w:rsid w:val="00F63465"/>
    <w:rsid w:val="00F63AE4"/>
    <w:rsid w:val="00F73498"/>
    <w:rsid w:val="00F74835"/>
    <w:rsid w:val="00F77482"/>
    <w:rsid w:val="00F813F7"/>
    <w:rsid w:val="00F86C1C"/>
    <w:rsid w:val="00F9354F"/>
    <w:rsid w:val="00FB34D2"/>
    <w:rsid w:val="00FB4608"/>
    <w:rsid w:val="00FB5558"/>
    <w:rsid w:val="00FB698A"/>
    <w:rsid w:val="00FB6D09"/>
    <w:rsid w:val="00FC00A6"/>
    <w:rsid w:val="00FC0F19"/>
    <w:rsid w:val="00FC1F12"/>
    <w:rsid w:val="00FD10C3"/>
    <w:rsid w:val="00FD1130"/>
    <w:rsid w:val="00FD54A2"/>
    <w:rsid w:val="00FE2C10"/>
    <w:rsid w:val="00FE476A"/>
    <w:rsid w:val="00FE770A"/>
    <w:rsid w:val="00FF4C3E"/>
    <w:rsid w:val="01166DA9"/>
    <w:rsid w:val="015E29C9"/>
    <w:rsid w:val="01B7544E"/>
    <w:rsid w:val="01F936C1"/>
    <w:rsid w:val="02337D11"/>
    <w:rsid w:val="02766859"/>
    <w:rsid w:val="02E727AE"/>
    <w:rsid w:val="03336E04"/>
    <w:rsid w:val="03AB7B5B"/>
    <w:rsid w:val="044B1342"/>
    <w:rsid w:val="044C6449"/>
    <w:rsid w:val="04B8274F"/>
    <w:rsid w:val="05077E33"/>
    <w:rsid w:val="052B316B"/>
    <w:rsid w:val="055B2C93"/>
    <w:rsid w:val="05780D78"/>
    <w:rsid w:val="067A0FB6"/>
    <w:rsid w:val="06A22B8C"/>
    <w:rsid w:val="07191B74"/>
    <w:rsid w:val="07A3584D"/>
    <w:rsid w:val="08464770"/>
    <w:rsid w:val="0A71135F"/>
    <w:rsid w:val="0AA60D06"/>
    <w:rsid w:val="0AB6328D"/>
    <w:rsid w:val="0AD8211F"/>
    <w:rsid w:val="0AE578F1"/>
    <w:rsid w:val="0B8B417C"/>
    <w:rsid w:val="0BE33548"/>
    <w:rsid w:val="0CF20590"/>
    <w:rsid w:val="0D6732DC"/>
    <w:rsid w:val="0D95024D"/>
    <w:rsid w:val="0DBB7B9D"/>
    <w:rsid w:val="0E4B7325"/>
    <w:rsid w:val="0FD85B73"/>
    <w:rsid w:val="10401B9F"/>
    <w:rsid w:val="104130AA"/>
    <w:rsid w:val="108A4B56"/>
    <w:rsid w:val="10997447"/>
    <w:rsid w:val="10D16C4E"/>
    <w:rsid w:val="10DC5D1B"/>
    <w:rsid w:val="114032E8"/>
    <w:rsid w:val="11895FBD"/>
    <w:rsid w:val="11DD37F5"/>
    <w:rsid w:val="128106B9"/>
    <w:rsid w:val="12FC7CAB"/>
    <w:rsid w:val="13067D6E"/>
    <w:rsid w:val="14207BA5"/>
    <w:rsid w:val="14B104AD"/>
    <w:rsid w:val="14B669A6"/>
    <w:rsid w:val="15690172"/>
    <w:rsid w:val="15D1097B"/>
    <w:rsid w:val="15E943A7"/>
    <w:rsid w:val="16E877F1"/>
    <w:rsid w:val="1815003C"/>
    <w:rsid w:val="18300B23"/>
    <w:rsid w:val="18D72354"/>
    <w:rsid w:val="190A6EA1"/>
    <w:rsid w:val="19120228"/>
    <w:rsid w:val="19324427"/>
    <w:rsid w:val="19691288"/>
    <w:rsid w:val="19A52E4A"/>
    <w:rsid w:val="1A3B761A"/>
    <w:rsid w:val="1A8B10DD"/>
    <w:rsid w:val="1B123C8D"/>
    <w:rsid w:val="1B215A6E"/>
    <w:rsid w:val="1C194EDC"/>
    <w:rsid w:val="1C9A5A61"/>
    <w:rsid w:val="1CF3211F"/>
    <w:rsid w:val="1D1F51F0"/>
    <w:rsid w:val="1D9C2857"/>
    <w:rsid w:val="1DC02072"/>
    <w:rsid w:val="1E226970"/>
    <w:rsid w:val="1E551952"/>
    <w:rsid w:val="1EB31B66"/>
    <w:rsid w:val="1EBE297C"/>
    <w:rsid w:val="1EEA12FF"/>
    <w:rsid w:val="1F35782D"/>
    <w:rsid w:val="1F8B0759"/>
    <w:rsid w:val="205D622D"/>
    <w:rsid w:val="206D7EF4"/>
    <w:rsid w:val="20C02172"/>
    <w:rsid w:val="20C7795C"/>
    <w:rsid w:val="211663DC"/>
    <w:rsid w:val="211D7FD3"/>
    <w:rsid w:val="219F1439"/>
    <w:rsid w:val="21BA239A"/>
    <w:rsid w:val="221B0DDF"/>
    <w:rsid w:val="2271180B"/>
    <w:rsid w:val="22874625"/>
    <w:rsid w:val="22E029B1"/>
    <w:rsid w:val="23024E6A"/>
    <w:rsid w:val="230C3F3A"/>
    <w:rsid w:val="232C04E9"/>
    <w:rsid w:val="23411E36"/>
    <w:rsid w:val="243F74B6"/>
    <w:rsid w:val="24962F4C"/>
    <w:rsid w:val="24B64B3C"/>
    <w:rsid w:val="24E161F2"/>
    <w:rsid w:val="24ED119F"/>
    <w:rsid w:val="24EF6FC5"/>
    <w:rsid w:val="25806F57"/>
    <w:rsid w:val="25D00340"/>
    <w:rsid w:val="25FF73E4"/>
    <w:rsid w:val="26031625"/>
    <w:rsid w:val="2635555B"/>
    <w:rsid w:val="26A87FAF"/>
    <w:rsid w:val="26C16E8C"/>
    <w:rsid w:val="26FD2518"/>
    <w:rsid w:val="270531DE"/>
    <w:rsid w:val="27185631"/>
    <w:rsid w:val="27233541"/>
    <w:rsid w:val="2879797C"/>
    <w:rsid w:val="287D7ED0"/>
    <w:rsid w:val="287F19D3"/>
    <w:rsid w:val="29483A61"/>
    <w:rsid w:val="29AA687F"/>
    <w:rsid w:val="29C91F2C"/>
    <w:rsid w:val="2A06443D"/>
    <w:rsid w:val="2A781B3D"/>
    <w:rsid w:val="2A7F3244"/>
    <w:rsid w:val="2AAA67CF"/>
    <w:rsid w:val="2B2305AA"/>
    <w:rsid w:val="2B5E637B"/>
    <w:rsid w:val="2B6E5792"/>
    <w:rsid w:val="2B9D6077"/>
    <w:rsid w:val="2BDE3769"/>
    <w:rsid w:val="2C552A14"/>
    <w:rsid w:val="2C8367D0"/>
    <w:rsid w:val="2C8C18EB"/>
    <w:rsid w:val="2CC15676"/>
    <w:rsid w:val="2D036ADA"/>
    <w:rsid w:val="2D334A41"/>
    <w:rsid w:val="2D680B8A"/>
    <w:rsid w:val="2D850B71"/>
    <w:rsid w:val="2ECC03A4"/>
    <w:rsid w:val="2F597709"/>
    <w:rsid w:val="2F5A1F9A"/>
    <w:rsid w:val="2FB053C8"/>
    <w:rsid w:val="309134F0"/>
    <w:rsid w:val="30BD598B"/>
    <w:rsid w:val="317C672F"/>
    <w:rsid w:val="31AE684B"/>
    <w:rsid w:val="31FB3AF8"/>
    <w:rsid w:val="323803C9"/>
    <w:rsid w:val="33F36266"/>
    <w:rsid w:val="344E5EE3"/>
    <w:rsid w:val="348079F5"/>
    <w:rsid w:val="34FA3FC1"/>
    <w:rsid w:val="36024AAA"/>
    <w:rsid w:val="365F6841"/>
    <w:rsid w:val="36743E79"/>
    <w:rsid w:val="37773C20"/>
    <w:rsid w:val="39C63990"/>
    <w:rsid w:val="39CC69A7"/>
    <w:rsid w:val="3A3D15A3"/>
    <w:rsid w:val="3AB61003"/>
    <w:rsid w:val="3ABE32B1"/>
    <w:rsid w:val="3B81506E"/>
    <w:rsid w:val="3C6066D3"/>
    <w:rsid w:val="3CEE5194"/>
    <w:rsid w:val="3D8504F1"/>
    <w:rsid w:val="3E063608"/>
    <w:rsid w:val="3E777F38"/>
    <w:rsid w:val="3EFF6BE9"/>
    <w:rsid w:val="402C459E"/>
    <w:rsid w:val="407E7215"/>
    <w:rsid w:val="408C5815"/>
    <w:rsid w:val="409B0EFF"/>
    <w:rsid w:val="40EE0DCA"/>
    <w:rsid w:val="410F24E8"/>
    <w:rsid w:val="41591B20"/>
    <w:rsid w:val="41786BC6"/>
    <w:rsid w:val="42514A4F"/>
    <w:rsid w:val="433F699C"/>
    <w:rsid w:val="43472B10"/>
    <w:rsid w:val="43B27D8E"/>
    <w:rsid w:val="43EF2284"/>
    <w:rsid w:val="45067184"/>
    <w:rsid w:val="45252301"/>
    <w:rsid w:val="45393B1C"/>
    <w:rsid w:val="45A55DFD"/>
    <w:rsid w:val="45B14FA8"/>
    <w:rsid w:val="45C56BA2"/>
    <w:rsid w:val="45E1663D"/>
    <w:rsid w:val="45E70FDF"/>
    <w:rsid w:val="45EB5535"/>
    <w:rsid w:val="46403C76"/>
    <w:rsid w:val="465E7776"/>
    <w:rsid w:val="4698326B"/>
    <w:rsid w:val="46BC47D9"/>
    <w:rsid w:val="473A0F1A"/>
    <w:rsid w:val="47970A2A"/>
    <w:rsid w:val="47E87586"/>
    <w:rsid w:val="483C783C"/>
    <w:rsid w:val="488066AD"/>
    <w:rsid w:val="48E22EC4"/>
    <w:rsid w:val="48F93E39"/>
    <w:rsid w:val="49140ED0"/>
    <w:rsid w:val="4A0E711D"/>
    <w:rsid w:val="4ADD3943"/>
    <w:rsid w:val="4AE25FEA"/>
    <w:rsid w:val="4B491423"/>
    <w:rsid w:val="4B5675AD"/>
    <w:rsid w:val="4B893286"/>
    <w:rsid w:val="4BD80CD2"/>
    <w:rsid w:val="4BE55EEE"/>
    <w:rsid w:val="4C4C0E62"/>
    <w:rsid w:val="4C6C52D7"/>
    <w:rsid w:val="4C83676C"/>
    <w:rsid w:val="4C9D782D"/>
    <w:rsid w:val="4CA24E44"/>
    <w:rsid w:val="4D013304"/>
    <w:rsid w:val="4DE65F80"/>
    <w:rsid w:val="4E7F0281"/>
    <w:rsid w:val="4EF030CC"/>
    <w:rsid w:val="4EFD45B3"/>
    <w:rsid w:val="4EFF6272"/>
    <w:rsid w:val="4F021873"/>
    <w:rsid w:val="4F5473E7"/>
    <w:rsid w:val="4F657026"/>
    <w:rsid w:val="4F847498"/>
    <w:rsid w:val="502913D8"/>
    <w:rsid w:val="506A3ECB"/>
    <w:rsid w:val="50966A6E"/>
    <w:rsid w:val="510A120A"/>
    <w:rsid w:val="51233589"/>
    <w:rsid w:val="52707792"/>
    <w:rsid w:val="533E5A9F"/>
    <w:rsid w:val="54002470"/>
    <w:rsid w:val="545B77A9"/>
    <w:rsid w:val="54A86D6F"/>
    <w:rsid w:val="5516774C"/>
    <w:rsid w:val="55463C75"/>
    <w:rsid w:val="55CB5B88"/>
    <w:rsid w:val="560F58BD"/>
    <w:rsid w:val="56CE37C7"/>
    <w:rsid w:val="56E147BB"/>
    <w:rsid w:val="5737262D"/>
    <w:rsid w:val="57572CCF"/>
    <w:rsid w:val="57601C75"/>
    <w:rsid w:val="57853398"/>
    <w:rsid w:val="57A917A5"/>
    <w:rsid w:val="57F000D4"/>
    <w:rsid w:val="587873A1"/>
    <w:rsid w:val="589D0BB5"/>
    <w:rsid w:val="58F91611"/>
    <w:rsid w:val="591161DA"/>
    <w:rsid w:val="597B4D54"/>
    <w:rsid w:val="59C778E7"/>
    <w:rsid w:val="5AE95476"/>
    <w:rsid w:val="5B0B2ABD"/>
    <w:rsid w:val="5D4147FF"/>
    <w:rsid w:val="5DCD5A99"/>
    <w:rsid w:val="5DD46D36"/>
    <w:rsid w:val="5E056672"/>
    <w:rsid w:val="5E3870C3"/>
    <w:rsid w:val="5EFF63D7"/>
    <w:rsid w:val="5F1B04B5"/>
    <w:rsid w:val="5F9319E9"/>
    <w:rsid w:val="5FAE1C4A"/>
    <w:rsid w:val="5FE34C58"/>
    <w:rsid w:val="600D56DE"/>
    <w:rsid w:val="60173AD9"/>
    <w:rsid w:val="60211470"/>
    <w:rsid w:val="60687CFB"/>
    <w:rsid w:val="60CE322B"/>
    <w:rsid w:val="618A1E17"/>
    <w:rsid w:val="61B46301"/>
    <w:rsid w:val="61F061FA"/>
    <w:rsid w:val="63343EC4"/>
    <w:rsid w:val="636B315A"/>
    <w:rsid w:val="63FC07A3"/>
    <w:rsid w:val="65420B1A"/>
    <w:rsid w:val="657D6A24"/>
    <w:rsid w:val="65946ABD"/>
    <w:rsid w:val="65975FED"/>
    <w:rsid w:val="659E0FC7"/>
    <w:rsid w:val="65F80991"/>
    <w:rsid w:val="669403BF"/>
    <w:rsid w:val="66C921A2"/>
    <w:rsid w:val="66F51D51"/>
    <w:rsid w:val="6732696D"/>
    <w:rsid w:val="6745392F"/>
    <w:rsid w:val="6796587F"/>
    <w:rsid w:val="67E62186"/>
    <w:rsid w:val="68310701"/>
    <w:rsid w:val="68B804C1"/>
    <w:rsid w:val="694A59A4"/>
    <w:rsid w:val="69517821"/>
    <w:rsid w:val="695732E1"/>
    <w:rsid w:val="695E0517"/>
    <w:rsid w:val="69C840FD"/>
    <w:rsid w:val="6AF0313D"/>
    <w:rsid w:val="6B154531"/>
    <w:rsid w:val="6D16664B"/>
    <w:rsid w:val="6E2711F5"/>
    <w:rsid w:val="6E404119"/>
    <w:rsid w:val="6E797A32"/>
    <w:rsid w:val="6F5D627B"/>
    <w:rsid w:val="6F943991"/>
    <w:rsid w:val="6FBD0161"/>
    <w:rsid w:val="706C7432"/>
    <w:rsid w:val="7166431B"/>
    <w:rsid w:val="718801FD"/>
    <w:rsid w:val="720D74E2"/>
    <w:rsid w:val="722140ED"/>
    <w:rsid w:val="72477770"/>
    <w:rsid w:val="72A51A1A"/>
    <w:rsid w:val="72BA2638"/>
    <w:rsid w:val="73260011"/>
    <w:rsid w:val="73D44095"/>
    <w:rsid w:val="74A67A2B"/>
    <w:rsid w:val="7503720F"/>
    <w:rsid w:val="75306C86"/>
    <w:rsid w:val="75C17B9D"/>
    <w:rsid w:val="76294141"/>
    <w:rsid w:val="765B6E3D"/>
    <w:rsid w:val="76701B01"/>
    <w:rsid w:val="76B5414D"/>
    <w:rsid w:val="76DB2B7D"/>
    <w:rsid w:val="78A20193"/>
    <w:rsid w:val="78AC657F"/>
    <w:rsid w:val="78D66016"/>
    <w:rsid w:val="78E30F0B"/>
    <w:rsid w:val="790D24A0"/>
    <w:rsid w:val="79543D79"/>
    <w:rsid w:val="7A312381"/>
    <w:rsid w:val="7AE3772B"/>
    <w:rsid w:val="7B424F78"/>
    <w:rsid w:val="7B742DA9"/>
    <w:rsid w:val="7B8430D0"/>
    <w:rsid w:val="7BF046C4"/>
    <w:rsid w:val="7C155332"/>
    <w:rsid w:val="7CB11429"/>
    <w:rsid w:val="7CE21998"/>
    <w:rsid w:val="7D2232B3"/>
    <w:rsid w:val="7D7362D3"/>
    <w:rsid w:val="7D875C02"/>
    <w:rsid w:val="7D8E6B9B"/>
    <w:rsid w:val="7E032B4B"/>
    <w:rsid w:val="7EF47D6C"/>
  </w:rsids>
  <m:mathPr>
    <m:mathFont m:val="Cambria Math"/>
    <m:brkBin m:val="before"/>
    <m:brkBinSub m:val="--"/>
    <m:smallFrac m:val="1"/>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99" w:semiHidden="0" w:name="heading 4"/>
    <w:lsdException w:qFormat="1" w:unhideWhenUsed="0" w:uiPriority="9" w:semiHidden="0" w:name="heading 5"/>
    <w:lsdException w:qFormat="1" w:unhideWhenUsed="0" w:uiPriority="9"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99" w:semiHidden="0" w:name="index 1"/>
    <w:lsdException w:uiPriority="99" w:name="index 2" w:locked="1"/>
    <w:lsdException w:uiPriority="99" w:name="index 3" w:locked="1"/>
    <w:lsdException w:qFormat="1" w:unhideWhenUsed="0" w:uiPriority="99" w:semiHidden="0" w:name="index 4"/>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iPriority="99"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nhideWhenUsed="0" w:uiPriority="99" w:semiHidden="0" w:name="caption"/>
    <w:lsdException w:uiPriority="99" w:name="table of figures" w:locked="1"/>
    <w:lsdException w:uiPriority="99" w:name="envelope address" w:locked="1"/>
    <w:lsdException w:uiPriority="99" w:name="envelope return" w:locked="1"/>
    <w:lsdException w:qFormat="1" w:unhideWhenUsed="0" w:uiPriority="99" w:semiHidden="0" w:name="footnote reference"/>
    <w:lsdException w:qFormat="1" w:unhideWhenUsed="0" w:uiPriority="99" w:semiHidden="0"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qFormat="1" w:unhideWhenUsed="0" w:uiPriority="0" w:semiHidden="0" w:name="Date"/>
    <w:lsdException w:qFormat="1" w:unhideWhenUsed="0" w:uiPriority="99" w:semiHidden="0" w:name="Body Text First Indent"/>
    <w:lsdException w:uiPriority="99" w:name="Body Text First Indent 2" w:locked="1"/>
    <w:lsdException w:uiPriority="99" w:name="Note Heading" w:locked="1"/>
    <w:lsdException w:qFormat="1" w:uiPriority="99" w:semiHidden="0" w:name="Body Text 2" w:locked="1"/>
    <w:lsdException w:qFormat="1" w:unhideWhenUsed="0" w:uiPriority="99" w:semiHidden="0" w:name="Body Text 3"/>
    <w:lsdException w:uiPriority="99" w:name="Body Text Indent 2" w:locked="1"/>
    <w:lsdException w:qFormat="1" w:unhideWhenUsed="0" w:uiPriority="99" w:semiHidden="0" w:name="Body Text Indent 3"/>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99" w:semiHidden="0" w:name="Document Map"/>
    <w:lsdException w:qFormat="1" w:unhideWhenUsed="0" w:uiPriority="0" w:semiHidden="0"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iPriority="99" w:semiHidden="0"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0" w:semiHidden="0" w:name="Table Grid" w:locked="1"/>
    <w:lsdException w:uiPriority="99" w:name="Table Theme" w:locked="1"/>
    <w:lsdException w:qFormat="1" w:uiPriority="99" w:semiHidden="0"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5"/>
    <w:qFormat/>
    <w:uiPriority w:val="9"/>
    <w:pPr>
      <w:keepNext/>
      <w:keepLines/>
      <w:spacing w:before="340" w:after="330" w:line="576" w:lineRule="auto"/>
      <w:outlineLvl w:val="0"/>
    </w:pPr>
    <w:rPr>
      <w:rFonts w:ascii="Calibri" w:hAnsi="Calibri"/>
      <w:b/>
      <w:kern w:val="44"/>
      <w:sz w:val="44"/>
      <w:szCs w:val="20"/>
    </w:rPr>
  </w:style>
  <w:style w:type="paragraph" w:styleId="3">
    <w:name w:val="heading 2"/>
    <w:basedOn w:val="1"/>
    <w:next w:val="1"/>
    <w:link w:val="52"/>
    <w:qFormat/>
    <w:uiPriority w:val="9"/>
    <w:pPr>
      <w:keepNext/>
      <w:keepLines/>
      <w:spacing w:before="260" w:after="260" w:line="415" w:lineRule="auto"/>
      <w:outlineLvl w:val="1"/>
    </w:pPr>
    <w:rPr>
      <w:rFonts w:ascii="Arial" w:hAnsi="Arial" w:eastAsia="黑体"/>
      <w:b/>
      <w:sz w:val="32"/>
      <w:szCs w:val="20"/>
    </w:rPr>
  </w:style>
  <w:style w:type="paragraph" w:styleId="4">
    <w:name w:val="heading 3"/>
    <w:basedOn w:val="1"/>
    <w:next w:val="1"/>
    <w:link w:val="53"/>
    <w:qFormat/>
    <w:uiPriority w:val="0"/>
    <w:pPr>
      <w:keepNext/>
      <w:keepLines/>
      <w:spacing w:before="260" w:after="260" w:line="415" w:lineRule="auto"/>
      <w:ind w:firstLine="137" w:firstLineChars="49"/>
      <w:outlineLvl w:val="2"/>
    </w:pPr>
    <w:rPr>
      <w:rFonts w:ascii="黑体" w:hAnsi="宋体" w:eastAsia="黑体"/>
      <w:sz w:val="28"/>
      <w:szCs w:val="20"/>
    </w:rPr>
  </w:style>
  <w:style w:type="paragraph" w:styleId="5">
    <w:name w:val="heading 4"/>
    <w:basedOn w:val="1"/>
    <w:next w:val="1"/>
    <w:link w:val="56"/>
    <w:qFormat/>
    <w:uiPriority w:val="99"/>
    <w:pPr>
      <w:keepNext/>
      <w:keepLines/>
      <w:spacing w:before="280" w:after="290" w:line="374" w:lineRule="auto"/>
      <w:outlineLvl w:val="3"/>
    </w:pPr>
    <w:rPr>
      <w:rFonts w:ascii="Arial" w:hAnsi="Arial" w:eastAsia="黑体"/>
      <w:b/>
      <w:sz w:val="28"/>
      <w:szCs w:val="20"/>
    </w:rPr>
  </w:style>
  <w:style w:type="paragraph" w:styleId="6">
    <w:name w:val="heading 5"/>
    <w:basedOn w:val="1"/>
    <w:next w:val="1"/>
    <w:link w:val="57"/>
    <w:qFormat/>
    <w:uiPriority w:val="9"/>
    <w:pPr>
      <w:keepNext/>
      <w:keepLines/>
      <w:spacing w:before="280" w:after="290" w:line="372" w:lineRule="auto"/>
      <w:outlineLvl w:val="4"/>
    </w:pPr>
    <w:rPr>
      <w:rFonts w:ascii="Calibri" w:hAnsi="Calibri"/>
      <w:b/>
      <w:bCs/>
      <w:sz w:val="28"/>
      <w:szCs w:val="28"/>
    </w:rPr>
  </w:style>
  <w:style w:type="paragraph" w:styleId="7">
    <w:name w:val="heading 6"/>
    <w:basedOn w:val="1"/>
    <w:next w:val="1"/>
    <w:link w:val="54"/>
    <w:qFormat/>
    <w:uiPriority w:val="9"/>
    <w:pPr>
      <w:keepNext/>
      <w:keepLines/>
      <w:widowControl/>
      <w:tabs>
        <w:tab w:val="left" w:pos="1440"/>
      </w:tabs>
      <w:spacing w:before="240" w:after="64" w:line="319" w:lineRule="auto"/>
      <w:ind w:left="1152" w:hanging="1152"/>
      <w:jc w:val="left"/>
      <w:outlineLvl w:val="5"/>
    </w:pPr>
    <w:rPr>
      <w:rFonts w:ascii="Arial" w:hAnsi="Arial" w:eastAsia="黑体"/>
      <w:b/>
      <w:kern w:val="0"/>
      <w:sz w:val="24"/>
      <w:szCs w:val="20"/>
    </w:rPr>
  </w:style>
  <w:style w:type="paragraph" w:styleId="8">
    <w:name w:val="heading 7"/>
    <w:basedOn w:val="1"/>
    <w:next w:val="1"/>
    <w:link w:val="58"/>
    <w:qFormat/>
    <w:uiPriority w:val="0"/>
    <w:pPr>
      <w:keepNext/>
      <w:keepLines/>
      <w:widowControl/>
      <w:tabs>
        <w:tab w:val="left" w:pos="2520"/>
      </w:tabs>
      <w:spacing w:before="240" w:after="64" w:line="319" w:lineRule="auto"/>
      <w:ind w:left="1296" w:hanging="1296"/>
      <w:jc w:val="left"/>
      <w:outlineLvl w:val="6"/>
    </w:pPr>
    <w:rPr>
      <w:rFonts w:ascii="Calibri" w:hAnsi="Calibri"/>
      <w:b/>
      <w:kern w:val="0"/>
      <w:sz w:val="24"/>
      <w:szCs w:val="20"/>
    </w:rPr>
  </w:style>
  <w:style w:type="paragraph" w:styleId="9">
    <w:name w:val="heading 8"/>
    <w:basedOn w:val="1"/>
    <w:next w:val="1"/>
    <w:link w:val="59"/>
    <w:qFormat/>
    <w:uiPriority w:val="0"/>
    <w:pPr>
      <w:keepNext/>
      <w:keepLines/>
      <w:widowControl/>
      <w:tabs>
        <w:tab w:val="left" w:pos="1440"/>
      </w:tabs>
      <w:spacing w:before="240" w:after="64" w:line="319" w:lineRule="auto"/>
      <w:ind w:left="1440" w:hanging="1440"/>
      <w:jc w:val="left"/>
      <w:outlineLvl w:val="7"/>
    </w:pPr>
    <w:rPr>
      <w:rFonts w:ascii="Arial" w:hAnsi="Arial" w:eastAsia="黑体"/>
      <w:kern w:val="0"/>
      <w:sz w:val="24"/>
      <w:szCs w:val="20"/>
    </w:rPr>
  </w:style>
  <w:style w:type="paragraph" w:styleId="10">
    <w:name w:val="heading 9"/>
    <w:basedOn w:val="1"/>
    <w:next w:val="1"/>
    <w:link w:val="60"/>
    <w:qFormat/>
    <w:uiPriority w:val="0"/>
    <w:pPr>
      <w:keepNext/>
      <w:keepLines/>
      <w:widowControl/>
      <w:tabs>
        <w:tab w:val="left" w:pos="1584"/>
      </w:tabs>
      <w:spacing w:before="240" w:after="64" w:line="319" w:lineRule="auto"/>
      <w:ind w:left="1584" w:hanging="1584"/>
      <w:jc w:val="left"/>
      <w:outlineLvl w:val="8"/>
    </w:pPr>
    <w:rPr>
      <w:rFonts w:ascii="Arial" w:hAnsi="Arial" w:eastAsia="黑体"/>
      <w:kern w:val="0"/>
      <w:szCs w:val="20"/>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ind w:left="1260"/>
      <w:jc w:val="left"/>
    </w:pPr>
    <w:rPr>
      <w:sz w:val="18"/>
      <w:szCs w:val="18"/>
    </w:rPr>
  </w:style>
  <w:style w:type="paragraph" w:styleId="12">
    <w:name w:val="Normal Indent"/>
    <w:basedOn w:val="1"/>
    <w:qFormat/>
    <w:uiPriority w:val="99"/>
    <w:pPr>
      <w:ind w:firstLine="420" w:firstLineChars="200"/>
    </w:pPr>
  </w:style>
  <w:style w:type="paragraph" w:styleId="13">
    <w:name w:val="caption"/>
    <w:basedOn w:val="1"/>
    <w:next w:val="1"/>
    <w:qFormat/>
    <w:uiPriority w:val="99"/>
    <w:rPr>
      <w:rFonts w:ascii="Cambria" w:hAnsi="Cambria" w:eastAsia="黑体"/>
      <w:sz w:val="20"/>
      <w:szCs w:val="20"/>
    </w:rPr>
  </w:style>
  <w:style w:type="paragraph" w:styleId="14">
    <w:name w:val="Document Map"/>
    <w:basedOn w:val="1"/>
    <w:link w:val="61"/>
    <w:qFormat/>
    <w:uiPriority w:val="99"/>
    <w:pPr>
      <w:shd w:val="clear" w:color="auto" w:fill="000080"/>
    </w:pPr>
    <w:rPr>
      <w:rFonts w:ascii="Calibri" w:hAnsi="Calibri"/>
      <w:sz w:val="24"/>
      <w:szCs w:val="20"/>
    </w:rPr>
  </w:style>
  <w:style w:type="paragraph" w:styleId="15">
    <w:name w:val="annotation text"/>
    <w:basedOn w:val="1"/>
    <w:link w:val="62"/>
    <w:qFormat/>
    <w:uiPriority w:val="99"/>
    <w:pPr>
      <w:jc w:val="left"/>
    </w:pPr>
    <w:rPr>
      <w:rFonts w:ascii="Calibri" w:hAnsi="Calibri"/>
      <w:sz w:val="24"/>
      <w:szCs w:val="20"/>
    </w:rPr>
  </w:style>
  <w:style w:type="paragraph" w:styleId="16">
    <w:name w:val="Body Text 3"/>
    <w:basedOn w:val="1"/>
    <w:link w:val="63"/>
    <w:qFormat/>
    <w:uiPriority w:val="99"/>
    <w:rPr>
      <w:rFonts w:ascii="宋体" w:hAnsi="Calibri"/>
      <w:sz w:val="24"/>
      <w:szCs w:val="20"/>
    </w:rPr>
  </w:style>
  <w:style w:type="paragraph" w:styleId="17">
    <w:name w:val="Body Text"/>
    <w:basedOn w:val="1"/>
    <w:link w:val="64"/>
    <w:qFormat/>
    <w:uiPriority w:val="99"/>
    <w:pPr>
      <w:spacing w:after="120"/>
    </w:pPr>
    <w:rPr>
      <w:rFonts w:ascii="Calibri" w:hAnsi="Calibri"/>
      <w:sz w:val="24"/>
      <w:szCs w:val="20"/>
    </w:rPr>
  </w:style>
  <w:style w:type="paragraph" w:styleId="18">
    <w:name w:val="Body Text Indent"/>
    <w:basedOn w:val="1"/>
    <w:link w:val="65"/>
    <w:qFormat/>
    <w:uiPriority w:val="99"/>
    <w:pPr>
      <w:spacing w:after="120"/>
      <w:ind w:left="420" w:leftChars="200"/>
    </w:pPr>
    <w:rPr>
      <w:rFonts w:ascii="Calibri" w:hAnsi="Calibri"/>
      <w:kern w:val="0"/>
      <w:sz w:val="20"/>
    </w:rPr>
  </w:style>
  <w:style w:type="paragraph" w:styleId="19">
    <w:name w:val="index 4"/>
    <w:basedOn w:val="1"/>
    <w:next w:val="1"/>
    <w:qFormat/>
    <w:uiPriority w:val="99"/>
    <w:pPr>
      <w:ind w:left="600" w:leftChars="600"/>
    </w:pPr>
  </w:style>
  <w:style w:type="paragraph" w:styleId="20">
    <w:name w:val="toc 5"/>
    <w:basedOn w:val="1"/>
    <w:next w:val="1"/>
    <w:qFormat/>
    <w:uiPriority w:val="39"/>
    <w:pPr>
      <w:ind w:left="840"/>
      <w:jc w:val="left"/>
    </w:pPr>
    <w:rPr>
      <w:sz w:val="18"/>
      <w:szCs w:val="18"/>
    </w:rPr>
  </w:style>
  <w:style w:type="paragraph" w:styleId="21">
    <w:name w:val="toc 3"/>
    <w:basedOn w:val="1"/>
    <w:next w:val="1"/>
    <w:qFormat/>
    <w:uiPriority w:val="39"/>
    <w:pPr>
      <w:ind w:left="420"/>
      <w:jc w:val="left"/>
    </w:pPr>
    <w:rPr>
      <w:iCs/>
      <w:sz w:val="20"/>
      <w:szCs w:val="20"/>
    </w:rPr>
  </w:style>
  <w:style w:type="paragraph" w:styleId="22">
    <w:name w:val="Plain Text"/>
    <w:link w:val="66"/>
    <w:qFormat/>
    <w:locked/>
    <w:uiPriority w:val="0"/>
    <w:pPr>
      <w:adjustRightInd w:val="0"/>
      <w:snapToGrid w:val="0"/>
      <w:spacing w:afterLines="50" w:line="360" w:lineRule="auto"/>
      <w:jc w:val="both"/>
    </w:pPr>
    <w:rPr>
      <w:rFonts w:ascii="宋体" w:hAnsi="宋体" w:eastAsia="宋体" w:cs="宋体"/>
      <w:kern w:val="2"/>
      <w:sz w:val="24"/>
      <w:szCs w:val="24"/>
      <w:lang w:val="en-US" w:eastAsia="zh-CN" w:bidi="ar-SA"/>
    </w:rPr>
  </w:style>
  <w:style w:type="paragraph" w:styleId="23">
    <w:name w:val="toc 8"/>
    <w:basedOn w:val="1"/>
    <w:next w:val="1"/>
    <w:qFormat/>
    <w:uiPriority w:val="39"/>
    <w:pPr>
      <w:ind w:left="1470"/>
      <w:jc w:val="left"/>
    </w:pPr>
    <w:rPr>
      <w:sz w:val="18"/>
      <w:szCs w:val="18"/>
    </w:rPr>
  </w:style>
  <w:style w:type="paragraph" w:styleId="24">
    <w:name w:val="Date"/>
    <w:basedOn w:val="1"/>
    <w:next w:val="1"/>
    <w:link w:val="67"/>
    <w:qFormat/>
    <w:uiPriority w:val="0"/>
    <w:rPr>
      <w:rFonts w:ascii="Calibri" w:hAnsi="Calibri"/>
      <w:sz w:val="24"/>
      <w:szCs w:val="20"/>
    </w:rPr>
  </w:style>
  <w:style w:type="paragraph" w:styleId="25">
    <w:name w:val="Balloon Text"/>
    <w:basedOn w:val="1"/>
    <w:link w:val="68"/>
    <w:qFormat/>
    <w:uiPriority w:val="99"/>
    <w:rPr>
      <w:rFonts w:ascii="Calibri" w:hAnsi="Calibri"/>
      <w:sz w:val="18"/>
      <w:szCs w:val="20"/>
    </w:rPr>
  </w:style>
  <w:style w:type="paragraph" w:styleId="26">
    <w:name w:val="footer"/>
    <w:basedOn w:val="1"/>
    <w:link w:val="69"/>
    <w:qFormat/>
    <w:uiPriority w:val="99"/>
    <w:pPr>
      <w:tabs>
        <w:tab w:val="center" w:pos="4153"/>
        <w:tab w:val="right" w:pos="8306"/>
      </w:tabs>
      <w:snapToGrid w:val="0"/>
      <w:jc w:val="left"/>
    </w:pPr>
    <w:rPr>
      <w:rFonts w:ascii="Calibri" w:hAnsi="Calibri"/>
      <w:sz w:val="18"/>
      <w:szCs w:val="20"/>
    </w:rPr>
  </w:style>
  <w:style w:type="paragraph" w:styleId="27">
    <w:name w:val="header"/>
    <w:basedOn w:val="1"/>
    <w:link w:val="70"/>
    <w:qFormat/>
    <w:uiPriority w:val="99"/>
    <w:pPr>
      <w:pBdr>
        <w:bottom w:val="single" w:color="auto" w:sz="6" w:space="1"/>
      </w:pBdr>
      <w:tabs>
        <w:tab w:val="center" w:pos="4153"/>
        <w:tab w:val="right" w:pos="8306"/>
      </w:tabs>
      <w:snapToGrid w:val="0"/>
      <w:jc w:val="center"/>
    </w:pPr>
    <w:rPr>
      <w:rFonts w:ascii="Calibri" w:hAnsi="Calibri"/>
      <w:sz w:val="18"/>
      <w:szCs w:val="20"/>
    </w:rPr>
  </w:style>
  <w:style w:type="paragraph" w:styleId="28">
    <w:name w:val="toc 1"/>
    <w:basedOn w:val="1"/>
    <w:next w:val="1"/>
    <w:qFormat/>
    <w:uiPriority w:val="39"/>
    <w:pPr>
      <w:spacing w:before="120" w:after="120"/>
      <w:jc w:val="left"/>
    </w:pPr>
    <w:rPr>
      <w:b/>
      <w:bCs/>
      <w:caps/>
      <w:sz w:val="20"/>
      <w:szCs w:val="20"/>
    </w:rPr>
  </w:style>
  <w:style w:type="paragraph" w:styleId="29">
    <w:name w:val="toc 4"/>
    <w:basedOn w:val="1"/>
    <w:next w:val="1"/>
    <w:qFormat/>
    <w:uiPriority w:val="39"/>
    <w:pPr>
      <w:ind w:left="630"/>
      <w:jc w:val="left"/>
    </w:pPr>
    <w:rPr>
      <w:sz w:val="18"/>
      <w:szCs w:val="18"/>
    </w:rPr>
  </w:style>
  <w:style w:type="paragraph" w:styleId="30">
    <w:name w:val="Subtitle"/>
    <w:basedOn w:val="1"/>
    <w:next w:val="1"/>
    <w:link w:val="71"/>
    <w:qFormat/>
    <w:uiPriority w:val="99"/>
    <w:pPr>
      <w:spacing w:before="240" w:after="60" w:line="312" w:lineRule="auto"/>
      <w:jc w:val="center"/>
      <w:outlineLvl w:val="1"/>
    </w:pPr>
    <w:rPr>
      <w:rFonts w:ascii="Cambria" w:hAnsi="Cambria"/>
      <w:b/>
      <w:bCs/>
      <w:kern w:val="28"/>
      <w:sz w:val="32"/>
      <w:szCs w:val="32"/>
    </w:rPr>
  </w:style>
  <w:style w:type="paragraph" w:styleId="31">
    <w:name w:val="toc 6"/>
    <w:basedOn w:val="1"/>
    <w:next w:val="1"/>
    <w:qFormat/>
    <w:uiPriority w:val="39"/>
    <w:pPr>
      <w:ind w:left="1050"/>
      <w:jc w:val="left"/>
    </w:pPr>
    <w:rPr>
      <w:sz w:val="18"/>
      <w:szCs w:val="18"/>
    </w:rPr>
  </w:style>
  <w:style w:type="paragraph" w:styleId="32">
    <w:name w:val="Body Text Indent 3"/>
    <w:basedOn w:val="1"/>
    <w:link w:val="72"/>
    <w:qFormat/>
    <w:uiPriority w:val="99"/>
    <w:pPr>
      <w:spacing w:after="120"/>
      <w:ind w:left="420" w:leftChars="200"/>
    </w:pPr>
    <w:rPr>
      <w:rFonts w:ascii="Calibri" w:hAnsi="Calibri"/>
      <w:kern w:val="0"/>
      <w:sz w:val="16"/>
      <w:szCs w:val="16"/>
    </w:rPr>
  </w:style>
  <w:style w:type="paragraph" w:styleId="33">
    <w:name w:val="toc 2"/>
    <w:basedOn w:val="1"/>
    <w:next w:val="1"/>
    <w:qFormat/>
    <w:uiPriority w:val="39"/>
    <w:pPr>
      <w:ind w:left="210"/>
      <w:jc w:val="left"/>
    </w:pPr>
    <w:rPr>
      <w:smallCaps/>
      <w:sz w:val="20"/>
      <w:szCs w:val="20"/>
    </w:rPr>
  </w:style>
  <w:style w:type="paragraph" w:styleId="34">
    <w:name w:val="toc 9"/>
    <w:basedOn w:val="1"/>
    <w:next w:val="1"/>
    <w:qFormat/>
    <w:uiPriority w:val="39"/>
    <w:pPr>
      <w:ind w:left="1680"/>
      <w:jc w:val="left"/>
    </w:pPr>
    <w:rPr>
      <w:sz w:val="18"/>
      <w:szCs w:val="18"/>
    </w:rPr>
  </w:style>
  <w:style w:type="paragraph" w:styleId="35">
    <w:name w:val="Body Text 2"/>
    <w:basedOn w:val="1"/>
    <w:link w:val="73"/>
    <w:unhideWhenUsed/>
    <w:qFormat/>
    <w:locked/>
    <w:uiPriority w:val="99"/>
    <w:pPr>
      <w:widowControl/>
      <w:wordWrap w:val="0"/>
      <w:topLinePunct/>
      <w:adjustRightInd w:val="0"/>
      <w:snapToGrid w:val="0"/>
      <w:spacing w:afterLines="50" w:line="480" w:lineRule="auto"/>
      <w:ind w:firstLine="480" w:firstLineChars="200"/>
    </w:pPr>
    <w:rPr>
      <w:rFonts w:ascii="Calibri" w:hAnsi="Calibri"/>
      <w:sz w:val="24"/>
      <w:szCs w:val="22"/>
    </w:rPr>
  </w:style>
  <w:style w:type="paragraph" w:styleId="36">
    <w:name w:val="HTML Preformatted"/>
    <w:basedOn w:val="1"/>
    <w:link w:val="74"/>
    <w:unhideWhenUsed/>
    <w:qFormat/>
    <w:lock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topLinePunct/>
      <w:jc w:val="left"/>
    </w:pPr>
    <w:rPr>
      <w:rFonts w:ascii="宋体" w:hAnsi="宋体"/>
      <w:kern w:val="0"/>
      <w:sz w:val="24"/>
    </w:rPr>
  </w:style>
  <w:style w:type="paragraph" w:styleId="37">
    <w:name w:val="Normal (Web)"/>
    <w:basedOn w:val="1"/>
    <w:qFormat/>
    <w:uiPriority w:val="99"/>
    <w:pPr>
      <w:widowControl/>
      <w:spacing w:before="100" w:beforeAutospacing="1" w:after="100" w:afterAutospacing="1" w:line="320" w:lineRule="atLeast"/>
      <w:jc w:val="left"/>
    </w:pPr>
    <w:rPr>
      <w:rFonts w:ascii="宋体" w:hAnsi="宋体"/>
      <w:kern w:val="0"/>
      <w:sz w:val="18"/>
      <w:szCs w:val="18"/>
    </w:rPr>
  </w:style>
  <w:style w:type="paragraph" w:styleId="38">
    <w:name w:val="index 1"/>
    <w:basedOn w:val="1"/>
    <w:next w:val="1"/>
    <w:qFormat/>
    <w:uiPriority w:val="99"/>
    <w:pPr>
      <w:spacing w:line="220" w:lineRule="exact"/>
      <w:jc w:val="center"/>
    </w:pPr>
    <w:rPr>
      <w:rFonts w:ascii="仿宋_GB2312" w:eastAsia="仿宋_GB2312"/>
      <w:szCs w:val="21"/>
    </w:rPr>
  </w:style>
  <w:style w:type="paragraph" w:styleId="39">
    <w:name w:val="Title"/>
    <w:basedOn w:val="1"/>
    <w:link w:val="75"/>
    <w:qFormat/>
    <w:uiPriority w:val="99"/>
    <w:pPr>
      <w:adjustRightInd w:val="0"/>
      <w:spacing w:before="240" w:after="60" w:line="420" w:lineRule="atLeast"/>
      <w:jc w:val="center"/>
      <w:textAlignment w:val="baseline"/>
      <w:outlineLvl w:val="0"/>
    </w:pPr>
    <w:rPr>
      <w:rFonts w:ascii="Arial" w:hAnsi="Arial"/>
      <w:b/>
      <w:kern w:val="0"/>
      <w:sz w:val="32"/>
      <w:szCs w:val="20"/>
    </w:rPr>
  </w:style>
  <w:style w:type="paragraph" w:styleId="40">
    <w:name w:val="annotation subject"/>
    <w:basedOn w:val="15"/>
    <w:next w:val="15"/>
    <w:link w:val="76"/>
    <w:qFormat/>
    <w:uiPriority w:val="99"/>
    <w:pPr>
      <w:jc w:val="both"/>
    </w:pPr>
    <w:rPr>
      <w:b/>
    </w:rPr>
  </w:style>
  <w:style w:type="paragraph" w:styleId="41">
    <w:name w:val="Body Text First Indent"/>
    <w:basedOn w:val="1"/>
    <w:link w:val="77"/>
    <w:qFormat/>
    <w:uiPriority w:val="99"/>
    <w:pPr>
      <w:spacing w:line="312" w:lineRule="auto"/>
      <w:ind w:firstLine="420"/>
    </w:pPr>
    <w:rPr>
      <w:rFonts w:ascii="Calibri" w:hAnsi="Calibri"/>
      <w:sz w:val="24"/>
    </w:rPr>
  </w:style>
  <w:style w:type="table" w:styleId="43">
    <w:name w:val="Table Grid"/>
    <w:basedOn w:val="42"/>
    <w:qFormat/>
    <w:locked/>
    <w:uiPriority w:val="0"/>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qFormat/>
    <w:uiPriority w:val="22"/>
    <w:rPr>
      <w:rFonts w:cs="Times New Roman"/>
      <w:b/>
    </w:rPr>
  </w:style>
  <w:style w:type="character" w:styleId="46">
    <w:name w:val="page number"/>
    <w:basedOn w:val="44"/>
    <w:qFormat/>
    <w:uiPriority w:val="99"/>
    <w:rPr>
      <w:rFonts w:cs="Times New Roman"/>
    </w:rPr>
  </w:style>
  <w:style w:type="character" w:styleId="47">
    <w:name w:val="FollowedHyperlink"/>
    <w:qFormat/>
    <w:uiPriority w:val="99"/>
    <w:rPr>
      <w:rFonts w:cs="Times New Roman"/>
      <w:color w:val="800080"/>
      <w:u w:val="single"/>
    </w:rPr>
  </w:style>
  <w:style w:type="character" w:styleId="48">
    <w:name w:val="Emphasis"/>
    <w:qFormat/>
    <w:uiPriority w:val="99"/>
    <w:rPr>
      <w:rFonts w:cs="Times New Roman"/>
      <w:i/>
    </w:rPr>
  </w:style>
  <w:style w:type="character" w:styleId="49">
    <w:name w:val="Hyperlink"/>
    <w:basedOn w:val="44"/>
    <w:qFormat/>
    <w:uiPriority w:val="99"/>
    <w:rPr>
      <w:rFonts w:cs="Times New Roman"/>
      <w:color w:val="0000FF"/>
      <w:u w:val="single"/>
    </w:rPr>
  </w:style>
  <w:style w:type="character" w:styleId="50">
    <w:name w:val="annotation reference"/>
    <w:basedOn w:val="44"/>
    <w:qFormat/>
    <w:uiPriority w:val="99"/>
    <w:rPr>
      <w:rFonts w:cs="Times New Roman"/>
      <w:sz w:val="21"/>
    </w:rPr>
  </w:style>
  <w:style w:type="character" w:styleId="51">
    <w:name w:val="footnote reference"/>
    <w:qFormat/>
    <w:uiPriority w:val="99"/>
    <w:rPr>
      <w:rFonts w:cs="Times New Roman"/>
      <w:vertAlign w:val="superscript"/>
    </w:rPr>
  </w:style>
  <w:style w:type="character" w:customStyle="1" w:styleId="52">
    <w:name w:val="标题 2 Char"/>
    <w:link w:val="3"/>
    <w:qFormat/>
    <w:locked/>
    <w:uiPriority w:val="9"/>
    <w:rPr>
      <w:rFonts w:ascii="Arial" w:hAnsi="Arial" w:eastAsia="黑体"/>
      <w:b/>
      <w:kern w:val="2"/>
      <w:sz w:val="32"/>
      <w:lang w:val="en-US" w:eastAsia="zh-CN"/>
    </w:rPr>
  </w:style>
  <w:style w:type="character" w:customStyle="1" w:styleId="53">
    <w:name w:val="标题 3 Char"/>
    <w:link w:val="4"/>
    <w:qFormat/>
    <w:locked/>
    <w:uiPriority w:val="0"/>
    <w:rPr>
      <w:rFonts w:ascii="黑体" w:hAnsi="宋体" w:eastAsia="黑体"/>
      <w:kern w:val="2"/>
      <w:sz w:val="28"/>
      <w:lang w:val="en-US" w:eastAsia="zh-CN"/>
    </w:rPr>
  </w:style>
  <w:style w:type="character" w:customStyle="1" w:styleId="54">
    <w:name w:val="标题 6 Char"/>
    <w:link w:val="7"/>
    <w:qFormat/>
    <w:locked/>
    <w:uiPriority w:val="9"/>
    <w:rPr>
      <w:rFonts w:ascii="Arial" w:hAnsi="Arial" w:eastAsia="黑体"/>
      <w:b/>
      <w:sz w:val="24"/>
    </w:rPr>
  </w:style>
  <w:style w:type="character" w:customStyle="1" w:styleId="55">
    <w:name w:val="标题 1 Char"/>
    <w:link w:val="2"/>
    <w:qFormat/>
    <w:locked/>
    <w:uiPriority w:val="9"/>
    <w:rPr>
      <w:rFonts w:eastAsia="宋体"/>
      <w:b/>
      <w:kern w:val="44"/>
      <w:sz w:val="44"/>
      <w:lang w:val="en-US" w:eastAsia="zh-CN"/>
    </w:rPr>
  </w:style>
  <w:style w:type="character" w:customStyle="1" w:styleId="56">
    <w:name w:val="标题 4 Char"/>
    <w:link w:val="5"/>
    <w:qFormat/>
    <w:locked/>
    <w:uiPriority w:val="99"/>
    <w:rPr>
      <w:rFonts w:ascii="Arial" w:hAnsi="Arial" w:eastAsia="黑体"/>
      <w:b/>
      <w:kern w:val="2"/>
      <w:sz w:val="28"/>
      <w:lang w:val="en-US" w:eastAsia="zh-CN"/>
    </w:rPr>
  </w:style>
  <w:style w:type="character" w:customStyle="1" w:styleId="57">
    <w:name w:val="标题 5 Char"/>
    <w:link w:val="6"/>
    <w:qFormat/>
    <w:locked/>
    <w:uiPriority w:val="9"/>
    <w:rPr>
      <w:rFonts w:ascii="Calibri" w:hAnsi="Calibri" w:cs="Times New Roman"/>
      <w:b/>
      <w:bCs/>
      <w:kern w:val="2"/>
      <w:sz w:val="28"/>
      <w:szCs w:val="28"/>
    </w:rPr>
  </w:style>
  <w:style w:type="character" w:customStyle="1" w:styleId="58">
    <w:name w:val="标题 7 Char"/>
    <w:link w:val="8"/>
    <w:qFormat/>
    <w:locked/>
    <w:uiPriority w:val="0"/>
    <w:rPr>
      <w:b/>
      <w:sz w:val="24"/>
    </w:rPr>
  </w:style>
  <w:style w:type="character" w:customStyle="1" w:styleId="59">
    <w:name w:val="标题 8 Char"/>
    <w:link w:val="9"/>
    <w:qFormat/>
    <w:locked/>
    <w:uiPriority w:val="0"/>
    <w:rPr>
      <w:rFonts w:ascii="Arial" w:hAnsi="Arial" w:eastAsia="黑体"/>
      <w:sz w:val="24"/>
    </w:rPr>
  </w:style>
  <w:style w:type="character" w:customStyle="1" w:styleId="60">
    <w:name w:val="标题 9 Char"/>
    <w:link w:val="10"/>
    <w:qFormat/>
    <w:locked/>
    <w:uiPriority w:val="0"/>
    <w:rPr>
      <w:rFonts w:ascii="Arial" w:hAnsi="Arial" w:eastAsia="黑体"/>
      <w:sz w:val="21"/>
    </w:rPr>
  </w:style>
  <w:style w:type="character" w:customStyle="1" w:styleId="61">
    <w:name w:val="文档结构图 Char"/>
    <w:link w:val="14"/>
    <w:qFormat/>
    <w:locked/>
    <w:uiPriority w:val="99"/>
    <w:rPr>
      <w:rFonts w:eastAsia="宋体"/>
      <w:kern w:val="2"/>
      <w:sz w:val="24"/>
      <w:lang w:val="en-US" w:eastAsia="zh-CN"/>
    </w:rPr>
  </w:style>
  <w:style w:type="character" w:customStyle="1" w:styleId="62">
    <w:name w:val="批注文字 Char"/>
    <w:link w:val="15"/>
    <w:qFormat/>
    <w:locked/>
    <w:uiPriority w:val="99"/>
    <w:rPr>
      <w:rFonts w:eastAsia="宋体"/>
      <w:kern w:val="2"/>
      <w:sz w:val="24"/>
      <w:lang w:val="en-US" w:eastAsia="zh-CN"/>
    </w:rPr>
  </w:style>
  <w:style w:type="character" w:customStyle="1" w:styleId="63">
    <w:name w:val="正文文本 3 Char"/>
    <w:link w:val="16"/>
    <w:qFormat/>
    <w:locked/>
    <w:uiPriority w:val="99"/>
    <w:rPr>
      <w:rFonts w:ascii="宋体"/>
      <w:kern w:val="2"/>
      <w:sz w:val="24"/>
    </w:rPr>
  </w:style>
  <w:style w:type="character" w:customStyle="1" w:styleId="64">
    <w:name w:val="正文文本 Char"/>
    <w:link w:val="17"/>
    <w:qFormat/>
    <w:locked/>
    <w:uiPriority w:val="99"/>
    <w:rPr>
      <w:rFonts w:eastAsia="宋体"/>
      <w:kern w:val="2"/>
      <w:sz w:val="24"/>
      <w:lang w:val="en-US" w:eastAsia="zh-CN"/>
    </w:rPr>
  </w:style>
  <w:style w:type="character" w:customStyle="1" w:styleId="65">
    <w:name w:val="正文文本缩进 Char"/>
    <w:link w:val="18"/>
    <w:semiHidden/>
    <w:qFormat/>
    <w:uiPriority w:val="99"/>
    <w:rPr>
      <w:szCs w:val="24"/>
    </w:rPr>
  </w:style>
  <w:style w:type="character" w:customStyle="1" w:styleId="66">
    <w:name w:val="纯文本 Char"/>
    <w:link w:val="22"/>
    <w:qFormat/>
    <w:uiPriority w:val="0"/>
    <w:rPr>
      <w:rFonts w:ascii="宋体" w:hAnsi="宋体" w:cs="宋体"/>
      <w:kern w:val="2"/>
      <w:sz w:val="24"/>
      <w:szCs w:val="24"/>
      <w:lang w:val="en-US" w:eastAsia="zh-CN" w:bidi="ar-SA"/>
    </w:rPr>
  </w:style>
  <w:style w:type="character" w:customStyle="1" w:styleId="67">
    <w:name w:val="日期 Char"/>
    <w:link w:val="24"/>
    <w:qFormat/>
    <w:locked/>
    <w:uiPriority w:val="0"/>
    <w:rPr>
      <w:kern w:val="2"/>
      <w:sz w:val="24"/>
    </w:rPr>
  </w:style>
  <w:style w:type="character" w:customStyle="1" w:styleId="68">
    <w:name w:val="批注框文本 Char"/>
    <w:link w:val="25"/>
    <w:qFormat/>
    <w:locked/>
    <w:uiPriority w:val="99"/>
    <w:rPr>
      <w:kern w:val="2"/>
      <w:sz w:val="18"/>
    </w:rPr>
  </w:style>
  <w:style w:type="character" w:customStyle="1" w:styleId="69">
    <w:name w:val="页脚 Char"/>
    <w:link w:val="26"/>
    <w:qFormat/>
    <w:locked/>
    <w:uiPriority w:val="99"/>
    <w:rPr>
      <w:rFonts w:eastAsia="宋体"/>
      <w:kern w:val="2"/>
      <w:sz w:val="18"/>
      <w:lang w:val="en-US" w:eastAsia="zh-CN"/>
    </w:rPr>
  </w:style>
  <w:style w:type="character" w:customStyle="1" w:styleId="70">
    <w:name w:val="页眉 Char"/>
    <w:link w:val="27"/>
    <w:qFormat/>
    <w:locked/>
    <w:uiPriority w:val="99"/>
    <w:rPr>
      <w:rFonts w:eastAsia="宋体"/>
      <w:kern w:val="2"/>
      <w:sz w:val="18"/>
      <w:lang w:val="en-US" w:eastAsia="zh-CN"/>
    </w:rPr>
  </w:style>
  <w:style w:type="character" w:customStyle="1" w:styleId="71">
    <w:name w:val="副标题 Char1"/>
    <w:link w:val="30"/>
    <w:qFormat/>
    <w:locked/>
    <w:uiPriority w:val="99"/>
    <w:rPr>
      <w:rFonts w:ascii="Cambria" w:hAnsi="Cambria" w:cs="Times New Roman"/>
      <w:b/>
      <w:bCs/>
      <w:kern w:val="28"/>
      <w:sz w:val="32"/>
      <w:szCs w:val="32"/>
    </w:rPr>
  </w:style>
  <w:style w:type="character" w:customStyle="1" w:styleId="72">
    <w:name w:val="正文文本缩进 3 Char"/>
    <w:link w:val="32"/>
    <w:semiHidden/>
    <w:qFormat/>
    <w:uiPriority w:val="99"/>
    <w:rPr>
      <w:sz w:val="16"/>
      <w:szCs w:val="16"/>
    </w:rPr>
  </w:style>
  <w:style w:type="character" w:customStyle="1" w:styleId="73">
    <w:name w:val="正文文本 2 Char"/>
    <w:link w:val="35"/>
    <w:qFormat/>
    <w:uiPriority w:val="99"/>
    <w:rPr>
      <w:kern w:val="2"/>
      <w:sz w:val="24"/>
      <w:szCs w:val="22"/>
    </w:rPr>
  </w:style>
  <w:style w:type="character" w:customStyle="1" w:styleId="74">
    <w:name w:val="HTML 预设格式 Char"/>
    <w:link w:val="36"/>
    <w:qFormat/>
    <w:uiPriority w:val="99"/>
    <w:rPr>
      <w:rFonts w:ascii="宋体" w:hAnsi="宋体" w:cs="宋体"/>
      <w:sz w:val="24"/>
      <w:szCs w:val="24"/>
    </w:rPr>
  </w:style>
  <w:style w:type="character" w:customStyle="1" w:styleId="75">
    <w:name w:val="标题 Char"/>
    <w:link w:val="39"/>
    <w:qFormat/>
    <w:locked/>
    <w:uiPriority w:val="99"/>
    <w:rPr>
      <w:rFonts w:ascii="Arial" w:hAnsi="Arial"/>
      <w:b/>
      <w:sz w:val="32"/>
    </w:rPr>
  </w:style>
  <w:style w:type="character" w:customStyle="1" w:styleId="76">
    <w:name w:val="批注主题 Char"/>
    <w:link w:val="40"/>
    <w:qFormat/>
    <w:locked/>
    <w:uiPriority w:val="99"/>
    <w:rPr>
      <w:rFonts w:eastAsia="宋体"/>
      <w:b/>
      <w:kern w:val="2"/>
      <w:sz w:val="24"/>
      <w:lang w:val="en-US" w:eastAsia="zh-CN"/>
    </w:rPr>
  </w:style>
  <w:style w:type="character" w:customStyle="1" w:styleId="77">
    <w:name w:val="正文首行缩进 Char"/>
    <w:link w:val="41"/>
    <w:qFormat/>
    <w:locked/>
    <w:uiPriority w:val="99"/>
    <w:rPr>
      <w:rFonts w:eastAsia="宋体" w:cs="Times New Roman"/>
      <w:kern w:val="2"/>
      <w:sz w:val="24"/>
      <w:szCs w:val="24"/>
      <w:lang w:val="en-US" w:eastAsia="zh-CN" w:bidi="ar-SA"/>
    </w:rPr>
  </w:style>
  <w:style w:type="paragraph" w:customStyle="1" w:styleId="78">
    <w:name w:val="_Style 3"/>
    <w:qFormat/>
    <w:uiPriority w:val="1"/>
    <w:pPr>
      <w:widowControl w:val="0"/>
      <w:jc w:val="both"/>
    </w:pPr>
    <w:rPr>
      <w:rFonts w:ascii="Times New Roman" w:hAnsi="Times New Roman" w:eastAsia="宋体" w:cs="Times New Roman"/>
      <w:kern w:val="2"/>
      <w:sz w:val="21"/>
      <w:szCs w:val="22"/>
      <w:lang w:val="en-US" w:eastAsia="zh-CN" w:bidi="ar-SA"/>
    </w:rPr>
  </w:style>
  <w:style w:type="character" w:customStyle="1" w:styleId="79">
    <w:name w:val="Intense Quote Char"/>
    <w:qFormat/>
    <w:locked/>
    <w:uiPriority w:val="99"/>
    <w:rPr>
      <w:rFonts w:cs="Times New Roman"/>
      <w:b/>
      <w:bCs/>
      <w:i/>
      <w:iCs/>
      <w:color w:val="4F81BD"/>
      <w:kern w:val="2"/>
      <w:sz w:val="24"/>
      <w:szCs w:val="24"/>
    </w:rPr>
  </w:style>
  <w:style w:type="character" w:customStyle="1" w:styleId="80">
    <w:name w:val="批注文字 Char Char"/>
    <w:qFormat/>
    <w:uiPriority w:val="99"/>
    <w:rPr>
      <w:rFonts w:ascii="宋体" w:hAnsi="Times New Roman" w:eastAsia="宋体"/>
      <w:sz w:val="20"/>
    </w:rPr>
  </w:style>
  <w:style w:type="character" w:customStyle="1" w:styleId="81">
    <w:name w:val="AnnotationReference"/>
    <w:qFormat/>
    <w:uiPriority w:val="99"/>
    <w:rPr>
      <w:rFonts w:ascii="Times New Roman" w:hAnsi="Times New Roman" w:eastAsia="宋体"/>
      <w:sz w:val="21"/>
    </w:rPr>
  </w:style>
  <w:style w:type="character" w:customStyle="1" w:styleId="82">
    <w:name w:val="批注框文本 Char1"/>
    <w:qFormat/>
    <w:uiPriority w:val="99"/>
    <w:rPr>
      <w:kern w:val="2"/>
      <w:sz w:val="18"/>
    </w:rPr>
  </w:style>
  <w:style w:type="character" w:customStyle="1" w:styleId="83">
    <w:name w:val="Intense Emphasis1"/>
    <w:qFormat/>
    <w:uiPriority w:val="99"/>
    <w:rPr>
      <w:b/>
      <w:i/>
      <w:color w:val="4F81BD"/>
    </w:rPr>
  </w:style>
  <w:style w:type="character" w:customStyle="1" w:styleId="84">
    <w:name w:val="NormalCharacter"/>
    <w:qFormat/>
    <w:uiPriority w:val="99"/>
    <w:rPr>
      <w:rFonts w:ascii="Times New Roman" w:hAnsi="Times New Roman" w:eastAsia="宋体"/>
    </w:rPr>
  </w:style>
  <w:style w:type="character" w:customStyle="1" w:styleId="85">
    <w:name w:val="标题4 Char Char"/>
    <w:link w:val="86"/>
    <w:qFormat/>
    <w:locked/>
    <w:uiPriority w:val="99"/>
    <w:rPr>
      <w:rFonts w:ascii="Arial" w:hAnsi="Arial"/>
      <w:b/>
      <w:sz w:val="32"/>
    </w:rPr>
  </w:style>
  <w:style w:type="paragraph" w:customStyle="1" w:styleId="86">
    <w:name w:val="标题4"/>
    <w:basedOn w:val="3"/>
    <w:next w:val="19"/>
    <w:link w:val="85"/>
    <w:qFormat/>
    <w:uiPriority w:val="99"/>
    <w:pPr>
      <w:spacing w:line="413" w:lineRule="auto"/>
    </w:pPr>
    <w:rPr>
      <w:rFonts w:eastAsia="宋体"/>
      <w:kern w:val="0"/>
    </w:rPr>
  </w:style>
  <w:style w:type="character" w:customStyle="1" w:styleId="87">
    <w:name w:val="文档结构图 Char1"/>
    <w:qFormat/>
    <w:uiPriority w:val="99"/>
    <w:rPr>
      <w:rFonts w:ascii="宋体"/>
      <w:kern w:val="2"/>
      <w:sz w:val="18"/>
    </w:rPr>
  </w:style>
  <w:style w:type="character" w:customStyle="1" w:styleId="88">
    <w:name w:val="批注主题 Char1"/>
    <w:qFormat/>
    <w:uiPriority w:val="99"/>
    <w:rPr>
      <w:b/>
      <w:kern w:val="2"/>
      <w:sz w:val="22"/>
    </w:rPr>
  </w:style>
  <w:style w:type="character" w:styleId="89">
    <w:name w:val="Placeholder Text"/>
    <w:unhideWhenUsed/>
    <w:qFormat/>
    <w:uiPriority w:val="99"/>
    <w:rPr>
      <w:color w:val="808080"/>
    </w:rPr>
  </w:style>
  <w:style w:type="character" w:customStyle="1" w:styleId="90">
    <w:name w:val="未处理的提及2"/>
    <w:unhideWhenUsed/>
    <w:qFormat/>
    <w:uiPriority w:val="99"/>
    <w:rPr>
      <w:color w:val="605E5C"/>
      <w:shd w:val="clear" w:color="auto" w:fill="E1DFDD"/>
    </w:rPr>
  </w:style>
  <w:style w:type="character" w:customStyle="1" w:styleId="91">
    <w:name w:val="Intense Reference1"/>
    <w:qFormat/>
    <w:uiPriority w:val="99"/>
    <w:rPr>
      <w:b/>
      <w:smallCaps/>
      <w:color w:val="C0504D"/>
      <w:spacing w:val="5"/>
      <w:u w:val="single"/>
    </w:rPr>
  </w:style>
  <w:style w:type="character" w:customStyle="1" w:styleId="92">
    <w:name w:val="标题5 Char Char"/>
    <w:link w:val="93"/>
    <w:qFormat/>
    <w:locked/>
    <w:uiPriority w:val="99"/>
    <w:rPr>
      <w:rFonts w:ascii="Arial" w:hAnsi="Arial"/>
      <w:b/>
      <w:sz w:val="32"/>
    </w:rPr>
  </w:style>
  <w:style w:type="paragraph" w:customStyle="1" w:styleId="93">
    <w:name w:val="标题5"/>
    <w:basedOn w:val="4"/>
    <w:link w:val="92"/>
    <w:qFormat/>
    <w:uiPriority w:val="99"/>
    <w:pPr>
      <w:spacing w:line="413" w:lineRule="auto"/>
      <w:ind w:firstLine="0" w:firstLineChars="0"/>
    </w:pPr>
    <w:rPr>
      <w:rFonts w:ascii="Arial" w:hAnsi="Arial" w:eastAsia="宋体"/>
      <w:b/>
      <w:kern w:val="0"/>
      <w:sz w:val="32"/>
    </w:rPr>
  </w:style>
  <w:style w:type="character" w:customStyle="1" w:styleId="94">
    <w:name w:val="明显引用 Char"/>
    <w:qFormat/>
    <w:uiPriority w:val="99"/>
    <w:rPr>
      <w:b/>
      <w:i/>
      <w:color w:val="4F81BD"/>
      <w:kern w:val="2"/>
      <w:sz w:val="22"/>
    </w:rPr>
  </w:style>
  <w:style w:type="character" w:customStyle="1" w:styleId="95">
    <w:name w:val="引用 Char1"/>
    <w:link w:val="96"/>
    <w:qFormat/>
    <w:uiPriority w:val="29"/>
    <w:rPr>
      <w:i/>
      <w:iCs/>
      <w:color w:val="000000"/>
      <w:szCs w:val="24"/>
    </w:rPr>
  </w:style>
  <w:style w:type="paragraph" w:styleId="96">
    <w:name w:val="Quote"/>
    <w:basedOn w:val="1"/>
    <w:next w:val="1"/>
    <w:link w:val="95"/>
    <w:qFormat/>
    <w:uiPriority w:val="29"/>
    <w:rPr>
      <w:rFonts w:ascii="Calibri" w:hAnsi="Calibri"/>
      <w:i/>
      <w:iCs/>
      <w:color w:val="000000"/>
      <w:kern w:val="0"/>
      <w:sz w:val="20"/>
    </w:rPr>
  </w:style>
  <w:style w:type="character" w:customStyle="1" w:styleId="97">
    <w:name w:val="font161"/>
    <w:qFormat/>
    <w:uiPriority w:val="99"/>
    <w:rPr>
      <w:b/>
      <w:sz w:val="32"/>
    </w:rPr>
  </w:style>
  <w:style w:type="character" w:customStyle="1" w:styleId="98">
    <w:name w:val="样式1 字符"/>
    <w:link w:val="99"/>
    <w:qFormat/>
    <w:uiPriority w:val="0"/>
    <w:rPr>
      <w:rFonts w:ascii="宋体" w:hAnsi="宋体"/>
      <w:kern w:val="2"/>
      <w:sz w:val="21"/>
      <w:szCs w:val="21"/>
    </w:rPr>
  </w:style>
  <w:style w:type="paragraph" w:customStyle="1" w:styleId="99">
    <w:name w:val="样式1"/>
    <w:basedOn w:val="1"/>
    <w:next w:val="5"/>
    <w:link w:val="98"/>
    <w:qFormat/>
    <w:uiPriority w:val="0"/>
    <w:pPr>
      <w:spacing w:line="360" w:lineRule="auto"/>
      <w:ind w:firstLine="420" w:firstLineChars="200"/>
    </w:pPr>
    <w:rPr>
      <w:rFonts w:ascii="宋体" w:hAnsi="宋体"/>
      <w:szCs w:val="21"/>
    </w:rPr>
  </w:style>
  <w:style w:type="character" w:customStyle="1" w:styleId="100">
    <w:name w:val="未处理的提及3"/>
    <w:unhideWhenUsed/>
    <w:qFormat/>
    <w:uiPriority w:val="99"/>
    <w:rPr>
      <w:color w:val="605E5C"/>
      <w:shd w:val="clear" w:color="auto" w:fill="E1DFDD"/>
    </w:rPr>
  </w:style>
  <w:style w:type="character" w:customStyle="1" w:styleId="101">
    <w:name w:val="纯文本 Char1"/>
    <w:semiHidden/>
    <w:qFormat/>
    <w:uiPriority w:val="99"/>
    <w:rPr>
      <w:rFonts w:ascii="宋体" w:hAnsi="Courier New" w:cs="Courier New"/>
      <w:kern w:val="2"/>
      <w:sz w:val="21"/>
      <w:szCs w:val="21"/>
    </w:rPr>
  </w:style>
  <w:style w:type="character" w:customStyle="1" w:styleId="102">
    <w:name w:val="search-in-page-highlight-wrapper"/>
    <w:qFormat/>
    <w:uiPriority w:val="0"/>
  </w:style>
  <w:style w:type="character" w:customStyle="1" w:styleId="103">
    <w:name w:val="refer-count"/>
    <w:qFormat/>
    <w:uiPriority w:val="0"/>
  </w:style>
  <w:style w:type="character" w:customStyle="1" w:styleId="104">
    <w:name w:val="content"/>
    <w:qFormat/>
    <w:uiPriority w:val="0"/>
  </w:style>
  <w:style w:type="character" w:customStyle="1" w:styleId="105">
    <w:name w:val="HTML 预设格式 Char1"/>
    <w:semiHidden/>
    <w:qFormat/>
    <w:uiPriority w:val="99"/>
    <w:rPr>
      <w:rFonts w:ascii="Courier New" w:hAnsi="Courier New" w:cs="Courier New"/>
      <w:kern w:val="2"/>
    </w:rPr>
  </w:style>
  <w:style w:type="character" w:customStyle="1" w:styleId="106">
    <w:name w:val="正文文本 2 Char1"/>
    <w:semiHidden/>
    <w:qFormat/>
    <w:uiPriority w:val="99"/>
    <w:rPr>
      <w:rFonts w:ascii="Times New Roman" w:hAnsi="Times New Roman"/>
      <w:kern w:val="2"/>
      <w:sz w:val="21"/>
      <w:szCs w:val="24"/>
    </w:rPr>
  </w:style>
  <w:style w:type="character" w:customStyle="1" w:styleId="107">
    <w:name w:val="Book Title1"/>
    <w:qFormat/>
    <w:uiPriority w:val="99"/>
    <w:rPr>
      <w:b/>
      <w:smallCaps/>
      <w:spacing w:val="5"/>
    </w:rPr>
  </w:style>
  <w:style w:type="character" w:customStyle="1" w:styleId="108">
    <w:name w:val="明显引用 Char1"/>
    <w:link w:val="109"/>
    <w:qFormat/>
    <w:uiPriority w:val="30"/>
    <w:rPr>
      <w:b/>
      <w:bCs/>
      <w:i/>
      <w:iCs/>
      <w:color w:val="4F81BD"/>
      <w:szCs w:val="24"/>
    </w:rPr>
  </w:style>
  <w:style w:type="paragraph" w:styleId="109">
    <w:name w:val="Intense Quote"/>
    <w:basedOn w:val="1"/>
    <w:next w:val="1"/>
    <w:link w:val="108"/>
    <w:qFormat/>
    <w:uiPriority w:val="30"/>
    <w:pPr>
      <w:pBdr>
        <w:bottom w:val="single" w:color="4F81BD" w:sz="4" w:space="4"/>
      </w:pBdr>
      <w:spacing w:before="200" w:after="280"/>
      <w:ind w:left="936" w:right="936"/>
    </w:pPr>
    <w:rPr>
      <w:rFonts w:ascii="Calibri" w:hAnsi="Calibri"/>
      <w:b/>
      <w:bCs/>
      <w:i/>
      <w:iCs/>
      <w:color w:val="4F81BD"/>
      <w:kern w:val="0"/>
      <w:sz w:val="20"/>
    </w:rPr>
  </w:style>
  <w:style w:type="character" w:customStyle="1" w:styleId="110">
    <w:name w:val="引用 Char"/>
    <w:qFormat/>
    <w:uiPriority w:val="99"/>
    <w:rPr>
      <w:i/>
      <w:color w:val="000000"/>
      <w:kern w:val="2"/>
      <w:sz w:val="22"/>
    </w:rPr>
  </w:style>
  <w:style w:type="character" w:customStyle="1" w:styleId="111">
    <w:name w:val="日期 Char1"/>
    <w:qFormat/>
    <w:uiPriority w:val="99"/>
    <w:rPr>
      <w:kern w:val="2"/>
      <w:sz w:val="22"/>
    </w:rPr>
  </w:style>
  <w:style w:type="character" w:customStyle="1" w:styleId="112">
    <w:name w:val="Quote Char"/>
    <w:qFormat/>
    <w:locked/>
    <w:uiPriority w:val="99"/>
    <w:rPr>
      <w:rFonts w:cs="Times New Roman"/>
      <w:i/>
      <w:iCs/>
      <w:color w:val="000000"/>
      <w:kern w:val="2"/>
      <w:sz w:val="24"/>
      <w:szCs w:val="24"/>
    </w:rPr>
  </w:style>
  <w:style w:type="character" w:customStyle="1" w:styleId="113">
    <w:name w:val="Subtle Emphasis1"/>
    <w:qFormat/>
    <w:uiPriority w:val="99"/>
    <w:rPr>
      <w:i/>
      <w:color w:val="808080"/>
    </w:rPr>
  </w:style>
  <w:style w:type="character" w:customStyle="1" w:styleId="114">
    <w:name w:val="副标题 Char"/>
    <w:qFormat/>
    <w:uiPriority w:val="11"/>
    <w:rPr>
      <w:rFonts w:ascii="Cambria" w:hAnsi="Cambria"/>
      <w:b/>
      <w:kern w:val="28"/>
      <w:sz w:val="32"/>
    </w:rPr>
  </w:style>
  <w:style w:type="character" w:customStyle="1" w:styleId="115">
    <w:name w:val="正文文本 Char1"/>
    <w:qFormat/>
    <w:uiPriority w:val="99"/>
    <w:rPr>
      <w:kern w:val="2"/>
      <w:sz w:val="22"/>
    </w:rPr>
  </w:style>
  <w:style w:type="character" w:customStyle="1" w:styleId="116">
    <w:name w:val="标题 3 Char_1_0"/>
    <w:link w:val="117"/>
    <w:qFormat/>
    <w:locked/>
    <w:uiPriority w:val="99"/>
    <w:rPr>
      <w:rFonts w:eastAsia="黑体" w:cs="Times New Roman"/>
      <w:bCs/>
      <w:sz w:val="32"/>
      <w:szCs w:val="32"/>
    </w:rPr>
  </w:style>
  <w:style w:type="paragraph" w:customStyle="1" w:styleId="117">
    <w:name w:val="标题 3_1"/>
    <w:basedOn w:val="118"/>
    <w:next w:val="118"/>
    <w:link w:val="116"/>
    <w:qFormat/>
    <w:uiPriority w:val="99"/>
    <w:pPr>
      <w:keepNext/>
      <w:keepLines/>
      <w:spacing w:before="20" w:after="20"/>
      <w:outlineLvl w:val="2"/>
    </w:pPr>
    <w:rPr>
      <w:rFonts w:ascii="Calibri" w:hAnsi="Calibri" w:eastAsia="黑体"/>
      <w:bCs/>
      <w:sz w:val="32"/>
      <w:szCs w:val="32"/>
    </w:rPr>
  </w:style>
  <w:style w:type="paragraph" w:customStyle="1" w:styleId="118">
    <w:name w:val="正文_1"/>
    <w:next w:val="119"/>
    <w:qFormat/>
    <w:uiPriority w:val="99"/>
    <w:pPr>
      <w:widowControl w:val="0"/>
      <w:jc w:val="both"/>
    </w:pPr>
    <w:rPr>
      <w:rFonts w:ascii="Times New Roman" w:hAnsi="Times New Roman" w:eastAsia="宋体" w:cs="Times New Roman"/>
      <w:szCs w:val="24"/>
      <w:lang w:val="en-US" w:eastAsia="zh-CN" w:bidi="ar-SA"/>
    </w:rPr>
  </w:style>
  <w:style w:type="paragraph" w:customStyle="1" w:styleId="119">
    <w:name w:val="样式 正文001 + 首行缩进:  2 字符1"/>
    <w:basedOn w:val="118"/>
    <w:qFormat/>
    <w:uiPriority w:val="0"/>
    <w:pPr>
      <w:spacing w:before="60" w:line="460" w:lineRule="exact"/>
      <w:ind w:firstLine="480" w:firstLineChars="200"/>
    </w:pPr>
    <w:rPr>
      <w:rFonts w:ascii="宋体" w:hAnsi="宋体"/>
      <w:sz w:val="24"/>
      <w:szCs w:val="22"/>
    </w:rPr>
  </w:style>
  <w:style w:type="character" w:customStyle="1" w:styleId="120">
    <w:name w:val="Subtle Reference1"/>
    <w:qFormat/>
    <w:uiPriority w:val="99"/>
    <w:rPr>
      <w:smallCaps/>
      <w:color w:val="C0504D"/>
      <w:u w:val="single"/>
    </w:rPr>
  </w:style>
  <w:style w:type="character" w:customStyle="1" w:styleId="121">
    <w:name w:val="textcontents"/>
    <w:qFormat/>
    <w:uiPriority w:val="99"/>
  </w:style>
  <w:style w:type="character" w:customStyle="1" w:styleId="122">
    <w:name w:val="未处理的提及1"/>
    <w:unhideWhenUsed/>
    <w:qFormat/>
    <w:uiPriority w:val="99"/>
    <w:rPr>
      <w:color w:val="605E5C"/>
      <w:shd w:val="clear" w:color="auto" w:fill="E1DFDD"/>
    </w:rPr>
  </w:style>
  <w:style w:type="character" w:customStyle="1" w:styleId="123">
    <w:name w:val="law-parenthese"/>
    <w:qFormat/>
    <w:uiPriority w:val="0"/>
  </w:style>
  <w:style w:type="character" w:customStyle="1" w:styleId="124">
    <w:name w:val="search-in-page-highlight-item"/>
    <w:qFormat/>
    <w:uiPriority w:val="0"/>
  </w:style>
  <w:style w:type="paragraph" w:customStyle="1" w:styleId="125">
    <w:name w:val="TOC Heading1"/>
    <w:basedOn w:val="2"/>
    <w:next w:val="1"/>
    <w:qFormat/>
    <w:uiPriority w:val="99"/>
    <w:pPr>
      <w:outlineLvl w:val="9"/>
    </w:pPr>
  </w:style>
  <w:style w:type="paragraph" w:customStyle="1" w:styleId="126">
    <w:name w:val="Title 4 Chinese"/>
    <w:qFormat/>
    <w:uiPriority w:val="0"/>
    <w:pPr>
      <w:ind w:left="1276"/>
    </w:pPr>
    <w:rPr>
      <w:rFonts w:ascii="Times New Roman" w:hAnsi="Times New Roman" w:eastAsia="宋体" w:cs="Times New Roman"/>
      <w:kern w:val="2"/>
      <w:sz w:val="24"/>
      <w:szCs w:val="24"/>
      <w:lang w:val="en-US" w:eastAsia="zh-CN" w:bidi="ar-SA"/>
    </w:rPr>
  </w:style>
  <w:style w:type="paragraph" w:customStyle="1" w:styleId="127">
    <w:name w:val="样式 标题 1 + 黑体 三号 非加粗 居中 段前: 6 磅 段后: 6 磅 行距: 固定值 20 磅"/>
    <w:basedOn w:val="2"/>
    <w:qFormat/>
    <w:uiPriority w:val="99"/>
    <w:pPr>
      <w:spacing w:before="120" w:after="120" w:line="400" w:lineRule="exact"/>
      <w:jc w:val="center"/>
    </w:pPr>
    <w:rPr>
      <w:rFonts w:ascii="黑体" w:hAnsi="黑体" w:eastAsia="黑体" w:cs="宋体"/>
      <w:b w:val="0"/>
      <w:sz w:val="32"/>
    </w:rPr>
  </w:style>
  <w:style w:type="paragraph" w:customStyle="1" w:styleId="128">
    <w:name w:val="Table Paragraph"/>
    <w:basedOn w:val="1"/>
    <w:unhideWhenUsed/>
    <w:qFormat/>
    <w:uiPriority w:val="1"/>
    <w:pPr>
      <w:jc w:val="center"/>
    </w:pPr>
    <w:rPr>
      <w:rFonts w:hint="eastAsia"/>
      <w:sz w:val="24"/>
    </w:rPr>
  </w:style>
  <w:style w:type="paragraph" w:customStyle="1" w:styleId="129">
    <w:name w:val="空半行"/>
    <w:basedOn w:val="1"/>
    <w:qFormat/>
    <w:uiPriority w:val="99"/>
    <w:pPr>
      <w:adjustRightInd w:val="0"/>
      <w:spacing w:line="120" w:lineRule="exact"/>
      <w:textAlignment w:val="baseline"/>
    </w:pPr>
    <w:rPr>
      <w:rFonts w:eastAsia="仿宋_GB2312"/>
      <w:color w:val="FFFFFF"/>
      <w:kern w:val="0"/>
      <w:sz w:val="30"/>
      <w:szCs w:val="20"/>
    </w:rPr>
  </w:style>
  <w:style w:type="paragraph" w:customStyle="1" w:styleId="130">
    <w:name w:val="正文_2"/>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131">
    <w:name w:val="正文11"/>
    <w:basedOn w:val="1"/>
    <w:qFormat/>
    <w:uiPriority w:val="99"/>
    <w:pPr>
      <w:widowControl/>
      <w:autoSpaceDE w:val="0"/>
      <w:autoSpaceDN w:val="0"/>
      <w:adjustRightInd w:val="0"/>
      <w:spacing w:line="440" w:lineRule="exact"/>
      <w:ind w:firstLine="364" w:firstLineChars="157"/>
      <w:jc w:val="left"/>
    </w:pPr>
    <w:rPr>
      <w:rFonts w:ascii="仿宋_GB2312" w:hAnsi="宋体" w:eastAsia="仿宋_GB2312"/>
      <w:spacing w:val="-4"/>
      <w:kern w:val="0"/>
      <w:sz w:val="24"/>
      <w:u w:val="single"/>
    </w:rPr>
  </w:style>
  <w:style w:type="paragraph" w:customStyle="1" w:styleId="132">
    <w:name w:val="1"/>
    <w:basedOn w:val="1"/>
    <w:qFormat/>
    <w:uiPriority w:val="99"/>
  </w:style>
  <w:style w:type="paragraph" w:customStyle="1" w:styleId="133">
    <w:name w:val="样式2"/>
    <w:basedOn w:val="4"/>
    <w:qFormat/>
    <w:uiPriority w:val="99"/>
    <w:rPr>
      <w:i/>
    </w:rPr>
  </w:style>
  <w:style w:type="paragraph" w:customStyle="1" w:styleId="134">
    <w:name w:val="6'"/>
    <w:basedOn w:val="1"/>
    <w:qFormat/>
    <w:uiPriority w:val="99"/>
    <w:pPr>
      <w:autoSpaceDE w:val="0"/>
      <w:autoSpaceDN w:val="0"/>
      <w:adjustRightInd w:val="0"/>
      <w:snapToGrid w:val="0"/>
      <w:spacing w:line="320" w:lineRule="exact"/>
      <w:jc w:val="center"/>
      <w:textAlignment w:val="baseline"/>
    </w:pPr>
    <w:rPr>
      <w:spacing w:val="20"/>
      <w:kern w:val="28"/>
      <w:szCs w:val="20"/>
    </w:rPr>
  </w:style>
  <w:style w:type="paragraph" w:customStyle="1" w:styleId="135">
    <w:name w:val="通用标题5"/>
    <w:qFormat/>
    <w:uiPriority w:val="0"/>
    <w:pPr>
      <w:widowControl w:val="0"/>
      <w:tabs>
        <w:tab w:val="left" w:pos="1134"/>
      </w:tabs>
      <w:autoSpaceDE w:val="0"/>
      <w:autoSpaceDN w:val="0"/>
      <w:adjustRightInd w:val="0"/>
      <w:snapToGrid w:val="0"/>
      <w:spacing w:afterLines="50" w:line="360" w:lineRule="auto"/>
      <w:jc w:val="both"/>
    </w:pPr>
    <w:rPr>
      <w:rFonts w:ascii="宋体" w:hAnsi="宋体" w:eastAsia="宋体" w:cs="Times New Roman"/>
      <w:kern w:val="2"/>
      <w:sz w:val="24"/>
      <w:szCs w:val="21"/>
      <w:lang w:val="en-US" w:eastAsia="zh-CN" w:bidi="ar-SA"/>
    </w:rPr>
  </w:style>
  <w:style w:type="paragraph" w:customStyle="1" w:styleId="136">
    <w:name w:val="正文2"/>
    <w:qFormat/>
    <w:uiPriority w:val="99"/>
    <w:pPr>
      <w:widowControl w:val="0"/>
      <w:jc w:val="both"/>
    </w:pPr>
    <w:rPr>
      <w:rFonts w:ascii="Times New Roman" w:hAnsi="Times New Roman" w:eastAsia="宋体" w:cs="Times New Roman"/>
      <w:lang w:val="en-US" w:eastAsia="zh-CN" w:bidi="ar-SA"/>
    </w:rPr>
  </w:style>
  <w:style w:type="paragraph" w:styleId="137">
    <w:name w:val="No Spacing"/>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138">
    <w:name w:val="正文文本缩进 2_0"/>
    <w:basedOn w:val="139"/>
    <w:qFormat/>
    <w:uiPriority w:val="99"/>
    <w:pPr>
      <w:ind w:firstLine="680"/>
    </w:pPr>
    <w:rPr>
      <w:rFonts w:ascii="仿宋_GB2312"/>
      <w:kern w:val="0"/>
      <w:sz w:val="30"/>
      <w:szCs w:val="20"/>
    </w:rPr>
  </w:style>
  <w:style w:type="paragraph" w:customStyle="1" w:styleId="139">
    <w:name w:val="正文_1_0_0"/>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40">
    <w:name w:val="样式 标题 2 + Times New Roman 四号 非加粗 段前: 5 磅 段后: 0 磅 行距: 固定值 20..."/>
    <w:basedOn w:val="3"/>
    <w:qFormat/>
    <w:uiPriority w:val="99"/>
    <w:pPr>
      <w:spacing w:before="100" w:after="0" w:line="400" w:lineRule="exact"/>
    </w:pPr>
    <w:rPr>
      <w:rFonts w:ascii="Times New Roman" w:hAnsi="Times New Roman" w:cs="宋体"/>
      <w:b w:val="0"/>
      <w:sz w:val="28"/>
    </w:rPr>
  </w:style>
  <w:style w:type="paragraph" w:customStyle="1" w:styleId="141">
    <w:name w:val="样式3"/>
    <w:next w:val="1"/>
    <w:qFormat/>
    <w:uiPriority w:val="0"/>
    <w:rPr>
      <w:rFonts w:ascii="Times New Roman" w:hAnsi="Times New Roman" w:eastAsia="宋体" w:cs="Times New Roman"/>
      <w:bCs/>
      <w:kern w:val="2"/>
      <w:sz w:val="24"/>
      <w:szCs w:val="24"/>
      <w:lang w:val="en-US" w:eastAsia="zh-CN" w:bidi="ar-SA"/>
    </w:rPr>
  </w:style>
  <w:style w:type="paragraph" w:customStyle="1" w:styleId="142">
    <w:name w:val="正文_0"/>
    <w:qFormat/>
    <w:uiPriority w:val="0"/>
    <w:pPr>
      <w:widowControl w:val="0"/>
      <w:jc w:val="both"/>
    </w:pPr>
    <w:rPr>
      <w:rFonts w:ascii="Times New Roman" w:hAnsi="Times New Roman" w:eastAsia="宋体" w:cs="Times New Roman"/>
      <w:lang w:val="en-US" w:eastAsia="zh-CN" w:bidi="ar-SA"/>
    </w:rPr>
  </w:style>
  <w:style w:type="paragraph" w:customStyle="1" w:styleId="143">
    <w:name w:val="正文一"/>
    <w:basedOn w:val="1"/>
    <w:qFormat/>
    <w:uiPriority w:val="99"/>
    <w:pPr>
      <w:adjustRightInd w:val="0"/>
      <w:snapToGrid w:val="0"/>
      <w:spacing w:line="360" w:lineRule="auto"/>
      <w:ind w:firstLine="200" w:firstLineChars="200"/>
    </w:pPr>
    <w:rPr>
      <w:sz w:val="28"/>
      <w:szCs w:val="22"/>
    </w:rPr>
  </w:style>
  <w:style w:type="paragraph" w:customStyle="1" w:styleId="144">
    <w:name w:val="样式 标题 3 + (中文) 黑体 小四 非加粗 段前: 7.8 磅 段后: 0 磅 行距: 固定值 20 磅"/>
    <w:basedOn w:val="4"/>
    <w:qFormat/>
    <w:uiPriority w:val="0"/>
    <w:pPr>
      <w:spacing w:before="0" w:after="0" w:line="400" w:lineRule="exact"/>
    </w:pPr>
    <w:rPr>
      <w:rFonts w:cs="宋体"/>
      <w:sz w:val="24"/>
    </w:rPr>
  </w:style>
  <w:style w:type="paragraph" w:customStyle="1" w:styleId="145">
    <w:name w:val="Char1"/>
    <w:basedOn w:val="1"/>
    <w:qFormat/>
    <w:uiPriority w:val="99"/>
    <w:pPr>
      <w:tabs>
        <w:tab w:val="left" w:pos="360"/>
      </w:tabs>
    </w:pPr>
    <w:rPr>
      <w:sz w:val="24"/>
    </w:rPr>
  </w:style>
  <w:style w:type="paragraph" w:customStyle="1" w:styleId="146">
    <w:name w:val="小标题"/>
    <w:qFormat/>
    <w:uiPriority w:val="0"/>
    <w:pPr>
      <w:tabs>
        <w:tab w:val="left" w:pos="993"/>
      </w:tabs>
      <w:adjustRightInd w:val="0"/>
      <w:snapToGrid w:val="0"/>
    </w:pPr>
    <w:rPr>
      <w:rFonts w:ascii="Times New Roman" w:hAnsi="Times New Roman" w:eastAsia="宋体" w:cs="Times New Roman"/>
      <w:bCs/>
      <w:kern w:val="2"/>
      <w:sz w:val="24"/>
      <w:szCs w:val="22"/>
      <w:lang w:val="en-US" w:eastAsia="zh-CN" w:bidi="ar-SA"/>
    </w:rPr>
  </w:style>
  <w:style w:type="paragraph" w:customStyle="1" w:styleId="147">
    <w:name w:val="表格"/>
    <w:basedOn w:val="1"/>
    <w:qFormat/>
    <w:uiPriority w:val="99"/>
    <w:pPr>
      <w:jc w:val="center"/>
      <w:textAlignment w:val="center"/>
    </w:pPr>
    <w:rPr>
      <w:rFonts w:ascii="华文细黑" w:hAnsi="华文细黑"/>
      <w:kern w:val="0"/>
      <w:szCs w:val="20"/>
    </w:rPr>
  </w:style>
  <w:style w:type="paragraph" w:customStyle="1" w:styleId="148">
    <w:name w:val="专用标题3"/>
    <w:basedOn w:val="4"/>
    <w:qFormat/>
    <w:uiPriority w:val="0"/>
    <w:pPr>
      <w:widowControl/>
      <w:tabs>
        <w:tab w:val="left" w:pos="312"/>
      </w:tabs>
      <w:wordWrap w:val="0"/>
      <w:topLinePunct/>
      <w:adjustRightInd w:val="0"/>
      <w:snapToGrid w:val="0"/>
      <w:spacing w:before="0" w:afterLines="50" w:line="360" w:lineRule="auto"/>
      <w:ind w:firstLine="0" w:firstLineChars="0"/>
      <w:jc w:val="left"/>
    </w:pPr>
    <w:rPr>
      <w:rFonts w:ascii="宋体" w:eastAsia="宋体"/>
      <w:b/>
      <w:kern w:val="0"/>
      <w:sz w:val="24"/>
    </w:rPr>
  </w:style>
  <w:style w:type="paragraph" w:customStyle="1" w:styleId="149">
    <w:name w:val="Normal_0"/>
    <w:qFormat/>
    <w:uiPriority w:val="99"/>
    <w:pPr>
      <w:widowControl w:val="0"/>
      <w:jc w:val="both"/>
    </w:pPr>
    <w:rPr>
      <w:rFonts w:ascii="Times New Roman" w:hAnsi="Times New Roman" w:eastAsia="宋体" w:cs="Times New Roman"/>
      <w:lang w:val="en-US" w:eastAsia="zh-CN" w:bidi="ar-SA"/>
    </w:rPr>
  </w:style>
  <w:style w:type="paragraph" w:customStyle="1" w:styleId="150">
    <w:name w:val="表格文字"/>
    <w:basedOn w:val="1"/>
    <w:qFormat/>
    <w:uiPriority w:val="99"/>
    <w:pPr>
      <w:adjustRightInd w:val="0"/>
      <w:spacing w:line="420" w:lineRule="atLeast"/>
      <w:jc w:val="left"/>
      <w:textAlignment w:val="baseline"/>
    </w:pPr>
    <w:rPr>
      <w:kern w:val="0"/>
      <w:szCs w:val="20"/>
    </w:rPr>
  </w:style>
  <w:style w:type="paragraph" w:customStyle="1" w:styleId="151">
    <w:name w:val="flNote"/>
    <w:basedOn w:val="1"/>
    <w:qFormat/>
    <w:uiPriority w:val="99"/>
    <w:pPr>
      <w:adjustRightInd w:val="0"/>
      <w:spacing w:before="320" w:after="160" w:line="360" w:lineRule="atLeast"/>
      <w:jc w:val="center"/>
      <w:textAlignment w:val="baseline"/>
    </w:pPr>
    <w:rPr>
      <w:rFonts w:ascii="Arial" w:eastAsia="黑体"/>
      <w:kern w:val="0"/>
      <w:sz w:val="30"/>
      <w:szCs w:val="20"/>
    </w:rPr>
  </w:style>
  <w:style w:type="paragraph" w:customStyle="1" w:styleId="152">
    <w:name w:val="Char"/>
    <w:basedOn w:val="1"/>
    <w:qFormat/>
    <w:uiPriority w:val="99"/>
    <w:pPr>
      <w:tabs>
        <w:tab w:val="left" w:pos="360"/>
      </w:tabs>
    </w:pPr>
    <w:rPr>
      <w:sz w:val="24"/>
    </w:rPr>
  </w:style>
  <w:style w:type="paragraph" w:customStyle="1" w:styleId="153">
    <w:name w:val="通用标题4"/>
    <w:next w:val="1"/>
    <w:qFormat/>
    <w:uiPriority w:val="0"/>
    <w:pPr>
      <w:tabs>
        <w:tab w:val="left" w:pos="851"/>
      </w:tabs>
      <w:adjustRightInd w:val="0"/>
      <w:snapToGrid w:val="0"/>
      <w:spacing w:afterLines="50" w:line="360" w:lineRule="auto"/>
      <w:jc w:val="both"/>
      <w:outlineLvl w:val="3"/>
    </w:pPr>
    <w:rPr>
      <w:rFonts w:ascii="宋体" w:hAnsi="宋体" w:eastAsia="宋体" w:cs="Times New Roman"/>
      <w:kern w:val="2"/>
      <w:sz w:val="24"/>
      <w:szCs w:val="21"/>
      <w:lang w:val="en-US" w:eastAsia="zh-CN" w:bidi="ar-SA"/>
    </w:rPr>
  </w:style>
  <w:style w:type="paragraph" w:customStyle="1" w:styleId="154">
    <w:name w:val="Title 5"/>
    <w:next w:val="155"/>
    <w:qFormat/>
    <w:uiPriority w:val="0"/>
    <w:pPr>
      <w:numPr>
        <w:ilvl w:val="0"/>
        <w:numId w:val="1"/>
      </w:numPr>
      <w:ind w:left="1701" w:hanging="426"/>
      <w:jc w:val="both"/>
    </w:pPr>
    <w:rPr>
      <w:rFonts w:ascii="Times New Roman" w:hAnsi="Times New Roman" w:eastAsia="宋体" w:cs="Times New Roman"/>
      <w:kern w:val="2"/>
      <w:sz w:val="24"/>
      <w:szCs w:val="24"/>
      <w:lang w:val="en-US" w:eastAsia="zh-CN" w:bidi="ar-SA"/>
    </w:rPr>
  </w:style>
  <w:style w:type="paragraph" w:customStyle="1" w:styleId="155">
    <w:name w:val="Title 5 Chinese"/>
    <w:qFormat/>
    <w:uiPriority w:val="0"/>
    <w:pPr>
      <w:ind w:left="1701"/>
    </w:pPr>
    <w:rPr>
      <w:rFonts w:ascii="Times New Roman" w:hAnsi="Times New Roman" w:eastAsia="宋体" w:cs="Times New Roman"/>
      <w:kern w:val="2"/>
      <w:sz w:val="24"/>
      <w:szCs w:val="24"/>
      <w:lang w:val="en-US" w:eastAsia="zh-CN" w:bidi="ar-SA"/>
    </w:rPr>
  </w:style>
  <w:style w:type="paragraph" w:customStyle="1" w:styleId="156">
    <w:name w:val="专用标题2"/>
    <w:basedOn w:val="3"/>
    <w:next w:val="1"/>
    <w:qFormat/>
    <w:uiPriority w:val="0"/>
    <w:pPr>
      <w:keepNext w:val="0"/>
      <w:keepLines w:val="0"/>
      <w:widowControl/>
      <w:tabs>
        <w:tab w:val="left" w:pos="993"/>
      </w:tabs>
      <w:adjustRightInd w:val="0"/>
      <w:snapToGrid w:val="0"/>
      <w:spacing w:before="0" w:afterLines="50" w:line="360" w:lineRule="auto"/>
    </w:pPr>
    <w:rPr>
      <w:rFonts w:ascii="宋体" w:hAnsi="宋体" w:eastAsia="宋体" w:cs="Times"/>
      <w:kern w:val="0"/>
      <w:sz w:val="28"/>
    </w:rPr>
  </w:style>
  <w:style w:type="paragraph" w:customStyle="1" w:styleId="157">
    <w:name w:val="修订1"/>
    <w:qFormat/>
    <w:uiPriority w:val="99"/>
    <w:rPr>
      <w:rFonts w:ascii="Times New Roman" w:hAnsi="Times New Roman" w:eastAsia="宋体" w:cs="Times New Roman"/>
      <w:kern w:val="2"/>
      <w:sz w:val="21"/>
      <w:szCs w:val="24"/>
      <w:lang w:val="en-US" w:eastAsia="zh-CN" w:bidi="ar-SA"/>
    </w:rPr>
  </w:style>
  <w:style w:type="paragraph" w:styleId="158">
    <w:name w:val="List Paragraph"/>
    <w:basedOn w:val="1"/>
    <w:qFormat/>
    <w:uiPriority w:val="34"/>
    <w:pPr>
      <w:ind w:firstLine="420" w:firstLineChars="200"/>
    </w:pPr>
    <w:rPr>
      <w:rFonts w:ascii="Calibri" w:hAnsi="Calibri"/>
      <w:szCs w:val="22"/>
    </w:rPr>
  </w:style>
  <w:style w:type="paragraph" w:customStyle="1" w:styleId="159">
    <w:name w:val="Revision1"/>
    <w:qFormat/>
    <w:uiPriority w:val="99"/>
    <w:rPr>
      <w:rFonts w:ascii="Times New Roman" w:hAnsi="Times New Roman" w:eastAsia="宋体" w:cs="Times New Roman"/>
      <w:kern w:val="2"/>
      <w:sz w:val="21"/>
      <w:szCs w:val="24"/>
      <w:lang w:val="en-US" w:eastAsia="zh-CN" w:bidi="ar-SA"/>
    </w:rPr>
  </w:style>
  <w:style w:type="paragraph" w:customStyle="1" w:styleId="160">
    <w:name w:val="协议书标题2"/>
    <w:basedOn w:val="3"/>
    <w:next w:val="1"/>
    <w:qFormat/>
    <w:uiPriority w:val="0"/>
    <w:pPr>
      <w:keepNext w:val="0"/>
      <w:keepLines w:val="0"/>
      <w:widowControl/>
      <w:numPr>
        <w:ilvl w:val="0"/>
        <w:numId w:val="2"/>
      </w:numPr>
      <w:tabs>
        <w:tab w:val="left" w:pos="567"/>
      </w:tabs>
      <w:wordWrap w:val="0"/>
      <w:topLinePunct/>
      <w:adjustRightInd w:val="0"/>
      <w:snapToGrid w:val="0"/>
      <w:spacing w:before="0" w:afterLines="50" w:line="360" w:lineRule="auto"/>
      <w:jc w:val="left"/>
    </w:pPr>
    <w:rPr>
      <w:rFonts w:ascii="宋体" w:hAnsi="宋体" w:eastAsia="宋体"/>
      <w:kern w:val="0"/>
      <w:sz w:val="24"/>
    </w:rPr>
  </w:style>
  <w:style w:type="paragraph" w:customStyle="1" w:styleId="161">
    <w:name w:val="专用标题4"/>
    <w:basedOn w:val="5"/>
    <w:next w:val="1"/>
    <w:qFormat/>
    <w:uiPriority w:val="0"/>
    <w:pPr>
      <w:widowControl/>
      <w:tabs>
        <w:tab w:val="left" w:pos="312"/>
      </w:tabs>
      <w:adjustRightInd w:val="0"/>
      <w:snapToGrid w:val="0"/>
      <w:spacing w:before="0" w:after="0" w:line="240" w:lineRule="auto"/>
      <w:jc w:val="left"/>
    </w:pPr>
    <w:rPr>
      <w:rFonts w:eastAsia="宋体"/>
      <w:b w:val="0"/>
      <w:szCs w:val="22"/>
    </w:rPr>
  </w:style>
  <w:style w:type="paragraph" w:customStyle="1" w:styleId="162">
    <w:name w:val="LIST ALPHA CAPS 3"/>
    <w:basedOn w:val="1"/>
    <w:next w:val="16"/>
    <w:qFormat/>
    <w:uiPriority w:val="0"/>
    <w:pPr>
      <w:widowControl/>
      <w:numPr>
        <w:ilvl w:val="2"/>
        <w:numId w:val="3"/>
      </w:numPr>
      <w:tabs>
        <w:tab w:val="left" w:pos="68"/>
        <w:tab w:val="left" w:pos="1928"/>
      </w:tabs>
      <w:wordWrap w:val="0"/>
      <w:topLinePunct/>
      <w:adjustRightInd w:val="0"/>
      <w:snapToGrid w:val="0"/>
      <w:spacing w:afterLines="50" w:line="288" w:lineRule="auto"/>
      <w:ind w:firstLine="200" w:firstLineChars="200"/>
    </w:pPr>
    <w:rPr>
      <w:rFonts w:ascii="CG Times" w:hAnsi="CG Times"/>
      <w:kern w:val="0"/>
      <w:sz w:val="22"/>
      <w:szCs w:val="20"/>
      <w:lang w:val="en-GB"/>
    </w:rPr>
  </w:style>
  <w:style w:type="paragraph" w:customStyle="1" w:styleId="163">
    <w:name w:val="Title 4"/>
    <w:next w:val="126"/>
    <w:qFormat/>
    <w:uiPriority w:val="0"/>
    <w:pPr>
      <w:ind w:left="1276" w:hanging="562"/>
      <w:jc w:val="both"/>
    </w:pPr>
    <w:rPr>
      <w:rFonts w:ascii="Times New Roman" w:hAnsi="Times New Roman" w:eastAsia="宋体" w:cs="Times New Roman"/>
      <w:kern w:val="2"/>
      <w:sz w:val="24"/>
      <w:szCs w:val="24"/>
      <w:lang w:val="en-US" w:eastAsia="zh-CN" w:bidi="ar-SA"/>
    </w:rPr>
  </w:style>
  <w:style w:type="paragraph" w:customStyle="1" w:styleId="164">
    <w:name w:val="List ALPHA CAPS 1"/>
    <w:basedOn w:val="1"/>
    <w:next w:val="17"/>
    <w:qFormat/>
    <w:uiPriority w:val="0"/>
    <w:pPr>
      <w:widowControl/>
      <w:numPr>
        <w:ilvl w:val="0"/>
        <w:numId w:val="3"/>
      </w:numPr>
      <w:tabs>
        <w:tab w:val="left" w:pos="22"/>
        <w:tab w:val="left" w:pos="624"/>
      </w:tabs>
      <w:wordWrap w:val="0"/>
      <w:topLinePunct/>
      <w:adjustRightInd w:val="0"/>
      <w:snapToGrid w:val="0"/>
      <w:spacing w:afterLines="50" w:line="288" w:lineRule="auto"/>
      <w:ind w:firstLine="200" w:firstLineChars="200"/>
    </w:pPr>
    <w:rPr>
      <w:rFonts w:ascii="CG Times" w:hAnsi="CG Times"/>
      <w:kern w:val="0"/>
      <w:sz w:val="22"/>
      <w:szCs w:val="20"/>
      <w:lang w:val="en-GB"/>
    </w:rPr>
  </w:style>
  <w:style w:type="paragraph" w:customStyle="1" w:styleId="165">
    <w:name w:val="Char Char Char Char Char Char Char Char Char Char Char Char Char"/>
    <w:basedOn w:val="1"/>
    <w:qFormat/>
    <w:uiPriority w:val="0"/>
    <w:rPr>
      <w:rFonts w:ascii="宋体" w:hAnsi="宋体"/>
      <w:sz w:val="24"/>
    </w:rPr>
  </w:style>
  <w:style w:type="paragraph" w:customStyle="1" w:styleId="166">
    <w:name w:val="缩进2中"/>
    <w:qFormat/>
    <w:uiPriority w:val="0"/>
    <w:pPr>
      <w:ind w:left="708" w:leftChars="295"/>
      <w:jc w:val="both"/>
    </w:pPr>
    <w:rPr>
      <w:rFonts w:ascii="Times" w:hAnsi="Times" w:eastAsia="宋体" w:cs="Times New Roman"/>
      <w:kern w:val="2"/>
      <w:sz w:val="24"/>
      <w:szCs w:val="22"/>
      <w:lang w:val="en-US" w:eastAsia="zh-CN" w:bidi="ar-SA"/>
    </w:rPr>
  </w:style>
  <w:style w:type="paragraph" w:customStyle="1" w:styleId="167">
    <w:name w:val="通用标题3"/>
    <w:next w:val="1"/>
    <w:qFormat/>
    <w:uiPriority w:val="0"/>
    <w:pPr>
      <w:widowControl w:val="0"/>
      <w:tabs>
        <w:tab w:val="left" w:pos="851"/>
      </w:tabs>
      <w:adjustRightInd w:val="0"/>
      <w:snapToGrid w:val="0"/>
      <w:spacing w:afterLines="50" w:line="360" w:lineRule="auto"/>
      <w:jc w:val="both"/>
      <w:outlineLvl w:val="2"/>
    </w:pPr>
    <w:rPr>
      <w:rFonts w:ascii="黑体" w:hAnsi="黑体" w:eastAsia="黑体" w:cs="Times New Roman"/>
      <w:b/>
      <w:kern w:val="2"/>
      <w:sz w:val="24"/>
      <w:szCs w:val="24"/>
      <w:lang w:val="en-US" w:eastAsia="zh-CN" w:bidi="ar-SA"/>
    </w:rPr>
  </w:style>
  <w:style w:type="paragraph" w:customStyle="1" w:styleId="168">
    <w:name w:val="通用标题6"/>
    <w:basedOn w:val="1"/>
    <w:qFormat/>
    <w:uiPriority w:val="0"/>
    <w:pPr>
      <w:widowControl/>
      <w:numPr>
        <w:ilvl w:val="4"/>
        <w:numId w:val="4"/>
      </w:numPr>
      <w:tabs>
        <w:tab w:val="left" w:pos="993"/>
      </w:tabs>
      <w:adjustRightInd w:val="0"/>
      <w:snapToGrid w:val="0"/>
      <w:spacing w:afterLines="50" w:line="360" w:lineRule="auto"/>
      <w:ind w:firstLine="0"/>
    </w:pPr>
    <w:rPr>
      <w:rFonts w:ascii="宋体" w:hAnsi="宋体"/>
      <w:kern w:val="0"/>
      <w:sz w:val="24"/>
      <w:szCs w:val="20"/>
    </w:rPr>
  </w:style>
  <w:style w:type="paragraph" w:customStyle="1" w:styleId="169">
    <w:name w:val="TOC 标题2"/>
    <w:basedOn w:val="2"/>
    <w:next w:val="1"/>
    <w:link w:val="170"/>
    <w:qFormat/>
    <w:uiPriority w:val="0"/>
    <w:pPr>
      <w:spacing w:before="260" w:after="260" w:line="413" w:lineRule="auto"/>
      <w:jc w:val="center"/>
    </w:pPr>
    <w:rPr>
      <w:rFonts w:ascii="宋体" w:hAnsi="宋体"/>
      <w:b w:val="0"/>
      <w:bCs/>
      <w:kern w:val="0"/>
      <w:sz w:val="36"/>
      <w:szCs w:val="44"/>
      <w:lang w:val="zh-CN"/>
    </w:rPr>
  </w:style>
  <w:style w:type="character" w:customStyle="1" w:styleId="170">
    <w:name w:val="TOC 标题2 Char"/>
    <w:link w:val="169"/>
    <w:qFormat/>
    <w:uiPriority w:val="0"/>
    <w:rPr>
      <w:rFonts w:ascii="宋体" w:hAnsi="宋体"/>
      <w:bCs/>
      <w:sz w:val="36"/>
      <w:szCs w:val="44"/>
      <w:lang w:val="zh-CN"/>
    </w:rPr>
  </w:style>
  <w:style w:type="paragraph" w:customStyle="1" w:styleId="171">
    <w:name w:val="通用标题7"/>
    <w:basedOn w:val="1"/>
    <w:qFormat/>
    <w:uiPriority w:val="0"/>
    <w:pPr>
      <w:widowControl/>
      <w:numPr>
        <w:ilvl w:val="5"/>
        <w:numId w:val="5"/>
      </w:numPr>
      <w:wordWrap w:val="0"/>
      <w:topLinePunct/>
      <w:adjustRightInd w:val="0"/>
      <w:snapToGrid w:val="0"/>
      <w:spacing w:afterLines="50" w:line="360" w:lineRule="auto"/>
      <w:ind w:firstLine="200" w:firstLineChars="200"/>
    </w:pPr>
    <w:rPr>
      <w:rFonts w:ascii="宋体" w:hAnsi="宋体"/>
      <w:kern w:val="0"/>
      <w:sz w:val="24"/>
      <w:szCs w:val="20"/>
    </w:rPr>
  </w:style>
  <w:style w:type="paragraph" w:customStyle="1" w:styleId="172">
    <w:name w:val="through-content"/>
    <w:basedOn w:val="1"/>
    <w:qFormat/>
    <w:uiPriority w:val="0"/>
    <w:pPr>
      <w:widowControl/>
      <w:wordWrap w:val="0"/>
      <w:topLinePunct/>
      <w:spacing w:before="100" w:beforeAutospacing="1" w:after="100" w:afterAutospacing="1"/>
      <w:jc w:val="left"/>
    </w:pPr>
    <w:rPr>
      <w:rFonts w:ascii="宋体" w:hAnsi="宋体" w:cs="宋体"/>
      <w:kern w:val="0"/>
      <w:sz w:val="24"/>
      <w:szCs w:val="20"/>
    </w:rPr>
  </w:style>
  <w:style w:type="paragraph" w:customStyle="1" w:styleId="173">
    <w:name w:val="附件标题"/>
    <w:basedOn w:val="3"/>
    <w:next w:val="1"/>
    <w:qFormat/>
    <w:uiPriority w:val="0"/>
    <w:pPr>
      <w:widowControl/>
      <w:numPr>
        <w:ilvl w:val="0"/>
        <w:numId w:val="6"/>
      </w:numPr>
      <w:tabs>
        <w:tab w:val="left" w:pos="1134"/>
      </w:tabs>
      <w:wordWrap w:val="0"/>
      <w:topLinePunct/>
      <w:adjustRightInd w:val="0"/>
      <w:snapToGrid w:val="0"/>
      <w:spacing w:before="0" w:afterLines="50" w:line="360" w:lineRule="auto"/>
      <w:ind w:firstLine="0"/>
      <w:jc w:val="center"/>
    </w:pPr>
    <w:rPr>
      <w:rFonts w:ascii="黑体" w:hAnsi="黑体"/>
      <w:kern w:val="0"/>
      <w:sz w:val="30"/>
      <w:szCs w:val="30"/>
    </w:rPr>
  </w:style>
  <w:style w:type="paragraph" w:customStyle="1" w:styleId="174">
    <w:name w:val="LIST ALPHA CAPS 2"/>
    <w:basedOn w:val="1"/>
    <w:next w:val="35"/>
    <w:qFormat/>
    <w:uiPriority w:val="0"/>
    <w:pPr>
      <w:widowControl/>
      <w:numPr>
        <w:ilvl w:val="1"/>
        <w:numId w:val="3"/>
      </w:numPr>
      <w:tabs>
        <w:tab w:val="left" w:pos="50"/>
        <w:tab w:val="left" w:pos="1417"/>
      </w:tabs>
      <w:wordWrap w:val="0"/>
      <w:topLinePunct/>
      <w:adjustRightInd w:val="0"/>
      <w:snapToGrid w:val="0"/>
      <w:spacing w:afterLines="50" w:line="288" w:lineRule="auto"/>
      <w:ind w:firstLine="200" w:firstLineChars="200"/>
    </w:pPr>
    <w:rPr>
      <w:rFonts w:ascii="CG Times" w:hAnsi="CG Times"/>
      <w:kern w:val="0"/>
      <w:sz w:val="22"/>
      <w:szCs w:val="20"/>
      <w:lang w:val="en-GB"/>
    </w:rPr>
  </w:style>
  <w:style w:type="paragraph" w:customStyle="1" w:styleId="175">
    <w:name w:val="TOC 标题1"/>
    <w:basedOn w:val="2"/>
    <w:next w:val="1"/>
    <w:unhideWhenUsed/>
    <w:qFormat/>
    <w:uiPriority w:val="39"/>
    <w:pPr>
      <w:keepNext w:val="0"/>
      <w:keepLines w:val="0"/>
      <w:widowControl/>
      <w:adjustRightInd w:val="0"/>
      <w:snapToGrid w:val="0"/>
      <w:spacing w:before="240" w:after="0" w:line="259" w:lineRule="auto"/>
      <w:jc w:val="left"/>
      <w:outlineLvl w:val="9"/>
    </w:pPr>
    <w:rPr>
      <w:rFonts w:ascii="Calibri Light" w:hAnsi="Calibri Light"/>
      <w:b w:val="0"/>
      <w:color w:val="2E75B5"/>
      <w:kern w:val="0"/>
      <w:sz w:val="32"/>
      <w:szCs w:val="32"/>
    </w:rPr>
  </w:style>
  <w:style w:type="paragraph" w:customStyle="1" w:styleId="176">
    <w:name w:val="样式8"/>
    <w:basedOn w:val="1"/>
    <w:qFormat/>
    <w:uiPriority w:val="0"/>
    <w:pPr>
      <w:widowControl/>
      <w:wordWrap w:val="0"/>
      <w:topLinePunct/>
      <w:autoSpaceDE w:val="0"/>
      <w:autoSpaceDN w:val="0"/>
      <w:adjustRightInd w:val="0"/>
      <w:ind w:left="1274" w:leftChars="531" w:firstLine="2"/>
    </w:pPr>
    <w:rPr>
      <w:rFonts w:ascii="宋体" w:hAnsi="宋体"/>
      <w:bCs/>
      <w:kern w:val="0"/>
      <w:sz w:val="24"/>
      <w:szCs w:val="20"/>
    </w:rPr>
  </w:style>
  <w:style w:type="paragraph" w:customStyle="1" w:styleId="177">
    <w:name w:val="table"/>
    <w:qFormat/>
    <w:uiPriority w:val="0"/>
    <w:pPr>
      <w:framePr w:hSpace="180" w:wrap="around" w:vAnchor="text" w:hAnchor="margin" w:y="1418"/>
      <w:adjustRightInd w:val="0"/>
      <w:snapToGrid w:val="0"/>
    </w:pPr>
    <w:rPr>
      <w:rFonts w:ascii="宋体" w:hAnsi="Calibri" w:eastAsia="宋体" w:cs="Times New Roman"/>
      <w:kern w:val="2"/>
      <w:sz w:val="24"/>
      <w:szCs w:val="22"/>
      <w:lang w:val="en-US" w:eastAsia="zh-CN" w:bidi="ar-SA"/>
    </w:rPr>
  </w:style>
  <w:style w:type="paragraph" w:customStyle="1" w:styleId="178">
    <w:name w:val="通用标题2"/>
    <w:basedOn w:val="3"/>
    <w:next w:val="1"/>
    <w:qFormat/>
    <w:uiPriority w:val="0"/>
    <w:pPr>
      <w:keepNext w:val="0"/>
      <w:keepLines w:val="0"/>
      <w:widowControl/>
      <w:numPr>
        <w:ilvl w:val="0"/>
        <w:numId w:val="5"/>
      </w:numPr>
      <w:tabs>
        <w:tab w:val="left" w:pos="993"/>
      </w:tabs>
      <w:wordWrap w:val="0"/>
      <w:topLinePunct/>
      <w:adjustRightInd w:val="0"/>
      <w:snapToGrid w:val="0"/>
      <w:spacing w:before="0" w:afterLines="50" w:line="360" w:lineRule="auto"/>
    </w:pPr>
    <w:rPr>
      <w:rFonts w:ascii="黑体" w:hAnsi="黑体"/>
      <w:kern w:val="0"/>
      <w:sz w:val="28"/>
    </w:rPr>
  </w:style>
  <w:style w:type="paragraph" w:customStyle="1" w:styleId="179">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80">
    <w:name w:val="Main Title"/>
    <w:next w:val="1"/>
    <w:qFormat/>
    <w:uiPriority w:val="0"/>
    <w:pPr>
      <w:adjustRightInd w:val="0"/>
      <w:snapToGrid w:val="0"/>
      <w:spacing w:afterLines="50" w:line="360" w:lineRule="auto"/>
      <w:jc w:val="center"/>
    </w:pPr>
    <w:rPr>
      <w:rFonts w:ascii="黑体" w:hAnsi="黑体" w:eastAsia="黑体" w:cs="Times New Roman"/>
      <w:b/>
      <w:kern w:val="2"/>
      <w:sz w:val="36"/>
      <w:szCs w:val="22"/>
      <w:lang w:val="zh-CN" w:eastAsia="zh-CN" w:bidi="ar-SA"/>
    </w:rPr>
  </w:style>
  <w:style w:type="paragraph" w:customStyle="1" w:styleId="181">
    <w:name w:val="附件标题1"/>
    <w:next w:val="1"/>
    <w:qFormat/>
    <w:uiPriority w:val="0"/>
    <w:pPr>
      <w:numPr>
        <w:ilvl w:val="0"/>
        <w:numId w:val="7"/>
      </w:numPr>
      <w:tabs>
        <w:tab w:val="left" w:pos="567"/>
      </w:tabs>
      <w:adjustRightInd w:val="0"/>
      <w:snapToGrid w:val="0"/>
      <w:spacing w:afterLines="50" w:line="312" w:lineRule="auto"/>
    </w:pPr>
    <w:rPr>
      <w:rFonts w:ascii="黑体" w:hAnsi="黑体" w:eastAsia="黑体" w:cs="Times New Roman"/>
      <w:b/>
      <w:kern w:val="2"/>
      <w:sz w:val="24"/>
      <w:szCs w:val="24"/>
      <w:lang w:val="en-US" w:eastAsia="zh-CN" w:bidi="ar-SA"/>
    </w:rPr>
  </w:style>
  <w:style w:type="table" w:customStyle="1" w:styleId="182">
    <w:name w:val="网格型1"/>
    <w:basedOn w:val="42"/>
    <w:qFormat/>
    <w:uiPriority w:val="39"/>
    <w:rPr>
      <w:rFonts w:eastAsia="Times New Roman"/>
      <w:kern w:val="2"/>
      <w:sz w:val="21"/>
      <w:szCs w:val="21"/>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83">
    <w:name w:val="TableGrid"/>
    <w:qFormat/>
    <w:uiPriority w:val="0"/>
    <w:rPr>
      <w:rFonts w:ascii="Times New Roman" w:hAnsi="Times New Roman"/>
    </w:rPr>
    <w:tblPr>
      <w:tblCellMar>
        <w:top w:w="0" w:type="dxa"/>
        <w:left w:w="0" w:type="dxa"/>
        <w:bottom w:w="0" w:type="dxa"/>
        <w:right w:w="0" w:type="dxa"/>
      </w:tblCellMar>
    </w:tblPr>
  </w:style>
  <w:style w:type="paragraph" w:customStyle="1" w:styleId="184">
    <w:name w:val="段"/>
    <w:next w:val="1"/>
    <w:qFormat/>
    <w:uiPriority w:val="99"/>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paragraph" w:customStyle="1" w:styleId="185">
    <w:name w:val="Table Text"/>
    <w:basedOn w:val="1"/>
    <w:semiHidden/>
    <w:qFormat/>
    <w:uiPriority w:val="0"/>
    <w:rPr>
      <w:rFonts w:ascii="宋体" w:hAnsi="宋体" w:cs="宋体"/>
      <w:szCs w:val="21"/>
      <w:lang w:eastAsia="en-US"/>
    </w:rPr>
  </w:style>
  <w:style w:type="table" w:customStyle="1" w:styleId="186">
    <w:name w:val="Table Normal"/>
    <w:semiHidden/>
    <w:unhideWhenUsed/>
    <w:qFormat/>
    <w:uiPriority w:val="0"/>
    <w:tblPr>
      <w:tblCellMar>
        <w:top w:w="0" w:type="dxa"/>
        <w:left w:w="0" w:type="dxa"/>
        <w:bottom w:w="0" w:type="dxa"/>
        <w:right w:w="0" w:type="dxa"/>
      </w:tblCellMar>
    </w:tblPr>
  </w:style>
  <w:style w:type="paragraph" w:customStyle="1" w:styleId="187">
    <w:name w:val="Normal_1"/>
    <w:next w:val="119"/>
    <w:qFormat/>
    <w:uiPriority w:val="0"/>
    <w:pPr>
      <w:widowControl w:val="0"/>
      <w:jc w:val="both"/>
    </w:pPr>
    <w:rPr>
      <w:rFonts w:ascii="宋体" w:hAnsi="宋体" w:eastAsia="宋体" w:cs="宋体"/>
      <w:kern w:val="2"/>
      <w:sz w:val="26"/>
      <w:szCs w:val="24"/>
      <w:lang w:val="en-US" w:eastAsia="zh-CN" w:bidi="ar-SA"/>
    </w:rPr>
  </w:style>
  <w:style w:type="character" w:customStyle="1" w:styleId="188">
    <w:name w:val="font21"/>
    <w:basedOn w:val="44"/>
    <w:qFormat/>
    <w:uiPriority w:val="0"/>
    <w:rPr>
      <w:rFonts w:hint="eastAsia" w:ascii="宋体" w:hAnsi="宋体" w:eastAsia="宋体" w:cs="宋体"/>
      <w:color w:val="000000"/>
      <w:sz w:val="20"/>
      <w:szCs w:val="20"/>
      <w:u w:val="none"/>
    </w:rPr>
  </w:style>
  <w:style w:type="character" w:customStyle="1" w:styleId="189">
    <w:name w:val="font11"/>
    <w:basedOn w:val="44"/>
    <w:qFormat/>
    <w:uiPriority w:val="0"/>
    <w:rPr>
      <w:rFonts w:hint="eastAsia" w:ascii="宋体" w:hAnsi="宋体" w:eastAsia="宋体" w:cs="宋体"/>
      <w:b/>
      <w:bCs/>
      <w:color w:val="000000"/>
      <w:sz w:val="20"/>
      <w:szCs w:val="20"/>
      <w:u w:val="none"/>
    </w:rPr>
  </w:style>
  <w:style w:type="paragraph" w:customStyle="1" w:styleId="190">
    <w:name w:val="正文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191">
    <w:name w:val="Normal_5"/>
    <w:qFormat/>
    <w:uiPriority w:val="0"/>
    <w:rPr>
      <w:rFonts w:ascii="Times New Roman" w:hAnsi="Times New Roman" w:eastAsia="Times New Roman"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footer" Target="footer3.xml"/><Relationship Id="rId49" Type="http://schemas.openxmlformats.org/officeDocument/2006/relationships/image" Target="media/image3.png"/><Relationship Id="rId48" Type="http://schemas.openxmlformats.org/officeDocument/2006/relationships/image" Target="media/image2.png"/><Relationship Id="rId47" Type="http://schemas.openxmlformats.org/officeDocument/2006/relationships/image" Target="media/image1.png"/><Relationship Id="rId46" Type="http://schemas.openxmlformats.org/officeDocument/2006/relationships/theme" Target="theme/theme1.xml"/><Relationship Id="rId45" Type="http://schemas.openxmlformats.org/officeDocument/2006/relationships/header" Target="header5.xml"/><Relationship Id="rId44" Type="http://schemas.openxmlformats.org/officeDocument/2006/relationships/footer" Target="footer38.xml"/><Relationship Id="rId43" Type="http://schemas.openxmlformats.org/officeDocument/2006/relationships/footer" Target="footer37.xml"/><Relationship Id="rId42" Type="http://schemas.openxmlformats.org/officeDocument/2006/relationships/footer" Target="footer36.xml"/><Relationship Id="rId41" Type="http://schemas.openxmlformats.org/officeDocument/2006/relationships/footer" Target="footer35.xml"/><Relationship Id="rId40" Type="http://schemas.openxmlformats.org/officeDocument/2006/relationships/footer" Target="footer34.xml"/><Relationship Id="rId4" Type="http://schemas.openxmlformats.org/officeDocument/2006/relationships/footer" Target="footer2.xml"/><Relationship Id="rId39" Type="http://schemas.openxmlformats.org/officeDocument/2006/relationships/footer" Target="footer33.xml"/><Relationship Id="rId38" Type="http://schemas.openxmlformats.org/officeDocument/2006/relationships/header" Target="header4.xml"/><Relationship Id="rId37" Type="http://schemas.openxmlformats.org/officeDocument/2006/relationships/footer" Target="footer32.xml"/><Relationship Id="rId36" Type="http://schemas.openxmlformats.org/officeDocument/2006/relationships/header" Target="header3.xml"/><Relationship Id="rId35" Type="http://schemas.openxmlformats.org/officeDocument/2006/relationships/footer" Target="footer31.xml"/><Relationship Id="rId34" Type="http://schemas.openxmlformats.org/officeDocument/2006/relationships/header" Target="header2.xml"/><Relationship Id="rId33" Type="http://schemas.openxmlformats.org/officeDocument/2006/relationships/footer" Target="footer30.xml"/><Relationship Id="rId32" Type="http://schemas.openxmlformats.org/officeDocument/2006/relationships/footer" Target="footer29.xml"/><Relationship Id="rId31" Type="http://schemas.openxmlformats.org/officeDocument/2006/relationships/footer" Target="footer28.xml"/><Relationship Id="rId30" Type="http://schemas.openxmlformats.org/officeDocument/2006/relationships/footer" Target="footer27.xml"/><Relationship Id="rId3" Type="http://schemas.openxmlformats.org/officeDocument/2006/relationships/footer" Target="footer1.xml"/><Relationship Id="rId29" Type="http://schemas.openxmlformats.org/officeDocument/2006/relationships/footer" Target="footer26.xml"/><Relationship Id="rId28" Type="http://schemas.openxmlformats.org/officeDocument/2006/relationships/header" Target="header1.xml"/><Relationship Id="rId27" Type="http://schemas.openxmlformats.org/officeDocument/2006/relationships/footer" Target="footer25.xml"/><Relationship Id="rId26" Type="http://schemas.openxmlformats.org/officeDocument/2006/relationships/footer" Target="footer24.xml"/><Relationship Id="rId25" Type="http://schemas.openxmlformats.org/officeDocument/2006/relationships/footer" Target="footer23.xml"/><Relationship Id="rId24" Type="http://schemas.openxmlformats.org/officeDocument/2006/relationships/footer" Target="footer22.xml"/><Relationship Id="rId23" Type="http://schemas.openxmlformats.org/officeDocument/2006/relationships/footer" Target="footer21.xml"/><Relationship Id="rId22" Type="http://schemas.openxmlformats.org/officeDocument/2006/relationships/footer" Target="footer20.xml"/><Relationship Id="rId21" Type="http://schemas.openxmlformats.org/officeDocument/2006/relationships/footer" Target="footer19.xml"/><Relationship Id="rId20" Type="http://schemas.openxmlformats.org/officeDocument/2006/relationships/footer" Target="footer18.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253</Pages>
  <Words>10388</Words>
  <Characters>11456</Characters>
  <Lines>951</Lines>
  <Paragraphs>267</Paragraphs>
  <TotalTime>4</TotalTime>
  <ScaleCrop>false</ScaleCrop>
  <LinksUpToDate>false</LinksUpToDate>
  <CharactersWithSpaces>11962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2021-11-09T06:41:00Z</dcterms:created>
  <dc:creator>1</dc:creator>
  <cp:lastModifiedBy>guoyazhao</cp:lastModifiedBy>
  <cp:lastPrinted>2025-10-14T02:17:44Z</cp:lastPrinted>
  <dcterms:modified xsi:type="dcterms:W3CDTF">2025-10-14T02:18:51Z</dcterms:modified>
  <dc:title>中华人民共和国</dc:title>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208B4C90D1DC4FAB88EFEF80902327AF_13</vt:lpwstr>
  </property>
  <property fmtid="{D5CDD505-2E9C-101B-9397-08002B2CF9AE}" pid="4" name="KSOTemplateDocerSaveRecord">
    <vt:lpwstr>eyJoZGlkIjoiZDQ2YjJlNjNiOTQzMWUxZTViYjBiOWFmYmYxMzVjNzEiLCJ1c2VySWQiOiI4NDc0NTkxIn0=</vt:lpwstr>
  </property>
</Properties>
</file>